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4.xml" ContentType="application/vnd.openxmlformats-officedocument.wordprocessingml.header+xml"/>
  <Override PartName="/word/footer6.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5.xml" ContentType="application/vnd.openxmlformats-officedocument.wordprocessingml.header+xml"/>
  <Override PartName="/word/footer7.xml" ContentType="application/vnd.openxmlformats-officedocument.wordprocessingml.footer+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5.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6.xml" ContentType="application/vnd.openxmlformats-officedocument.themeOverride+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7.xml" ContentType="application/vnd.openxmlformats-officedocument.themeOverride+xml"/>
  <Override PartName="/word/header9.xml" ContentType="application/vnd.openxmlformats-officedocument.wordprocessingml.header+xml"/>
  <Override PartName="/word/footer11.xml" ContentType="application/vnd.openxmlformats-officedocument.wordprocessingml.foot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8.xml" ContentType="application/vnd.openxmlformats-officedocument.themeOverride+xml"/>
  <Override PartName="/word/header10.xml" ContentType="application/vnd.openxmlformats-officedocument.wordprocessingml.header+xml"/>
  <Override PartName="/word/footer12.xml" ContentType="application/vnd.openxmlformats-officedocument.wordprocessingml.footer+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9.xml" ContentType="application/vnd.openxmlformats-officedocument.themeOverride+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0.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7.xml" ContentType="application/vnd.openxmlformats-officedocument.themeOverride+xml"/>
  <Override PartName="/word/header13.xml" ContentType="application/vnd.openxmlformats-officedocument.wordprocessingml.header+xml"/>
  <Override PartName="/word/footer16.xml" ContentType="application/vnd.openxmlformats-officedocument.wordprocessingml.footer+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header14.xml" ContentType="application/vnd.openxmlformats-officedocument.wordprocessingml.header+xml"/>
  <Override PartName="/word/footer17.xml" ContentType="application/vnd.openxmlformats-officedocument.wordprocessingml.footer+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8.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9.xml" ContentType="application/vnd.openxmlformats-officedocument.themeOverride+xml"/>
  <Override PartName="/word/header15.xml" ContentType="application/vnd.openxmlformats-officedocument.wordprocessingml.header+xml"/>
  <Override PartName="/word/footer18.xml" ContentType="application/vnd.openxmlformats-officedocument.wordprocessingml.footer+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0.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1.xml" ContentType="application/vnd.openxmlformats-officedocument.themeOverride+xml"/>
  <Override PartName="/word/header16.xml" ContentType="application/vnd.openxmlformats-officedocument.wordprocessingml.header+xml"/>
  <Override PartName="/word/footer19.xml" ContentType="application/vnd.openxmlformats-officedocument.wordprocessingml.footer+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2.xml" ContentType="application/vnd.openxmlformats-officedocument.themeOverride+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A75A" w14:textId="6295C4D3" w:rsidR="00821227" w:rsidRPr="00217865" w:rsidRDefault="00821227" w:rsidP="00821227">
      <w:pPr>
        <w:pStyle w:val="DocumentTitle1"/>
        <w:rPr>
          <w:color w:val="000000" w:themeColor="text1"/>
          <w:sz w:val="52"/>
          <w:szCs w:val="52"/>
        </w:rPr>
      </w:pPr>
      <w:r w:rsidRPr="00217865">
        <w:rPr>
          <w:color w:val="000000" w:themeColor="text1"/>
          <w:sz w:val="52"/>
          <w:szCs w:val="52"/>
        </w:rPr>
        <w:t xml:space="preserve">2023 Student Experience Survey </w:t>
      </w:r>
    </w:p>
    <w:p w14:paraId="1D7CF9AB" w14:textId="465C6F49" w:rsidR="00821227" w:rsidRPr="00217865" w:rsidRDefault="00821227" w:rsidP="00821227">
      <w:pPr>
        <w:pStyle w:val="DocumentTitle2"/>
        <w:rPr>
          <w:rFonts w:ascii="Arial" w:hAnsi="Arial" w:cs="Arial"/>
          <w:color w:val="000000" w:themeColor="text1"/>
          <w:sz w:val="50"/>
          <w:szCs w:val="50"/>
        </w:rPr>
      </w:pPr>
      <w:r w:rsidRPr="00217865">
        <w:rPr>
          <w:rFonts w:ascii="Arial" w:hAnsi="Arial" w:cs="Arial"/>
          <w:color w:val="000000" w:themeColor="text1"/>
          <w:sz w:val="50"/>
          <w:szCs w:val="50"/>
        </w:rPr>
        <w:t>International Report</w:t>
      </w:r>
      <w:r w:rsidR="006F53A9" w:rsidRPr="00217865">
        <w:rPr>
          <w:rFonts w:ascii="Arial" w:hAnsi="Arial" w:cs="Arial"/>
          <w:color w:val="000000" w:themeColor="text1"/>
          <w:sz w:val="50"/>
          <w:szCs w:val="50"/>
        </w:rPr>
        <w:t xml:space="preserve"> – Accessible</w:t>
      </w:r>
    </w:p>
    <w:p w14:paraId="5E82E405" w14:textId="36374F1C" w:rsidR="00821227" w:rsidRPr="00217865" w:rsidRDefault="002A797D" w:rsidP="00821227">
      <w:pPr>
        <w:pStyle w:val="DocumentTitle3"/>
        <w:rPr>
          <w:rFonts w:ascii="Arial" w:hAnsi="Arial" w:cs="Arial"/>
          <w:color w:val="000000" w:themeColor="text1"/>
          <w:sz w:val="36"/>
          <w:szCs w:val="36"/>
        </w:rPr>
      </w:pPr>
      <w:r>
        <w:rPr>
          <w:rFonts w:ascii="Arial" w:hAnsi="Arial" w:cs="Arial"/>
          <w:color w:val="000000" w:themeColor="text1"/>
          <w:sz w:val="36"/>
          <w:szCs w:val="36"/>
        </w:rPr>
        <w:t>NOVEMBER</w:t>
      </w:r>
      <w:r w:rsidR="00821227" w:rsidRPr="00217865">
        <w:rPr>
          <w:rFonts w:ascii="Arial" w:hAnsi="Arial" w:cs="Arial"/>
          <w:color w:val="000000" w:themeColor="text1"/>
          <w:sz w:val="36"/>
          <w:szCs w:val="36"/>
        </w:rPr>
        <w:t xml:space="preserve"> 2024</w:t>
      </w:r>
    </w:p>
    <w:p w14:paraId="1209EFB7" w14:textId="414A6863" w:rsidR="00BA5F13" w:rsidRPr="00217865" w:rsidRDefault="00BA5F13" w:rsidP="00683378">
      <w:pPr>
        <w:pStyle w:val="DocumentTitle3"/>
        <w:spacing w:before="10440"/>
        <w:rPr>
          <w:rFonts w:ascii="Arial" w:hAnsi="Arial" w:cs="Arial"/>
          <w:color w:val="000000" w:themeColor="text1"/>
        </w:rPr>
      </w:pPr>
      <w:r w:rsidRPr="00217865">
        <w:rPr>
          <w:rFonts w:ascii="Arial" w:hAnsi="Arial" w:cs="Arial"/>
          <w:noProof/>
          <w:color w:val="000000" w:themeColor="text1"/>
        </w:rPr>
        <w:drawing>
          <wp:inline distT="0" distB="0" distL="0" distR="0" wp14:anchorId="5E93727B" wp14:editId="2F800AFC">
            <wp:extent cx="2074460" cy="702662"/>
            <wp:effectExtent l="0" t="0" r="2540" b="2540"/>
            <wp:docPr id="167594509" name="Picture 2" descr="Company logo for the Soci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4509" name="Picture 2" descr="Company logo for the Social Research Cent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632" cy="710511"/>
                    </a:xfrm>
                    <a:prstGeom prst="rect">
                      <a:avLst/>
                    </a:prstGeom>
                  </pic:spPr>
                </pic:pic>
              </a:graphicData>
            </a:graphic>
          </wp:inline>
        </w:drawing>
      </w:r>
    </w:p>
    <w:p w14:paraId="5E7277EB" w14:textId="77777777" w:rsidR="00821227" w:rsidRPr="00217865" w:rsidRDefault="00821227" w:rsidP="00821227">
      <w:pPr>
        <w:spacing w:before="107" w:line="218" w:lineRule="atLeast"/>
        <w:rPr>
          <w:rFonts w:cs="Arial"/>
          <w:color w:val="000000" w:themeColor="text1"/>
          <w:highlight w:val="yellow"/>
        </w:rPr>
      </w:pPr>
      <w:r w:rsidRPr="00217865">
        <w:rPr>
          <w:rFonts w:cs="Arial"/>
          <w:color w:val="000000" w:themeColor="text1"/>
          <w:highlight w:val="yellow"/>
        </w:rPr>
        <w:br w:type="page"/>
      </w:r>
    </w:p>
    <w:p w14:paraId="686F65FC" w14:textId="77777777" w:rsidR="00821227" w:rsidRPr="00217865" w:rsidRDefault="00821227" w:rsidP="00A9284B">
      <w:pPr>
        <w:pStyle w:val="MajorHeading"/>
        <w:rPr>
          <w:rFonts w:cs="Arial"/>
          <w:color w:val="000000" w:themeColor="text1"/>
        </w:rPr>
      </w:pPr>
      <w:bookmarkStart w:id="0" w:name="_Ref63708654"/>
      <w:bookmarkStart w:id="1" w:name="_Ref63708784"/>
      <w:bookmarkStart w:id="2" w:name="_Ref63708788"/>
      <w:bookmarkStart w:id="3" w:name="_Ref63708792"/>
      <w:bookmarkStart w:id="4" w:name="_Ref63708795"/>
      <w:bookmarkStart w:id="5" w:name="_Ref63708798"/>
      <w:bookmarkStart w:id="6" w:name="_Toc178599276"/>
      <w:r w:rsidRPr="00217865">
        <w:rPr>
          <w:rFonts w:cs="Arial"/>
          <w:color w:val="000000" w:themeColor="text1"/>
          <w:sz w:val="44"/>
          <w:szCs w:val="44"/>
        </w:rPr>
        <w:lastRenderedPageBreak/>
        <w:t>Acknowledgements</w:t>
      </w:r>
      <w:bookmarkEnd w:id="0"/>
      <w:bookmarkEnd w:id="1"/>
      <w:bookmarkEnd w:id="2"/>
      <w:bookmarkEnd w:id="3"/>
      <w:bookmarkEnd w:id="4"/>
      <w:bookmarkEnd w:id="5"/>
      <w:bookmarkEnd w:id="6"/>
    </w:p>
    <w:p w14:paraId="512BCE09" w14:textId="77777777" w:rsidR="00250889" w:rsidRPr="00217865" w:rsidRDefault="00250889" w:rsidP="00250889">
      <w:pPr>
        <w:pStyle w:val="Body"/>
        <w:rPr>
          <w:rFonts w:cs="Arial"/>
          <w:color w:val="000000" w:themeColor="text1"/>
        </w:rPr>
      </w:pPr>
      <w:r w:rsidRPr="00217865">
        <w:rPr>
          <w:rFonts w:cs="Arial"/>
          <w:color w:val="000000" w:themeColor="text1"/>
        </w:rPr>
        <w:t xml:space="preserve">The Quality Indicators for Learning and Teaching (QILT) survey program, including the Student Experience Survey (SES), is funded by the Australian Government Department of Education. </w:t>
      </w:r>
    </w:p>
    <w:p w14:paraId="188C0CD9" w14:textId="77777777" w:rsidR="00250889" w:rsidRPr="00217865" w:rsidRDefault="00250889" w:rsidP="00250889">
      <w:pPr>
        <w:pStyle w:val="Body"/>
        <w:rPr>
          <w:rFonts w:cs="Arial"/>
          <w:color w:val="000000" w:themeColor="text1"/>
        </w:rPr>
      </w:pPr>
      <w:r w:rsidRPr="00217865">
        <w:rPr>
          <w:rFonts w:cs="Arial"/>
          <w:color w:val="000000" w:themeColor="text1"/>
        </w:rPr>
        <w:t xml:space="preserve">The Australian Government Department of Education and the Social Research Centre acknowledge the Traditional Custodians of the lands and waters on which this research was conducted. We pay our respects to Elders, past, present and emerging. </w:t>
      </w:r>
    </w:p>
    <w:p w14:paraId="4FD5A65D" w14:textId="77777777" w:rsidR="00250889" w:rsidRPr="00217865" w:rsidRDefault="00250889" w:rsidP="00250889">
      <w:pPr>
        <w:pStyle w:val="Body"/>
        <w:rPr>
          <w:rFonts w:cs="Arial"/>
          <w:color w:val="000000" w:themeColor="text1"/>
        </w:rPr>
      </w:pPr>
      <w:r w:rsidRPr="00217865">
        <w:rPr>
          <w:rFonts w:cs="Arial"/>
          <w:color w:val="000000" w:themeColor="text1"/>
        </w:rPr>
        <w:t xml:space="preserve">The Social Research Centre would like to thank the higher education institutions that contributed to the SES in 2023. Without the enthusiastic and committed assistance of the survey managers and institutional planners, the 2023 SES would not have been such a success. </w:t>
      </w:r>
    </w:p>
    <w:p w14:paraId="525C2D34" w14:textId="77777777" w:rsidR="00250889" w:rsidRPr="00217865" w:rsidRDefault="00250889" w:rsidP="00250889">
      <w:pPr>
        <w:pStyle w:val="Body"/>
        <w:rPr>
          <w:rFonts w:cs="Arial"/>
          <w:color w:val="000000" w:themeColor="text1"/>
        </w:rPr>
      </w:pPr>
      <w:r w:rsidRPr="00217865">
        <w:rPr>
          <w:rFonts w:cs="Arial"/>
          <w:color w:val="000000" w:themeColor="text1"/>
        </w:rPr>
        <w:t>We are also very grateful to the students who took the time to provide valuable feedback about their student experience. The SES data will be used by institutions for continuous improvement and will assist prospective students to make informed decisions about future study.</w:t>
      </w:r>
    </w:p>
    <w:p w14:paraId="353F018D" w14:textId="77777777" w:rsidR="00250889" w:rsidRPr="00217865" w:rsidRDefault="00250889" w:rsidP="00250889">
      <w:pPr>
        <w:pStyle w:val="Body"/>
        <w:rPr>
          <w:rFonts w:cs="Arial"/>
          <w:color w:val="000000" w:themeColor="text1"/>
        </w:rPr>
      </w:pPr>
      <w:r w:rsidRPr="00217865">
        <w:rPr>
          <w:rFonts w:cs="Arial"/>
          <w:color w:val="000000" w:themeColor="text1"/>
        </w:rPr>
        <w:t>Our thanks also go to the teams at ACER and GCA who made very important contributions to prior administrations of the University Experience Survey (UES) and ACER who undertook a formal review of the SES in 2022-2023.</w:t>
      </w:r>
    </w:p>
    <w:p w14:paraId="4D2B5A02" w14:textId="73FEC907" w:rsidR="00250889" w:rsidRPr="00217865" w:rsidRDefault="00250889" w:rsidP="00250889">
      <w:pPr>
        <w:pStyle w:val="Body"/>
        <w:rPr>
          <w:rFonts w:cs="Arial"/>
          <w:color w:val="000000" w:themeColor="text1"/>
        </w:rPr>
      </w:pPr>
      <w:r w:rsidRPr="00217865">
        <w:rPr>
          <w:rFonts w:cs="Arial"/>
          <w:color w:val="000000" w:themeColor="text1"/>
        </w:rPr>
        <w:t xml:space="preserve">The 2023 SES was led by Graham Challice and the project team consisted of Lisa Bolton, Lauren Spencer, Diana Nguyen, Vicky Tong, Ben Williams, Cynthia Kim, Gabriel Ong, Aaron Wilcox, Anna Syme, Rahul Bet, Rawan Habibeh, Joe Feng, </w:t>
      </w:r>
      <w:r w:rsidR="00331BE2" w:rsidRPr="00217865">
        <w:rPr>
          <w:rFonts w:cs="Arial"/>
          <w:color w:val="000000" w:themeColor="text1"/>
        </w:rPr>
        <w:t>S</w:t>
      </w:r>
      <w:r w:rsidRPr="00217865">
        <w:rPr>
          <w:rFonts w:cs="Arial"/>
          <w:color w:val="000000" w:themeColor="text1"/>
        </w:rPr>
        <w:t>erena Kim</w:t>
      </w:r>
      <w:r w:rsidR="00331BE2" w:rsidRPr="00217865">
        <w:rPr>
          <w:rFonts w:cs="Arial"/>
          <w:color w:val="000000" w:themeColor="text1"/>
        </w:rPr>
        <w:t xml:space="preserve"> and Columbia Winterton.</w:t>
      </w:r>
    </w:p>
    <w:p w14:paraId="1328EC20" w14:textId="0A986952" w:rsidR="00250889" w:rsidRPr="00217865" w:rsidRDefault="00250889" w:rsidP="00250889">
      <w:pPr>
        <w:pStyle w:val="Body"/>
        <w:rPr>
          <w:rStyle w:val="Hyperlink"/>
          <w:rFonts w:cs="Arial"/>
        </w:rPr>
      </w:pPr>
      <w:r w:rsidRPr="00217865">
        <w:rPr>
          <w:rFonts w:cs="Arial"/>
          <w:color w:val="000000" w:themeColor="text1"/>
        </w:rPr>
        <w:t xml:space="preserve">For more information on the conduct and results of the 2023 SES, see the QILT </w:t>
      </w:r>
      <w:hyperlink r:id="rId12" w:history="1">
        <w:r w:rsidRPr="001E2723">
          <w:rPr>
            <w:rStyle w:val="Hyperlink"/>
            <w:rFonts w:cs="Arial"/>
          </w:rPr>
          <w:t>website</w:t>
        </w:r>
      </w:hyperlink>
      <w:r w:rsidR="001E2723">
        <w:rPr>
          <w:rFonts w:cs="Arial"/>
          <w:color w:val="000000" w:themeColor="text1"/>
        </w:rPr>
        <w:t>.</w:t>
      </w:r>
      <w:r w:rsidR="0074506F">
        <w:rPr>
          <w:rFonts w:cs="Arial"/>
          <w:color w:val="000000" w:themeColor="text1"/>
        </w:rPr>
        <w:t xml:space="preserve"> </w:t>
      </w:r>
      <w:r w:rsidRPr="00217865">
        <w:rPr>
          <w:rFonts w:cs="Arial"/>
          <w:color w:val="000000" w:themeColor="text1"/>
        </w:rPr>
        <w:t xml:space="preserve">The QILT team can be contacted by email at </w:t>
      </w:r>
      <w:hyperlink r:id="rId13" w:history="1">
        <w:r w:rsidRPr="00217865">
          <w:rPr>
            <w:rStyle w:val="Hyperlink"/>
            <w:rFonts w:cs="Arial"/>
          </w:rPr>
          <w:t>qilt@srcentre.com.au</w:t>
        </w:r>
      </w:hyperlink>
      <w:r w:rsidRPr="00217865">
        <w:rPr>
          <w:rStyle w:val="Hyperlink"/>
          <w:rFonts w:cs="Arial"/>
        </w:rPr>
        <w:t xml:space="preserve">. </w:t>
      </w:r>
    </w:p>
    <w:p w14:paraId="5E1BF135" w14:textId="6178FAF8" w:rsidR="00A9284B" w:rsidRPr="00217865" w:rsidRDefault="00A9284B" w:rsidP="00821227">
      <w:pPr>
        <w:pStyle w:val="Body"/>
        <w:rPr>
          <w:rStyle w:val="Hyperlink"/>
          <w:rFonts w:cs="Arial"/>
        </w:rPr>
        <w:sectPr w:rsidR="00A9284B" w:rsidRPr="00217865" w:rsidSect="00683378">
          <w:footerReference w:type="default" r:id="rId14"/>
          <w:type w:val="continuous"/>
          <w:pgSz w:w="11900" w:h="16840"/>
          <w:pgMar w:top="1134" w:right="1134" w:bottom="1134" w:left="1134" w:header="397" w:footer="340" w:gutter="0"/>
          <w:pgNumType w:fmt="lowerRoman"/>
          <w:cols w:space="708"/>
          <w:titlePg/>
          <w:docGrid w:linePitch="360"/>
        </w:sectPr>
      </w:pPr>
    </w:p>
    <w:p w14:paraId="508D8EA7" w14:textId="39A3227F" w:rsidR="00821227" w:rsidRPr="00217865" w:rsidRDefault="00A9284B" w:rsidP="00A9284B">
      <w:pPr>
        <w:pStyle w:val="MajorHeading"/>
        <w:rPr>
          <w:rFonts w:cs="Arial"/>
          <w:color w:val="000000" w:themeColor="text1"/>
          <w:sz w:val="44"/>
          <w:szCs w:val="44"/>
        </w:rPr>
      </w:pPr>
      <w:bookmarkStart w:id="7" w:name="_Toc178599277"/>
      <w:r w:rsidRPr="00217865">
        <w:rPr>
          <w:rFonts w:cs="Arial"/>
          <w:color w:val="000000" w:themeColor="text1"/>
          <w:sz w:val="44"/>
          <w:szCs w:val="44"/>
        </w:rPr>
        <w:lastRenderedPageBreak/>
        <w:t xml:space="preserve">Executive </w:t>
      </w:r>
      <w:r w:rsidR="0088791E" w:rsidRPr="00217865">
        <w:rPr>
          <w:rFonts w:cs="Arial"/>
          <w:color w:val="000000" w:themeColor="text1"/>
          <w:sz w:val="44"/>
          <w:szCs w:val="44"/>
        </w:rPr>
        <w:t>s</w:t>
      </w:r>
      <w:r w:rsidRPr="00217865">
        <w:rPr>
          <w:rFonts w:cs="Arial"/>
          <w:color w:val="000000" w:themeColor="text1"/>
          <w:sz w:val="44"/>
          <w:szCs w:val="44"/>
        </w:rPr>
        <w:t>ummary</w:t>
      </w:r>
      <w:bookmarkEnd w:id="7"/>
    </w:p>
    <w:p w14:paraId="1C7BB59D" w14:textId="77777777" w:rsidR="00BA5EED" w:rsidRPr="00217865" w:rsidRDefault="00BA5EED" w:rsidP="00BA5EED">
      <w:pPr>
        <w:pStyle w:val="SubHeading1"/>
        <w:rPr>
          <w:rFonts w:cs="Arial"/>
          <w:color w:val="000000" w:themeColor="text1"/>
          <w:sz w:val="36"/>
          <w:szCs w:val="36"/>
          <w:lang w:val="en-GB" w:eastAsia="en-GB"/>
        </w:rPr>
      </w:pPr>
      <w:r w:rsidRPr="00217865">
        <w:rPr>
          <w:rFonts w:cs="Arial"/>
          <w:color w:val="000000" w:themeColor="text1"/>
          <w:sz w:val="36"/>
          <w:szCs w:val="36"/>
          <w:lang w:val="en-GB" w:eastAsia="en-GB"/>
        </w:rPr>
        <w:t>About the Student Experience Survey (SES)</w:t>
      </w:r>
    </w:p>
    <w:p w14:paraId="50F31A3B" w14:textId="4662345E" w:rsidR="00BA5EED" w:rsidRPr="00217865" w:rsidRDefault="00BA5EED" w:rsidP="00BA5EED">
      <w:pPr>
        <w:pStyle w:val="Body"/>
        <w:rPr>
          <w:rFonts w:cs="Arial"/>
          <w:color w:val="000000" w:themeColor="text1"/>
        </w:rPr>
      </w:pPr>
      <w:r w:rsidRPr="00217865">
        <w:rPr>
          <w:rFonts w:cs="Arial"/>
          <w:color w:val="000000" w:themeColor="text1"/>
        </w:rPr>
        <w:t>The SES provides a national architecture for collecting data on key aspects of the higher education student experience.</w:t>
      </w:r>
      <w:r w:rsidR="006F6D42" w:rsidRPr="00217865">
        <w:rPr>
          <w:rFonts w:cs="Arial"/>
          <w:color w:val="000000" w:themeColor="text1"/>
        </w:rPr>
        <w:t xml:space="preserve"> The SES International Report focuses on the subset of international student responses to the main SES National Report.</w:t>
      </w:r>
      <w:r w:rsidRPr="00217865">
        <w:rPr>
          <w:rFonts w:cs="Arial"/>
          <w:color w:val="000000" w:themeColor="text1"/>
        </w:rPr>
        <w:t xml:space="preserve"> In 2023, 253,588 students responded to the SES, </w:t>
      </w:r>
      <w:r w:rsidR="00C03485" w:rsidRPr="00217865">
        <w:rPr>
          <w:rFonts w:cs="Arial"/>
          <w:color w:val="000000" w:themeColor="text1"/>
        </w:rPr>
        <w:t xml:space="preserve">including </w:t>
      </w:r>
      <w:r w:rsidR="00C87430" w:rsidRPr="00217865">
        <w:rPr>
          <w:rFonts w:cs="Arial"/>
          <w:color w:val="000000" w:themeColor="text1"/>
        </w:rPr>
        <w:t xml:space="preserve">72,229 responses from international students, </w:t>
      </w:r>
      <w:r w:rsidRPr="00217865">
        <w:rPr>
          <w:rFonts w:cs="Arial"/>
          <w:color w:val="000000" w:themeColor="text1"/>
        </w:rPr>
        <w:t>across a total of 1</w:t>
      </w:r>
      <w:r w:rsidR="006F6D42" w:rsidRPr="00217865">
        <w:rPr>
          <w:rFonts w:cs="Arial"/>
          <w:color w:val="000000" w:themeColor="text1"/>
        </w:rPr>
        <w:t>34</w:t>
      </w:r>
      <w:r w:rsidRPr="00217865">
        <w:rPr>
          <w:rFonts w:cs="Arial"/>
          <w:color w:val="000000" w:themeColor="text1"/>
        </w:rPr>
        <w:t xml:space="preserve"> Australian higher education institutions.</w:t>
      </w:r>
      <w:r w:rsidR="0047008E" w:rsidRPr="00217865">
        <w:rPr>
          <w:rFonts w:cs="Arial"/>
          <w:color w:val="000000" w:themeColor="text1"/>
        </w:rPr>
        <w:t xml:space="preserve"> </w:t>
      </w:r>
    </w:p>
    <w:p w14:paraId="6BA2647C" w14:textId="76DDA682" w:rsidR="00BA5EED" w:rsidRPr="00217865" w:rsidRDefault="00BA5EED" w:rsidP="00BA5EED">
      <w:pPr>
        <w:pStyle w:val="Body"/>
        <w:rPr>
          <w:rFonts w:cs="Arial"/>
          <w:color w:val="000000" w:themeColor="text1"/>
        </w:rPr>
      </w:pPr>
      <w:r w:rsidRPr="00217865">
        <w:rPr>
          <w:rFonts w:cs="Arial"/>
          <w:color w:val="000000" w:themeColor="text1"/>
        </w:rPr>
        <w:t>The SES measures five aspects of the student experience: Skills Development, Peer Engagement (formerly Learner Engagement), Teaching Quality and Engagement (formerly Teaching Quality), Student Support and Services (formerly Student Support), and Learning Resources. The survey also collects data in relation to whether students had seriously considered leaving their institution and their reasons, freedom of expression, negative effects on study, and an international student module which includes the reasons for choosing to study in Australia and with their institution and their satisfaction with living experience</w:t>
      </w:r>
      <w:r w:rsidR="00225DC6" w:rsidRPr="00217865">
        <w:rPr>
          <w:rFonts w:cs="Arial"/>
          <w:color w:val="000000" w:themeColor="text1"/>
        </w:rPr>
        <w:t>.</w:t>
      </w:r>
    </w:p>
    <w:p w14:paraId="1ACE54E7" w14:textId="77777777" w:rsidR="00BA5EED" w:rsidRPr="00217865" w:rsidRDefault="00BA5EED" w:rsidP="00BA5EED">
      <w:pPr>
        <w:pStyle w:val="SubHeading1"/>
        <w:rPr>
          <w:rFonts w:cs="Arial"/>
          <w:color w:val="000000" w:themeColor="text1"/>
          <w:sz w:val="36"/>
          <w:szCs w:val="36"/>
          <w:lang w:val="en-GB" w:eastAsia="en-GB"/>
        </w:rPr>
      </w:pPr>
      <w:r w:rsidRPr="00217865">
        <w:rPr>
          <w:rFonts w:cs="Arial"/>
          <w:color w:val="000000" w:themeColor="text1"/>
          <w:sz w:val="36"/>
          <w:szCs w:val="36"/>
          <w:lang w:val="en-GB" w:eastAsia="en-GB"/>
        </w:rPr>
        <w:t>Review of the SES</w:t>
      </w:r>
    </w:p>
    <w:p w14:paraId="789BF04A" w14:textId="77777777" w:rsidR="00BA5EED" w:rsidRPr="00217865" w:rsidRDefault="00BA5EED" w:rsidP="00BA5EED">
      <w:pPr>
        <w:pStyle w:val="Body"/>
        <w:rPr>
          <w:rFonts w:cs="Arial"/>
          <w:color w:val="000000" w:themeColor="text1"/>
        </w:rPr>
      </w:pPr>
      <w:r w:rsidRPr="00217865">
        <w:rPr>
          <w:rFonts w:cs="Arial"/>
          <w:color w:val="000000" w:themeColor="text1"/>
        </w:rPr>
        <w:t xml:space="preserve">The SES underwent its first full review in 2022-2023 and </w:t>
      </w:r>
      <w:proofErr w:type="gramStart"/>
      <w:r w:rsidRPr="00217865">
        <w:rPr>
          <w:rFonts w:cs="Arial"/>
          <w:color w:val="000000" w:themeColor="text1"/>
        </w:rPr>
        <w:t>a number of</w:t>
      </w:r>
      <w:proofErr w:type="gramEnd"/>
      <w:r w:rsidRPr="00217865">
        <w:rPr>
          <w:rFonts w:cs="Arial"/>
          <w:color w:val="000000" w:themeColor="text1"/>
        </w:rPr>
        <w:t xml:space="preserve"> changes were made to the 2023 SES instrument, including: </w:t>
      </w:r>
    </w:p>
    <w:p w14:paraId="115E46F0" w14:textId="77777777" w:rsidR="00BA5EED" w:rsidRPr="00217865" w:rsidRDefault="00BA5EED" w:rsidP="00BA5EED">
      <w:pPr>
        <w:pStyle w:val="Body"/>
        <w:numPr>
          <w:ilvl w:val="0"/>
          <w:numId w:val="50"/>
        </w:numPr>
        <w:rPr>
          <w:rFonts w:cs="Arial"/>
          <w:color w:val="000000" w:themeColor="text1"/>
        </w:rPr>
      </w:pPr>
      <w:r w:rsidRPr="00217865">
        <w:rPr>
          <w:rFonts w:cs="Arial"/>
          <w:color w:val="000000" w:themeColor="text1"/>
        </w:rPr>
        <w:t xml:space="preserve">The addition of a set of questions related to study mode. </w:t>
      </w:r>
    </w:p>
    <w:p w14:paraId="68D428FF" w14:textId="77777777" w:rsidR="00BA5EED" w:rsidRPr="00217865" w:rsidRDefault="00BA5EED" w:rsidP="00BA5EED">
      <w:pPr>
        <w:pStyle w:val="Body"/>
        <w:numPr>
          <w:ilvl w:val="0"/>
          <w:numId w:val="50"/>
        </w:numPr>
        <w:rPr>
          <w:rFonts w:cs="Arial"/>
          <w:color w:val="000000" w:themeColor="text1"/>
        </w:rPr>
      </w:pPr>
      <w:r w:rsidRPr="00217865">
        <w:rPr>
          <w:rFonts w:cs="Arial"/>
          <w:color w:val="000000" w:themeColor="text1"/>
        </w:rPr>
        <w:t>The redevelopment</w:t>
      </w:r>
      <w:r w:rsidRPr="00217865">
        <w:rPr>
          <w:rFonts w:cs="Arial"/>
          <w:b/>
          <w:bCs/>
          <w:color w:val="000000" w:themeColor="text1"/>
        </w:rPr>
        <w:t xml:space="preserve"> </w:t>
      </w:r>
      <w:r w:rsidRPr="00217865">
        <w:rPr>
          <w:rFonts w:cs="Arial"/>
          <w:color w:val="000000" w:themeColor="text1"/>
        </w:rPr>
        <w:t xml:space="preserve">of two focus areas and one item: </w:t>
      </w:r>
    </w:p>
    <w:p w14:paraId="2E35A73D" w14:textId="77777777" w:rsidR="00BA5EED" w:rsidRPr="00217865" w:rsidRDefault="00BA5EED" w:rsidP="00BA5EED">
      <w:pPr>
        <w:pStyle w:val="Bullets2"/>
        <w:rPr>
          <w:rFonts w:cs="Arial"/>
          <w:color w:val="000000" w:themeColor="text1"/>
        </w:rPr>
      </w:pPr>
      <w:r w:rsidRPr="00217865">
        <w:rPr>
          <w:rFonts w:cs="Arial"/>
          <w:color w:val="000000" w:themeColor="text1"/>
        </w:rPr>
        <w:t>Peer Engagement focus area (previously known as the Learner Engagement focus area)</w:t>
      </w:r>
    </w:p>
    <w:p w14:paraId="5B5D9883" w14:textId="77777777" w:rsidR="00BA5EED" w:rsidRPr="00217865" w:rsidRDefault="00BA5EED" w:rsidP="00BA5EED">
      <w:pPr>
        <w:pStyle w:val="Bullets2"/>
        <w:rPr>
          <w:rFonts w:cs="Arial"/>
          <w:color w:val="000000" w:themeColor="text1"/>
        </w:rPr>
      </w:pPr>
      <w:r w:rsidRPr="00217865">
        <w:rPr>
          <w:rFonts w:cs="Arial"/>
          <w:color w:val="000000" w:themeColor="text1"/>
        </w:rPr>
        <w:t>Student Support and Services</w:t>
      </w:r>
      <w:r w:rsidRPr="00217865">
        <w:rPr>
          <w:rFonts w:cs="Arial"/>
          <w:b/>
          <w:bCs/>
          <w:color w:val="000000" w:themeColor="text1"/>
        </w:rPr>
        <w:t xml:space="preserve"> </w:t>
      </w:r>
      <w:r w:rsidRPr="00217865">
        <w:rPr>
          <w:rFonts w:cs="Arial"/>
          <w:color w:val="000000" w:themeColor="text1"/>
        </w:rPr>
        <w:t>focus area (previously known as the Student Support focus area)</w:t>
      </w:r>
    </w:p>
    <w:p w14:paraId="30B0D320" w14:textId="77777777" w:rsidR="00BA5EED" w:rsidRPr="00217865" w:rsidRDefault="00BA5EED" w:rsidP="00BA5EED">
      <w:pPr>
        <w:pStyle w:val="Bullets2"/>
        <w:rPr>
          <w:rFonts w:cs="Arial"/>
          <w:color w:val="000000" w:themeColor="text1"/>
        </w:rPr>
      </w:pPr>
      <w:r w:rsidRPr="00217865">
        <w:rPr>
          <w:rFonts w:cs="Arial"/>
          <w:color w:val="000000" w:themeColor="text1"/>
        </w:rPr>
        <w:t>Response options for the ‘Seriously considered leaving’ question.</w:t>
      </w:r>
    </w:p>
    <w:p w14:paraId="0AA03DEE" w14:textId="77777777" w:rsidR="00BA5EED" w:rsidRPr="00217865" w:rsidRDefault="00BA5EED" w:rsidP="00BA5EED">
      <w:pPr>
        <w:pStyle w:val="Bullets1"/>
        <w:rPr>
          <w:rFonts w:cs="Arial"/>
          <w:color w:val="000000" w:themeColor="text1"/>
        </w:rPr>
      </w:pPr>
      <w:r w:rsidRPr="00217865">
        <w:rPr>
          <w:rFonts w:cs="Arial"/>
          <w:color w:val="000000" w:themeColor="text1"/>
        </w:rPr>
        <w:t>The removal</w:t>
      </w:r>
      <w:r w:rsidRPr="00217865">
        <w:rPr>
          <w:rFonts w:cs="Arial"/>
          <w:b/>
          <w:bCs/>
          <w:color w:val="000000" w:themeColor="text1"/>
        </w:rPr>
        <w:t xml:space="preserve"> </w:t>
      </w:r>
      <w:r w:rsidRPr="00217865">
        <w:rPr>
          <w:rFonts w:cs="Arial"/>
          <w:color w:val="000000" w:themeColor="text1"/>
        </w:rPr>
        <w:t xml:space="preserve">of questions related to: </w:t>
      </w:r>
    </w:p>
    <w:p w14:paraId="40749BFE" w14:textId="77777777" w:rsidR="00BA5EED" w:rsidRPr="00217865" w:rsidRDefault="00BA5EED" w:rsidP="00BA5EED">
      <w:pPr>
        <w:pStyle w:val="Bullets2"/>
        <w:rPr>
          <w:rFonts w:cs="Arial"/>
          <w:color w:val="000000" w:themeColor="text1"/>
        </w:rPr>
      </w:pPr>
      <w:r w:rsidRPr="00217865">
        <w:rPr>
          <w:rFonts w:cs="Arial"/>
          <w:color w:val="000000" w:themeColor="text1"/>
        </w:rPr>
        <w:t xml:space="preserve">where students’ study is based and the amount of study done online, </w:t>
      </w:r>
    </w:p>
    <w:p w14:paraId="54913285" w14:textId="77777777" w:rsidR="00BA5EED" w:rsidRPr="00217865" w:rsidRDefault="00BA5EED" w:rsidP="00BA5EED">
      <w:pPr>
        <w:pStyle w:val="Bullets2"/>
        <w:rPr>
          <w:rFonts w:cs="Arial"/>
          <w:color w:val="000000" w:themeColor="text1"/>
        </w:rPr>
      </w:pPr>
      <w:r w:rsidRPr="00217865">
        <w:rPr>
          <w:rFonts w:cs="Arial"/>
          <w:color w:val="000000" w:themeColor="text1"/>
        </w:rPr>
        <w:t xml:space="preserve">students’ average grade, and </w:t>
      </w:r>
    </w:p>
    <w:p w14:paraId="614BEA96" w14:textId="77777777" w:rsidR="00BA5EED" w:rsidRPr="00217865" w:rsidRDefault="00BA5EED" w:rsidP="00BA5EED">
      <w:pPr>
        <w:pStyle w:val="Bullets2"/>
        <w:rPr>
          <w:rFonts w:cs="Arial"/>
          <w:color w:val="000000" w:themeColor="text1"/>
        </w:rPr>
      </w:pPr>
      <w:r w:rsidRPr="00217865">
        <w:rPr>
          <w:rFonts w:cs="Arial"/>
          <w:color w:val="000000" w:themeColor="text1"/>
        </w:rPr>
        <w:t>visa type.</w:t>
      </w:r>
    </w:p>
    <w:p w14:paraId="38736744" w14:textId="005D1C55" w:rsidR="00BA5EED" w:rsidRPr="00217865" w:rsidRDefault="00BA5EED" w:rsidP="00BA5EED">
      <w:pPr>
        <w:pStyle w:val="Body"/>
        <w:rPr>
          <w:rFonts w:cs="Arial"/>
          <w:color w:val="000000" w:themeColor="text1"/>
        </w:rPr>
      </w:pPr>
      <w:r w:rsidRPr="00217865">
        <w:rPr>
          <w:rFonts w:cs="Arial"/>
          <w:color w:val="000000" w:themeColor="text1"/>
        </w:rPr>
        <w:t xml:space="preserve">Despite changes to the underlying items of two focus areas, the measures overall remained stable and there was no evidence to suggest that the time series had been compromised. However, consideration should be given to semantic differences in the underlying survey items and response frames when examining year on year changes to these focus areas. Refer to </w:t>
      </w:r>
      <w:r w:rsidRPr="00217865">
        <w:rPr>
          <w:rFonts w:cs="Arial"/>
          <w:color w:val="000000" w:themeColor="text1"/>
        </w:rPr>
        <w:fldChar w:fldCharType="begin"/>
      </w:r>
      <w:r w:rsidRPr="00217865">
        <w:rPr>
          <w:rFonts w:cs="Arial"/>
          <w:color w:val="000000" w:themeColor="text1"/>
        </w:rPr>
        <w:instrText xml:space="preserve"> REF _Ref167179143 \w \h  \* MERGEFORMAT </w:instrText>
      </w:r>
      <w:r w:rsidRPr="00217865">
        <w:rPr>
          <w:rFonts w:cs="Arial"/>
          <w:color w:val="000000" w:themeColor="text1"/>
        </w:rPr>
      </w:r>
      <w:r w:rsidRPr="00217865">
        <w:rPr>
          <w:rFonts w:cs="Arial"/>
          <w:color w:val="000000" w:themeColor="text1"/>
        </w:rPr>
        <w:fldChar w:fldCharType="separate"/>
      </w:r>
      <w:r w:rsidR="005D5678">
        <w:rPr>
          <w:rFonts w:cs="Arial"/>
          <w:color w:val="000000" w:themeColor="text1"/>
        </w:rPr>
        <w:t>Appendix 2</w:t>
      </w:r>
      <w:r w:rsidRPr="00217865">
        <w:rPr>
          <w:rFonts w:cs="Arial"/>
          <w:color w:val="000000" w:themeColor="text1"/>
        </w:rPr>
        <w:fldChar w:fldCharType="end"/>
      </w:r>
      <w:r w:rsidRPr="00217865">
        <w:rPr>
          <w:rFonts w:cs="Arial"/>
          <w:color w:val="000000" w:themeColor="text1"/>
        </w:rPr>
        <w:t xml:space="preserve"> ‘</w:t>
      </w:r>
      <w:r w:rsidRPr="00217865">
        <w:rPr>
          <w:rFonts w:cs="Arial"/>
          <w:color w:val="000000" w:themeColor="text1"/>
        </w:rPr>
        <w:fldChar w:fldCharType="begin"/>
      </w:r>
      <w:r w:rsidRPr="00217865">
        <w:rPr>
          <w:rFonts w:cs="Arial"/>
          <w:color w:val="000000" w:themeColor="text1"/>
        </w:rPr>
        <w:instrText xml:space="preserve"> REF _Ref167179143 \h  \* MERGEFORMAT </w:instrText>
      </w:r>
      <w:r w:rsidRPr="00217865">
        <w:rPr>
          <w:rFonts w:cs="Arial"/>
          <w:color w:val="000000" w:themeColor="text1"/>
        </w:rPr>
      </w:r>
      <w:r w:rsidRPr="00217865">
        <w:rPr>
          <w:rFonts w:cs="Arial"/>
          <w:color w:val="000000" w:themeColor="text1"/>
        </w:rPr>
        <w:fldChar w:fldCharType="separate"/>
      </w:r>
      <w:r w:rsidR="005D5678" w:rsidRPr="00217865">
        <w:rPr>
          <w:rFonts w:cs="Arial"/>
          <w:color w:val="000000" w:themeColor="text1"/>
        </w:rPr>
        <w:t>Review of the SES</w:t>
      </w:r>
      <w:r w:rsidRPr="00217865">
        <w:rPr>
          <w:rFonts w:cs="Arial"/>
          <w:color w:val="000000" w:themeColor="text1"/>
        </w:rPr>
        <w:fldChar w:fldCharType="end"/>
      </w:r>
      <w:r w:rsidRPr="00217865">
        <w:rPr>
          <w:rFonts w:cs="Arial"/>
          <w:color w:val="000000" w:themeColor="text1"/>
        </w:rPr>
        <w:t>’ for more information about the review of the SES instrument and the impact on focus area scores.</w:t>
      </w:r>
    </w:p>
    <w:p w14:paraId="74BFA157" w14:textId="44CA3CC5" w:rsidR="00A151E9" w:rsidRPr="00217865" w:rsidRDefault="00A151E9" w:rsidP="00A151E9">
      <w:pPr>
        <w:pStyle w:val="SubHeading1"/>
        <w:rPr>
          <w:rFonts w:cs="Arial"/>
          <w:color w:val="000000" w:themeColor="text1"/>
          <w:sz w:val="36"/>
          <w:szCs w:val="36"/>
          <w:lang w:val="en-GB" w:eastAsia="en-GB"/>
        </w:rPr>
      </w:pPr>
      <w:r w:rsidRPr="00217865">
        <w:rPr>
          <w:rFonts w:cs="Arial"/>
          <w:color w:val="000000" w:themeColor="text1"/>
          <w:sz w:val="36"/>
          <w:szCs w:val="36"/>
          <w:lang w:val="en-GB" w:eastAsia="en-GB"/>
        </w:rPr>
        <w:t>International student profile</w:t>
      </w:r>
    </w:p>
    <w:p w14:paraId="50EB327D" w14:textId="5A793240" w:rsidR="00AC2EDD" w:rsidRPr="00217865" w:rsidRDefault="00AC2EDD" w:rsidP="00AC2EDD">
      <w:pPr>
        <w:pStyle w:val="Body"/>
        <w:rPr>
          <w:rFonts w:cs="Arial"/>
          <w:color w:val="000000" w:themeColor="text1"/>
        </w:rPr>
      </w:pPr>
      <w:r w:rsidRPr="00217865">
        <w:rPr>
          <w:rFonts w:cs="Arial"/>
          <w:color w:val="000000" w:themeColor="text1"/>
        </w:rPr>
        <w:t xml:space="preserve">International student responses represented </w:t>
      </w:r>
      <w:r w:rsidR="00550E5E" w:rsidRPr="00217865">
        <w:rPr>
          <w:rFonts w:cs="Arial"/>
          <w:color w:val="000000" w:themeColor="text1"/>
        </w:rPr>
        <w:t>18.0</w:t>
      </w:r>
      <w:r w:rsidRPr="00217865">
        <w:rPr>
          <w:rFonts w:cs="Arial"/>
          <w:color w:val="000000" w:themeColor="text1"/>
        </w:rPr>
        <w:t xml:space="preserve"> per cent of undergraduate responses in the 2023 SES</w:t>
      </w:r>
      <w:r w:rsidR="00BA02C2" w:rsidRPr="00217865">
        <w:rPr>
          <w:rFonts w:cs="Arial"/>
          <w:color w:val="000000" w:themeColor="text1"/>
        </w:rPr>
        <w:t xml:space="preserve">. The top five source countries, based on country of birth, </w:t>
      </w:r>
      <w:r w:rsidR="00253D8E" w:rsidRPr="00217865">
        <w:rPr>
          <w:rFonts w:cs="Arial"/>
          <w:color w:val="000000" w:themeColor="text1"/>
        </w:rPr>
        <w:t xml:space="preserve">included </w:t>
      </w:r>
      <w:r w:rsidR="003A0943">
        <w:rPr>
          <w:rFonts w:cs="Arial"/>
          <w:color w:val="000000" w:themeColor="text1"/>
        </w:rPr>
        <w:t>China (excludes SARs and Taiwan)</w:t>
      </w:r>
      <w:r w:rsidRPr="00217865">
        <w:rPr>
          <w:rFonts w:cs="Arial"/>
          <w:color w:val="000000" w:themeColor="text1"/>
        </w:rPr>
        <w:t>, Nepal, India, Vietnam and Malaysia which ma</w:t>
      </w:r>
      <w:r w:rsidR="000E52D0" w:rsidRPr="00217865">
        <w:rPr>
          <w:rFonts w:cs="Arial"/>
          <w:color w:val="000000" w:themeColor="text1"/>
        </w:rPr>
        <w:t>de</w:t>
      </w:r>
      <w:r w:rsidRPr="00217865">
        <w:rPr>
          <w:rFonts w:cs="Arial"/>
          <w:color w:val="000000" w:themeColor="text1"/>
        </w:rPr>
        <w:t xml:space="preserve"> up around 57 per cent of total undergraduate international respondents. International undergraduate responses mainly clustered in </w:t>
      </w:r>
      <w:r w:rsidR="00300603" w:rsidRPr="00217865">
        <w:rPr>
          <w:rFonts w:cs="Arial"/>
          <w:color w:val="000000" w:themeColor="text1"/>
        </w:rPr>
        <w:t xml:space="preserve">a </w:t>
      </w:r>
      <w:r w:rsidRPr="00217865">
        <w:rPr>
          <w:rFonts w:cs="Arial"/>
          <w:color w:val="000000" w:themeColor="text1"/>
        </w:rPr>
        <w:t>few study areas, with Business and management, Computing and information systems and Nursing making up around 47 per cent of responses</w:t>
      </w:r>
      <w:r w:rsidR="0032072D" w:rsidRPr="00217865">
        <w:rPr>
          <w:rFonts w:cs="Arial"/>
          <w:color w:val="000000" w:themeColor="text1"/>
        </w:rPr>
        <w:t xml:space="preserve">. </w:t>
      </w:r>
      <w:r w:rsidR="00986014" w:rsidRPr="00217865">
        <w:rPr>
          <w:rFonts w:cs="Arial"/>
          <w:color w:val="000000" w:themeColor="text1"/>
        </w:rPr>
        <w:t>Similarly, international student respondents tended to cluster</w:t>
      </w:r>
      <w:r w:rsidR="00A9459F" w:rsidRPr="00217865">
        <w:rPr>
          <w:rFonts w:cs="Arial"/>
          <w:color w:val="000000" w:themeColor="text1"/>
        </w:rPr>
        <w:t xml:space="preserve"> in a small number of institutions;</w:t>
      </w:r>
      <w:r w:rsidRPr="00217865">
        <w:rPr>
          <w:rFonts w:cs="Arial"/>
          <w:color w:val="000000" w:themeColor="text1"/>
        </w:rPr>
        <w:t xml:space="preserve"> </w:t>
      </w:r>
      <w:r w:rsidR="003B77E8" w:rsidRPr="00217865">
        <w:rPr>
          <w:rFonts w:cs="Arial"/>
          <w:color w:val="000000" w:themeColor="text1"/>
        </w:rPr>
        <w:t xml:space="preserve">ten </w:t>
      </w:r>
      <w:r w:rsidRPr="00217865">
        <w:rPr>
          <w:rFonts w:cs="Arial"/>
          <w:color w:val="000000" w:themeColor="text1"/>
        </w:rPr>
        <w:t>institutions account</w:t>
      </w:r>
      <w:r w:rsidR="003B77E8" w:rsidRPr="00217865">
        <w:rPr>
          <w:rFonts w:cs="Arial"/>
          <w:color w:val="000000" w:themeColor="text1"/>
        </w:rPr>
        <w:t>ed</w:t>
      </w:r>
      <w:r w:rsidRPr="00217865">
        <w:rPr>
          <w:rFonts w:cs="Arial"/>
          <w:color w:val="000000" w:themeColor="text1"/>
        </w:rPr>
        <w:t xml:space="preserve"> for around 41 per cent of international undergraduate responses, with the largest of these being Monash University and the University of New South Wales. </w:t>
      </w:r>
      <w:r w:rsidR="00D1481D" w:rsidRPr="00217865">
        <w:rPr>
          <w:rFonts w:cs="Arial"/>
          <w:color w:val="000000" w:themeColor="text1"/>
        </w:rPr>
        <w:t xml:space="preserve">Stott’s College had the largest </w:t>
      </w:r>
      <w:r w:rsidR="00C72C56" w:rsidRPr="00217865">
        <w:rPr>
          <w:rFonts w:cs="Arial"/>
          <w:color w:val="000000" w:themeColor="text1"/>
        </w:rPr>
        <w:t>share of i</w:t>
      </w:r>
      <w:r w:rsidRPr="00217865">
        <w:rPr>
          <w:rFonts w:cs="Arial"/>
          <w:color w:val="000000" w:themeColor="text1"/>
        </w:rPr>
        <w:t>nternational undergraduate student</w:t>
      </w:r>
      <w:r w:rsidR="00C72C56" w:rsidRPr="00217865">
        <w:rPr>
          <w:rFonts w:cs="Arial"/>
          <w:color w:val="000000" w:themeColor="text1"/>
        </w:rPr>
        <w:t xml:space="preserve"> responses at a </w:t>
      </w:r>
      <w:r w:rsidR="00312AA3" w:rsidRPr="00217865">
        <w:rPr>
          <w:rFonts w:cs="Arial"/>
          <w:color w:val="000000" w:themeColor="text1"/>
        </w:rPr>
        <w:t>non-university higher education institution (</w:t>
      </w:r>
      <w:r w:rsidR="00C72C56" w:rsidRPr="00217865">
        <w:rPr>
          <w:rFonts w:cs="Arial"/>
          <w:color w:val="000000" w:themeColor="text1"/>
        </w:rPr>
        <w:t>NUHEI</w:t>
      </w:r>
      <w:r w:rsidR="00312AA3" w:rsidRPr="00217865">
        <w:rPr>
          <w:rFonts w:cs="Arial"/>
          <w:color w:val="000000" w:themeColor="text1"/>
        </w:rPr>
        <w:t>)</w:t>
      </w:r>
      <w:r w:rsidR="00C72C56" w:rsidRPr="00217865">
        <w:rPr>
          <w:rFonts w:cs="Arial"/>
          <w:color w:val="000000" w:themeColor="text1"/>
        </w:rPr>
        <w:t>.</w:t>
      </w:r>
      <w:r w:rsidRPr="00217865">
        <w:rPr>
          <w:rFonts w:cs="Arial"/>
          <w:color w:val="000000" w:themeColor="text1"/>
        </w:rPr>
        <w:t xml:space="preserve"> </w:t>
      </w:r>
    </w:p>
    <w:p w14:paraId="3A92AE84" w14:textId="1BB5C900" w:rsidR="00AC2EDD" w:rsidRPr="00217865" w:rsidRDefault="007C0146" w:rsidP="003D795D">
      <w:pPr>
        <w:pStyle w:val="BodyIndent"/>
        <w:ind w:left="0"/>
        <w:rPr>
          <w:color w:val="000000" w:themeColor="text1"/>
          <w:highlight w:val="yellow"/>
        </w:rPr>
      </w:pPr>
      <w:r w:rsidRPr="00217865">
        <w:rPr>
          <w:color w:val="000000" w:themeColor="text1"/>
        </w:rPr>
        <w:t>International students</w:t>
      </w:r>
      <w:r w:rsidR="006C44F4" w:rsidRPr="00217865">
        <w:rPr>
          <w:color w:val="000000" w:themeColor="text1"/>
        </w:rPr>
        <w:t xml:space="preserve"> represented </w:t>
      </w:r>
      <w:r w:rsidR="00CE064C" w:rsidRPr="00217865">
        <w:rPr>
          <w:color w:val="000000" w:themeColor="text1"/>
        </w:rPr>
        <w:t>47.</w:t>
      </w:r>
      <w:r w:rsidR="00CB30C2" w:rsidRPr="00217865">
        <w:rPr>
          <w:color w:val="000000" w:themeColor="text1"/>
        </w:rPr>
        <w:t>2</w:t>
      </w:r>
      <w:r w:rsidR="00CE064C" w:rsidRPr="00217865">
        <w:rPr>
          <w:color w:val="000000" w:themeColor="text1"/>
        </w:rPr>
        <w:t xml:space="preserve"> of p</w:t>
      </w:r>
      <w:r w:rsidR="00AC2EDD" w:rsidRPr="00217865">
        <w:rPr>
          <w:color w:val="000000" w:themeColor="text1"/>
        </w:rPr>
        <w:t xml:space="preserve">ostgraduate coursework </w:t>
      </w:r>
      <w:r w:rsidR="00CE064C" w:rsidRPr="00217865">
        <w:rPr>
          <w:color w:val="000000" w:themeColor="text1"/>
        </w:rPr>
        <w:t>responses in the 2023 SES</w:t>
      </w:r>
      <w:r w:rsidR="00531A17" w:rsidRPr="00217865">
        <w:rPr>
          <w:color w:val="000000" w:themeColor="text1"/>
        </w:rPr>
        <w:t xml:space="preserve">, a much larger proportion than at the undergraduate level. </w:t>
      </w:r>
      <w:r w:rsidR="00787B29" w:rsidRPr="00217865">
        <w:rPr>
          <w:color w:val="000000" w:themeColor="text1"/>
        </w:rPr>
        <w:t>S</w:t>
      </w:r>
      <w:r w:rsidR="00AC2EDD" w:rsidRPr="00217865">
        <w:rPr>
          <w:color w:val="000000" w:themeColor="text1"/>
        </w:rPr>
        <w:t xml:space="preserve">tudents from </w:t>
      </w:r>
      <w:r w:rsidR="003A0943">
        <w:rPr>
          <w:color w:val="000000" w:themeColor="text1"/>
        </w:rPr>
        <w:t>China (excludes SARs and Taiwan)</w:t>
      </w:r>
      <w:r w:rsidR="00AC2EDD" w:rsidRPr="00217865">
        <w:rPr>
          <w:color w:val="000000" w:themeColor="text1"/>
        </w:rPr>
        <w:t>, India, Nepal and Bhutan ma</w:t>
      </w:r>
      <w:r w:rsidR="00787B29" w:rsidRPr="00217865">
        <w:rPr>
          <w:color w:val="000000" w:themeColor="text1"/>
        </w:rPr>
        <w:t>de</w:t>
      </w:r>
      <w:r w:rsidR="00AC2EDD" w:rsidRPr="00217865">
        <w:rPr>
          <w:color w:val="000000" w:themeColor="text1"/>
        </w:rPr>
        <w:t xml:space="preserve"> up almost 60 per cent of </w:t>
      </w:r>
      <w:r w:rsidR="002F61AB" w:rsidRPr="00217865">
        <w:rPr>
          <w:color w:val="000000" w:themeColor="text1"/>
        </w:rPr>
        <w:t xml:space="preserve">international postgraduate coursework </w:t>
      </w:r>
      <w:r w:rsidR="00AC2EDD" w:rsidRPr="00217865">
        <w:rPr>
          <w:color w:val="000000" w:themeColor="text1"/>
        </w:rPr>
        <w:t>respon</w:t>
      </w:r>
      <w:r w:rsidR="000F3EA3" w:rsidRPr="00217865">
        <w:rPr>
          <w:color w:val="000000" w:themeColor="text1"/>
        </w:rPr>
        <w:t>ses</w:t>
      </w:r>
      <w:r w:rsidR="00AC2EDD" w:rsidRPr="00217865">
        <w:rPr>
          <w:color w:val="000000" w:themeColor="text1"/>
        </w:rPr>
        <w:t xml:space="preserve">. This group </w:t>
      </w:r>
      <w:r w:rsidR="00E34BB3" w:rsidRPr="00217865">
        <w:rPr>
          <w:color w:val="000000" w:themeColor="text1"/>
        </w:rPr>
        <w:t>were</w:t>
      </w:r>
      <w:r w:rsidR="00AC2EDD" w:rsidRPr="00217865">
        <w:rPr>
          <w:color w:val="000000" w:themeColor="text1"/>
        </w:rPr>
        <w:t xml:space="preserve"> clustered in the Business and management, Computing and information systems, Engineering and Teacher education study areas </w:t>
      </w:r>
      <w:r w:rsidR="00AC2EDD" w:rsidRPr="00217865">
        <w:rPr>
          <w:color w:val="000000" w:themeColor="text1"/>
        </w:rPr>
        <w:lastRenderedPageBreak/>
        <w:t>which m</w:t>
      </w:r>
      <w:r w:rsidR="00761ADC" w:rsidRPr="00217865">
        <w:rPr>
          <w:color w:val="000000" w:themeColor="text1"/>
        </w:rPr>
        <w:t>ade</w:t>
      </w:r>
      <w:r w:rsidR="00AC2EDD" w:rsidRPr="00217865">
        <w:rPr>
          <w:color w:val="000000" w:themeColor="text1"/>
        </w:rPr>
        <w:t xml:space="preserve"> up around 68 per cent of responses</w:t>
      </w:r>
      <w:r w:rsidR="00E96597" w:rsidRPr="00217865">
        <w:rPr>
          <w:color w:val="000000" w:themeColor="text1"/>
        </w:rPr>
        <w:t>.</w:t>
      </w:r>
      <w:r w:rsidR="00AC2EDD" w:rsidRPr="00217865">
        <w:rPr>
          <w:color w:val="000000" w:themeColor="text1"/>
        </w:rPr>
        <w:t xml:space="preserve"> </w:t>
      </w:r>
      <w:r w:rsidR="000C0ED5" w:rsidRPr="00217865">
        <w:rPr>
          <w:color w:val="000000" w:themeColor="text1"/>
        </w:rPr>
        <w:t>Respondents from ten</w:t>
      </w:r>
      <w:r w:rsidR="00AC2EDD" w:rsidRPr="00217865">
        <w:rPr>
          <w:color w:val="000000" w:themeColor="text1"/>
        </w:rPr>
        <w:t xml:space="preserve"> institutions account</w:t>
      </w:r>
      <w:r w:rsidR="000C0ED5" w:rsidRPr="00217865">
        <w:rPr>
          <w:color w:val="000000" w:themeColor="text1"/>
        </w:rPr>
        <w:t>ed</w:t>
      </w:r>
      <w:r w:rsidR="00AC2EDD" w:rsidRPr="00217865">
        <w:rPr>
          <w:color w:val="000000" w:themeColor="text1"/>
        </w:rPr>
        <w:t xml:space="preserve"> for around 48 per cent of total responses with the largest of these being the University of Melbourne and the University of New South Wales. </w:t>
      </w:r>
      <w:r w:rsidR="0008664A" w:rsidRPr="00217865">
        <w:rPr>
          <w:color w:val="000000" w:themeColor="text1"/>
        </w:rPr>
        <w:t xml:space="preserve">Kaplan Business School had the largest proportion of </w:t>
      </w:r>
      <w:r w:rsidR="00412555" w:rsidRPr="00217865">
        <w:rPr>
          <w:color w:val="000000" w:themeColor="text1"/>
        </w:rPr>
        <w:t>international postgraduate coursework</w:t>
      </w:r>
      <w:r w:rsidR="00681CF4" w:rsidRPr="00217865">
        <w:rPr>
          <w:color w:val="000000" w:themeColor="text1"/>
        </w:rPr>
        <w:t xml:space="preserve"> responses from a NUHEI.</w:t>
      </w:r>
      <w:r w:rsidR="00AC2EDD" w:rsidRPr="00217865">
        <w:rPr>
          <w:color w:val="000000" w:themeColor="text1"/>
        </w:rPr>
        <w:t xml:space="preserve"> </w:t>
      </w:r>
    </w:p>
    <w:p w14:paraId="3E4D6F53" w14:textId="77777777" w:rsidR="00BA5EED" w:rsidRPr="00217865" w:rsidRDefault="00BA5EED" w:rsidP="00BA5EED">
      <w:pPr>
        <w:pStyle w:val="SubHeading1"/>
        <w:rPr>
          <w:rFonts w:cs="Arial"/>
          <w:color w:val="000000" w:themeColor="text1"/>
          <w:sz w:val="36"/>
          <w:szCs w:val="36"/>
          <w:lang w:val="en-GB" w:eastAsia="en-GB"/>
        </w:rPr>
      </w:pPr>
      <w:r w:rsidRPr="00217865">
        <w:rPr>
          <w:rFonts w:cs="Arial"/>
          <w:color w:val="000000" w:themeColor="text1"/>
          <w:sz w:val="36"/>
          <w:szCs w:val="36"/>
          <w:lang w:val="en-GB" w:eastAsia="en-GB"/>
        </w:rPr>
        <w:t>2023 SES Key findings</w:t>
      </w:r>
    </w:p>
    <w:p w14:paraId="4668EB46" w14:textId="01F9A52F" w:rsidR="006E7DFF" w:rsidRPr="00217865" w:rsidRDefault="006E7DFF" w:rsidP="00C929AC">
      <w:pPr>
        <w:pStyle w:val="SubHeading20"/>
        <w:rPr>
          <w:rFonts w:cs="Arial"/>
          <w:color w:val="000000" w:themeColor="text1"/>
          <w:lang w:val="en-GB" w:eastAsia="en-GB"/>
        </w:rPr>
      </w:pPr>
      <w:r w:rsidRPr="00217865">
        <w:rPr>
          <w:rFonts w:cs="Arial"/>
          <w:color w:val="000000" w:themeColor="text1"/>
          <w:lang w:val="en-GB" w:eastAsia="en-GB"/>
        </w:rPr>
        <w:t>International student</w:t>
      </w:r>
      <w:r w:rsidR="00BC6738" w:rsidRPr="00217865">
        <w:rPr>
          <w:rFonts w:cs="Arial"/>
          <w:color w:val="000000" w:themeColor="text1"/>
          <w:lang w:val="en-GB" w:eastAsia="en-GB"/>
        </w:rPr>
        <w:t xml:space="preserve"> education experience</w:t>
      </w:r>
    </w:p>
    <w:p w14:paraId="46692E0E" w14:textId="1DF7CC64" w:rsidR="00AC53A0" w:rsidRPr="00217865" w:rsidRDefault="00AC53A0" w:rsidP="00AC53A0">
      <w:pPr>
        <w:pStyle w:val="Body"/>
        <w:rPr>
          <w:rFonts w:cs="Arial"/>
          <w:color w:val="000000" w:themeColor="text1"/>
        </w:rPr>
      </w:pPr>
      <w:r w:rsidRPr="00217865">
        <w:rPr>
          <w:rFonts w:cs="Arial"/>
          <w:color w:val="000000" w:themeColor="text1"/>
        </w:rPr>
        <w:t>In general, international ratings across all focus areas other than the Quality of entire educational experience have overtaken ratings by domestic students in 2022 and 2023 at both undergraduate and postgraduate coursework levels.</w:t>
      </w:r>
    </w:p>
    <w:p w14:paraId="3D955E36" w14:textId="5593F314" w:rsidR="00DF5F58" w:rsidRPr="00217865" w:rsidRDefault="007675C2" w:rsidP="00BA5EED">
      <w:pPr>
        <w:pStyle w:val="Body"/>
        <w:rPr>
          <w:rFonts w:cs="Arial"/>
          <w:color w:val="000000" w:themeColor="text1"/>
        </w:rPr>
      </w:pPr>
      <w:r w:rsidRPr="00217865">
        <w:rPr>
          <w:rFonts w:cs="Arial"/>
          <w:color w:val="000000" w:themeColor="text1"/>
        </w:rPr>
        <w:t>Since 2022,</w:t>
      </w:r>
      <w:r w:rsidR="005B1E3D" w:rsidRPr="00217865">
        <w:rPr>
          <w:rFonts w:cs="Arial"/>
          <w:color w:val="000000" w:themeColor="text1"/>
        </w:rPr>
        <w:t xml:space="preserve"> all focus area scores for international students recovered to the levels seen prior</w:t>
      </w:r>
      <w:r w:rsidR="002E3489" w:rsidRPr="00217865">
        <w:rPr>
          <w:rFonts w:cs="Arial"/>
          <w:color w:val="000000" w:themeColor="text1"/>
        </w:rPr>
        <w:t xml:space="preserve"> to the pandemic.</w:t>
      </w:r>
      <w:r w:rsidR="00AA75F2" w:rsidRPr="00217865">
        <w:rPr>
          <w:rFonts w:cs="Arial"/>
          <w:color w:val="000000" w:themeColor="text1"/>
        </w:rPr>
        <w:t xml:space="preserve"> In 2023, </w:t>
      </w:r>
      <w:proofErr w:type="gramStart"/>
      <w:r w:rsidR="00AA75F2" w:rsidRPr="00217865">
        <w:rPr>
          <w:rFonts w:cs="Arial"/>
          <w:color w:val="000000" w:themeColor="text1"/>
        </w:rPr>
        <w:t>with the exception of</w:t>
      </w:r>
      <w:proofErr w:type="gramEnd"/>
      <w:r w:rsidR="00AA75F2" w:rsidRPr="00217865">
        <w:rPr>
          <w:rFonts w:cs="Arial"/>
          <w:color w:val="000000" w:themeColor="text1"/>
        </w:rPr>
        <w:t xml:space="preserve"> the Quality of entire educational experienc</w:t>
      </w:r>
      <w:r w:rsidR="00432590" w:rsidRPr="00217865">
        <w:rPr>
          <w:rFonts w:cs="Arial"/>
          <w:color w:val="000000" w:themeColor="text1"/>
        </w:rPr>
        <w:t xml:space="preserve">e and Learning Resources for undergraduates, </w:t>
      </w:r>
      <w:r w:rsidR="007372B5" w:rsidRPr="00217865">
        <w:rPr>
          <w:rFonts w:cs="Arial"/>
          <w:color w:val="000000" w:themeColor="text1"/>
        </w:rPr>
        <w:t>all focus area scores</w:t>
      </w:r>
      <w:r w:rsidR="00B1383E" w:rsidRPr="00217865">
        <w:rPr>
          <w:rFonts w:cs="Arial"/>
          <w:color w:val="000000" w:themeColor="text1"/>
        </w:rPr>
        <w:t xml:space="preserve"> were recorded at the highest ratings since the inception of the SES.</w:t>
      </w:r>
    </w:p>
    <w:p w14:paraId="1C73DBEF" w14:textId="3C86B8DE" w:rsidR="000920DA" w:rsidRPr="00217865" w:rsidRDefault="004C0F6A" w:rsidP="000920DA">
      <w:pPr>
        <w:pStyle w:val="Body"/>
        <w:rPr>
          <w:rFonts w:cs="Arial"/>
          <w:color w:val="000000" w:themeColor="text1"/>
        </w:rPr>
      </w:pPr>
      <w:r w:rsidRPr="00217865">
        <w:rPr>
          <w:rFonts w:cs="Arial"/>
          <w:color w:val="000000" w:themeColor="text1"/>
        </w:rPr>
        <w:t xml:space="preserve">The widest gap in </w:t>
      </w:r>
      <w:r w:rsidR="00236456" w:rsidRPr="00217865">
        <w:rPr>
          <w:rFonts w:cs="Arial"/>
          <w:color w:val="000000" w:themeColor="text1"/>
        </w:rPr>
        <w:t xml:space="preserve">positive student ratings in 2023 was </w:t>
      </w:r>
      <w:proofErr w:type="gramStart"/>
      <w:r w:rsidR="00236456" w:rsidRPr="00217865">
        <w:rPr>
          <w:rFonts w:cs="Arial"/>
          <w:color w:val="000000" w:themeColor="text1"/>
        </w:rPr>
        <w:t>in the area of</w:t>
      </w:r>
      <w:proofErr w:type="gramEnd"/>
      <w:r w:rsidR="00236456" w:rsidRPr="00217865">
        <w:rPr>
          <w:rFonts w:cs="Arial"/>
          <w:color w:val="000000" w:themeColor="text1"/>
        </w:rPr>
        <w:t xml:space="preserve"> Peer Engagement</w:t>
      </w:r>
      <w:r w:rsidR="004E07D2" w:rsidRPr="00217865">
        <w:rPr>
          <w:rFonts w:cs="Arial"/>
          <w:color w:val="000000" w:themeColor="text1"/>
        </w:rPr>
        <w:t xml:space="preserve"> where</w:t>
      </w:r>
      <w:r w:rsidR="00D25C29" w:rsidRPr="00217865">
        <w:rPr>
          <w:rFonts w:cs="Arial"/>
          <w:color w:val="000000" w:themeColor="text1"/>
        </w:rPr>
        <w:t xml:space="preserve"> international undergraduate students rated this 12.0 percentage points higher than domestic undergraduates</w:t>
      </w:r>
      <w:r w:rsidR="003B7E1B" w:rsidRPr="00217865">
        <w:rPr>
          <w:rFonts w:cs="Arial"/>
          <w:color w:val="000000" w:themeColor="text1"/>
        </w:rPr>
        <w:t xml:space="preserve">, and </w:t>
      </w:r>
      <w:r w:rsidR="001B35B8" w:rsidRPr="00217865">
        <w:rPr>
          <w:rFonts w:cs="Arial"/>
          <w:color w:val="000000" w:themeColor="text1"/>
        </w:rPr>
        <w:t xml:space="preserve">there was a 34.7 percentage point different at the postgraduate coursework level. </w:t>
      </w:r>
      <w:r w:rsidR="00ED14F9" w:rsidRPr="00217865">
        <w:rPr>
          <w:rFonts w:cs="Arial"/>
          <w:color w:val="000000" w:themeColor="text1"/>
        </w:rPr>
        <w:t>These differences are likely related to students</w:t>
      </w:r>
      <w:r w:rsidR="00012068" w:rsidRPr="00217865">
        <w:rPr>
          <w:rFonts w:cs="Arial"/>
          <w:color w:val="000000" w:themeColor="text1"/>
        </w:rPr>
        <w:t>’</w:t>
      </w:r>
      <w:r w:rsidR="00ED14F9" w:rsidRPr="00217865">
        <w:rPr>
          <w:rFonts w:cs="Arial"/>
          <w:color w:val="000000" w:themeColor="text1"/>
        </w:rPr>
        <w:t xml:space="preserve"> mode of study, with international students </w:t>
      </w:r>
      <w:r w:rsidR="00911079" w:rsidRPr="00217865">
        <w:rPr>
          <w:rFonts w:cs="Arial"/>
          <w:color w:val="000000" w:themeColor="text1"/>
        </w:rPr>
        <w:t xml:space="preserve">required </w:t>
      </w:r>
      <w:r w:rsidR="00157614" w:rsidRPr="00217865">
        <w:rPr>
          <w:rFonts w:cs="Arial"/>
          <w:color w:val="000000" w:themeColor="text1"/>
        </w:rPr>
        <w:t>to take more of their classes in person. At the postgraduate coursework level, domestic students tend to be older</w:t>
      </w:r>
      <w:r w:rsidR="001A4935" w:rsidRPr="00217865">
        <w:rPr>
          <w:rFonts w:cs="Arial"/>
          <w:color w:val="000000" w:themeColor="text1"/>
        </w:rPr>
        <w:t xml:space="preserve"> </w:t>
      </w:r>
      <w:proofErr w:type="gramStart"/>
      <w:r w:rsidR="001A4935" w:rsidRPr="00217865">
        <w:rPr>
          <w:rFonts w:cs="Arial"/>
          <w:color w:val="000000" w:themeColor="text1"/>
        </w:rPr>
        <w:t>and also</w:t>
      </w:r>
      <w:proofErr w:type="gramEnd"/>
      <w:r w:rsidR="001A4935" w:rsidRPr="00217865">
        <w:rPr>
          <w:rFonts w:cs="Arial"/>
          <w:color w:val="000000" w:themeColor="text1"/>
        </w:rPr>
        <w:t xml:space="preserve"> studying externally</w:t>
      </w:r>
      <w:r w:rsidR="0077331E" w:rsidRPr="00217865">
        <w:rPr>
          <w:rFonts w:cs="Arial"/>
          <w:color w:val="000000" w:themeColor="text1"/>
        </w:rPr>
        <w:t xml:space="preserve">, leading to lower levels of interacting with students </w:t>
      </w:r>
      <w:r w:rsidR="004E2D13" w:rsidRPr="00217865">
        <w:rPr>
          <w:rFonts w:cs="Arial"/>
          <w:color w:val="000000" w:themeColor="text1"/>
        </w:rPr>
        <w:t>in and outside of class.</w:t>
      </w:r>
    </w:p>
    <w:p w14:paraId="50E1B361" w14:textId="77777777" w:rsidR="00AC70D4" w:rsidRPr="00217865" w:rsidRDefault="00FB22D1" w:rsidP="000920DA">
      <w:pPr>
        <w:pStyle w:val="Body"/>
        <w:rPr>
          <w:rFonts w:cs="Arial"/>
          <w:color w:val="000000" w:themeColor="text1"/>
        </w:rPr>
        <w:sectPr w:rsidR="00AC70D4" w:rsidRPr="00217865" w:rsidSect="00D8385D">
          <w:pgSz w:w="11900" w:h="16840"/>
          <w:pgMar w:top="852" w:right="560" w:bottom="994" w:left="710" w:header="397" w:footer="340" w:gutter="0"/>
          <w:pgNumType w:fmt="lowerRoman"/>
          <w:cols w:space="708"/>
          <w:docGrid w:linePitch="360"/>
        </w:sectPr>
      </w:pPr>
      <w:r w:rsidRPr="00217865">
        <w:rPr>
          <w:rFonts w:cs="Arial"/>
          <w:color w:val="000000" w:themeColor="text1"/>
        </w:rPr>
        <w:t>The new Student Support and Services focus area</w:t>
      </w:r>
      <w:r w:rsidR="00041217" w:rsidRPr="00217865">
        <w:rPr>
          <w:rFonts w:cs="Arial"/>
          <w:color w:val="000000" w:themeColor="text1"/>
        </w:rPr>
        <w:t xml:space="preserve"> saw much bigger differences in ratings between domestic and international students in 2023.</w:t>
      </w:r>
      <w:r w:rsidR="00001AD2" w:rsidRPr="00217865">
        <w:rPr>
          <w:rFonts w:cs="Arial"/>
          <w:color w:val="000000" w:themeColor="text1"/>
        </w:rPr>
        <w:t xml:space="preserve"> While consideration should be given to </w:t>
      </w:r>
      <w:r w:rsidR="0022764D" w:rsidRPr="00217865">
        <w:rPr>
          <w:rFonts w:cs="Arial"/>
          <w:color w:val="000000" w:themeColor="text1"/>
        </w:rPr>
        <w:t>changes made to the underlying items and</w:t>
      </w:r>
      <w:r w:rsidR="00241CAE" w:rsidRPr="00217865">
        <w:rPr>
          <w:rFonts w:cs="Arial"/>
          <w:color w:val="000000" w:themeColor="text1"/>
        </w:rPr>
        <w:t xml:space="preserve"> caution exercised </w:t>
      </w:r>
      <w:r w:rsidR="001B405F" w:rsidRPr="00217865">
        <w:rPr>
          <w:rFonts w:cs="Arial"/>
          <w:color w:val="000000" w:themeColor="text1"/>
        </w:rPr>
        <w:t xml:space="preserve">when looking at year on year changes, </w:t>
      </w:r>
      <w:r w:rsidR="00553402" w:rsidRPr="00217865">
        <w:rPr>
          <w:rFonts w:cs="Arial"/>
          <w:color w:val="000000" w:themeColor="text1"/>
        </w:rPr>
        <w:t xml:space="preserve">it is interesting to note that domestic student ratings of </w:t>
      </w:r>
      <w:r w:rsidR="0070340B" w:rsidRPr="00217865">
        <w:rPr>
          <w:rFonts w:cs="Arial"/>
          <w:color w:val="000000" w:themeColor="text1"/>
        </w:rPr>
        <w:t xml:space="preserve">the old Student Support focus area </w:t>
      </w:r>
      <w:r w:rsidR="00911672" w:rsidRPr="00217865">
        <w:rPr>
          <w:rFonts w:cs="Arial"/>
          <w:color w:val="000000" w:themeColor="text1"/>
        </w:rPr>
        <w:t>and new Student Support and Services focus area</w:t>
      </w:r>
      <w:r w:rsidR="006957FC" w:rsidRPr="00217865">
        <w:rPr>
          <w:rFonts w:cs="Arial"/>
          <w:color w:val="000000" w:themeColor="text1"/>
        </w:rPr>
        <w:t xml:space="preserve"> have been trending downwards</w:t>
      </w:r>
      <w:r w:rsidR="007C3DDB" w:rsidRPr="00217865">
        <w:rPr>
          <w:rFonts w:cs="Arial"/>
          <w:color w:val="000000" w:themeColor="text1"/>
        </w:rPr>
        <w:t xml:space="preserve"> since </w:t>
      </w:r>
      <w:r w:rsidR="00E2247E" w:rsidRPr="00217865">
        <w:rPr>
          <w:rFonts w:cs="Arial"/>
          <w:color w:val="000000" w:themeColor="text1"/>
        </w:rPr>
        <w:t>2021</w:t>
      </w:r>
      <w:r w:rsidR="006D2097" w:rsidRPr="00217865">
        <w:rPr>
          <w:rFonts w:cs="Arial"/>
          <w:color w:val="000000" w:themeColor="text1"/>
        </w:rPr>
        <w:t xml:space="preserve"> and international student ratings have </w:t>
      </w:r>
      <w:r w:rsidR="00CE2E34" w:rsidRPr="00217865">
        <w:rPr>
          <w:rFonts w:cs="Arial"/>
          <w:color w:val="000000" w:themeColor="text1"/>
        </w:rPr>
        <w:t>trended upwards</w:t>
      </w:r>
      <w:r w:rsidR="00286562" w:rsidRPr="00217865">
        <w:rPr>
          <w:rFonts w:cs="Arial"/>
          <w:color w:val="000000" w:themeColor="text1"/>
        </w:rPr>
        <w:t>, at both levels of study.</w:t>
      </w:r>
      <w:r w:rsidR="00BA5EED" w:rsidRPr="00217865">
        <w:rPr>
          <w:rFonts w:cs="Arial"/>
          <w:color w:val="000000" w:themeColor="text1"/>
        </w:rPr>
        <w:t xml:space="preserve">  </w:t>
      </w:r>
    </w:p>
    <w:p w14:paraId="7406DB0D" w14:textId="7E7DCB22" w:rsidR="00CC6853" w:rsidRPr="00217865" w:rsidRDefault="00CC6853" w:rsidP="0081215D">
      <w:pPr>
        <w:pStyle w:val="Tabletitle"/>
        <w:rPr>
          <w:i/>
        </w:rPr>
      </w:pPr>
      <w:r w:rsidRPr="00217865">
        <w:lastRenderedPageBreak/>
        <w:t>The undergraduate student experience by citizenship</w:t>
      </w:r>
      <w:r w:rsidR="009771CD" w:rsidRPr="00217865">
        <w:t xml:space="preserve"> status</w:t>
      </w:r>
      <w:r w:rsidRPr="00217865">
        <w:t>, 2017-2023 (% positive rating)</w:t>
      </w:r>
    </w:p>
    <w:tbl>
      <w:tblPr>
        <w:tblStyle w:val="QILTTableStylePH3"/>
        <w:tblW w:w="0" w:type="auto"/>
        <w:tblLook w:val="04A0" w:firstRow="1" w:lastRow="0" w:firstColumn="1" w:lastColumn="0" w:noHBand="0" w:noVBand="1"/>
      </w:tblPr>
      <w:tblGrid>
        <w:gridCol w:w="631"/>
        <w:gridCol w:w="1318"/>
        <w:gridCol w:w="1279"/>
        <w:gridCol w:w="1264"/>
        <w:gridCol w:w="1231"/>
        <w:gridCol w:w="1272"/>
        <w:gridCol w:w="1231"/>
        <w:gridCol w:w="965"/>
        <w:gridCol w:w="1167"/>
        <w:gridCol w:w="1091"/>
        <w:gridCol w:w="1176"/>
        <w:gridCol w:w="1188"/>
        <w:gridCol w:w="1171"/>
      </w:tblGrid>
      <w:tr w:rsidR="00FA09A2" w:rsidRPr="00217865" w14:paraId="18841FED" w14:textId="77777777" w:rsidTr="007A503F">
        <w:trPr>
          <w:tblHeader/>
        </w:trPr>
        <w:tc>
          <w:tcPr>
            <w:tcW w:w="632" w:type="dxa"/>
            <w:vAlign w:val="bottom"/>
          </w:tcPr>
          <w:p w14:paraId="460E7676" w14:textId="64A624CE" w:rsidR="00FA09A2" w:rsidRPr="007624C4" w:rsidRDefault="00FA09A2" w:rsidP="00FA09A2">
            <w:pPr>
              <w:pStyle w:val="BodyText"/>
              <w:spacing w:before="60" w:after="60"/>
              <w:rPr>
                <w:rFonts w:cs="Arial"/>
                <w:color w:val="000000" w:themeColor="text1"/>
                <w:sz w:val="18"/>
              </w:rPr>
            </w:pPr>
            <w:r w:rsidRPr="007624C4">
              <w:rPr>
                <w:b/>
                <w:bCs/>
                <w:color w:val="000000" w:themeColor="text1"/>
              </w:rPr>
              <w:t>Y</w:t>
            </w:r>
            <w:bookmarkStart w:id="8" w:name="Title_1a"/>
            <w:bookmarkEnd w:id="8"/>
            <w:r w:rsidRPr="007624C4">
              <w:rPr>
                <w:b/>
                <w:bCs/>
                <w:color w:val="000000" w:themeColor="text1"/>
              </w:rPr>
              <w:t>ear</w:t>
            </w:r>
          </w:p>
        </w:tc>
        <w:tc>
          <w:tcPr>
            <w:tcW w:w="1321" w:type="dxa"/>
            <w:vAlign w:val="bottom"/>
          </w:tcPr>
          <w:p w14:paraId="0D08FCD2" w14:textId="77777777" w:rsidR="00FA09A2" w:rsidRPr="00FA09A2" w:rsidRDefault="00FA09A2" w:rsidP="001863FA">
            <w:pPr>
              <w:pStyle w:val="Z"/>
              <w:spacing w:before="60" w:after="60"/>
              <w:jc w:val="center"/>
              <w:rPr>
                <w:b/>
                <w:bCs/>
                <w:color w:val="000000" w:themeColor="text1"/>
                <w:szCs w:val="18"/>
              </w:rPr>
            </w:pPr>
            <w:r w:rsidRPr="00FA09A2">
              <w:rPr>
                <w:b/>
                <w:bCs/>
                <w:color w:val="000000" w:themeColor="text1"/>
                <w:szCs w:val="18"/>
              </w:rPr>
              <w:t>Skills Development</w:t>
            </w:r>
          </w:p>
          <w:p w14:paraId="1EE37A35" w14:textId="2CD7C9F9" w:rsidR="00FA09A2" w:rsidRPr="00FA09A2" w:rsidRDefault="00FA09A2" w:rsidP="001863FA">
            <w:pPr>
              <w:pStyle w:val="Z"/>
              <w:spacing w:before="60" w:after="60"/>
              <w:jc w:val="center"/>
              <w:rPr>
                <w:b/>
                <w:bCs/>
                <w:color w:val="000000" w:themeColor="text1"/>
                <w:szCs w:val="18"/>
              </w:rPr>
            </w:pPr>
            <w:r w:rsidRPr="00FA09A2">
              <w:rPr>
                <w:color w:val="000000" w:themeColor="text1"/>
                <w:szCs w:val="18"/>
              </w:rPr>
              <w:t>Domestic</w:t>
            </w:r>
          </w:p>
        </w:tc>
        <w:tc>
          <w:tcPr>
            <w:tcW w:w="1279" w:type="dxa"/>
            <w:vAlign w:val="bottom"/>
          </w:tcPr>
          <w:p w14:paraId="0C8DA062"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Skills Development</w:t>
            </w:r>
          </w:p>
          <w:p w14:paraId="33E366B5" w14:textId="0E9E86E8" w:rsidR="00FA09A2" w:rsidRPr="00FA09A2" w:rsidRDefault="00FA09A2" w:rsidP="00FA09A2">
            <w:pPr>
              <w:pStyle w:val="Z"/>
              <w:spacing w:before="60" w:after="60"/>
              <w:jc w:val="center"/>
              <w:rPr>
                <w:b/>
                <w:bCs/>
                <w:color w:val="000000" w:themeColor="text1"/>
                <w:szCs w:val="18"/>
              </w:rPr>
            </w:pPr>
            <w:r w:rsidRPr="00FA09A2">
              <w:rPr>
                <w:color w:val="000000" w:themeColor="text1"/>
                <w:szCs w:val="18"/>
              </w:rPr>
              <w:t>International</w:t>
            </w:r>
          </w:p>
        </w:tc>
        <w:tc>
          <w:tcPr>
            <w:tcW w:w="1267" w:type="dxa"/>
            <w:vAlign w:val="bottom"/>
          </w:tcPr>
          <w:p w14:paraId="6990F383" w14:textId="77777777" w:rsidR="00FA09A2" w:rsidRPr="00FA09A2" w:rsidRDefault="00FA09A2" w:rsidP="001863FA">
            <w:pPr>
              <w:pStyle w:val="Z"/>
              <w:spacing w:before="60" w:after="60"/>
              <w:jc w:val="center"/>
              <w:rPr>
                <w:b/>
                <w:bCs/>
                <w:color w:val="000000" w:themeColor="text1"/>
                <w:szCs w:val="18"/>
              </w:rPr>
            </w:pPr>
            <w:r w:rsidRPr="00FA09A2">
              <w:rPr>
                <w:b/>
                <w:bCs/>
                <w:color w:val="000000" w:themeColor="text1"/>
                <w:szCs w:val="18"/>
              </w:rPr>
              <w:t xml:space="preserve">Peer </w:t>
            </w:r>
            <w:r w:rsidRPr="00FA09A2">
              <w:rPr>
                <w:b/>
                <w:bCs/>
                <w:color w:val="000000" w:themeColor="text1"/>
                <w:szCs w:val="18"/>
              </w:rPr>
              <w:br/>
              <w:t>Engagement</w:t>
            </w:r>
          </w:p>
          <w:p w14:paraId="7E134EE7" w14:textId="78DAD0A9" w:rsidR="00FA09A2" w:rsidRPr="00FA09A2" w:rsidRDefault="00FA09A2" w:rsidP="001863FA">
            <w:pPr>
              <w:pStyle w:val="Z"/>
              <w:spacing w:before="60" w:after="60"/>
              <w:jc w:val="center"/>
              <w:rPr>
                <w:b/>
                <w:bCs/>
                <w:color w:val="000000" w:themeColor="text1"/>
                <w:szCs w:val="18"/>
              </w:rPr>
            </w:pPr>
            <w:r w:rsidRPr="00FA09A2">
              <w:rPr>
                <w:color w:val="000000" w:themeColor="text1"/>
                <w:szCs w:val="18"/>
              </w:rPr>
              <w:t>Domestic</w:t>
            </w:r>
          </w:p>
        </w:tc>
        <w:tc>
          <w:tcPr>
            <w:tcW w:w="1231" w:type="dxa"/>
            <w:vAlign w:val="bottom"/>
          </w:tcPr>
          <w:p w14:paraId="0F4A047C"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 xml:space="preserve">Peer </w:t>
            </w:r>
            <w:r w:rsidRPr="00FA09A2">
              <w:rPr>
                <w:b/>
                <w:bCs/>
                <w:color w:val="000000" w:themeColor="text1"/>
                <w:szCs w:val="18"/>
              </w:rPr>
              <w:br/>
              <w:t>Engagement</w:t>
            </w:r>
          </w:p>
          <w:p w14:paraId="35E7FF6D" w14:textId="57D116DE" w:rsidR="00FA09A2" w:rsidRPr="00FA09A2" w:rsidRDefault="00FA09A2" w:rsidP="00FA09A2">
            <w:pPr>
              <w:pStyle w:val="Z"/>
              <w:spacing w:before="60" w:after="60"/>
              <w:jc w:val="center"/>
              <w:rPr>
                <w:b/>
                <w:bCs/>
                <w:color w:val="000000" w:themeColor="text1"/>
                <w:szCs w:val="18"/>
              </w:rPr>
            </w:pPr>
            <w:r w:rsidRPr="00FA09A2">
              <w:rPr>
                <w:color w:val="000000" w:themeColor="text1"/>
                <w:szCs w:val="18"/>
              </w:rPr>
              <w:t>International</w:t>
            </w:r>
          </w:p>
        </w:tc>
        <w:tc>
          <w:tcPr>
            <w:tcW w:w="1275" w:type="dxa"/>
            <w:vAlign w:val="bottom"/>
          </w:tcPr>
          <w:p w14:paraId="3CFB7A3F" w14:textId="77777777" w:rsidR="00FA09A2" w:rsidRPr="00FA09A2" w:rsidRDefault="00FA09A2" w:rsidP="001863FA">
            <w:pPr>
              <w:pStyle w:val="Z"/>
              <w:spacing w:before="60" w:after="60"/>
              <w:jc w:val="center"/>
              <w:rPr>
                <w:b/>
                <w:bCs/>
                <w:color w:val="000000" w:themeColor="text1"/>
                <w:szCs w:val="18"/>
              </w:rPr>
            </w:pPr>
            <w:r w:rsidRPr="00FA09A2">
              <w:rPr>
                <w:b/>
                <w:bCs/>
                <w:color w:val="000000" w:themeColor="text1"/>
                <w:szCs w:val="18"/>
              </w:rPr>
              <w:t>Teaching Quality and Engagement</w:t>
            </w:r>
          </w:p>
          <w:p w14:paraId="300E5F2F" w14:textId="168DA45F" w:rsidR="00FA09A2" w:rsidRPr="00FA09A2" w:rsidRDefault="00FA09A2" w:rsidP="001863FA">
            <w:pPr>
              <w:pStyle w:val="Z"/>
              <w:spacing w:before="60" w:after="60"/>
              <w:jc w:val="center"/>
              <w:rPr>
                <w:b/>
                <w:bCs/>
                <w:color w:val="000000" w:themeColor="text1"/>
                <w:szCs w:val="18"/>
              </w:rPr>
            </w:pPr>
            <w:r w:rsidRPr="00FA09A2">
              <w:rPr>
                <w:color w:val="000000" w:themeColor="text1"/>
                <w:szCs w:val="18"/>
              </w:rPr>
              <w:t>Domestic</w:t>
            </w:r>
          </w:p>
        </w:tc>
        <w:tc>
          <w:tcPr>
            <w:tcW w:w="1231" w:type="dxa"/>
            <w:vAlign w:val="bottom"/>
          </w:tcPr>
          <w:p w14:paraId="0C55E831"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Teaching Quality and Engagement</w:t>
            </w:r>
          </w:p>
          <w:p w14:paraId="203ED1FD" w14:textId="4163C410" w:rsidR="00FA09A2" w:rsidRPr="00FA09A2" w:rsidRDefault="00FA09A2" w:rsidP="00FA09A2">
            <w:pPr>
              <w:pStyle w:val="Z"/>
              <w:spacing w:before="60" w:after="60"/>
              <w:jc w:val="center"/>
              <w:rPr>
                <w:b/>
                <w:bCs/>
                <w:color w:val="000000" w:themeColor="text1"/>
                <w:szCs w:val="18"/>
              </w:rPr>
            </w:pPr>
            <w:r w:rsidRPr="00FA09A2">
              <w:rPr>
                <w:color w:val="000000" w:themeColor="text1"/>
                <w:szCs w:val="18"/>
              </w:rPr>
              <w:t>International</w:t>
            </w:r>
          </w:p>
        </w:tc>
        <w:tc>
          <w:tcPr>
            <w:tcW w:w="969" w:type="dxa"/>
            <w:vAlign w:val="bottom"/>
          </w:tcPr>
          <w:p w14:paraId="7BC1CBBD" w14:textId="77777777" w:rsidR="00FA09A2" w:rsidRPr="00FA09A2" w:rsidRDefault="00FA09A2" w:rsidP="001863FA">
            <w:pPr>
              <w:pStyle w:val="zz"/>
              <w:framePr w:wrap="around"/>
              <w:spacing w:before="60" w:after="60"/>
              <w:rPr>
                <w:rFonts w:ascii="Arial" w:hAnsi="Arial" w:cs="Arial"/>
                <w:color w:val="000000" w:themeColor="text1"/>
              </w:rPr>
            </w:pPr>
            <w:r w:rsidRPr="00FA09A2">
              <w:rPr>
                <w:rFonts w:ascii="Arial" w:hAnsi="Arial" w:cs="Arial"/>
                <w:color w:val="000000" w:themeColor="text1"/>
              </w:rPr>
              <w:t>Student Support and Services</w:t>
            </w:r>
          </w:p>
          <w:p w14:paraId="53A42D5A" w14:textId="54B20007" w:rsidR="00FA09A2" w:rsidRPr="00FA09A2" w:rsidRDefault="00FA09A2" w:rsidP="00FA09A2">
            <w:pPr>
              <w:pStyle w:val="zz"/>
              <w:framePr w:wrap="around"/>
              <w:spacing w:before="0" w:after="60"/>
              <w:rPr>
                <w:rFonts w:ascii="Arial" w:hAnsi="Arial" w:cs="Arial"/>
                <w:b w:val="0"/>
                <w:bCs w:val="0"/>
                <w:color w:val="000000" w:themeColor="text1"/>
              </w:rPr>
            </w:pPr>
            <w:r w:rsidRPr="00FA09A2">
              <w:rPr>
                <w:rFonts w:ascii="Arial" w:hAnsi="Arial" w:cs="Arial"/>
                <w:b w:val="0"/>
                <w:bCs w:val="0"/>
                <w:color w:val="000000" w:themeColor="text1"/>
              </w:rPr>
              <w:t>Domestic</w:t>
            </w:r>
          </w:p>
        </w:tc>
        <w:tc>
          <w:tcPr>
            <w:tcW w:w="1167" w:type="dxa"/>
            <w:vAlign w:val="bottom"/>
          </w:tcPr>
          <w:p w14:paraId="1D1E2587" w14:textId="77777777" w:rsidR="00FA09A2" w:rsidRPr="00FA09A2" w:rsidRDefault="00FA09A2" w:rsidP="00FA09A2">
            <w:pPr>
              <w:pStyle w:val="zz"/>
              <w:framePr w:wrap="auto"/>
              <w:spacing w:before="60" w:after="60"/>
              <w:rPr>
                <w:rFonts w:ascii="Arial" w:hAnsi="Arial" w:cs="Arial"/>
                <w:color w:val="000000" w:themeColor="text1"/>
              </w:rPr>
            </w:pPr>
            <w:r w:rsidRPr="00FA09A2">
              <w:rPr>
                <w:rFonts w:ascii="Arial" w:hAnsi="Arial" w:cs="Arial"/>
                <w:color w:val="000000" w:themeColor="text1"/>
              </w:rPr>
              <w:t>Student Support and Services</w:t>
            </w:r>
          </w:p>
          <w:p w14:paraId="250AA523" w14:textId="7C297846" w:rsidR="00FA09A2" w:rsidRPr="00FA09A2" w:rsidRDefault="00FA09A2" w:rsidP="00FA09A2">
            <w:pPr>
              <w:pStyle w:val="zz"/>
              <w:framePr w:wrap="around"/>
              <w:spacing w:before="0" w:after="60"/>
              <w:rPr>
                <w:rFonts w:ascii="Arial" w:hAnsi="Arial" w:cs="Arial"/>
                <w:b w:val="0"/>
                <w:bCs w:val="0"/>
                <w:color w:val="000000" w:themeColor="text1"/>
              </w:rPr>
            </w:pPr>
            <w:r w:rsidRPr="00FA09A2">
              <w:rPr>
                <w:rFonts w:ascii="Arial" w:hAnsi="Arial" w:cs="Arial"/>
                <w:b w:val="0"/>
                <w:bCs w:val="0"/>
                <w:color w:val="000000" w:themeColor="text1"/>
              </w:rPr>
              <w:t>International</w:t>
            </w:r>
          </w:p>
        </w:tc>
        <w:tc>
          <w:tcPr>
            <w:tcW w:w="1091" w:type="dxa"/>
            <w:vAlign w:val="bottom"/>
          </w:tcPr>
          <w:p w14:paraId="3D2049C1" w14:textId="0AD9AB45" w:rsidR="00FA09A2" w:rsidRPr="00FA09A2" w:rsidRDefault="00FA09A2" w:rsidP="00FA09A2">
            <w:pPr>
              <w:pStyle w:val="zz"/>
              <w:framePr w:wrap="around"/>
              <w:spacing w:before="60" w:after="60"/>
              <w:rPr>
                <w:rFonts w:ascii="Arial" w:hAnsi="Arial" w:cs="Arial"/>
                <w:color w:val="000000" w:themeColor="text1"/>
              </w:rPr>
            </w:pPr>
            <w:r w:rsidRPr="00FA09A2">
              <w:rPr>
                <w:rFonts w:ascii="Arial" w:hAnsi="Arial" w:cs="Arial"/>
                <w:color w:val="000000" w:themeColor="text1"/>
              </w:rPr>
              <w:t>Learning Resources</w:t>
            </w:r>
            <w:r w:rsidRPr="00FA09A2">
              <w:rPr>
                <w:rFonts w:ascii="Arial" w:hAnsi="Arial" w:cs="Arial"/>
                <w:b w:val="0"/>
                <w:bCs w:val="0"/>
                <w:color w:val="000000" w:themeColor="text1"/>
              </w:rPr>
              <w:t xml:space="preserve"> Domestic</w:t>
            </w:r>
          </w:p>
        </w:tc>
        <w:tc>
          <w:tcPr>
            <w:tcW w:w="1177" w:type="dxa"/>
            <w:vAlign w:val="bottom"/>
          </w:tcPr>
          <w:p w14:paraId="246DFB78" w14:textId="10B4AB73" w:rsidR="00FA09A2" w:rsidRPr="00FA09A2" w:rsidRDefault="00FA09A2" w:rsidP="00FA09A2">
            <w:pPr>
              <w:pStyle w:val="zz"/>
              <w:framePr w:wrap="auto"/>
              <w:spacing w:before="60" w:after="60"/>
              <w:rPr>
                <w:rFonts w:ascii="Arial" w:hAnsi="Arial" w:cs="Arial"/>
                <w:color w:val="000000" w:themeColor="text1"/>
              </w:rPr>
            </w:pPr>
            <w:r w:rsidRPr="00FA09A2">
              <w:rPr>
                <w:rFonts w:ascii="Arial" w:hAnsi="Arial" w:cs="Arial"/>
                <w:color w:val="000000" w:themeColor="text1"/>
              </w:rPr>
              <w:t>Learning Resources</w:t>
            </w:r>
            <w:r w:rsidRPr="00FA09A2">
              <w:rPr>
                <w:rFonts w:ascii="Arial" w:hAnsi="Arial" w:cs="Arial"/>
                <w:b w:val="0"/>
                <w:bCs w:val="0"/>
                <w:color w:val="000000" w:themeColor="text1"/>
              </w:rPr>
              <w:t xml:space="preserve"> International</w:t>
            </w:r>
          </w:p>
        </w:tc>
        <w:tc>
          <w:tcPr>
            <w:tcW w:w="1189" w:type="dxa"/>
            <w:vAlign w:val="bottom"/>
          </w:tcPr>
          <w:p w14:paraId="76EEC81E" w14:textId="35504E3D" w:rsidR="00FA09A2" w:rsidRPr="00FA09A2" w:rsidRDefault="00FA09A2" w:rsidP="001863FA">
            <w:pPr>
              <w:pStyle w:val="zz"/>
              <w:framePr w:wrap="around"/>
              <w:spacing w:before="60" w:after="60"/>
              <w:rPr>
                <w:rFonts w:ascii="Arial" w:hAnsi="Arial" w:cs="Arial"/>
                <w:color w:val="000000" w:themeColor="text1"/>
              </w:rPr>
            </w:pPr>
            <w:r w:rsidRPr="00FA09A2">
              <w:rPr>
                <w:rFonts w:ascii="Arial" w:hAnsi="Arial" w:cs="Arial"/>
                <w:color w:val="000000" w:themeColor="text1"/>
              </w:rPr>
              <w:t>Quality of entire educational experience</w:t>
            </w:r>
            <w:r w:rsidRPr="00FA09A2">
              <w:rPr>
                <w:rFonts w:ascii="Arial" w:hAnsi="Arial" w:cs="Arial"/>
                <w:b w:val="0"/>
                <w:bCs w:val="0"/>
                <w:color w:val="000000" w:themeColor="text1"/>
              </w:rPr>
              <w:t xml:space="preserve"> Domestic</w:t>
            </w:r>
          </w:p>
        </w:tc>
        <w:tc>
          <w:tcPr>
            <w:tcW w:w="1155" w:type="dxa"/>
            <w:vAlign w:val="bottom"/>
          </w:tcPr>
          <w:p w14:paraId="2A54F693" w14:textId="32F8FBE5" w:rsidR="00FA09A2" w:rsidRPr="00FA09A2" w:rsidRDefault="00FA09A2" w:rsidP="001863FA">
            <w:pPr>
              <w:pStyle w:val="zz"/>
              <w:framePr w:wrap="around"/>
              <w:spacing w:before="60" w:after="60"/>
              <w:rPr>
                <w:rFonts w:ascii="Arial" w:hAnsi="Arial" w:cs="Arial"/>
                <w:color w:val="000000" w:themeColor="text1"/>
              </w:rPr>
            </w:pPr>
            <w:r w:rsidRPr="00FA09A2">
              <w:rPr>
                <w:rFonts w:ascii="Arial" w:hAnsi="Arial" w:cs="Arial"/>
                <w:color w:val="000000" w:themeColor="text1"/>
              </w:rPr>
              <w:t>Quality of entire educational experience</w:t>
            </w:r>
            <w:r w:rsidRPr="00FA09A2">
              <w:rPr>
                <w:rFonts w:ascii="Arial" w:hAnsi="Arial" w:cs="Arial"/>
                <w:b w:val="0"/>
                <w:bCs w:val="0"/>
                <w:color w:val="000000" w:themeColor="text1"/>
              </w:rPr>
              <w:t xml:space="preserve"> International</w:t>
            </w:r>
          </w:p>
        </w:tc>
      </w:tr>
      <w:tr w:rsidR="00FA09A2" w:rsidRPr="00217865" w14:paraId="2571A2ED" w14:textId="77777777" w:rsidTr="00FA09A2">
        <w:tc>
          <w:tcPr>
            <w:tcW w:w="632" w:type="dxa"/>
          </w:tcPr>
          <w:p w14:paraId="1FC97541"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2017</w:t>
            </w:r>
          </w:p>
        </w:tc>
        <w:tc>
          <w:tcPr>
            <w:tcW w:w="1321" w:type="dxa"/>
            <w:vAlign w:val="bottom"/>
          </w:tcPr>
          <w:p w14:paraId="6CD7CE73" w14:textId="130668E0" w:rsidR="005E3A77" w:rsidRPr="00217865" w:rsidRDefault="005E3A77" w:rsidP="001863FA">
            <w:pPr>
              <w:pStyle w:val="Z"/>
              <w:spacing w:before="60" w:after="60"/>
              <w:jc w:val="center"/>
              <w:rPr>
                <w:color w:val="000000" w:themeColor="text1"/>
                <w:szCs w:val="18"/>
              </w:rPr>
            </w:pPr>
            <w:r w:rsidRPr="00217865">
              <w:rPr>
                <w:color w:val="000000" w:themeColor="text1"/>
                <w:szCs w:val="18"/>
              </w:rPr>
              <w:t>80.8</w:t>
            </w:r>
          </w:p>
        </w:tc>
        <w:tc>
          <w:tcPr>
            <w:tcW w:w="1279" w:type="dxa"/>
            <w:vAlign w:val="bottom"/>
          </w:tcPr>
          <w:p w14:paraId="0EA41442" w14:textId="77F21EAE" w:rsidR="005E3A77" w:rsidRPr="00217865" w:rsidRDefault="005E3A77" w:rsidP="001863FA">
            <w:pPr>
              <w:pStyle w:val="Z"/>
              <w:spacing w:before="60" w:after="60"/>
              <w:jc w:val="center"/>
              <w:rPr>
                <w:color w:val="000000" w:themeColor="text1"/>
                <w:szCs w:val="18"/>
              </w:rPr>
            </w:pPr>
            <w:r w:rsidRPr="00217865">
              <w:rPr>
                <w:color w:val="000000" w:themeColor="text1"/>
                <w:szCs w:val="18"/>
              </w:rPr>
              <w:t>79.4</w:t>
            </w:r>
          </w:p>
        </w:tc>
        <w:tc>
          <w:tcPr>
            <w:tcW w:w="1267" w:type="dxa"/>
            <w:vAlign w:val="bottom"/>
          </w:tcPr>
          <w:p w14:paraId="48578B1A" w14:textId="68896815" w:rsidR="005E3A77" w:rsidRPr="00217865" w:rsidRDefault="005E3A77" w:rsidP="001863FA">
            <w:pPr>
              <w:pStyle w:val="Z"/>
              <w:spacing w:before="60" w:after="60"/>
              <w:jc w:val="center"/>
              <w:rPr>
                <w:color w:val="000000" w:themeColor="text1"/>
                <w:szCs w:val="18"/>
              </w:rPr>
            </w:pPr>
            <w:r w:rsidRPr="00217865">
              <w:rPr>
                <w:color w:val="000000" w:themeColor="text1"/>
                <w:szCs w:val="18"/>
              </w:rPr>
              <w:t>60.0</w:t>
            </w:r>
          </w:p>
        </w:tc>
        <w:tc>
          <w:tcPr>
            <w:tcW w:w="1231" w:type="dxa"/>
            <w:vAlign w:val="bottom"/>
          </w:tcPr>
          <w:p w14:paraId="47A9F30E" w14:textId="7A6AEC2E" w:rsidR="005E3A77" w:rsidRPr="00217865" w:rsidRDefault="005E3A77" w:rsidP="001863FA">
            <w:pPr>
              <w:pStyle w:val="Z"/>
              <w:spacing w:before="60" w:after="60"/>
              <w:jc w:val="center"/>
              <w:rPr>
                <w:color w:val="000000" w:themeColor="text1"/>
                <w:szCs w:val="18"/>
              </w:rPr>
            </w:pPr>
            <w:r w:rsidRPr="00217865">
              <w:rPr>
                <w:color w:val="000000" w:themeColor="text1"/>
                <w:szCs w:val="18"/>
              </w:rPr>
              <w:t>57.4</w:t>
            </w:r>
          </w:p>
        </w:tc>
        <w:tc>
          <w:tcPr>
            <w:tcW w:w="1275" w:type="dxa"/>
            <w:vAlign w:val="bottom"/>
          </w:tcPr>
          <w:p w14:paraId="6E0C1D37" w14:textId="03787E6C" w:rsidR="005E3A77" w:rsidRPr="00217865" w:rsidRDefault="005E3A77" w:rsidP="001863FA">
            <w:pPr>
              <w:pStyle w:val="Z"/>
              <w:spacing w:before="60" w:after="60"/>
              <w:jc w:val="center"/>
              <w:rPr>
                <w:color w:val="000000" w:themeColor="text1"/>
                <w:szCs w:val="18"/>
              </w:rPr>
            </w:pPr>
            <w:r w:rsidRPr="00217865">
              <w:rPr>
                <w:color w:val="000000" w:themeColor="text1"/>
                <w:szCs w:val="18"/>
              </w:rPr>
              <w:t>80.8</w:t>
            </w:r>
          </w:p>
        </w:tc>
        <w:tc>
          <w:tcPr>
            <w:tcW w:w="1231" w:type="dxa"/>
            <w:vAlign w:val="bottom"/>
          </w:tcPr>
          <w:p w14:paraId="5DDE3A13" w14:textId="4096A21E" w:rsidR="005E3A77" w:rsidRPr="00217865" w:rsidRDefault="005E3A77" w:rsidP="001863FA">
            <w:pPr>
              <w:pStyle w:val="Z"/>
              <w:spacing w:before="60" w:after="60"/>
              <w:jc w:val="center"/>
              <w:rPr>
                <w:color w:val="000000" w:themeColor="text1"/>
                <w:szCs w:val="18"/>
              </w:rPr>
            </w:pPr>
            <w:r w:rsidRPr="00217865">
              <w:rPr>
                <w:color w:val="000000" w:themeColor="text1"/>
                <w:szCs w:val="18"/>
              </w:rPr>
              <w:t>77.5</w:t>
            </w:r>
          </w:p>
        </w:tc>
        <w:tc>
          <w:tcPr>
            <w:tcW w:w="969" w:type="dxa"/>
            <w:vAlign w:val="bottom"/>
          </w:tcPr>
          <w:p w14:paraId="3C7EF058" w14:textId="71EDC1D2" w:rsidR="005E3A77" w:rsidRPr="00217865" w:rsidRDefault="005E3A77" w:rsidP="001863FA">
            <w:pPr>
              <w:pStyle w:val="Z"/>
              <w:spacing w:before="60" w:after="60"/>
              <w:jc w:val="center"/>
              <w:rPr>
                <w:color w:val="000000" w:themeColor="text1"/>
                <w:szCs w:val="18"/>
              </w:rPr>
            </w:pPr>
            <w:r w:rsidRPr="00217865">
              <w:rPr>
                <w:color w:val="000000" w:themeColor="text1"/>
                <w:szCs w:val="18"/>
              </w:rPr>
              <w:t>72.9</w:t>
            </w:r>
          </w:p>
        </w:tc>
        <w:tc>
          <w:tcPr>
            <w:tcW w:w="1167" w:type="dxa"/>
            <w:vAlign w:val="bottom"/>
          </w:tcPr>
          <w:p w14:paraId="3166CA83" w14:textId="493177BF" w:rsidR="005E3A77" w:rsidRPr="00217865" w:rsidRDefault="005E3A77" w:rsidP="001863FA">
            <w:pPr>
              <w:pStyle w:val="Z"/>
              <w:spacing w:before="60" w:after="60"/>
              <w:jc w:val="center"/>
              <w:rPr>
                <w:color w:val="000000" w:themeColor="text1"/>
                <w:szCs w:val="18"/>
              </w:rPr>
            </w:pPr>
            <w:r w:rsidRPr="00217865">
              <w:rPr>
                <w:color w:val="000000" w:themeColor="text1"/>
                <w:szCs w:val="18"/>
              </w:rPr>
              <w:t>72.2</w:t>
            </w:r>
          </w:p>
        </w:tc>
        <w:tc>
          <w:tcPr>
            <w:tcW w:w="1091" w:type="dxa"/>
            <w:vAlign w:val="bottom"/>
          </w:tcPr>
          <w:p w14:paraId="533D251F" w14:textId="420409FC" w:rsidR="005E3A77" w:rsidRPr="00217865" w:rsidRDefault="005E3A77" w:rsidP="001863FA">
            <w:pPr>
              <w:pStyle w:val="Z"/>
              <w:spacing w:before="60" w:after="60"/>
              <w:jc w:val="center"/>
              <w:rPr>
                <w:color w:val="000000" w:themeColor="text1"/>
                <w:szCs w:val="18"/>
              </w:rPr>
            </w:pPr>
            <w:r w:rsidRPr="00217865">
              <w:rPr>
                <w:color w:val="000000" w:themeColor="text1"/>
                <w:szCs w:val="18"/>
              </w:rPr>
              <w:t>83.4</w:t>
            </w:r>
          </w:p>
        </w:tc>
        <w:tc>
          <w:tcPr>
            <w:tcW w:w="1177" w:type="dxa"/>
            <w:vAlign w:val="bottom"/>
          </w:tcPr>
          <w:p w14:paraId="4F73D4BD" w14:textId="2FFFF079" w:rsidR="005E3A77" w:rsidRPr="00217865" w:rsidRDefault="005E3A77" w:rsidP="001863FA">
            <w:pPr>
              <w:pStyle w:val="Z"/>
              <w:spacing w:before="60" w:after="60"/>
              <w:jc w:val="center"/>
              <w:rPr>
                <w:color w:val="000000" w:themeColor="text1"/>
                <w:szCs w:val="18"/>
              </w:rPr>
            </w:pPr>
            <w:r w:rsidRPr="00217865">
              <w:rPr>
                <w:color w:val="000000" w:themeColor="text1"/>
                <w:szCs w:val="18"/>
              </w:rPr>
              <w:t>82.6</w:t>
            </w:r>
          </w:p>
        </w:tc>
        <w:tc>
          <w:tcPr>
            <w:tcW w:w="1189" w:type="dxa"/>
            <w:vAlign w:val="bottom"/>
          </w:tcPr>
          <w:p w14:paraId="58FDD000" w14:textId="18F74516" w:rsidR="005E3A77" w:rsidRPr="00217865" w:rsidRDefault="005E3A77" w:rsidP="001863FA">
            <w:pPr>
              <w:pStyle w:val="Z"/>
              <w:spacing w:before="60" w:after="60"/>
              <w:jc w:val="center"/>
              <w:rPr>
                <w:color w:val="000000" w:themeColor="text1"/>
                <w:szCs w:val="18"/>
              </w:rPr>
            </w:pPr>
            <w:r w:rsidRPr="00217865">
              <w:rPr>
                <w:color w:val="000000" w:themeColor="text1"/>
                <w:szCs w:val="18"/>
              </w:rPr>
              <w:t>79.2</w:t>
            </w:r>
          </w:p>
        </w:tc>
        <w:tc>
          <w:tcPr>
            <w:tcW w:w="1155" w:type="dxa"/>
            <w:vAlign w:val="bottom"/>
          </w:tcPr>
          <w:p w14:paraId="29B525A3" w14:textId="61220BBF" w:rsidR="005E3A77" w:rsidRPr="00217865" w:rsidRDefault="005E3A77" w:rsidP="001863FA">
            <w:pPr>
              <w:pStyle w:val="Z"/>
              <w:spacing w:before="60" w:after="60"/>
              <w:jc w:val="center"/>
              <w:rPr>
                <w:color w:val="000000" w:themeColor="text1"/>
                <w:szCs w:val="18"/>
              </w:rPr>
            </w:pPr>
            <w:r w:rsidRPr="00217865">
              <w:rPr>
                <w:color w:val="000000" w:themeColor="text1"/>
                <w:szCs w:val="18"/>
              </w:rPr>
              <w:t>74.7</w:t>
            </w:r>
          </w:p>
        </w:tc>
      </w:tr>
      <w:tr w:rsidR="00FA09A2" w:rsidRPr="00217865" w14:paraId="46671230" w14:textId="77777777" w:rsidTr="00FA09A2">
        <w:tc>
          <w:tcPr>
            <w:tcW w:w="632" w:type="dxa"/>
          </w:tcPr>
          <w:p w14:paraId="1384273B"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2018</w:t>
            </w:r>
          </w:p>
        </w:tc>
        <w:tc>
          <w:tcPr>
            <w:tcW w:w="1321" w:type="dxa"/>
            <w:vAlign w:val="bottom"/>
          </w:tcPr>
          <w:p w14:paraId="0956F956" w14:textId="1E8FFA17" w:rsidR="005E3A77" w:rsidRPr="00217865" w:rsidRDefault="005E3A77" w:rsidP="001863FA">
            <w:pPr>
              <w:pStyle w:val="Z"/>
              <w:spacing w:before="60" w:after="60"/>
              <w:jc w:val="center"/>
              <w:rPr>
                <w:color w:val="000000" w:themeColor="text1"/>
                <w:szCs w:val="18"/>
              </w:rPr>
            </w:pPr>
            <w:r w:rsidRPr="00217865">
              <w:rPr>
                <w:color w:val="000000" w:themeColor="text1"/>
                <w:szCs w:val="18"/>
              </w:rPr>
              <w:t>81.6</w:t>
            </w:r>
          </w:p>
        </w:tc>
        <w:tc>
          <w:tcPr>
            <w:tcW w:w="1279" w:type="dxa"/>
            <w:vAlign w:val="bottom"/>
          </w:tcPr>
          <w:p w14:paraId="4FE1C0B3" w14:textId="147A0805" w:rsidR="005E3A77" w:rsidRPr="00217865" w:rsidRDefault="005E3A77" w:rsidP="001863FA">
            <w:pPr>
              <w:pStyle w:val="Z"/>
              <w:spacing w:before="60" w:after="60"/>
              <w:jc w:val="center"/>
              <w:rPr>
                <w:color w:val="000000" w:themeColor="text1"/>
                <w:szCs w:val="18"/>
              </w:rPr>
            </w:pPr>
            <w:r w:rsidRPr="00217865">
              <w:rPr>
                <w:color w:val="000000" w:themeColor="text1"/>
                <w:szCs w:val="18"/>
              </w:rPr>
              <w:t>79.8</w:t>
            </w:r>
          </w:p>
        </w:tc>
        <w:tc>
          <w:tcPr>
            <w:tcW w:w="1267" w:type="dxa"/>
            <w:vAlign w:val="bottom"/>
          </w:tcPr>
          <w:p w14:paraId="6C5DBE6C" w14:textId="72F398E5" w:rsidR="005E3A77" w:rsidRPr="00217865" w:rsidRDefault="005E3A77" w:rsidP="001863FA">
            <w:pPr>
              <w:pStyle w:val="Z"/>
              <w:spacing w:before="60" w:after="60"/>
              <w:jc w:val="center"/>
              <w:rPr>
                <w:color w:val="000000" w:themeColor="text1"/>
                <w:szCs w:val="18"/>
              </w:rPr>
            </w:pPr>
            <w:r w:rsidRPr="00217865">
              <w:rPr>
                <w:color w:val="000000" w:themeColor="text1"/>
                <w:szCs w:val="18"/>
              </w:rPr>
              <w:t>60.3</w:t>
            </w:r>
          </w:p>
        </w:tc>
        <w:tc>
          <w:tcPr>
            <w:tcW w:w="1231" w:type="dxa"/>
            <w:vAlign w:val="bottom"/>
          </w:tcPr>
          <w:p w14:paraId="22AA6AB2" w14:textId="063D7085" w:rsidR="005E3A77" w:rsidRPr="00217865" w:rsidRDefault="005E3A77" w:rsidP="001863FA">
            <w:pPr>
              <w:pStyle w:val="Z"/>
              <w:spacing w:before="60" w:after="60"/>
              <w:jc w:val="center"/>
              <w:rPr>
                <w:color w:val="000000" w:themeColor="text1"/>
                <w:szCs w:val="18"/>
              </w:rPr>
            </w:pPr>
            <w:r w:rsidRPr="00217865">
              <w:rPr>
                <w:color w:val="000000" w:themeColor="text1"/>
                <w:szCs w:val="18"/>
              </w:rPr>
              <w:t>58.2</w:t>
            </w:r>
          </w:p>
        </w:tc>
        <w:tc>
          <w:tcPr>
            <w:tcW w:w="1275" w:type="dxa"/>
            <w:vAlign w:val="bottom"/>
          </w:tcPr>
          <w:p w14:paraId="743AAE42" w14:textId="6DD62B2B" w:rsidR="005E3A77" w:rsidRPr="00217865" w:rsidRDefault="005E3A77" w:rsidP="001863FA">
            <w:pPr>
              <w:pStyle w:val="Z"/>
              <w:spacing w:before="60" w:after="60"/>
              <w:jc w:val="center"/>
              <w:rPr>
                <w:color w:val="000000" w:themeColor="text1"/>
                <w:szCs w:val="18"/>
              </w:rPr>
            </w:pPr>
            <w:r w:rsidRPr="00217865">
              <w:rPr>
                <w:color w:val="000000" w:themeColor="text1"/>
                <w:szCs w:val="18"/>
              </w:rPr>
              <w:t>81.9</w:t>
            </w:r>
          </w:p>
        </w:tc>
        <w:tc>
          <w:tcPr>
            <w:tcW w:w="1231" w:type="dxa"/>
            <w:vAlign w:val="bottom"/>
          </w:tcPr>
          <w:p w14:paraId="7ECBF611" w14:textId="4C42FB65" w:rsidR="005E3A77" w:rsidRPr="00217865" w:rsidRDefault="005E3A77" w:rsidP="001863FA">
            <w:pPr>
              <w:pStyle w:val="Z"/>
              <w:spacing w:before="60" w:after="60"/>
              <w:jc w:val="center"/>
              <w:rPr>
                <w:color w:val="000000" w:themeColor="text1"/>
                <w:szCs w:val="18"/>
              </w:rPr>
            </w:pPr>
            <w:r w:rsidRPr="00217865">
              <w:rPr>
                <w:color w:val="000000" w:themeColor="text1"/>
                <w:szCs w:val="18"/>
              </w:rPr>
              <w:t>78.8</w:t>
            </w:r>
          </w:p>
        </w:tc>
        <w:tc>
          <w:tcPr>
            <w:tcW w:w="969" w:type="dxa"/>
            <w:vAlign w:val="bottom"/>
          </w:tcPr>
          <w:p w14:paraId="0BDF3854" w14:textId="09CBA7F1" w:rsidR="005E3A77" w:rsidRPr="00217865" w:rsidRDefault="005E3A77" w:rsidP="001863FA">
            <w:pPr>
              <w:pStyle w:val="Z"/>
              <w:spacing w:before="60" w:after="60"/>
              <w:jc w:val="center"/>
              <w:rPr>
                <w:color w:val="000000" w:themeColor="text1"/>
                <w:szCs w:val="18"/>
              </w:rPr>
            </w:pPr>
            <w:r w:rsidRPr="00217865">
              <w:rPr>
                <w:color w:val="000000" w:themeColor="text1"/>
                <w:szCs w:val="18"/>
              </w:rPr>
              <w:t>73.8</w:t>
            </w:r>
          </w:p>
        </w:tc>
        <w:tc>
          <w:tcPr>
            <w:tcW w:w="1167" w:type="dxa"/>
            <w:vAlign w:val="bottom"/>
          </w:tcPr>
          <w:p w14:paraId="71ABEE59" w14:textId="64F67BF3" w:rsidR="005E3A77" w:rsidRPr="00217865" w:rsidRDefault="005E3A77" w:rsidP="001863FA">
            <w:pPr>
              <w:pStyle w:val="Z"/>
              <w:spacing w:before="60" w:after="60"/>
              <w:jc w:val="center"/>
              <w:rPr>
                <w:color w:val="000000" w:themeColor="text1"/>
                <w:szCs w:val="18"/>
              </w:rPr>
            </w:pPr>
            <w:r w:rsidRPr="00217865">
              <w:rPr>
                <w:color w:val="000000" w:themeColor="text1"/>
                <w:szCs w:val="18"/>
              </w:rPr>
              <w:t>71.1</w:t>
            </w:r>
          </w:p>
        </w:tc>
        <w:tc>
          <w:tcPr>
            <w:tcW w:w="1091" w:type="dxa"/>
            <w:vAlign w:val="bottom"/>
          </w:tcPr>
          <w:p w14:paraId="0EB77B77" w14:textId="08B92954" w:rsidR="005E3A77" w:rsidRPr="00217865" w:rsidRDefault="005E3A77" w:rsidP="001863FA">
            <w:pPr>
              <w:pStyle w:val="Z"/>
              <w:spacing w:before="60" w:after="60"/>
              <w:jc w:val="center"/>
              <w:rPr>
                <w:color w:val="000000" w:themeColor="text1"/>
                <w:szCs w:val="18"/>
              </w:rPr>
            </w:pPr>
            <w:r w:rsidRPr="00217865">
              <w:rPr>
                <w:color w:val="000000" w:themeColor="text1"/>
                <w:szCs w:val="18"/>
              </w:rPr>
              <w:t>84.6</w:t>
            </w:r>
          </w:p>
        </w:tc>
        <w:tc>
          <w:tcPr>
            <w:tcW w:w="1177" w:type="dxa"/>
            <w:vAlign w:val="bottom"/>
          </w:tcPr>
          <w:p w14:paraId="6BE3B60E" w14:textId="4273270D" w:rsidR="005E3A77" w:rsidRPr="00217865" w:rsidRDefault="005E3A77" w:rsidP="001863FA">
            <w:pPr>
              <w:pStyle w:val="Z"/>
              <w:spacing w:before="60" w:after="60"/>
              <w:jc w:val="center"/>
              <w:rPr>
                <w:color w:val="000000" w:themeColor="text1"/>
                <w:szCs w:val="18"/>
              </w:rPr>
            </w:pPr>
            <w:r w:rsidRPr="00217865">
              <w:rPr>
                <w:color w:val="000000" w:themeColor="text1"/>
                <w:szCs w:val="18"/>
              </w:rPr>
              <w:t>83.5</w:t>
            </w:r>
          </w:p>
        </w:tc>
        <w:tc>
          <w:tcPr>
            <w:tcW w:w="1189" w:type="dxa"/>
            <w:vAlign w:val="bottom"/>
          </w:tcPr>
          <w:p w14:paraId="2E29F0BF" w14:textId="72298569" w:rsidR="005E3A77" w:rsidRPr="00217865" w:rsidRDefault="005E3A77" w:rsidP="001863FA">
            <w:pPr>
              <w:pStyle w:val="Z"/>
              <w:spacing w:before="60" w:after="60"/>
              <w:jc w:val="center"/>
              <w:rPr>
                <w:color w:val="000000" w:themeColor="text1"/>
                <w:szCs w:val="18"/>
              </w:rPr>
            </w:pPr>
            <w:r w:rsidRPr="00217865">
              <w:rPr>
                <w:color w:val="000000" w:themeColor="text1"/>
                <w:szCs w:val="18"/>
              </w:rPr>
              <w:t>79.9</w:t>
            </w:r>
          </w:p>
        </w:tc>
        <w:tc>
          <w:tcPr>
            <w:tcW w:w="1155" w:type="dxa"/>
            <w:vAlign w:val="bottom"/>
          </w:tcPr>
          <w:p w14:paraId="19CC1C51" w14:textId="3DF003FB" w:rsidR="005E3A77" w:rsidRPr="00217865" w:rsidRDefault="005E3A77" w:rsidP="001863FA">
            <w:pPr>
              <w:pStyle w:val="Z"/>
              <w:spacing w:before="60" w:after="60"/>
              <w:jc w:val="center"/>
              <w:rPr>
                <w:color w:val="000000" w:themeColor="text1"/>
                <w:szCs w:val="18"/>
              </w:rPr>
            </w:pPr>
            <w:r w:rsidRPr="00217865">
              <w:rPr>
                <w:color w:val="000000" w:themeColor="text1"/>
                <w:szCs w:val="18"/>
              </w:rPr>
              <w:t>76.2</w:t>
            </w:r>
          </w:p>
        </w:tc>
      </w:tr>
      <w:tr w:rsidR="00FA09A2" w:rsidRPr="00217865" w14:paraId="4D08A12E" w14:textId="77777777" w:rsidTr="00FA09A2">
        <w:tc>
          <w:tcPr>
            <w:tcW w:w="632" w:type="dxa"/>
          </w:tcPr>
          <w:p w14:paraId="7B318F34"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2019</w:t>
            </w:r>
          </w:p>
        </w:tc>
        <w:tc>
          <w:tcPr>
            <w:tcW w:w="1321" w:type="dxa"/>
            <w:vAlign w:val="bottom"/>
          </w:tcPr>
          <w:p w14:paraId="69E058C3" w14:textId="28925C1E" w:rsidR="005E3A77" w:rsidRPr="00217865" w:rsidRDefault="005E3A77" w:rsidP="001863FA">
            <w:pPr>
              <w:pStyle w:val="Z"/>
              <w:spacing w:before="60" w:after="60"/>
              <w:jc w:val="center"/>
              <w:rPr>
                <w:color w:val="000000" w:themeColor="text1"/>
                <w:szCs w:val="18"/>
              </w:rPr>
            </w:pPr>
            <w:r w:rsidRPr="00217865">
              <w:rPr>
                <w:color w:val="000000" w:themeColor="text1"/>
                <w:szCs w:val="18"/>
              </w:rPr>
              <w:t>81.6</w:t>
            </w:r>
          </w:p>
        </w:tc>
        <w:tc>
          <w:tcPr>
            <w:tcW w:w="1279" w:type="dxa"/>
            <w:vAlign w:val="bottom"/>
          </w:tcPr>
          <w:p w14:paraId="374FC0F1" w14:textId="11E4BC80" w:rsidR="005E3A77" w:rsidRPr="00217865" w:rsidRDefault="005E3A77" w:rsidP="001863FA">
            <w:pPr>
              <w:pStyle w:val="Z"/>
              <w:spacing w:before="60" w:after="60"/>
              <w:jc w:val="center"/>
              <w:rPr>
                <w:color w:val="000000" w:themeColor="text1"/>
                <w:szCs w:val="18"/>
              </w:rPr>
            </w:pPr>
            <w:r w:rsidRPr="00217865">
              <w:rPr>
                <w:color w:val="000000" w:themeColor="text1"/>
                <w:szCs w:val="18"/>
              </w:rPr>
              <w:t>79.7</w:t>
            </w:r>
          </w:p>
        </w:tc>
        <w:tc>
          <w:tcPr>
            <w:tcW w:w="1267" w:type="dxa"/>
            <w:vAlign w:val="bottom"/>
          </w:tcPr>
          <w:p w14:paraId="57392688" w14:textId="7E12645F" w:rsidR="005E3A77" w:rsidRPr="00217865" w:rsidRDefault="005E3A77" w:rsidP="001863FA">
            <w:pPr>
              <w:pStyle w:val="Z"/>
              <w:spacing w:before="60" w:after="60"/>
              <w:jc w:val="center"/>
              <w:rPr>
                <w:color w:val="000000" w:themeColor="text1"/>
                <w:szCs w:val="18"/>
              </w:rPr>
            </w:pPr>
            <w:r w:rsidRPr="00217865">
              <w:rPr>
                <w:color w:val="000000" w:themeColor="text1"/>
                <w:szCs w:val="18"/>
              </w:rPr>
              <w:t>60.3</w:t>
            </w:r>
          </w:p>
        </w:tc>
        <w:tc>
          <w:tcPr>
            <w:tcW w:w="1231" w:type="dxa"/>
            <w:vAlign w:val="bottom"/>
          </w:tcPr>
          <w:p w14:paraId="09A9AB8E" w14:textId="22A18A59" w:rsidR="005E3A77" w:rsidRPr="00217865" w:rsidRDefault="005E3A77" w:rsidP="001863FA">
            <w:pPr>
              <w:pStyle w:val="Z"/>
              <w:spacing w:before="60" w:after="60"/>
              <w:jc w:val="center"/>
              <w:rPr>
                <w:color w:val="000000" w:themeColor="text1"/>
                <w:szCs w:val="18"/>
              </w:rPr>
            </w:pPr>
            <w:r w:rsidRPr="00217865">
              <w:rPr>
                <w:color w:val="000000" w:themeColor="text1"/>
                <w:szCs w:val="18"/>
              </w:rPr>
              <w:t>59.4</w:t>
            </w:r>
          </w:p>
        </w:tc>
        <w:tc>
          <w:tcPr>
            <w:tcW w:w="1275" w:type="dxa"/>
            <w:vAlign w:val="bottom"/>
          </w:tcPr>
          <w:p w14:paraId="0ED7943B" w14:textId="40B32563" w:rsidR="005E3A77" w:rsidRPr="00217865" w:rsidRDefault="005E3A77" w:rsidP="001863FA">
            <w:pPr>
              <w:pStyle w:val="Z"/>
              <w:spacing w:before="60" w:after="60"/>
              <w:jc w:val="center"/>
              <w:rPr>
                <w:color w:val="000000" w:themeColor="text1"/>
                <w:szCs w:val="18"/>
              </w:rPr>
            </w:pPr>
            <w:r w:rsidRPr="00217865">
              <w:rPr>
                <w:color w:val="000000" w:themeColor="text1"/>
                <w:szCs w:val="18"/>
              </w:rPr>
              <w:t>81.6</w:t>
            </w:r>
          </w:p>
        </w:tc>
        <w:tc>
          <w:tcPr>
            <w:tcW w:w="1231" w:type="dxa"/>
            <w:vAlign w:val="bottom"/>
          </w:tcPr>
          <w:p w14:paraId="4D271D6F" w14:textId="33AE1CAF" w:rsidR="005E3A77" w:rsidRPr="00217865" w:rsidRDefault="005E3A77" w:rsidP="001863FA">
            <w:pPr>
              <w:pStyle w:val="Z"/>
              <w:spacing w:before="60" w:after="60"/>
              <w:jc w:val="center"/>
              <w:rPr>
                <w:color w:val="000000" w:themeColor="text1"/>
                <w:szCs w:val="18"/>
              </w:rPr>
            </w:pPr>
            <w:r w:rsidRPr="00217865">
              <w:rPr>
                <w:color w:val="000000" w:themeColor="text1"/>
                <w:szCs w:val="18"/>
              </w:rPr>
              <w:t>78.5</w:t>
            </w:r>
          </w:p>
        </w:tc>
        <w:tc>
          <w:tcPr>
            <w:tcW w:w="969" w:type="dxa"/>
            <w:vAlign w:val="bottom"/>
          </w:tcPr>
          <w:p w14:paraId="3F3CC789" w14:textId="5EFE0A58" w:rsidR="005E3A77" w:rsidRPr="00217865" w:rsidRDefault="005E3A77" w:rsidP="001863FA">
            <w:pPr>
              <w:pStyle w:val="Z"/>
              <w:spacing w:before="60" w:after="60"/>
              <w:jc w:val="center"/>
              <w:rPr>
                <w:color w:val="000000" w:themeColor="text1"/>
                <w:szCs w:val="18"/>
              </w:rPr>
            </w:pPr>
            <w:r w:rsidRPr="00217865">
              <w:rPr>
                <w:color w:val="000000" w:themeColor="text1"/>
                <w:szCs w:val="18"/>
              </w:rPr>
              <w:t>74.2</w:t>
            </w:r>
          </w:p>
        </w:tc>
        <w:tc>
          <w:tcPr>
            <w:tcW w:w="1167" w:type="dxa"/>
            <w:vAlign w:val="bottom"/>
          </w:tcPr>
          <w:p w14:paraId="70A103A9" w14:textId="52DFAF7A" w:rsidR="005E3A77" w:rsidRPr="00217865" w:rsidRDefault="005E3A77" w:rsidP="001863FA">
            <w:pPr>
              <w:pStyle w:val="Z"/>
              <w:spacing w:before="60" w:after="60"/>
              <w:jc w:val="center"/>
              <w:rPr>
                <w:color w:val="000000" w:themeColor="text1"/>
                <w:szCs w:val="18"/>
              </w:rPr>
            </w:pPr>
            <w:r w:rsidRPr="00217865">
              <w:rPr>
                <w:color w:val="000000" w:themeColor="text1"/>
                <w:szCs w:val="18"/>
              </w:rPr>
              <w:t>73.5</w:t>
            </w:r>
          </w:p>
        </w:tc>
        <w:tc>
          <w:tcPr>
            <w:tcW w:w="1091" w:type="dxa"/>
            <w:vAlign w:val="bottom"/>
          </w:tcPr>
          <w:p w14:paraId="0EB756C8" w14:textId="56ADE5A7" w:rsidR="005E3A77" w:rsidRPr="00217865" w:rsidRDefault="005E3A77" w:rsidP="001863FA">
            <w:pPr>
              <w:pStyle w:val="Z"/>
              <w:spacing w:before="60" w:after="60"/>
              <w:jc w:val="center"/>
              <w:rPr>
                <w:color w:val="000000" w:themeColor="text1"/>
                <w:szCs w:val="18"/>
              </w:rPr>
            </w:pPr>
            <w:r w:rsidRPr="00217865">
              <w:rPr>
                <w:color w:val="000000" w:themeColor="text1"/>
                <w:szCs w:val="18"/>
              </w:rPr>
              <w:t>84.1</w:t>
            </w:r>
          </w:p>
        </w:tc>
        <w:tc>
          <w:tcPr>
            <w:tcW w:w="1177" w:type="dxa"/>
            <w:vAlign w:val="bottom"/>
          </w:tcPr>
          <w:p w14:paraId="6C167084" w14:textId="68501FE4" w:rsidR="005E3A77" w:rsidRPr="00217865" w:rsidRDefault="005E3A77" w:rsidP="001863FA">
            <w:pPr>
              <w:pStyle w:val="Z"/>
              <w:spacing w:before="60" w:after="60"/>
              <w:jc w:val="center"/>
              <w:rPr>
                <w:color w:val="000000" w:themeColor="text1"/>
                <w:szCs w:val="18"/>
              </w:rPr>
            </w:pPr>
            <w:r w:rsidRPr="00217865">
              <w:rPr>
                <w:color w:val="000000" w:themeColor="text1"/>
                <w:szCs w:val="18"/>
              </w:rPr>
              <w:t>83.0</w:t>
            </w:r>
          </w:p>
        </w:tc>
        <w:tc>
          <w:tcPr>
            <w:tcW w:w="1189" w:type="dxa"/>
            <w:vAlign w:val="bottom"/>
          </w:tcPr>
          <w:p w14:paraId="41133385" w14:textId="3BD59152" w:rsidR="005E3A77" w:rsidRPr="00217865" w:rsidRDefault="005E3A77" w:rsidP="001863FA">
            <w:pPr>
              <w:pStyle w:val="Z"/>
              <w:spacing w:before="60" w:after="60"/>
              <w:jc w:val="center"/>
              <w:rPr>
                <w:color w:val="000000" w:themeColor="text1"/>
                <w:szCs w:val="18"/>
              </w:rPr>
            </w:pPr>
            <w:r w:rsidRPr="00217865">
              <w:rPr>
                <w:color w:val="000000" w:themeColor="text1"/>
                <w:szCs w:val="18"/>
              </w:rPr>
              <w:t>79.1</w:t>
            </w:r>
          </w:p>
        </w:tc>
        <w:tc>
          <w:tcPr>
            <w:tcW w:w="1155" w:type="dxa"/>
            <w:vAlign w:val="bottom"/>
          </w:tcPr>
          <w:p w14:paraId="33E75730" w14:textId="0B34C82A" w:rsidR="005E3A77" w:rsidRPr="00217865" w:rsidRDefault="005E3A77" w:rsidP="001863FA">
            <w:pPr>
              <w:pStyle w:val="Z"/>
              <w:spacing w:before="60" w:after="60"/>
              <w:jc w:val="center"/>
              <w:rPr>
                <w:color w:val="000000" w:themeColor="text1"/>
                <w:szCs w:val="18"/>
              </w:rPr>
            </w:pPr>
            <w:r w:rsidRPr="00217865">
              <w:rPr>
                <w:color w:val="000000" w:themeColor="text1"/>
                <w:szCs w:val="18"/>
              </w:rPr>
              <w:t>75.3</w:t>
            </w:r>
          </w:p>
        </w:tc>
      </w:tr>
      <w:tr w:rsidR="00FA09A2" w:rsidRPr="00217865" w14:paraId="1BC934D4" w14:textId="77777777" w:rsidTr="00FA09A2">
        <w:tc>
          <w:tcPr>
            <w:tcW w:w="632" w:type="dxa"/>
          </w:tcPr>
          <w:p w14:paraId="5F1C4C42"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2020</w:t>
            </w:r>
          </w:p>
        </w:tc>
        <w:tc>
          <w:tcPr>
            <w:tcW w:w="1321" w:type="dxa"/>
            <w:vAlign w:val="bottom"/>
          </w:tcPr>
          <w:p w14:paraId="564776ED" w14:textId="0F202690" w:rsidR="005E3A77" w:rsidRPr="00217865" w:rsidRDefault="005E3A77" w:rsidP="001863FA">
            <w:pPr>
              <w:pStyle w:val="Z"/>
              <w:spacing w:before="60" w:after="60"/>
              <w:jc w:val="center"/>
              <w:rPr>
                <w:color w:val="000000" w:themeColor="text1"/>
                <w:szCs w:val="18"/>
              </w:rPr>
            </w:pPr>
            <w:r w:rsidRPr="00217865">
              <w:rPr>
                <w:color w:val="000000" w:themeColor="text1"/>
                <w:szCs w:val="18"/>
              </w:rPr>
              <w:t>78.6</w:t>
            </w:r>
          </w:p>
        </w:tc>
        <w:tc>
          <w:tcPr>
            <w:tcW w:w="1279" w:type="dxa"/>
            <w:vAlign w:val="bottom"/>
          </w:tcPr>
          <w:p w14:paraId="5BA6650E" w14:textId="5F740E4B" w:rsidR="005E3A77" w:rsidRPr="00217865" w:rsidRDefault="005E3A77" w:rsidP="001863FA">
            <w:pPr>
              <w:pStyle w:val="Z"/>
              <w:spacing w:before="60" w:after="60"/>
              <w:jc w:val="center"/>
              <w:rPr>
                <w:color w:val="000000" w:themeColor="text1"/>
                <w:szCs w:val="18"/>
              </w:rPr>
            </w:pPr>
            <w:r w:rsidRPr="00217865">
              <w:rPr>
                <w:color w:val="000000" w:themeColor="text1"/>
                <w:szCs w:val="18"/>
              </w:rPr>
              <w:t>75.7</w:t>
            </w:r>
          </w:p>
        </w:tc>
        <w:tc>
          <w:tcPr>
            <w:tcW w:w="1267" w:type="dxa"/>
            <w:vAlign w:val="bottom"/>
          </w:tcPr>
          <w:p w14:paraId="78B358E3" w14:textId="2A45394C" w:rsidR="005E3A77" w:rsidRPr="00217865" w:rsidRDefault="005E3A77" w:rsidP="001863FA">
            <w:pPr>
              <w:pStyle w:val="Z"/>
              <w:spacing w:before="60" w:after="60"/>
              <w:jc w:val="center"/>
              <w:rPr>
                <w:color w:val="000000" w:themeColor="text1"/>
                <w:szCs w:val="18"/>
              </w:rPr>
            </w:pPr>
            <w:r w:rsidRPr="00217865">
              <w:rPr>
                <w:color w:val="000000" w:themeColor="text1"/>
                <w:szCs w:val="18"/>
              </w:rPr>
              <w:t>43.5</w:t>
            </w:r>
          </w:p>
        </w:tc>
        <w:tc>
          <w:tcPr>
            <w:tcW w:w="1231" w:type="dxa"/>
            <w:vAlign w:val="bottom"/>
          </w:tcPr>
          <w:p w14:paraId="197FA534" w14:textId="3CB3DE98" w:rsidR="005E3A77" w:rsidRPr="00217865" w:rsidRDefault="005E3A77" w:rsidP="001863FA">
            <w:pPr>
              <w:pStyle w:val="Z"/>
              <w:spacing w:before="60" w:after="60"/>
              <w:jc w:val="center"/>
              <w:rPr>
                <w:color w:val="000000" w:themeColor="text1"/>
                <w:szCs w:val="18"/>
              </w:rPr>
            </w:pPr>
            <w:r w:rsidRPr="00217865">
              <w:rPr>
                <w:color w:val="000000" w:themeColor="text1"/>
                <w:szCs w:val="18"/>
              </w:rPr>
              <w:t>48.7</w:t>
            </w:r>
          </w:p>
        </w:tc>
        <w:tc>
          <w:tcPr>
            <w:tcW w:w="1275" w:type="dxa"/>
            <w:vAlign w:val="bottom"/>
          </w:tcPr>
          <w:p w14:paraId="47A7B719" w14:textId="398F379F" w:rsidR="005E3A77" w:rsidRPr="00217865" w:rsidRDefault="005E3A77" w:rsidP="001863FA">
            <w:pPr>
              <w:pStyle w:val="Z"/>
              <w:spacing w:before="60" w:after="60"/>
              <w:jc w:val="center"/>
              <w:rPr>
                <w:color w:val="000000" w:themeColor="text1"/>
                <w:szCs w:val="18"/>
              </w:rPr>
            </w:pPr>
            <w:r w:rsidRPr="00217865">
              <w:rPr>
                <w:color w:val="000000" w:themeColor="text1"/>
                <w:szCs w:val="18"/>
              </w:rPr>
              <w:t>78.9</w:t>
            </w:r>
          </w:p>
        </w:tc>
        <w:tc>
          <w:tcPr>
            <w:tcW w:w="1231" w:type="dxa"/>
            <w:vAlign w:val="bottom"/>
          </w:tcPr>
          <w:p w14:paraId="50F16A92" w14:textId="4655A4A1" w:rsidR="005E3A77" w:rsidRPr="00217865" w:rsidRDefault="005E3A77" w:rsidP="001863FA">
            <w:pPr>
              <w:pStyle w:val="Z"/>
              <w:spacing w:before="60" w:after="60"/>
              <w:jc w:val="center"/>
              <w:rPr>
                <w:color w:val="000000" w:themeColor="text1"/>
                <w:szCs w:val="18"/>
              </w:rPr>
            </w:pPr>
            <w:r w:rsidRPr="00217865">
              <w:rPr>
                <w:color w:val="000000" w:themeColor="text1"/>
                <w:szCs w:val="18"/>
              </w:rPr>
              <w:t>73.8</w:t>
            </w:r>
          </w:p>
        </w:tc>
        <w:tc>
          <w:tcPr>
            <w:tcW w:w="969" w:type="dxa"/>
            <w:vAlign w:val="bottom"/>
          </w:tcPr>
          <w:p w14:paraId="529D6106" w14:textId="6A5BCF88" w:rsidR="005E3A77" w:rsidRPr="00217865" w:rsidRDefault="005E3A77" w:rsidP="001863FA">
            <w:pPr>
              <w:pStyle w:val="Z"/>
              <w:spacing w:before="60" w:after="60"/>
              <w:jc w:val="center"/>
              <w:rPr>
                <w:color w:val="000000" w:themeColor="text1"/>
                <w:szCs w:val="18"/>
              </w:rPr>
            </w:pPr>
            <w:r w:rsidRPr="00217865">
              <w:rPr>
                <w:color w:val="000000" w:themeColor="text1"/>
                <w:szCs w:val="18"/>
              </w:rPr>
              <w:t>74.4</w:t>
            </w:r>
          </w:p>
        </w:tc>
        <w:tc>
          <w:tcPr>
            <w:tcW w:w="1167" w:type="dxa"/>
            <w:vAlign w:val="bottom"/>
          </w:tcPr>
          <w:p w14:paraId="58924319" w14:textId="5F358A0B" w:rsidR="005E3A77" w:rsidRPr="00217865" w:rsidRDefault="005E3A77" w:rsidP="001863FA">
            <w:pPr>
              <w:pStyle w:val="Z"/>
              <w:spacing w:before="60" w:after="60"/>
              <w:jc w:val="center"/>
              <w:rPr>
                <w:color w:val="000000" w:themeColor="text1"/>
                <w:szCs w:val="18"/>
              </w:rPr>
            </w:pPr>
            <w:r w:rsidRPr="00217865">
              <w:rPr>
                <w:color w:val="000000" w:themeColor="text1"/>
                <w:szCs w:val="18"/>
              </w:rPr>
              <w:t>70.7</w:t>
            </w:r>
          </w:p>
        </w:tc>
        <w:tc>
          <w:tcPr>
            <w:tcW w:w="1091" w:type="dxa"/>
            <w:vAlign w:val="bottom"/>
          </w:tcPr>
          <w:p w14:paraId="13E58181" w14:textId="64E46111" w:rsidR="005E3A77" w:rsidRPr="00217865" w:rsidRDefault="005E3A77" w:rsidP="001863FA">
            <w:pPr>
              <w:pStyle w:val="Z"/>
              <w:spacing w:before="60" w:after="60"/>
              <w:jc w:val="center"/>
              <w:rPr>
                <w:color w:val="000000" w:themeColor="text1"/>
                <w:szCs w:val="18"/>
              </w:rPr>
            </w:pPr>
            <w:r w:rsidRPr="00217865">
              <w:rPr>
                <w:color w:val="000000" w:themeColor="text1"/>
                <w:szCs w:val="18"/>
              </w:rPr>
              <w:t>77.3</w:t>
            </w:r>
          </w:p>
        </w:tc>
        <w:tc>
          <w:tcPr>
            <w:tcW w:w="1177" w:type="dxa"/>
            <w:vAlign w:val="bottom"/>
          </w:tcPr>
          <w:p w14:paraId="7E24EAAC" w14:textId="286CB0F4" w:rsidR="005E3A77" w:rsidRPr="00217865" w:rsidRDefault="005E3A77" w:rsidP="001863FA">
            <w:pPr>
              <w:pStyle w:val="Z"/>
              <w:spacing w:before="60" w:after="60"/>
              <w:jc w:val="center"/>
              <w:rPr>
                <w:color w:val="000000" w:themeColor="text1"/>
                <w:szCs w:val="18"/>
              </w:rPr>
            </w:pPr>
            <w:r w:rsidRPr="00217865">
              <w:rPr>
                <w:color w:val="000000" w:themeColor="text1"/>
                <w:szCs w:val="18"/>
              </w:rPr>
              <w:t>71.6</w:t>
            </w:r>
          </w:p>
        </w:tc>
        <w:tc>
          <w:tcPr>
            <w:tcW w:w="1189" w:type="dxa"/>
            <w:vAlign w:val="bottom"/>
          </w:tcPr>
          <w:p w14:paraId="1E2AC1BA" w14:textId="02EFB0C7" w:rsidR="005E3A77" w:rsidRPr="00217865" w:rsidRDefault="005E3A77" w:rsidP="001863FA">
            <w:pPr>
              <w:pStyle w:val="Z"/>
              <w:spacing w:before="60" w:after="60"/>
              <w:jc w:val="center"/>
              <w:rPr>
                <w:color w:val="000000" w:themeColor="text1"/>
                <w:szCs w:val="18"/>
              </w:rPr>
            </w:pPr>
            <w:r w:rsidRPr="00217865">
              <w:rPr>
                <w:color w:val="000000" w:themeColor="text1"/>
                <w:szCs w:val="18"/>
              </w:rPr>
              <w:t>70.0</w:t>
            </w:r>
          </w:p>
        </w:tc>
        <w:tc>
          <w:tcPr>
            <w:tcW w:w="1155" w:type="dxa"/>
            <w:vAlign w:val="bottom"/>
          </w:tcPr>
          <w:p w14:paraId="694BCB75" w14:textId="405D7AA4" w:rsidR="005E3A77" w:rsidRPr="00217865" w:rsidRDefault="005E3A77" w:rsidP="001863FA">
            <w:pPr>
              <w:pStyle w:val="Z"/>
              <w:spacing w:before="60" w:after="60"/>
              <w:jc w:val="center"/>
              <w:rPr>
                <w:color w:val="000000" w:themeColor="text1"/>
                <w:szCs w:val="18"/>
              </w:rPr>
            </w:pPr>
            <w:r w:rsidRPr="00217865">
              <w:rPr>
                <w:color w:val="000000" w:themeColor="text1"/>
                <w:szCs w:val="18"/>
              </w:rPr>
              <w:t>63.0</w:t>
            </w:r>
          </w:p>
        </w:tc>
      </w:tr>
      <w:tr w:rsidR="00FA09A2" w:rsidRPr="00217865" w14:paraId="1CE8B069" w14:textId="77777777" w:rsidTr="00FA09A2">
        <w:tc>
          <w:tcPr>
            <w:tcW w:w="632" w:type="dxa"/>
          </w:tcPr>
          <w:p w14:paraId="10FC5D05"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2021</w:t>
            </w:r>
          </w:p>
        </w:tc>
        <w:tc>
          <w:tcPr>
            <w:tcW w:w="1321" w:type="dxa"/>
            <w:vAlign w:val="bottom"/>
          </w:tcPr>
          <w:p w14:paraId="30E8C72B" w14:textId="025544FE" w:rsidR="005E3A77" w:rsidRPr="00217865" w:rsidRDefault="005E3A77" w:rsidP="001863FA">
            <w:pPr>
              <w:pStyle w:val="Z"/>
              <w:spacing w:before="60" w:after="60"/>
              <w:jc w:val="center"/>
              <w:rPr>
                <w:color w:val="000000" w:themeColor="text1"/>
                <w:szCs w:val="18"/>
              </w:rPr>
            </w:pPr>
            <w:r w:rsidRPr="00217865">
              <w:rPr>
                <w:color w:val="000000" w:themeColor="text1"/>
                <w:szCs w:val="18"/>
              </w:rPr>
              <w:t>79.7</w:t>
            </w:r>
          </w:p>
        </w:tc>
        <w:tc>
          <w:tcPr>
            <w:tcW w:w="1279" w:type="dxa"/>
            <w:vAlign w:val="bottom"/>
          </w:tcPr>
          <w:p w14:paraId="3C893E8A" w14:textId="1C446D69" w:rsidR="005E3A77" w:rsidRPr="00217865" w:rsidRDefault="005E3A77" w:rsidP="001863FA">
            <w:pPr>
              <w:pStyle w:val="Z"/>
              <w:spacing w:before="60" w:after="60"/>
              <w:jc w:val="center"/>
              <w:rPr>
                <w:color w:val="000000" w:themeColor="text1"/>
                <w:szCs w:val="18"/>
              </w:rPr>
            </w:pPr>
            <w:r w:rsidRPr="00217865">
              <w:rPr>
                <w:color w:val="000000" w:themeColor="text1"/>
                <w:szCs w:val="18"/>
              </w:rPr>
              <w:t>77.1</w:t>
            </w:r>
          </w:p>
        </w:tc>
        <w:tc>
          <w:tcPr>
            <w:tcW w:w="1267" w:type="dxa"/>
            <w:vAlign w:val="bottom"/>
          </w:tcPr>
          <w:p w14:paraId="62EC3BFC" w14:textId="5B6F39B8" w:rsidR="005E3A77" w:rsidRPr="00217865" w:rsidRDefault="005E3A77" w:rsidP="001863FA">
            <w:pPr>
              <w:pStyle w:val="Z"/>
              <w:spacing w:before="60" w:after="60"/>
              <w:jc w:val="center"/>
              <w:rPr>
                <w:color w:val="000000" w:themeColor="text1"/>
                <w:szCs w:val="18"/>
              </w:rPr>
            </w:pPr>
            <w:r w:rsidRPr="00217865">
              <w:rPr>
                <w:color w:val="000000" w:themeColor="text1"/>
                <w:szCs w:val="18"/>
              </w:rPr>
              <w:t>48.7</w:t>
            </w:r>
          </w:p>
        </w:tc>
        <w:tc>
          <w:tcPr>
            <w:tcW w:w="1231" w:type="dxa"/>
            <w:vAlign w:val="bottom"/>
          </w:tcPr>
          <w:p w14:paraId="78311709" w14:textId="55063324" w:rsidR="005E3A77" w:rsidRPr="00217865" w:rsidRDefault="005E3A77" w:rsidP="001863FA">
            <w:pPr>
              <w:pStyle w:val="Z"/>
              <w:spacing w:before="60" w:after="60"/>
              <w:jc w:val="center"/>
              <w:rPr>
                <w:color w:val="000000" w:themeColor="text1"/>
                <w:szCs w:val="18"/>
              </w:rPr>
            </w:pPr>
            <w:r w:rsidRPr="00217865">
              <w:rPr>
                <w:color w:val="000000" w:themeColor="text1"/>
                <w:szCs w:val="18"/>
              </w:rPr>
              <w:t>48.4</w:t>
            </w:r>
          </w:p>
        </w:tc>
        <w:tc>
          <w:tcPr>
            <w:tcW w:w="1275" w:type="dxa"/>
            <w:vAlign w:val="bottom"/>
          </w:tcPr>
          <w:p w14:paraId="18A394BE" w14:textId="5E999478" w:rsidR="005E3A77" w:rsidRPr="00217865" w:rsidRDefault="005E3A77" w:rsidP="001863FA">
            <w:pPr>
              <w:pStyle w:val="Z"/>
              <w:spacing w:before="60" w:after="60"/>
              <w:jc w:val="center"/>
              <w:rPr>
                <w:color w:val="000000" w:themeColor="text1"/>
                <w:szCs w:val="18"/>
              </w:rPr>
            </w:pPr>
            <w:r w:rsidRPr="00217865">
              <w:rPr>
                <w:color w:val="000000" w:themeColor="text1"/>
                <w:szCs w:val="18"/>
              </w:rPr>
              <w:t>80.0</w:t>
            </w:r>
          </w:p>
        </w:tc>
        <w:tc>
          <w:tcPr>
            <w:tcW w:w="1231" w:type="dxa"/>
            <w:vAlign w:val="bottom"/>
          </w:tcPr>
          <w:p w14:paraId="0E4DAB7C" w14:textId="44E1B395" w:rsidR="005E3A77" w:rsidRPr="00217865" w:rsidRDefault="005E3A77" w:rsidP="001863FA">
            <w:pPr>
              <w:pStyle w:val="Z"/>
              <w:spacing w:before="60" w:after="60"/>
              <w:jc w:val="center"/>
              <w:rPr>
                <w:color w:val="000000" w:themeColor="text1"/>
                <w:szCs w:val="18"/>
              </w:rPr>
            </w:pPr>
            <w:r w:rsidRPr="00217865">
              <w:rPr>
                <w:color w:val="000000" w:themeColor="text1"/>
                <w:szCs w:val="18"/>
              </w:rPr>
              <w:t>75.9</w:t>
            </w:r>
          </w:p>
        </w:tc>
        <w:tc>
          <w:tcPr>
            <w:tcW w:w="969" w:type="dxa"/>
            <w:vAlign w:val="bottom"/>
          </w:tcPr>
          <w:p w14:paraId="139E9807" w14:textId="23FDA895" w:rsidR="005E3A77" w:rsidRPr="00217865" w:rsidRDefault="005E3A77" w:rsidP="001863FA">
            <w:pPr>
              <w:pStyle w:val="Z"/>
              <w:spacing w:before="60" w:after="60"/>
              <w:jc w:val="center"/>
              <w:rPr>
                <w:color w:val="000000" w:themeColor="text1"/>
                <w:szCs w:val="18"/>
              </w:rPr>
            </w:pPr>
            <w:r w:rsidRPr="00217865">
              <w:rPr>
                <w:color w:val="000000" w:themeColor="text1"/>
                <w:szCs w:val="18"/>
              </w:rPr>
              <w:t>73.0</w:t>
            </w:r>
          </w:p>
        </w:tc>
        <w:tc>
          <w:tcPr>
            <w:tcW w:w="1167" w:type="dxa"/>
            <w:vAlign w:val="bottom"/>
          </w:tcPr>
          <w:p w14:paraId="54B86739" w14:textId="553914C6" w:rsidR="005E3A77" w:rsidRPr="00217865" w:rsidRDefault="005E3A77" w:rsidP="001863FA">
            <w:pPr>
              <w:pStyle w:val="Z"/>
              <w:spacing w:before="60" w:after="60"/>
              <w:jc w:val="center"/>
              <w:rPr>
                <w:color w:val="000000" w:themeColor="text1"/>
                <w:szCs w:val="18"/>
              </w:rPr>
            </w:pPr>
            <w:r w:rsidRPr="00217865">
              <w:rPr>
                <w:color w:val="000000" w:themeColor="text1"/>
                <w:szCs w:val="18"/>
              </w:rPr>
              <w:t>70.6</w:t>
            </w:r>
          </w:p>
        </w:tc>
        <w:tc>
          <w:tcPr>
            <w:tcW w:w="1091" w:type="dxa"/>
            <w:vAlign w:val="bottom"/>
          </w:tcPr>
          <w:p w14:paraId="33E788AE" w14:textId="6CCD4A11" w:rsidR="005E3A77" w:rsidRPr="00217865" w:rsidRDefault="005E3A77" w:rsidP="001863FA">
            <w:pPr>
              <w:pStyle w:val="Z"/>
              <w:spacing w:before="60" w:after="60"/>
              <w:jc w:val="center"/>
              <w:rPr>
                <w:color w:val="000000" w:themeColor="text1"/>
                <w:szCs w:val="18"/>
              </w:rPr>
            </w:pPr>
            <w:r w:rsidRPr="00217865">
              <w:rPr>
                <w:color w:val="000000" w:themeColor="text1"/>
                <w:szCs w:val="18"/>
              </w:rPr>
              <w:t>81.1</w:t>
            </w:r>
          </w:p>
        </w:tc>
        <w:tc>
          <w:tcPr>
            <w:tcW w:w="1177" w:type="dxa"/>
            <w:vAlign w:val="bottom"/>
          </w:tcPr>
          <w:p w14:paraId="415CD1DE" w14:textId="1A9F6EAE" w:rsidR="005E3A77" w:rsidRPr="00217865" w:rsidRDefault="005E3A77" w:rsidP="001863FA">
            <w:pPr>
              <w:pStyle w:val="Z"/>
              <w:spacing w:before="60" w:after="60"/>
              <w:jc w:val="center"/>
              <w:rPr>
                <w:color w:val="000000" w:themeColor="text1"/>
                <w:szCs w:val="18"/>
              </w:rPr>
            </w:pPr>
            <w:r w:rsidRPr="00217865">
              <w:rPr>
                <w:color w:val="000000" w:themeColor="text1"/>
                <w:szCs w:val="18"/>
              </w:rPr>
              <w:t>73.9</w:t>
            </w:r>
          </w:p>
        </w:tc>
        <w:tc>
          <w:tcPr>
            <w:tcW w:w="1189" w:type="dxa"/>
            <w:vAlign w:val="bottom"/>
          </w:tcPr>
          <w:p w14:paraId="57CBD8FB" w14:textId="5D36AFD5" w:rsidR="005E3A77" w:rsidRPr="00217865" w:rsidRDefault="005E3A77" w:rsidP="001863FA">
            <w:pPr>
              <w:pStyle w:val="Z"/>
              <w:spacing w:before="60" w:after="60"/>
              <w:jc w:val="center"/>
              <w:rPr>
                <w:color w:val="000000" w:themeColor="text1"/>
                <w:szCs w:val="18"/>
              </w:rPr>
            </w:pPr>
            <w:r w:rsidRPr="00217865">
              <w:rPr>
                <w:color w:val="000000" w:themeColor="text1"/>
                <w:szCs w:val="18"/>
              </w:rPr>
              <w:t>74.1</w:t>
            </w:r>
          </w:p>
        </w:tc>
        <w:tc>
          <w:tcPr>
            <w:tcW w:w="1155" w:type="dxa"/>
            <w:vAlign w:val="bottom"/>
          </w:tcPr>
          <w:p w14:paraId="20EC1B86" w14:textId="16046F73" w:rsidR="005E3A77" w:rsidRPr="00217865" w:rsidRDefault="005E3A77" w:rsidP="001863FA">
            <w:pPr>
              <w:pStyle w:val="Z"/>
              <w:spacing w:before="60" w:after="60"/>
              <w:jc w:val="center"/>
              <w:rPr>
                <w:color w:val="000000" w:themeColor="text1"/>
                <w:szCs w:val="18"/>
              </w:rPr>
            </w:pPr>
            <w:r w:rsidRPr="00217865">
              <w:rPr>
                <w:color w:val="000000" w:themeColor="text1"/>
                <w:szCs w:val="18"/>
              </w:rPr>
              <w:t>67.2</w:t>
            </w:r>
          </w:p>
        </w:tc>
      </w:tr>
      <w:tr w:rsidR="00FA09A2" w:rsidRPr="00217865" w14:paraId="59AEEDD1" w14:textId="77777777" w:rsidTr="00FA09A2">
        <w:tc>
          <w:tcPr>
            <w:tcW w:w="632" w:type="dxa"/>
          </w:tcPr>
          <w:p w14:paraId="25C45F9F"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2022</w:t>
            </w:r>
          </w:p>
        </w:tc>
        <w:tc>
          <w:tcPr>
            <w:tcW w:w="1321" w:type="dxa"/>
            <w:vAlign w:val="bottom"/>
          </w:tcPr>
          <w:p w14:paraId="406A9507" w14:textId="08262446" w:rsidR="005E3A77" w:rsidRPr="00217865" w:rsidRDefault="005E3A77" w:rsidP="001863FA">
            <w:pPr>
              <w:pStyle w:val="Z"/>
              <w:spacing w:before="60" w:after="60"/>
              <w:jc w:val="center"/>
              <w:rPr>
                <w:color w:val="000000" w:themeColor="text1"/>
                <w:szCs w:val="18"/>
              </w:rPr>
            </w:pPr>
            <w:r w:rsidRPr="00217865">
              <w:rPr>
                <w:color w:val="000000" w:themeColor="text1"/>
                <w:szCs w:val="18"/>
              </w:rPr>
              <w:t>80.2</w:t>
            </w:r>
          </w:p>
        </w:tc>
        <w:tc>
          <w:tcPr>
            <w:tcW w:w="1279" w:type="dxa"/>
            <w:vAlign w:val="bottom"/>
          </w:tcPr>
          <w:p w14:paraId="7995286E" w14:textId="3A4A54B7" w:rsidR="005E3A77" w:rsidRPr="00217865" w:rsidRDefault="005E3A77" w:rsidP="001863FA">
            <w:pPr>
              <w:pStyle w:val="Z"/>
              <w:spacing w:before="60" w:after="60"/>
              <w:jc w:val="center"/>
              <w:rPr>
                <w:color w:val="000000" w:themeColor="text1"/>
                <w:szCs w:val="18"/>
              </w:rPr>
            </w:pPr>
            <w:r w:rsidRPr="00217865">
              <w:rPr>
                <w:color w:val="000000" w:themeColor="text1"/>
                <w:szCs w:val="18"/>
              </w:rPr>
              <w:t>81.8</w:t>
            </w:r>
          </w:p>
        </w:tc>
        <w:tc>
          <w:tcPr>
            <w:tcW w:w="1267" w:type="dxa"/>
            <w:vAlign w:val="bottom"/>
          </w:tcPr>
          <w:p w14:paraId="7FEB7B99" w14:textId="69E4CA1C" w:rsidR="005E3A77" w:rsidRPr="00217865" w:rsidRDefault="005E3A77" w:rsidP="001863FA">
            <w:pPr>
              <w:pStyle w:val="Z"/>
              <w:spacing w:before="60" w:after="60"/>
              <w:jc w:val="center"/>
              <w:rPr>
                <w:color w:val="000000" w:themeColor="text1"/>
                <w:szCs w:val="18"/>
              </w:rPr>
            </w:pPr>
            <w:r w:rsidRPr="00217865">
              <w:rPr>
                <w:color w:val="000000" w:themeColor="text1"/>
                <w:szCs w:val="18"/>
              </w:rPr>
              <w:t>54.0</w:t>
            </w:r>
          </w:p>
        </w:tc>
        <w:tc>
          <w:tcPr>
            <w:tcW w:w="1231" w:type="dxa"/>
            <w:vAlign w:val="bottom"/>
          </w:tcPr>
          <w:p w14:paraId="6A3D03B6" w14:textId="092A92CE" w:rsidR="005E3A77" w:rsidRPr="00217865" w:rsidRDefault="005E3A77" w:rsidP="001863FA">
            <w:pPr>
              <w:pStyle w:val="Z"/>
              <w:spacing w:before="60" w:after="60"/>
              <w:jc w:val="center"/>
              <w:rPr>
                <w:color w:val="000000" w:themeColor="text1"/>
                <w:szCs w:val="18"/>
              </w:rPr>
            </w:pPr>
            <w:r w:rsidRPr="00217865">
              <w:rPr>
                <w:color w:val="000000" w:themeColor="text1"/>
                <w:szCs w:val="18"/>
              </w:rPr>
              <w:t>61.5</w:t>
            </w:r>
          </w:p>
        </w:tc>
        <w:tc>
          <w:tcPr>
            <w:tcW w:w="1275" w:type="dxa"/>
            <w:vAlign w:val="bottom"/>
          </w:tcPr>
          <w:p w14:paraId="5DA40C60" w14:textId="21B33BDD" w:rsidR="005E3A77" w:rsidRPr="00217865" w:rsidRDefault="005E3A77" w:rsidP="001863FA">
            <w:pPr>
              <w:pStyle w:val="Z"/>
              <w:spacing w:before="60" w:after="60"/>
              <w:jc w:val="center"/>
              <w:rPr>
                <w:color w:val="000000" w:themeColor="text1"/>
                <w:szCs w:val="18"/>
              </w:rPr>
            </w:pPr>
            <w:r w:rsidRPr="00217865">
              <w:rPr>
                <w:color w:val="000000" w:themeColor="text1"/>
                <w:szCs w:val="18"/>
              </w:rPr>
              <w:t>80.1</w:t>
            </w:r>
          </w:p>
        </w:tc>
        <w:tc>
          <w:tcPr>
            <w:tcW w:w="1231" w:type="dxa"/>
            <w:vAlign w:val="bottom"/>
          </w:tcPr>
          <w:p w14:paraId="41C451C8" w14:textId="740C53DD" w:rsidR="005E3A77" w:rsidRPr="00217865" w:rsidRDefault="005E3A77" w:rsidP="001863FA">
            <w:pPr>
              <w:pStyle w:val="Z"/>
              <w:spacing w:before="60" w:after="60"/>
              <w:jc w:val="center"/>
              <w:rPr>
                <w:color w:val="000000" w:themeColor="text1"/>
                <w:szCs w:val="18"/>
              </w:rPr>
            </w:pPr>
            <w:r w:rsidRPr="00217865">
              <w:rPr>
                <w:color w:val="000000" w:themeColor="text1"/>
                <w:szCs w:val="18"/>
              </w:rPr>
              <w:t>80.2</w:t>
            </w:r>
          </w:p>
        </w:tc>
        <w:tc>
          <w:tcPr>
            <w:tcW w:w="969" w:type="dxa"/>
            <w:vAlign w:val="bottom"/>
          </w:tcPr>
          <w:p w14:paraId="7F1D41FE" w14:textId="09DED610" w:rsidR="005E3A77" w:rsidRPr="00217865" w:rsidRDefault="005E3A77" w:rsidP="001863FA">
            <w:pPr>
              <w:pStyle w:val="Z"/>
              <w:spacing w:before="60" w:after="60"/>
              <w:jc w:val="center"/>
              <w:rPr>
                <w:color w:val="000000" w:themeColor="text1"/>
                <w:szCs w:val="18"/>
              </w:rPr>
            </w:pPr>
            <w:r w:rsidRPr="00217865">
              <w:rPr>
                <w:color w:val="000000" w:themeColor="text1"/>
                <w:szCs w:val="18"/>
              </w:rPr>
              <w:t>72.5</w:t>
            </w:r>
          </w:p>
        </w:tc>
        <w:tc>
          <w:tcPr>
            <w:tcW w:w="1167" w:type="dxa"/>
            <w:vAlign w:val="bottom"/>
          </w:tcPr>
          <w:p w14:paraId="23823861" w14:textId="44C6C707" w:rsidR="005E3A77" w:rsidRPr="00217865" w:rsidRDefault="005E3A77" w:rsidP="001863FA">
            <w:pPr>
              <w:pStyle w:val="Z"/>
              <w:spacing w:before="60" w:after="60"/>
              <w:jc w:val="center"/>
              <w:rPr>
                <w:color w:val="000000" w:themeColor="text1"/>
                <w:szCs w:val="18"/>
              </w:rPr>
            </w:pPr>
            <w:r w:rsidRPr="00217865">
              <w:rPr>
                <w:color w:val="000000" w:themeColor="text1"/>
                <w:szCs w:val="18"/>
              </w:rPr>
              <w:t>75.0</w:t>
            </w:r>
          </w:p>
        </w:tc>
        <w:tc>
          <w:tcPr>
            <w:tcW w:w="1091" w:type="dxa"/>
            <w:vAlign w:val="bottom"/>
          </w:tcPr>
          <w:p w14:paraId="5137D6AE" w14:textId="7165D077" w:rsidR="005E3A77" w:rsidRPr="00217865" w:rsidRDefault="005E3A77" w:rsidP="001863FA">
            <w:pPr>
              <w:pStyle w:val="Z"/>
              <w:spacing w:before="60" w:after="60"/>
              <w:jc w:val="center"/>
              <w:rPr>
                <w:color w:val="000000" w:themeColor="text1"/>
                <w:szCs w:val="18"/>
              </w:rPr>
            </w:pPr>
            <w:r w:rsidRPr="00217865">
              <w:rPr>
                <w:color w:val="000000" w:themeColor="text1"/>
                <w:szCs w:val="18"/>
              </w:rPr>
              <w:t>83.5</w:t>
            </w:r>
          </w:p>
        </w:tc>
        <w:tc>
          <w:tcPr>
            <w:tcW w:w="1177" w:type="dxa"/>
            <w:vAlign w:val="bottom"/>
          </w:tcPr>
          <w:p w14:paraId="55B9A918" w14:textId="69FB5B77" w:rsidR="005E3A77" w:rsidRPr="00217865" w:rsidRDefault="005E3A77" w:rsidP="001863FA">
            <w:pPr>
              <w:pStyle w:val="Z"/>
              <w:spacing w:before="60" w:after="60"/>
              <w:jc w:val="center"/>
              <w:rPr>
                <w:color w:val="000000" w:themeColor="text1"/>
                <w:szCs w:val="18"/>
              </w:rPr>
            </w:pPr>
            <w:r w:rsidRPr="00217865">
              <w:rPr>
                <w:color w:val="000000" w:themeColor="text1"/>
                <w:szCs w:val="18"/>
              </w:rPr>
              <w:t>83.8</w:t>
            </w:r>
          </w:p>
        </w:tc>
        <w:tc>
          <w:tcPr>
            <w:tcW w:w="1189" w:type="dxa"/>
            <w:vAlign w:val="bottom"/>
          </w:tcPr>
          <w:p w14:paraId="73416454" w14:textId="433445ED" w:rsidR="005E3A77" w:rsidRPr="00217865" w:rsidRDefault="005E3A77" w:rsidP="001863FA">
            <w:pPr>
              <w:pStyle w:val="Z"/>
              <w:spacing w:before="60" w:after="60"/>
              <w:jc w:val="center"/>
              <w:rPr>
                <w:color w:val="000000" w:themeColor="text1"/>
                <w:szCs w:val="18"/>
              </w:rPr>
            </w:pPr>
            <w:r w:rsidRPr="00217865">
              <w:rPr>
                <w:color w:val="000000" w:themeColor="text1"/>
                <w:szCs w:val="18"/>
              </w:rPr>
              <w:t>76.2</w:t>
            </w:r>
          </w:p>
        </w:tc>
        <w:tc>
          <w:tcPr>
            <w:tcW w:w="1155" w:type="dxa"/>
            <w:vAlign w:val="bottom"/>
          </w:tcPr>
          <w:p w14:paraId="4E98DEFA" w14:textId="476B62F3" w:rsidR="005E3A77" w:rsidRPr="00217865" w:rsidRDefault="005E3A77" w:rsidP="001863FA">
            <w:pPr>
              <w:pStyle w:val="Z"/>
              <w:spacing w:before="60" w:after="60"/>
              <w:jc w:val="center"/>
              <w:rPr>
                <w:color w:val="000000" w:themeColor="text1"/>
                <w:szCs w:val="18"/>
              </w:rPr>
            </w:pPr>
            <w:r w:rsidRPr="00217865">
              <w:rPr>
                <w:color w:val="000000" w:themeColor="text1"/>
                <w:szCs w:val="18"/>
              </w:rPr>
              <w:t>74.4</w:t>
            </w:r>
          </w:p>
        </w:tc>
      </w:tr>
      <w:tr w:rsidR="00FA09A2" w:rsidRPr="00217865" w14:paraId="02AF8F83" w14:textId="77777777" w:rsidTr="00FA09A2">
        <w:tc>
          <w:tcPr>
            <w:tcW w:w="632" w:type="dxa"/>
          </w:tcPr>
          <w:p w14:paraId="26E65254" w14:textId="77777777" w:rsidR="005E3A77" w:rsidRPr="00217865" w:rsidRDefault="005E3A77" w:rsidP="001863FA">
            <w:pPr>
              <w:pStyle w:val="Z"/>
              <w:spacing w:before="60" w:after="60"/>
              <w:rPr>
                <w:color w:val="000000" w:themeColor="text1"/>
                <w:szCs w:val="18"/>
              </w:rPr>
            </w:pPr>
            <w:r w:rsidRPr="00217865">
              <w:rPr>
                <w:color w:val="000000" w:themeColor="text1"/>
                <w:szCs w:val="18"/>
              </w:rPr>
              <w:t>2023*</w:t>
            </w:r>
          </w:p>
        </w:tc>
        <w:tc>
          <w:tcPr>
            <w:tcW w:w="1321" w:type="dxa"/>
            <w:vAlign w:val="bottom"/>
          </w:tcPr>
          <w:p w14:paraId="459E6D98" w14:textId="50A0CEAA" w:rsidR="005E3A77" w:rsidRPr="00217865" w:rsidRDefault="005E3A77" w:rsidP="001863FA">
            <w:pPr>
              <w:pStyle w:val="Z"/>
              <w:spacing w:before="60" w:after="60"/>
              <w:jc w:val="center"/>
              <w:rPr>
                <w:color w:val="000000" w:themeColor="text1"/>
                <w:szCs w:val="18"/>
              </w:rPr>
            </w:pPr>
            <w:r w:rsidRPr="00217865">
              <w:rPr>
                <w:color w:val="000000" w:themeColor="text1"/>
                <w:szCs w:val="18"/>
              </w:rPr>
              <w:t>80.6</w:t>
            </w:r>
          </w:p>
        </w:tc>
        <w:tc>
          <w:tcPr>
            <w:tcW w:w="1279" w:type="dxa"/>
            <w:vAlign w:val="bottom"/>
          </w:tcPr>
          <w:p w14:paraId="6CF12D77" w14:textId="442535F6" w:rsidR="005E3A77" w:rsidRPr="00217865" w:rsidRDefault="005E3A77" w:rsidP="001863FA">
            <w:pPr>
              <w:pStyle w:val="Z"/>
              <w:spacing w:before="60" w:after="60"/>
              <w:jc w:val="center"/>
              <w:rPr>
                <w:color w:val="000000" w:themeColor="text1"/>
                <w:szCs w:val="18"/>
              </w:rPr>
            </w:pPr>
            <w:r w:rsidRPr="00217865">
              <w:rPr>
                <w:color w:val="000000" w:themeColor="text1"/>
                <w:szCs w:val="18"/>
              </w:rPr>
              <w:t>83.4</w:t>
            </w:r>
          </w:p>
        </w:tc>
        <w:tc>
          <w:tcPr>
            <w:tcW w:w="1267" w:type="dxa"/>
            <w:vAlign w:val="bottom"/>
          </w:tcPr>
          <w:p w14:paraId="53E67DBE" w14:textId="414E9B43" w:rsidR="005E3A77" w:rsidRPr="00217865" w:rsidRDefault="005E3A77" w:rsidP="001863FA">
            <w:pPr>
              <w:pStyle w:val="Z"/>
              <w:spacing w:before="60" w:after="60"/>
              <w:jc w:val="center"/>
              <w:rPr>
                <w:color w:val="000000" w:themeColor="text1"/>
                <w:szCs w:val="18"/>
              </w:rPr>
            </w:pPr>
            <w:r w:rsidRPr="00217865">
              <w:rPr>
                <w:color w:val="000000" w:themeColor="text1"/>
                <w:szCs w:val="18"/>
              </w:rPr>
              <w:t>56.6</w:t>
            </w:r>
          </w:p>
        </w:tc>
        <w:tc>
          <w:tcPr>
            <w:tcW w:w="1231" w:type="dxa"/>
            <w:vAlign w:val="bottom"/>
          </w:tcPr>
          <w:p w14:paraId="7B6A1CF9" w14:textId="7FA73C8B" w:rsidR="005E3A77" w:rsidRPr="00217865" w:rsidRDefault="005E3A77" w:rsidP="001863FA">
            <w:pPr>
              <w:pStyle w:val="Z"/>
              <w:spacing w:before="60" w:after="60"/>
              <w:jc w:val="center"/>
              <w:rPr>
                <w:color w:val="000000" w:themeColor="text1"/>
                <w:szCs w:val="18"/>
              </w:rPr>
            </w:pPr>
            <w:r w:rsidRPr="00217865">
              <w:rPr>
                <w:color w:val="000000" w:themeColor="text1"/>
                <w:szCs w:val="18"/>
              </w:rPr>
              <w:t>69.5</w:t>
            </w:r>
          </w:p>
        </w:tc>
        <w:tc>
          <w:tcPr>
            <w:tcW w:w="1275" w:type="dxa"/>
            <w:vAlign w:val="bottom"/>
          </w:tcPr>
          <w:p w14:paraId="1FE1EF6B" w14:textId="17FA4989" w:rsidR="005E3A77" w:rsidRPr="00217865" w:rsidRDefault="005E3A77" w:rsidP="001863FA">
            <w:pPr>
              <w:pStyle w:val="Z"/>
              <w:spacing w:before="60" w:after="60"/>
              <w:jc w:val="center"/>
              <w:rPr>
                <w:color w:val="000000" w:themeColor="text1"/>
                <w:szCs w:val="18"/>
              </w:rPr>
            </w:pPr>
            <w:r w:rsidRPr="00217865">
              <w:rPr>
                <w:color w:val="000000" w:themeColor="text1"/>
                <w:szCs w:val="18"/>
              </w:rPr>
              <w:t>80.4</w:t>
            </w:r>
          </w:p>
        </w:tc>
        <w:tc>
          <w:tcPr>
            <w:tcW w:w="1231" w:type="dxa"/>
            <w:vAlign w:val="bottom"/>
          </w:tcPr>
          <w:p w14:paraId="30E66848" w14:textId="77E3D72C" w:rsidR="005E3A77" w:rsidRPr="00217865" w:rsidRDefault="005E3A77" w:rsidP="001863FA">
            <w:pPr>
              <w:pStyle w:val="Z"/>
              <w:spacing w:before="60" w:after="60"/>
              <w:jc w:val="center"/>
              <w:rPr>
                <w:color w:val="000000" w:themeColor="text1"/>
                <w:szCs w:val="18"/>
              </w:rPr>
            </w:pPr>
            <w:r w:rsidRPr="00217865">
              <w:rPr>
                <w:color w:val="000000" w:themeColor="text1"/>
                <w:szCs w:val="18"/>
              </w:rPr>
              <w:t>82.5</w:t>
            </w:r>
          </w:p>
        </w:tc>
        <w:tc>
          <w:tcPr>
            <w:tcW w:w="969" w:type="dxa"/>
            <w:vAlign w:val="bottom"/>
          </w:tcPr>
          <w:p w14:paraId="6A0929F1" w14:textId="18CE3F9F" w:rsidR="005E3A77" w:rsidRPr="00217865" w:rsidRDefault="005E3A77" w:rsidP="001863FA">
            <w:pPr>
              <w:pStyle w:val="Z"/>
              <w:spacing w:before="60" w:after="60"/>
              <w:jc w:val="center"/>
              <w:rPr>
                <w:color w:val="000000" w:themeColor="text1"/>
                <w:szCs w:val="18"/>
              </w:rPr>
            </w:pPr>
            <w:r w:rsidRPr="00217865">
              <w:rPr>
                <w:color w:val="000000" w:themeColor="text1"/>
                <w:szCs w:val="18"/>
              </w:rPr>
              <w:t>69.4</w:t>
            </w:r>
          </w:p>
        </w:tc>
        <w:tc>
          <w:tcPr>
            <w:tcW w:w="1167" w:type="dxa"/>
            <w:vAlign w:val="bottom"/>
          </w:tcPr>
          <w:p w14:paraId="123B5452" w14:textId="3B6B75B4" w:rsidR="005E3A77" w:rsidRPr="00217865" w:rsidRDefault="005E3A77" w:rsidP="001863FA">
            <w:pPr>
              <w:pStyle w:val="Z"/>
              <w:spacing w:before="60" w:after="60"/>
              <w:jc w:val="center"/>
              <w:rPr>
                <w:color w:val="000000" w:themeColor="text1"/>
                <w:szCs w:val="18"/>
              </w:rPr>
            </w:pPr>
            <w:r w:rsidRPr="00217865">
              <w:rPr>
                <w:color w:val="000000" w:themeColor="text1"/>
                <w:szCs w:val="18"/>
              </w:rPr>
              <w:t>78.1</w:t>
            </w:r>
          </w:p>
        </w:tc>
        <w:tc>
          <w:tcPr>
            <w:tcW w:w="1091" w:type="dxa"/>
            <w:vAlign w:val="bottom"/>
          </w:tcPr>
          <w:p w14:paraId="1ED49BB8" w14:textId="6AF0D658" w:rsidR="005E3A77" w:rsidRPr="00217865" w:rsidRDefault="005E3A77" w:rsidP="001863FA">
            <w:pPr>
              <w:pStyle w:val="Z"/>
              <w:spacing w:before="60" w:after="60"/>
              <w:jc w:val="center"/>
              <w:rPr>
                <w:color w:val="000000" w:themeColor="text1"/>
                <w:szCs w:val="18"/>
              </w:rPr>
            </w:pPr>
            <w:r w:rsidRPr="00217865">
              <w:rPr>
                <w:color w:val="000000" w:themeColor="text1"/>
                <w:szCs w:val="18"/>
              </w:rPr>
              <w:t>83.7</w:t>
            </w:r>
          </w:p>
        </w:tc>
        <w:tc>
          <w:tcPr>
            <w:tcW w:w="1177" w:type="dxa"/>
            <w:vAlign w:val="bottom"/>
          </w:tcPr>
          <w:p w14:paraId="091E902E" w14:textId="345BE04F" w:rsidR="005E3A77" w:rsidRPr="00217865" w:rsidRDefault="005E3A77" w:rsidP="001863FA">
            <w:pPr>
              <w:pStyle w:val="Z"/>
              <w:spacing w:before="60" w:after="60"/>
              <w:jc w:val="center"/>
              <w:rPr>
                <w:color w:val="000000" w:themeColor="text1"/>
                <w:szCs w:val="18"/>
              </w:rPr>
            </w:pPr>
            <w:r w:rsidRPr="00217865">
              <w:rPr>
                <w:color w:val="000000" w:themeColor="text1"/>
                <w:szCs w:val="18"/>
              </w:rPr>
              <w:t>84.5</w:t>
            </w:r>
          </w:p>
        </w:tc>
        <w:tc>
          <w:tcPr>
            <w:tcW w:w="1189" w:type="dxa"/>
            <w:vAlign w:val="bottom"/>
          </w:tcPr>
          <w:p w14:paraId="0357FC27" w14:textId="7DBFD38C" w:rsidR="005E3A77" w:rsidRPr="00217865" w:rsidRDefault="005E3A77" w:rsidP="001863FA">
            <w:pPr>
              <w:pStyle w:val="Z"/>
              <w:spacing w:before="60" w:after="60"/>
              <w:jc w:val="center"/>
              <w:rPr>
                <w:color w:val="000000" w:themeColor="text1"/>
                <w:szCs w:val="18"/>
              </w:rPr>
            </w:pPr>
            <w:r w:rsidRPr="00217865">
              <w:rPr>
                <w:color w:val="000000" w:themeColor="text1"/>
                <w:szCs w:val="18"/>
              </w:rPr>
              <w:t>76.9</w:t>
            </w:r>
          </w:p>
        </w:tc>
        <w:tc>
          <w:tcPr>
            <w:tcW w:w="1155" w:type="dxa"/>
            <w:vAlign w:val="bottom"/>
          </w:tcPr>
          <w:p w14:paraId="748DE5A3" w14:textId="4323A8CE" w:rsidR="005E3A77" w:rsidRPr="00217865" w:rsidRDefault="005E3A77" w:rsidP="001863FA">
            <w:pPr>
              <w:pStyle w:val="Z"/>
              <w:spacing w:before="60" w:after="60"/>
              <w:jc w:val="center"/>
              <w:rPr>
                <w:color w:val="000000" w:themeColor="text1"/>
                <w:szCs w:val="18"/>
              </w:rPr>
            </w:pPr>
            <w:r w:rsidRPr="00217865">
              <w:rPr>
                <w:color w:val="000000" w:themeColor="text1"/>
                <w:szCs w:val="18"/>
              </w:rPr>
              <w:t>75.8</w:t>
            </w:r>
          </w:p>
        </w:tc>
      </w:tr>
    </w:tbl>
    <w:p w14:paraId="7CCD2AD2" w14:textId="77777777" w:rsidR="00912B4E" w:rsidRPr="00217865" w:rsidRDefault="00912B4E" w:rsidP="00FA09A2">
      <w:pPr>
        <w:pStyle w:val="Noteupdate"/>
        <w:spacing w:before="60"/>
        <w:rPr>
          <w:color w:val="000000" w:themeColor="text1"/>
          <w:sz w:val="18"/>
          <w:szCs w:val="18"/>
        </w:rPr>
      </w:pPr>
      <w:r w:rsidRPr="00217865">
        <w:rPr>
          <w:color w:val="000000" w:themeColor="text1"/>
          <w:sz w:val="18"/>
          <w:szCs w:val="18"/>
        </w:rPr>
        <w:t>* Note that in 2023 a review was conducted on the SES instrument and revisions were made to the Student Support and Services and Peer Engagement (formally Learner Engagement) focus areas. See SES changes paper for further details.</w:t>
      </w:r>
    </w:p>
    <w:p w14:paraId="3D4CBD21" w14:textId="45669708" w:rsidR="006F1A54" w:rsidRPr="00217865" w:rsidRDefault="006F1A54" w:rsidP="0081215D">
      <w:pPr>
        <w:pStyle w:val="Tabletitle"/>
        <w:rPr>
          <w:i/>
        </w:rPr>
      </w:pPr>
      <w:r w:rsidRPr="00217865">
        <w:t>The postgraduate coursework student experience by citizenship status, 2017-2023 (% positive rating)</w:t>
      </w:r>
    </w:p>
    <w:tbl>
      <w:tblPr>
        <w:tblStyle w:val="QILTTableStylePH3"/>
        <w:tblW w:w="0" w:type="auto"/>
        <w:tblLook w:val="04A0" w:firstRow="1" w:lastRow="0" w:firstColumn="1" w:lastColumn="0" w:noHBand="0" w:noVBand="1"/>
      </w:tblPr>
      <w:tblGrid>
        <w:gridCol w:w="631"/>
        <w:gridCol w:w="1301"/>
        <w:gridCol w:w="1279"/>
        <w:gridCol w:w="1251"/>
        <w:gridCol w:w="1231"/>
        <w:gridCol w:w="1251"/>
        <w:gridCol w:w="1231"/>
        <w:gridCol w:w="911"/>
        <w:gridCol w:w="1135"/>
        <w:gridCol w:w="1091"/>
        <w:gridCol w:w="1135"/>
        <w:gridCol w:w="1171"/>
        <w:gridCol w:w="1149"/>
      </w:tblGrid>
      <w:tr w:rsidR="00FA09A2" w:rsidRPr="00217865" w14:paraId="50E2BE82" w14:textId="77777777" w:rsidTr="007A503F">
        <w:trPr>
          <w:tblHeader/>
        </w:trPr>
        <w:tc>
          <w:tcPr>
            <w:tcW w:w="631" w:type="dxa"/>
            <w:vAlign w:val="bottom"/>
          </w:tcPr>
          <w:p w14:paraId="3CC34396" w14:textId="543F0015" w:rsidR="00FA09A2" w:rsidRPr="007624C4" w:rsidRDefault="00FA09A2" w:rsidP="00FA09A2">
            <w:pPr>
              <w:pStyle w:val="Z"/>
              <w:spacing w:before="60" w:after="60"/>
              <w:rPr>
                <w:b/>
                <w:bCs/>
                <w:color w:val="000000" w:themeColor="text1"/>
                <w:szCs w:val="18"/>
              </w:rPr>
            </w:pPr>
            <w:r w:rsidRPr="007624C4">
              <w:rPr>
                <w:b/>
                <w:bCs/>
                <w:color w:val="000000" w:themeColor="text1"/>
                <w:szCs w:val="18"/>
              </w:rPr>
              <w:t>Yea</w:t>
            </w:r>
            <w:bookmarkStart w:id="9" w:name="Title_1b"/>
            <w:bookmarkEnd w:id="9"/>
            <w:r w:rsidRPr="007624C4">
              <w:rPr>
                <w:b/>
                <w:bCs/>
                <w:color w:val="000000" w:themeColor="text1"/>
                <w:szCs w:val="18"/>
              </w:rPr>
              <w:t>r</w:t>
            </w:r>
          </w:p>
        </w:tc>
        <w:tc>
          <w:tcPr>
            <w:tcW w:w="1301" w:type="dxa"/>
            <w:vAlign w:val="bottom"/>
          </w:tcPr>
          <w:p w14:paraId="73BF7255"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Skills Development</w:t>
            </w:r>
          </w:p>
          <w:p w14:paraId="2A049A79" w14:textId="12921314" w:rsidR="00FA09A2" w:rsidRPr="00217865" w:rsidRDefault="00FA09A2" w:rsidP="00FA09A2">
            <w:pPr>
              <w:pStyle w:val="Z"/>
              <w:spacing w:before="60" w:after="60"/>
              <w:jc w:val="center"/>
              <w:rPr>
                <w:color w:val="000000" w:themeColor="text1"/>
                <w:szCs w:val="18"/>
              </w:rPr>
            </w:pPr>
            <w:r w:rsidRPr="00FA09A2">
              <w:rPr>
                <w:color w:val="000000" w:themeColor="text1"/>
                <w:szCs w:val="18"/>
              </w:rPr>
              <w:t>Domestic</w:t>
            </w:r>
          </w:p>
        </w:tc>
        <w:tc>
          <w:tcPr>
            <w:tcW w:w="1135" w:type="dxa"/>
            <w:vAlign w:val="bottom"/>
          </w:tcPr>
          <w:p w14:paraId="5FAA4C8E"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Skills Development</w:t>
            </w:r>
          </w:p>
          <w:p w14:paraId="0DA6EAA7" w14:textId="2347C0E0" w:rsidR="00FA09A2" w:rsidRPr="00217865" w:rsidRDefault="00FA09A2" w:rsidP="00FA09A2">
            <w:pPr>
              <w:pStyle w:val="Z"/>
              <w:spacing w:before="60" w:after="60"/>
              <w:jc w:val="center"/>
              <w:rPr>
                <w:color w:val="000000" w:themeColor="text1"/>
                <w:szCs w:val="18"/>
              </w:rPr>
            </w:pPr>
            <w:r w:rsidRPr="00FA09A2">
              <w:rPr>
                <w:color w:val="000000" w:themeColor="text1"/>
                <w:szCs w:val="18"/>
              </w:rPr>
              <w:t>International</w:t>
            </w:r>
          </w:p>
        </w:tc>
        <w:tc>
          <w:tcPr>
            <w:tcW w:w="1251" w:type="dxa"/>
            <w:vAlign w:val="bottom"/>
          </w:tcPr>
          <w:p w14:paraId="45FBC76D"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 xml:space="preserve">Peer </w:t>
            </w:r>
            <w:r w:rsidRPr="00FA09A2">
              <w:rPr>
                <w:b/>
                <w:bCs/>
                <w:color w:val="000000" w:themeColor="text1"/>
                <w:szCs w:val="18"/>
              </w:rPr>
              <w:br/>
              <w:t>Engagement</w:t>
            </w:r>
          </w:p>
          <w:p w14:paraId="5784C236" w14:textId="671E800E" w:rsidR="00FA09A2" w:rsidRPr="00217865" w:rsidRDefault="00FA09A2" w:rsidP="00FA09A2">
            <w:pPr>
              <w:pStyle w:val="Z"/>
              <w:spacing w:before="60" w:after="60"/>
              <w:jc w:val="center"/>
              <w:rPr>
                <w:color w:val="000000" w:themeColor="text1"/>
                <w:szCs w:val="18"/>
              </w:rPr>
            </w:pPr>
            <w:r w:rsidRPr="00FA09A2">
              <w:rPr>
                <w:color w:val="000000" w:themeColor="text1"/>
                <w:szCs w:val="18"/>
              </w:rPr>
              <w:t>Domestic</w:t>
            </w:r>
          </w:p>
        </w:tc>
        <w:tc>
          <w:tcPr>
            <w:tcW w:w="1135" w:type="dxa"/>
            <w:vAlign w:val="bottom"/>
          </w:tcPr>
          <w:p w14:paraId="2558649D"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 xml:space="preserve">Peer </w:t>
            </w:r>
            <w:r w:rsidRPr="00FA09A2">
              <w:rPr>
                <w:b/>
                <w:bCs/>
                <w:color w:val="000000" w:themeColor="text1"/>
                <w:szCs w:val="18"/>
              </w:rPr>
              <w:br/>
              <w:t>Engagement</w:t>
            </w:r>
          </w:p>
          <w:p w14:paraId="1B1B7EA4" w14:textId="4B189EFF" w:rsidR="00FA09A2" w:rsidRPr="00217865" w:rsidRDefault="00FA09A2" w:rsidP="00FA09A2">
            <w:pPr>
              <w:pStyle w:val="Z"/>
              <w:spacing w:before="60" w:after="60"/>
              <w:jc w:val="center"/>
              <w:rPr>
                <w:color w:val="000000" w:themeColor="text1"/>
                <w:szCs w:val="18"/>
              </w:rPr>
            </w:pPr>
            <w:r w:rsidRPr="00FA09A2">
              <w:rPr>
                <w:color w:val="000000" w:themeColor="text1"/>
                <w:szCs w:val="18"/>
              </w:rPr>
              <w:t>International</w:t>
            </w:r>
          </w:p>
        </w:tc>
        <w:tc>
          <w:tcPr>
            <w:tcW w:w="1251" w:type="dxa"/>
            <w:vAlign w:val="bottom"/>
          </w:tcPr>
          <w:p w14:paraId="149328AE"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Teaching Quality and Engagement</w:t>
            </w:r>
          </w:p>
          <w:p w14:paraId="08D61812" w14:textId="6C8C48C4" w:rsidR="00FA09A2" w:rsidRPr="00217865" w:rsidRDefault="00FA09A2" w:rsidP="00FA09A2">
            <w:pPr>
              <w:pStyle w:val="Z"/>
              <w:spacing w:before="60" w:after="60"/>
              <w:jc w:val="center"/>
              <w:rPr>
                <w:color w:val="000000" w:themeColor="text1"/>
                <w:szCs w:val="18"/>
              </w:rPr>
            </w:pPr>
            <w:r w:rsidRPr="00FA09A2">
              <w:rPr>
                <w:color w:val="000000" w:themeColor="text1"/>
                <w:szCs w:val="18"/>
              </w:rPr>
              <w:t>Domestic</w:t>
            </w:r>
          </w:p>
        </w:tc>
        <w:tc>
          <w:tcPr>
            <w:tcW w:w="1135" w:type="dxa"/>
            <w:vAlign w:val="bottom"/>
          </w:tcPr>
          <w:p w14:paraId="43AB97C6" w14:textId="77777777" w:rsidR="00FA09A2" w:rsidRPr="00FA09A2" w:rsidRDefault="00FA09A2" w:rsidP="00FA09A2">
            <w:pPr>
              <w:pStyle w:val="Z"/>
              <w:spacing w:before="60" w:after="60"/>
              <w:jc w:val="center"/>
              <w:rPr>
                <w:b/>
                <w:bCs/>
                <w:color w:val="000000" w:themeColor="text1"/>
                <w:szCs w:val="18"/>
              </w:rPr>
            </w:pPr>
            <w:r w:rsidRPr="00FA09A2">
              <w:rPr>
                <w:b/>
                <w:bCs/>
                <w:color w:val="000000" w:themeColor="text1"/>
                <w:szCs w:val="18"/>
              </w:rPr>
              <w:t>Teaching Quality and Engagement</w:t>
            </w:r>
          </w:p>
          <w:p w14:paraId="186630C0" w14:textId="28EA64E4" w:rsidR="00FA09A2" w:rsidRPr="00217865" w:rsidRDefault="00FA09A2" w:rsidP="00FA09A2">
            <w:pPr>
              <w:pStyle w:val="Z"/>
              <w:spacing w:before="60" w:after="60"/>
              <w:jc w:val="center"/>
              <w:rPr>
                <w:color w:val="000000" w:themeColor="text1"/>
                <w:szCs w:val="18"/>
              </w:rPr>
            </w:pPr>
            <w:r w:rsidRPr="00FA09A2">
              <w:rPr>
                <w:color w:val="000000" w:themeColor="text1"/>
                <w:szCs w:val="18"/>
              </w:rPr>
              <w:t>International</w:t>
            </w:r>
          </w:p>
        </w:tc>
        <w:tc>
          <w:tcPr>
            <w:tcW w:w="911" w:type="dxa"/>
            <w:vAlign w:val="bottom"/>
          </w:tcPr>
          <w:p w14:paraId="3C67B889" w14:textId="77777777" w:rsidR="00FA09A2" w:rsidRPr="00FA09A2" w:rsidRDefault="00FA09A2" w:rsidP="00FA09A2">
            <w:pPr>
              <w:pStyle w:val="zz"/>
              <w:framePr w:wrap="around"/>
              <w:spacing w:before="60" w:after="60"/>
              <w:rPr>
                <w:rFonts w:ascii="Arial" w:hAnsi="Arial" w:cs="Arial"/>
                <w:color w:val="000000" w:themeColor="text1"/>
              </w:rPr>
            </w:pPr>
            <w:r w:rsidRPr="00FA09A2">
              <w:rPr>
                <w:rFonts w:ascii="Arial" w:hAnsi="Arial" w:cs="Arial"/>
                <w:color w:val="000000" w:themeColor="text1"/>
              </w:rPr>
              <w:t>Student Support and Services</w:t>
            </w:r>
          </w:p>
          <w:p w14:paraId="2368F0CC" w14:textId="721F4299" w:rsidR="00FA09A2" w:rsidRPr="00FA09A2" w:rsidRDefault="00FA09A2" w:rsidP="00FA09A2">
            <w:pPr>
              <w:pStyle w:val="Z"/>
              <w:spacing w:before="60" w:after="60"/>
              <w:jc w:val="center"/>
              <w:rPr>
                <w:color w:val="000000" w:themeColor="text1"/>
                <w:szCs w:val="18"/>
              </w:rPr>
            </w:pPr>
            <w:r w:rsidRPr="00FA09A2">
              <w:rPr>
                <w:color w:val="000000" w:themeColor="text1"/>
                <w:szCs w:val="18"/>
              </w:rPr>
              <w:t>Domestic</w:t>
            </w:r>
          </w:p>
        </w:tc>
        <w:tc>
          <w:tcPr>
            <w:tcW w:w="1135" w:type="dxa"/>
            <w:vAlign w:val="bottom"/>
          </w:tcPr>
          <w:p w14:paraId="3646973D" w14:textId="77777777" w:rsidR="00FA09A2" w:rsidRPr="00FA09A2" w:rsidRDefault="00FA09A2" w:rsidP="00FA09A2">
            <w:pPr>
              <w:pStyle w:val="zz"/>
              <w:framePr w:wrap="auto"/>
              <w:spacing w:before="60" w:after="60"/>
              <w:rPr>
                <w:rFonts w:ascii="Arial" w:hAnsi="Arial" w:cs="Arial"/>
                <w:color w:val="000000" w:themeColor="text1"/>
              </w:rPr>
            </w:pPr>
            <w:r w:rsidRPr="00FA09A2">
              <w:rPr>
                <w:rFonts w:ascii="Arial" w:hAnsi="Arial" w:cs="Arial"/>
                <w:color w:val="000000" w:themeColor="text1"/>
              </w:rPr>
              <w:t>Student Support and Services</w:t>
            </w:r>
          </w:p>
          <w:p w14:paraId="0BEA7AAF" w14:textId="4D24D3FA" w:rsidR="00FA09A2" w:rsidRPr="00FA09A2" w:rsidRDefault="00FA09A2" w:rsidP="00FA09A2">
            <w:pPr>
              <w:pStyle w:val="Z"/>
              <w:spacing w:before="60" w:after="60"/>
              <w:jc w:val="center"/>
              <w:rPr>
                <w:color w:val="000000" w:themeColor="text1"/>
                <w:szCs w:val="18"/>
              </w:rPr>
            </w:pPr>
            <w:r w:rsidRPr="00FA09A2">
              <w:rPr>
                <w:color w:val="000000" w:themeColor="text1"/>
                <w:szCs w:val="18"/>
              </w:rPr>
              <w:t>International</w:t>
            </w:r>
          </w:p>
        </w:tc>
        <w:tc>
          <w:tcPr>
            <w:tcW w:w="1091" w:type="dxa"/>
            <w:vAlign w:val="bottom"/>
          </w:tcPr>
          <w:p w14:paraId="3D71445F" w14:textId="268A3734" w:rsidR="00FA09A2" w:rsidRPr="00217865" w:rsidRDefault="00FA09A2" w:rsidP="00FA09A2">
            <w:pPr>
              <w:pStyle w:val="Z"/>
              <w:spacing w:before="60" w:after="60"/>
              <w:jc w:val="center"/>
              <w:rPr>
                <w:color w:val="000000" w:themeColor="text1"/>
                <w:szCs w:val="18"/>
              </w:rPr>
            </w:pPr>
            <w:r w:rsidRPr="00FA09A2">
              <w:rPr>
                <w:b/>
                <w:bCs/>
                <w:color w:val="000000" w:themeColor="text1"/>
                <w:szCs w:val="18"/>
              </w:rPr>
              <w:t>Learning Resources</w:t>
            </w:r>
            <w:r w:rsidRPr="00FA09A2">
              <w:rPr>
                <w:b/>
                <w:bCs/>
                <w:color w:val="000000" w:themeColor="text1"/>
              </w:rPr>
              <w:t xml:space="preserve"> </w:t>
            </w:r>
            <w:r w:rsidRPr="00FA09A2">
              <w:rPr>
                <w:color w:val="000000" w:themeColor="text1"/>
                <w:szCs w:val="18"/>
              </w:rPr>
              <w:t>Domestic</w:t>
            </w:r>
          </w:p>
        </w:tc>
        <w:tc>
          <w:tcPr>
            <w:tcW w:w="1135" w:type="dxa"/>
            <w:vAlign w:val="bottom"/>
          </w:tcPr>
          <w:p w14:paraId="3D58BE36" w14:textId="52A019F9" w:rsidR="00FA09A2" w:rsidRPr="00217865" w:rsidRDefault="00FA09A2" w:rsidP="00FA09A2">
            <w:pPr>
              <w:pStyle w:val="Z"/>
              <w:spacing w:before="60" w:after="60"/>
              <w:jc w:val="center"/>
              <w:rPr>
                <w:color w:val="000000" w:themeColor="text1"/>
                <w:szCs w:val="18"/>
              </w:rPr>
            </w:pPr>
            <w:r w:rsidRPr="00FA09A2">
              <w:rPr>
                <w:b/>
                <w:bCs/>
                <w:color w:val="000000" w:themeColor="text1"/>
                <w:szCs w:val="18"/>
              </w:rPr>
              <w:t>Learning Resources</w:t>
            </w:r>
            <w:r w:rsidRPr="00FA09A2">
              <w:rPr>
                <w:b/>
                <w:bCs/>
                <w:color w:val="000000" w:themeColor="text1"/>
              </w:rPr>
              <w:t xml:space="preserve"> </w:t>
            </w:r>
            <w:r w:rsidRPr="00FA09A2">
              <w:rPr>
                <w:color w:val="000000" w:themeColor="text1"/>
                <w:szCs w:val="18"/>
              </w:rPr>
              <w:t>International</w:t>
            </w:r>
          </w:p>
        </w:tc>
        <w:tc>
          <w:tcPr>
            <w:tcW w:w="1171" w:type="dxa"/>
            <w:vAlign w:val="bottom"/>
          </w:tcPr>
          <w:p w14:paraId="10860552" w14:textId="2B4DEEE6" w:rsidR="00FA09A2" w:rsidRPr="00217865" w:rsidRDefault="00FA09A2" w:rsidP="00FA09A2">
            <w:pPr>
              <w:pStyle w:val="Z"/>
              <w:spacing w:before="60" w:after="60"/>
              <w:jc w:val="center"/>
              <w:rPr>
                <w:color w:val="000000" w:themeColor="text1"/>
                <w:szCs w:val="18"/>
              </w:rPr>
            </w:pPr>
            <w:r w:rsidRPr="00FA09A2">
              <w:rPr>
                <w:b/>
                <w:bCs/>
                <w:color w:val="000000" w:themeColor="text1"/>
                <w:szCs w:val="18"/>
              </w:rPr>
              <w:t>Quality of entire educational experience</w:t>
            </w:r>
            <w:r w:rsidRPr="00FA09A2">
              <w:rPr>
                <w:b/>
                <w:bCs/>
                <w:color w:val="000000" w:themeColor="text1"/>
              </w:rPr>
              <w:t xml:space="preserve"> </w:t>
            </w:r>
            <w:r w:rsidRPr="00FA09A2">
              <w:rPr>
                <w:color w:val="000000" w:themeColor="text1"/>
                <w:szCs w:val="18"/>
              </w:rPr>
              <w:t>Domestic</w:t>
            </w:r>
          </w:p>
        </w:tc>
        <w:tc>
          <w:tcPr>
            <w:tcW w:w="1135" w:type="dxa"/>
            <w:vAlign w:val="bottom"/>
          </w:tcPr>
          <w:p w14:paraId="0086DD41" w14:textId="19FF18F9" w:rsidR="00FA09A2" w:rsidRPr="00217865" w:rsidRDefault="00FA09A2" w:rsidP="00FA09A2">
            <w:pPr>
              <w:pStyle w:val="Z"/>
              <w:spacing w:before="60" w:after="60"/>
              <w:jc w:val="center"/>
              <w:rPr>
                <w:color w:val="000000" w:themeColor="text1"/>
                <w:szCs w:val="18"/>
              </w:rPr>
            </w:pPr>
            <w:r w:rsidRPr="00FA09A2">
              <w:rPr>
                <w:b/>
                <w:bCs/>
                <w:color w:val="000000" w:themeColor="text1"/>
                <w:szCs w:val="18"/>
              </w:rPr>
              <w:t>Quality of entire educational experience</w:t>
            </w:r>
            <w:r w:rsidRPr="00FA09A2">
              <w:rPr>
                <w:b/>
                <w:bCs/>
                <w:color w:val="000000" w:themeColor="text1"/>
              </w:rPr>
              <w:t xml:space="preserve"> </w:t>
            </w:r>
            <w:r w:rsidRPr="00FA09A2">
              <w:rPr>
                <w:color w:val="000000" w:themeColor="text1"/>
                <w:szCs w:val="18"/>
              </w:rPr>
              <w:t>International</w:t>
            </w:r>
          </w:p>
        </w:tc>
      </w:tr>
      <w:tr w:rsidR="00217865" w:rsidRPr="00217865" w14:paraId="6CD3D4B6" w14:textId="77777777" w:rsidTr="002D7DED">
        <w:tc>
          <w:tcPr>
            <w:tcW w:w="631" w:type="dxa"/>
          </w:tcPr>
          <w:p w14:paraId="25B36E66"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2017</w:t>
            </w:r>
          </w:p>
        </w:tc>
        <w:tc>
          <w:tcPr>
            <w:tcW w:w="1301" w:type="dxa"/>
            <w:vAlign w:val="bottom"/>
          </w:tcPr>
          <w:p w14:paraId="6F9F16F1" w14:textId="1F57388D" w:rsidR="00912B4E" w:rsidRPr="00217865" w:rsidRDefault="00912B4E" w:rsidP="001863FA">
            <w:pPr>
              <w:pStyle w:val="Z"/>
              <w:spacing w:before="60" w:after="60"/>
              <w:jc w:val="center"/>
              <w:rPr>
                <w:color w:val="000000" w:themeColor="text1"/>
                <w:szCs w:val="18"/>
              </w:rPr>
            </w:pPr>
            <w:r w:rsidRPr="00217865">
              <w:rPr>
                <w:color w:val="000000" w:themeColor="text1"/>
                <w:szCs w:val="18"/>
              </w:rPr>
              <w:t>79.0</w:t>
            </w:r>
          </w:p>
        </w:tc>
        <w:tc>
          <w:tcPr>
            <w:tcW w:w="1135" w:type="dxa"/>
            <w:vAlign w:val="bottom"/>
          </w:tcPr>
          <w:p w14:paraId="45401E3A" w14:textId="7021486B" w:rsidR="00912B4E" w:rsidRPr="00217865" w:rsidRDefault="00912B4E" w:rsidP="001863FA">
            <w:pPr>
              <w:pStyle w:val="Z"/>
              <w:spacing w:before="60" w:after="60"/>
              <w:jc w:val="center"/>
              <w:rPr>
                <w:color w:val="000000" w:themeColor="text1"/>
                <w:szCs w:val="18"/>
              </w:rPr>
            </w:pPr>
            <w:r w:rsidRPr="00217865">
              <w:rPr>
                <w:color w:val="000000" w:themeColor="text1"/>
                <w:szCs w:val="18"/>
              </w:rPr>
              <w:t>82.2</w:t>
            </w:r>
          </w:p>
        </w:tc>
        <w:tc>
          <w:tcPr>
            <w:tcW w:w="1251" w:type="dxa"/>
            <w:vAlign w:val="bottom"/>
          </w:tcPr>
          <w:p w14:paraId="47D46884" w14:textId="03179A29" w:rsidR="00912B4E" w:rsidRPr="00217865" w:rsidRDefault="00912B4E" w:rsidP="001863FA">
            <w:pPr>
              <w:pStyle w:val="Z"/>
              <w:spacing w:before="60" w:after="60"/>
              <w:jc w:val="center"/>
              <w:rPr>
                <w:color w:val="000000" w:themeColor="text1"/>
                <w:szCs w:val="18"/>
              </w:rPr>
            </w:pPr>
            <w:r w:rsidRPr="00217865">
              <w:rPr>
                <w:color w:val="000000" w:themeColor="text1"/>
                <w:szCs w:val="18"/>
              </w:rPr>
              <w:t>46.1</w:t>
            </w:r>
          </w:p>
        </w:tc>
        <w:tc>
          <w:tcPr>
            <w:tcW w:w="1135" w:type="dxa"/>
            <w:vAlign w:val="bottom"/>
          </w:tcPr>
          <w:p w14:paraId="3ABA7ACD" w14:textId="3B81D982" w:rsidR="00912B4E" w:rsidRPr="00217865" w:rsidRDefault="00912B4E" w:rsidP="001863FA">
            <w:pPr>
              <w:pStyle w:val="Z"/>
              <w:spacing w:before="60" w:after="60"/>
              <w:jc w:val="center"/>
              <w:rPr>
                <w:color w:val="000000" w:themeColor="text1"/>
                <w:szCs w:val="18"/>
              </w:rPr>
            </w:pPr>
            <w:r w:rsidRPr="00217865">
              <w:rPr>
                <w:color w:val="000000" w:themeColor="text1"/>
                <w:szCs w:val="18"/>
              </w:rPr>
              <w:t>59.4</w:t>
            </w:r>
          </w:p>
        </w:tc>
        <w:tc>
          <w:tcPr>
            <w:tcW w:w="1251" w:type="dxa"/>
            <w:vAlign w:val="bottom"/>
          </w:tcPr>
          <w:p w14:paraId="1F05E510" w14:textId="5A31BC68" w:rsidR="00912B4E" w:rsidRPr="00217865" w:rsidRDefault="00912B4E" w:rsidP="001863FA">
            <w:pPr>
              <w:pStyle w:val="Z"/>
              <w:spacing w:before="60" w:after="60"/>
              <w:jc w:val="center"/>
              <w:rPr>
                <w:color w:val="000000" w:themeColor="text1"/>
                <w:szCs w:val="18"/>
              </w:rPr>
            </w:pPr>
            <w:r w:rsidRPr="00217865">
              <w:rPr>
                <w:color w:val="000000" w:themeColor="text1"/>
                <w:szCs w:val="18"/>
              </w:rPr>
              <w:t>80.2</w:t>
            </w:r>
          </w:p>
        </w:tc>
        <w:tc>
          <w:tcPr>
            <w:tcW w:w="1135" w:type="dxa"/>
            <w:vAlign w:val="bottom"/>
          </w:tcPr>
          <w:p w14:paraId="40316171" w14:textId="4115B986" w:rsidR="00912B4E" w:rsidRPr="00217865" w:rsidRDefault="00912B4E" w:rsidP="001863FA">
            <w:pPr>
              <w:pStyle w:val="Z"/>
              <w:spacing w:before="60" w:after="60"/>
              <w:jc w:val="center"/>
              <w:rPr>
                <w:color w:val="000000" w:themeColor="text1"/>
                <w:szCs w:val="18"/>
              </w:rPr>
            </w:pPr>
            <w:r w:rsidRPr="00217865">
              <w:rPr>
                <w:color w:val="000000" w:themeColor="text1"/>
                <w:szCs w:val="18"/>
              </w:rPr>
              <w:t>80.1</w:t>
            </w:r>
          </w:p>
        </w:tc>
        <w:tc>
          <w:tcPr>
            <w:tcW w:w="911" w:type="dxa"/>
            <w:vAlign w:val="bottom"/>
          </w:tcPr>
          <w:p w14:paraId="41740298" w14:textId="0D281594" w:rsidR="00912B4E" w:rsidRPr="00217865" w:rsidRDefault="00912B4E" w:rsidP="001863FA">
            <w:pPr>
              <w:pStyle w:val="Z"/>
              <w:spacing w:before="60" w:after="60"/>
              <w:jc w:val="center"/>
              <w:rPr>
                <w:color w:val="000000" w:themeColor="text1"/>
                <w:szCs w:val="18"/>
              </w:rPr>
            </w:pPr>
            <w:r w:rsidRPr="00217865">
              <w:rPr>
                <w:color w:val="000000" w:themeColor="text1"/>
                <w:szCs w:val="18"/>
              </w:rPr>
              <w:t>71.9</w:t>
            </w:r>
          </w:p>
        </w:tc>
        <w:tc>
          <w:tcPr>
            <w:tcW w:w="1135" w:type="dxa"/>
            <w:vAlign w:val="bottom"/>
          </w:tcPr>
          <w:p w14:paraId="1A945331" w14:textId="55D0744E" w:rsidR="00912B4E" w:rsidRPr="00217865" w:rsidRDefault="00912B4E" w:rsidP="001863FA">
            <w:pPr>
              <w:pStyle w:val="Z"/>
              <w:spacing w:before="60" w:after="60"/>
              <w:jc w:val="center"/>
              <w:rPr>
                <w:color w:val="000000" w:themeColor="text1"/>
                <w:szCs w:val="18"/>
              </w:rPr>
            </w:pPr>
            <w:r w:rsidRPr="00217865">
              <w:rPr>
                <w:color w:val="000000" w:themeColor="text1"/>
                <w:szCs w:val="18"/>
              </w:rPr>
              <w:t>74.2</w:t>
            </w:r>
          </w:p>
        </w:tc>
        <w:tc>
          <w:tcPr>
            <w:tcW w:w="1091" w:type="dxa"/>
            <w:vAlign w:val="bottom"/>
          </w:tcPr>
          <w:p w14:paraId="47484DB3" w14:textId="12B45764" w:rsidR="00912B4E" w:rsidRPr="00217865" w:rsidRDefault="00912B4E" w:rsidP="001863FA">
            <w:pPr>
              <w:pStyle w:val="Z"/>
              <w:spacing w:before="60" w:after="60"/>
              <w:jc w:val="center"/>
              <w:rPr>
                <w:color w:val="000000" w:themeColor="text1"/>
                <w:szCs w:val="18"/>
              </w:rPr>
            </w:pPr>
            <w:r w:rsidRPr="00217865">
              <w:rPr>
                <w:color w:val="000000" w:themeColor="text1"/>
                <w:szCs w:val="18"/>
              </w:rPr>
              <w:t>80.0</w:t>
            </w:r>
          </w:p>
        </w:tc>
        <w:tc>
          <w:tcPr>
            <w:tcW w:w="1135" w:type="dxa"/>
            <w:vAlign w:val="bottom"/>
          </w:tcPr>
          <w:p w14:paraId="3BD9B022" w14:textId="2B894B7B" w:rsidR="00912B4E" w:rsidRPr="00217865" w:rsidRDefault="00912B4E" w:rsidP="001863FA">
            <w:pPr>
              <w:pStyle w:val="Z"/>
              <w:spacing w:before="60" w:after="60"/>
              <w:jc w:val="center"/>
              <w:rPr>
                <w:color w:val="000000" w:themeColor="text1"/>
                <w:szCs w:val="18"/>
              </w:rPr>
            </w:pPr>
            <w:r w:rsidRPr="00217865">
              <w:rPr>
                <w:color w:val="000000" w:themeColor="text1"/>
                <w:szCs w:val="18"/>
              </w:rPr>
              <w:t>83.2</w:t>
            </w:r>
          </w:p>
        </w:tc>
        <w:tc>
          <w:tcPr>
            <w:tcW w:w="1171" w:type="dxa"/>
            <w:vAlign w:val="bottom"/>
          </w:tcPr>
          <w:p w14:paraId="2946D59B" w14:textId="6A443B00" w:rsidR="00912B4E" w:rsidRPr="00217865" w:rsidRDefault="00912B4E" w:rsidP="001863FA">
            <w:pPr>
              <w:pStyle w:val="Z"/>
              <w:spacing w:before="60" w:after="60"/>
              <w:jc w:val="center"/>
              <w:rPr>
                <w:color w:val="000000" w:themeColor="text1"/>
                <w:szCs w:val="18"/>
              </w:rPr>
            </w:pPr>
            <w:r w:rsidRPr="00217865">
              <w:rPr>
                <w:color w:val="000000" w:themeColor="text1"/>
                <w:szCs w:val="18"/>
              </w:rPr>
              <w:t>76.3</w:t>
            </w:r>
          </w:p>
        </w:tc>
        <w:tc>
          <w:tcPr>
            <w:tcW w:w="1135" w:type="dxa"/>
            <w:vAlign w:val="bottom"/>
          </w:tcPr>
          <w:p w14:paraId="1D7D5934" w14:textId="56985919" w:rsidR="00912B4E" w:rsidRPr="00217865" w:rsidRDefault="00912B4E" w:rsidP="001863FA">
            <w:pPr>
              <w:pStyle w:val="Z"/>
              <w:spacing w:before="60" w:after="60"/>
              <w:jc w:val="center"/>
              <w:rPr>
                <w:color w:val="000000" w:themeColor="text1"/>
                <w:szCs w:val="18"/>
              </w:rPr>
            </w:pPr>
            <w:r w:rsidRPr="00217865">
              <w:rPr>
                <w:color w:val="000000" w:themeColor="text1"/>
                <w:szCs w:val="18"/>
              </w:rPr>
              <w:t>74.7</w:t>
            </w:r>
          </w:p>
        </w:tc>
      </w:tr>
      <w:tr w:rsidR="00217865" w:rsidRPr="00217865" w14:paraId="31F66627" w14:textId="77777777" w:rsidTr="002D7DED">
        <w:tc>
          <w:tcPr>
            <w:tcW w:w="631" w:type="dxa"/>
          </w:tcPr>
          <w:p w14:paraId="15944C7F"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2018</w:t>
            </w:r>
          </w:p>
        </w:tc>
        <w:tc>
          <w:tcPr>
            <w:tcW w:w="1301" w:type="dxa"/>
            <w:vAlign w:val="bottom"/>
          </w:tcPr>
          <w:p w14:paraId="754759B5" w14:textId="47E430D9" w:rsidR="00912B4E" w:rsidRPr="00217865" w:rsidRDefault="00912B4E" w:rsidP="001863FA">
            <w:pPr>
              <w:pStyle w:val="Z"/>
              <w:spacing w:before="60" w:after="60"/>
              <w:jc w:val="center"/>
              <w:rPr>
                <w:color w:val="000000" w:themeColor="text1"/>
                <w:szCs w:val="18"/>
              </w:rPr>
            </w:pPr>
            <w:r w:rsidRPr="00217865">
              <w:rPr>
                <w:color w:val="000000" w:themeColor="text1"/>
                <w:szCs w:val="18"/>
              </w:rPr>
              <w:t>79.6</w:t>
            </w:r>
          </w:p>
        </w:tc>
        <w:tc>
          <w:tcPr>
            <w:tcW w:w="1135" w:type="dxa"/>
            <w:vAlign w:val="bottom"/>
          </w:tcPr>
          <w:p w14:paraId="4D497016" w14:textId="1832D7F7" w:rsidR="00912B4E" w:rsidRPr="00217865" w:rsidRDefault="00912B4E" w:rsidP="001863FA">
            <w:pPr>
              <w:pStyle w:val="Z"/>
              <w:spacing w:before="60" w:after="60"/>
              <w:jc w:val="center"/>
              <w:rPr>
                <w:color w:val="000000" w:themeColor="text1"/>
                <w:szCs w:val="18"/>
              </w:rPr>
            </w:pPr>
            <w:r w:rsidRPr="00217865">
              <w:rPr>
                <w:color w:val="000000" w:themeColor="text1"/>
                <w:szCs w:val="18"/>
              </w:rPr>
              <w:t>82.0</w:t>
            </w:r>
          </w:p>
        </w:tc>
        <w:tc>
          <w:tcPr>
            <w:tcW w:w="1251" w:type="dxa"/>
            <w:vAlign w:val="bottom"/>
          </w:tcPr>
          <w:p w14:paraId="155DD53C" w14:textId="7F82160F" w:rsidR="00912B4E" w:rsidRPr="00217865" w:rsidRDefault="00912B4E" w:rsidP="001863FA">
            <w:pPr>
              <w:pStyle w:val="Z"/>
              <w:spacing w:before="60" w:after="60"/>
              <w:jc w:val="center"/>
              <w:rPr>
                <w:color w:val="000000" w:themeColor="text1"/>
                <w:szCs w:val="18"/>
              </w:rPr>
            </w:pPr>
            <w:r w:rsidRPr="00217865">
              <w:rPr>
                <w:color w:val="000000" w:themeColor="text1"/>
                <w:szCs w:val="18"/>
              </w:rPr>
              <w:t>45.7</w:t>
            </w:r>
          </w:p>
        </w:tc>
        <w:tc>
          <w:tcPr>
            <w:tcW w:w="1135" w:type="dxa"/>
            <w:vAlign w:val="bottom"/>
          </w:tcPr>
          <w:p w14:paraId="4BCA1F16" w14:textId="3C953962" w:rsidR="00912B4E" w:rsidRPr="00217865" w:rsidRDefault="00912B4E" w:rsidP="001863FA">
            <w:pPr>
              <w:pStyle w:val="Z"/>
              <w:spacing w:before="60" w:after="60"/>
              <w:jc w:val="center"/>
              <w:rPr>
                <w:color w:val="000000" w:themeColor="text1"/>
                <w:szCs w:val="18"/>
              </w:rPr>
            </w:pPr>
            <w:r w:rsidRPr="00217865">
              <w:rPr>
                <w:color w:val="000000" w:themeColor="text1"/>
                <w:szCs w:val="18"/>
              </w:rPr>
              <w:t>59.5</w:t>
            </w:r>
          </w:p>
        </w:tc>
        <w:tc>
          <w:tcPr>
            <w:tcW w:w="1251" w:type="dxa"/>
            <w:vAlign w:val="bottom"/>
          </w:tcPr>
          <w:p w14:paraId="241762FD" w14:textId="797B180D" w:rsidR="00912B4E" w:rsidRPr="00217865" w:rsidRDefault="00912B4E" w:rsidP="001863FA">
            <w:pPr>
              <w:pStyle w:val="Z"/>
              <w:spacing w:before="60" w:after="60"/>
              <w:jc w:val="center"/>
              <w:rPr>
                <w:color w:val="000000" w:themeColor="text1"/>
                <w:szCs w:val="18"/>
              </w:rPr>
            </w:pPr>
            <w:r w:rsidRPr="00217865">
              <w:rPr>
                <w:color w:val="000000" w:themeColor="text1"/>
                <w:szCs w:val="18"/>
              </w:rPr>
              <w:t>82.1</w:t>
            </w:r>
          </w:p>
        </w:tc>
        <w:tc>
          <w:tcPr>
            <w:tcW w:w="1135" w:type="dxa"/>
            <w:vAlign w:val="bottom"/>
          </w:tcPr>
          <w:p w14:paraId="303D4F24" w14:textId="0256AAC7" w:rsidR="00912B4E" w:rsidRPr="00217865" w:rsidRDefault="00912B4E" w:rsidP="001863FA">
            <w:pPr>
              <w:pStyle w:val="Z"/>
              <w:spacing w:before="60" w:after="60"/>
              <w:jc w:val="center"/>
              <w:rPr>
                <w:color w:val="000000" w:themeColor="text1"/>
                <w:szCs w:val="18"/>
              </w:rPr>
            </w:pPr>
            <w:r w:rsidRPr="00217865">
              <w:rPr>
                <w:color w:val="000000" w:themeColor="text1"/>
                <w:szCs w:val="18"/>
              </w:rPr>
              <w:t>79.7</w:t>
            </w:r>
          </w:p>
        </w:tc>
        <w:tc>
          <w:tcPr>
            <w:tcW w:w="911" w:type="dxa"/>
            <w:vAlign w:val="bottom"/>
          </w:tcPr>
          <w:p w14:paraId="3B11D9A4" w14:textId="390AAE40" w:rsidR="00912B4E" w:rsidRPr="00217865" w:rsidRDefault="00912B4E" w:rsidP="001863FA">
            <w:pPr>
              <w:pStyle w:val="Z"/>
              <w:spacing w:before="60" w:after="60"/>
              <w:jc w:val="center"/>
              <w:rPr>
                <w:color w:val="000000" w:themeColor="text1"/>
                <w:szCs w:val="18"/>
              </w:rPr>
            </w:pPr>
            <w:r w:rsidRPr="00217865">
              <w:rPr>
                <w:color w:val="000000" w:themeColor="text1"/>
                <w:szCs w:val="18"/>
              </w:rPr>
              <w:t>73.3</w:t>
            </w:r>
          </w:p>
        </w:tc>
        <w:tc>
          <w:tcPr>
            <w:tcW w:w="1135" w:type="dxa"/>
            <w:vAlign w:val="bottom"/>
          </w:tcPr>
          <w:p w14:paraId="36D73FF2" w14:textId="69CBA5E3" w:rsidR="00912B4E" w:rsidRPr="00217865" w:rsidRDefault="00912B4E" w:rsidP="001863FA">
            <w:pPr>
              <w:pStyle w:val="Z"/>
              <w:spacing w:before="60" w:after="60"/>
              <w:jc w:val="center"/>
              <w:rPr>
                <w:color w:val="000000" w:themeColor="text1"/>
                <w:szCs w:val="18"/>
              </w:rPr>
            </w:pPr>
            <w:r w:rsidRPr="00217865">
              <w:rPr>
                <w:color w:val="000000" w:themeColor="text1"/>
                <w:szCs w:val="18"/>
              </w:rPr>
              <w:t>73.4</w:t>
            </w:r>
          </w:p>
        </w:tc>
        <w:tc>
          <w:tcPr>
            <w:tcW w:w="1091" w:type="dxa"/>
            <w:vAlign w:val="bottom"/>
          </w:tcPr>
          <w:p w14:paraId="7ABCF8CF" w14:textId="4D217158" w:rsidR="00912B4E" w:rsidRPr="00217865" w:rsidRDefault="00912B4E" w:rsidP="001863FA">
            <w:pPr>
              <w:pStyle w:val="Z"/>
              <w:spacing w:before="60" w:after="60"/>
              <w:jc w:val="center"/>
              <w:rPr>
                <w:color w:val="000000" w:themeColor="text1"/>
                <w:szCs w:val="18"/>
              </w:rPr>
            </w:pPr>
            <w:r w:rsidRPr="00217865">
              <w:rPr>
                <w:color w:val="000000" w:themeColor="text1"/>
                <w:szCs w:val="18"/>
              </w:rPr>
              <w:t>81.5</w:t>
            </w:r>
          </w:p>
        </w:tc>
        <w:tc>
          <w:tcPr>
            <w:tcW w:w="1135" w:type="dxa"/>
            <w:vAlign w:val="bottom"/>
          </w:tcPr>
          <w:p w14:paraId="3EA20B7E" w14:textId="170617A3" w:rsidR="00912B4E" w:rsidRPr="00217865" w:rsidRDefault="00912B4E" w:rsidP="001863FA">
            <w:pPr>
              <w:pStyle w:val="Z"/>
              <w:spacing w:before="60" w:after="60"/>
              <w:jc w:val="center"/>
              <w:rPr>
                <w:color w:val="000000" w:themeColor="text1"/>
                <w:szCs w:val="18"/>
              </w:rPr>
            </w:pPr>
            <w:r w:rsidRPr="00217865">
              <w:rPr>
                <w:color w:val="000000" w:themeColor="text1"/>
                <w:szCs w:val="18"/>
              </w:rPr>
              <w:t>83.8</w:t>
            </w:r>
          </w:p>
        </w:tc>
        <w:tc>
          <w:tcPr>
            <w:tcW w:w="1171" w:type="dxa"/>
            <w:vAlign w:val="bottom"/>
          </w:tcPr>
          <w:p w14:paraId="699FC8FF" w14:textId="2D9EF5B7" w:rsidR="00912B4E" w:rsidRPr="00217865" w:rsidRDefault="00912B4E" w:rsidP="001863FA">
            <w:pPr>
              <w:pStyle w:val="Z"/>
              <w:spacing w:before="60" w:after="60"/>
              <w:jc w:val="center"/>
              <w:rPr>
                <w:color w:val="000000" w:themeColor="text1"/>
                <w:szCs w:val="18"/>
              </w:rPr>
            </w:pPr>
            <w:r w:rsidRPr="00217865">
              <w:rPr>
                <w:color w:val="000000" w:themeColor="text1"/>
                <w:szCs w:val="18"/>
              </w:rPr>
              <w:t>77.9</w:t>
            </w:r>
          </w:p>
        </w:tc>
        <w:tc>
          <w:tcPr>
            <w:tcW w:w="1135" w:type="dxa"/>
            <w:vAlign w:val="bottom"/>
          </w:tcPr>
          <w:p w14:paraId="31EED1E1" w14:textId="46453AF5" w:rsidR="00912B4E" w:rsidRPr="00217865" w:rsidRDefault="00912B4E" w:rsidP="001863FA">
            <w:pPr>
              <w:pStyle w:val="Z"/>
              <w:spacing w:before="60" w:after="60"/>
              <w:jc w:val="center"/>
              <w:rPr>
                <w:color w:val="000000" w:themeColor="text1"/>
                <w:szCs w:val="18"/>
              </w:rPr>
            </w:pPr>
            <w:r w:rsidRPr="00217865">
              <w:rPr>
                <w:color w:val="000000" w:themeColor="text1"/>
                <w:szCs w:val="18"/>
              </w:rPr>
              <w:t>75.1</w:t>
            </w:r>
          </w:p>
        </w:tc>
      </w:tr>
      <w:tr w:rsidR="00217865" w:rsidRPr="00217865" w14:paraId="2EB71893" w14:textId="77777777" w:rsidTr="002D7DED">
        <w:tc>
          <w:tcPr>
            <w:tcW w:w="631" w:type="dxa"/>
          </w:tcPr>
          <w:p w14:paraId="54B9AF99"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2019</w:t>
            </w:r>
          </w:p>
        </w:tc>
        <w:tc>
          <w:tcPr>
            <w:tcW w:w="1301" w:type="dxa"/>
            <w:vAlign w:val="bottom"/>
          </w:tcPr>
          <w:p w14:paraId="72925AB8" w14:textId="7193DE1E" w:rsidR="00912B4E" w:rsidRPr="00217865" w:rsidRDefault="00912B4E" w:rsidP="001863FA">
            <w:pPr>
              <w:pStyle w:val="Z"/>
              <w:spacing w:before="60" w:after="60"/>
              <w:jc w:val="center"/>
              <w:rPr>
                <w:color w:val="000000" w:themeColor="text1"/>
                <w:szCs w:val="18"/>
              </w:rPr>
            </w:pPr>
            <w:r w:rsidRPr="00217865">
              <w:rPr>
                <w:color w:val="000000" w:themeColor="text1"/>
                <w:szCs w:val="18"/>
              </w:rPr>
              <w:t>79.7</w:t>
            </w:r>
          </w:p>
        </w:tc>
        <w:tc>
          <w:tcPr>
            <w:tcW w:w="1135" w:type="dxa"/>
            <w:vAlign w:val="bottom"/>
          </w:tcPr>
          <w:p w14:paraId="73AF3263" w14:textId="50BD185D" w:rsidR="00912B4E" w:rsidRPr="00217865" w:rsidRDefault="00912B4E" w:rsidP="001863FA">
            <w:pPr>
              <w:pStyle w:val="Z"/>
              <w:spacing w:before="60" w:after="60"/>
              <w:jc w:val="center"/>
              <w:rPr>
                <w:color w:val="000000" w:themeColor="text1"/>
                <w:szCs w:val="18"/>
              </w:rPr>
            </w:pPr>
            <w:r w:rsidRPr="00217865">
              <w:rPr>
                <w:color w:val="000000" w:themeColor="text1"/>
                <w:szCs w:val="18"/>
              </w:rPr>
              <w:t>82.0</w:t>
            </w:r>
          </w:p>
        </w:tc>
        <w:tc>
          <w:tcPr>
            <w:tcW w:w="1251" w:type="dxa"/>
            <w:vAlign w:val="bottom"/>
          </w:tcPr>
          <w:p w14:paraId="232CEF63" w14:textId="43C728DD" w:rsidR="00912B4E" w:rsidRPr="00217865" w:rsidRDefault="00912B4E" w:rsidP="001863FA">
            <w:pPr>
              <w:pStyle w:val="Z"/>
              <w:spacing w:before="60" w:after="60"/>
              <w:jc w:val="center"/>
              <w:rPr>
                <w:color w:val="000000" w:themeColor="text1"/>
                <w:szCs w:val="18"/>
              </w:rPr>
            </w:pPr>
            <w:r w:rsidRPr="00217865">
              <w:rPr>
                <w:color w:val="000000" w:themeColor="text1"/>
                <w:szCs w:val="18"/>
              </w:rPr>
              <w:t>46.2</w:t>
            </w:r>
          </w:p>
        </w:tc>
        <w:tc>
          <w:tcPr>
            <w:tcW w:w="1135" w:type="dxa"/>
            <w:vAlign w:val="bottom"/>
          </w:tcPr>
          <w:p w14:paraId="0DE86057" w14:textId="4A776BF8" w:rsidR="00912B4E" w:rsidRPr="00217865" w:rsidRDefault="00912B4E" w:rsidP="001863FA">
            <w:pPr>
              <w:pStyle w:val="Z"/>
              <w:spacing w:before="60" w:after="60"/>
              <w:jc w:val="center"/>
              <w:rPr>
                <w:color w:val="000000" w:themeColor="text1"/>
                <w:szCs w:val="18"/>
              </w:rPr>
            </w:pPr>
            <w:r w:rsidRPr="00217865">
              <w:rPr>
                <w:color w:val="000000" w:themeColor="text1"/>
                <w:szCs w:val="18"/>
              </w:rPr>
              <w:t>60.6</w:t>
            </w:r>
          </w:p>
        </w:tc>
        <w:tc>
          <w:tcPr>
            <w:tcW w:w="1251" w:type="dxa"/>
            <w:vAlign w:val="bottom"/>
          </w:tcPr>
          <w:p w14:paraId="26C4A600" w14:textId="51E2581A" w:rsidR="00912B4E" w:rsidRPr="00217865" w:rsidRDefault="00912B4E" w:rsidP="001863FA">
            <w:pPr>
              <w:pStyle w:val="Z"/>
              <w:spacing w:before="60" w:after="60"/>
              <w:jc w:val="center"/>
              <w:rPr>
                <w:color w:val="000000" w:themeColor="text1"/>
                <w:szCs w:val="18"/>
              </w:rPr>
            </w:pPr>
            <w:r w:rsidRPr="00217865">
              <w:rPr>
                <w:color w:val="000000" w:themeColor="text1"/>
                <w:szCs w:val="18"/>
              </w:rPr>
              <w:t>81.4</w:t>
            </w:r>
          </w:p>
        </w:tc>
        <w:tc>
          <w:tcPr>
            <w:tcW w:w="1135" w:type="dxa"/>
            <w:vAlign w:val="bottom"/>
          </w:tcPr>
          <w:p w14:paraId="612110E9" w14:textId="735AC60B" w:rsidR="00912B4E" w:rsidRPr="00217865" w:rsidRDefault="00912B4E" w:rsidP="001863FA">
            <w:pPr>
              <w:pStyle w:val="Z"/>
              <w:spacing w:before="60" w:after="60"/>
              <w:jc w:val="center"/>
              <w:rPr>
                <w:color w:val="000000" w:themeColor="text1"/>
                <w:szCs w:val="18"/>
              </w:rPr>
            </w:pPr>
            <w:r w:rsidRPr="00217865">
              <w:rPr>
                <w:color w:val="000000" w:themeColor="text1"/>
                <w:szCs w:val="18"/>
              </w:rPr>
              <w:t>79.7</w:t>
            </w:r>
          </w:p>
        </w:tc>
        <w:tc>
          <w:tcPr>
            <w:tcW w:w="911" w:type="dxa"/>
            <w:vAlign w:val="bottom"/>
          </w:tcPr>
          <w:p w14:paraId="4C929C5A" w14:textId="44A7F119" w:rsidR="00912B4E" w:rsidRPr="00217865" w:rsidRDefault="00912B4E" w:rsidP="001863FA">
            <w:pPr>
              <w:pStyle w:val="Z"/>
              <w:spacing w:before="60" w:after="60"/>
              <w:jc w:val="center"/>
              <w:rPr>
                <w:color w:val="000000" w:themeColor="text1"/>
                <w:szCs w:val="18"/>
              </w:rPr>
            </w:pPr>
            <w:r w:rsidRPr="00217865">
              <w:rPr>
                <w:color w:val="000000" w:themeColor="text1"/>
                <w:szCs w:val="18"/>
              </w:rPr>
              <w:t>73.2</w:t>
            </w:r>
          </w:p>
        </w:tc>
        <w:tc>
          <w:tcPr>
            <w:tcW w:w="1135" w:type="dxa"/>
            <w:vAlign w:val="bottom"/>
          </w:tcPr>
          <w:p w14:paraId="2F84FD24" w14:textId="79D91AAE" w:rsidR="00912B4E" w:rsidRPr="00217865" w:rsidRDefault="00912B4E" w:rsidP="001863FA">
            <w:pPr>
              <w:pStyle w:val="Z"/>
              <w:spacing w:before="60" w:after="60"/>
              <w:jc w:val="center"/>
              <w:rPr>
                <w:color w:val="000000" w:themeColor="text1"/>
                <w:szCs w:val="18"/>
              </w:rPr>
            </w:pPr>
            <w:r w:rsidRPr="00217865">
              <w:rPr>
                <w:color w:val="000000" w:themeColor="text1"/>
                <w:szCs w:val="18"/>
              </w:rPr>
              <w:t>75.8</w:t>
            </w:r>
          </w:p>
        </w:tc>
        <w:tc>
          <w:tcPr>
            <w:tcW w:w="1091" w:type="dxa"/>
            <w:vAlign w:val="bottom"/>
          </w:tcPr>
          <w:p w14:paraId="1BF01CC1" w14:textId="5FC57372" w:rsidR="00912B4E" w:rsidRPr="00217865" w:rsidRDefault="00912B4E" w:rsidP="001863FA">
            <w:pPr>
              <w:pStyle w:val="Z"/>
              <w:spacing w:before="60" w:after="60"/>
              <w:jc w:val="center"/>
              <w:rPr>
                <w:color w:val="000000" w:themeColor="text1"/>
                <w:szCs w:val="18"/>
              </w:rPr>
            </w:pPr>
            <w:r w:rsidRPr="00217865">
              <w:rPr>
                <w:color w:val="000000" w:themeColor="text1"/>
                <w:szCs w:val="18"/>
              </w:rPr>
              <w:t>81.4</w:t>
            </w:r>
          </w:p>
        </w:tc>
        <w:tc>
          <w:tcPr>
            <w:tcW w:w="1135" w:type="dxa"/>
            <w:vAlign w:val="bottom"/>
          </w:tcPr>
          <w:p w14:paraId="658BE74F" w14:textId="34EAD533" w:rsidR="00912B4E" w:rsidRPr="00217865" w:rsidRDefault="00912B4E" w:rsidP="001863FA">
            <w:pPr>
              <w:pStyle w:val="Z"/>
              <w:spacing w:before="60" w:after="60"/>
              <w:jc w:val="center"/>
              <w:rPr>
                <w:color w:val="000000" w:themeColor="text1"/>
                <w:szCs w:val="18"/>
              </w:rPr>
            </w:pPr>
            <w:r w:rsidRPr="00217865">
              <w:rPr>
                <w:color w:val="000000" w:themeColor="text1"/>
                <w:szCs w:val="18"/>
              </w:rPr>
              <w:t>83.7</w:t>
            </w:r>
          </w:p>
        </w:tc>
        <w:tc>
          <w:tcPr>
            <w:tcW w:w="1171" w:type="dxa"/>
            <w:vAlign w:val="bottom"/>
          </w:tcPr>
          <w:p w14:paraId="4335C1AD" w14:textId="68F39BCC" w:rsidR="00912B4E" w:rsidRPr="00217865" w:rsidRDefault="00912B4E" w:rsidP="001863FA">
            <w:pPr>
              <w:pStyle w:val="Z"/>
              <w:spacing w:before="60" w:after="60"/>
              <w:jc w:val="center"/>
              <w:rPr>
                <w:color w:val="000000" w:themeColor="text1"/>
                <w:szCs w:val="18"/>
              </w:rPr>
            </w:pPr>
            <w:r w:rsidRPr="00217865">
              <w:rPr>
                <w:color w:val="000000" w:themeColor="text1"/>
                <w:szCs w:val="18"/>
              </w:rPr>
              <w:t>77.3</w:t>
            </w:r>
          </w:p>
        </w:tc>
        <w:tc>
          <w:tcPr>
            <w:tcW w:w="1135" w:type="dxa"/>
            <w:vAlign w:val="bottom"/>
          </w:tcPr>
          <w:p w14:paraId="0053ECFB" w14:textId="64ACD64C" w:rsidR="00912B4E" w:rsidRPr="00217865" w:rsidRDefault="00912B4E" w:rsidP="001863FA">
            <w:pPr>
              <w:pStyle w:val="Z"/>
              <w:spacing w:before="60" w:after="60"/>
              <w:jc w:val="center"/>
              <w:rPr>
                <w:color w:val="000000" w:themeColor="text1"/>
                <w:szCs w:val="18"/>
              </w:rPr>
            </w:pPr>
            <w:r w:rsidRPr="00217865">
              <w:rPr>
                <w:color w:val="000000" w:themeColor="text1"/>
                <w:szCs w:val="18"/>
              </w:rPr>
              <w:t>74.8</w:t>
            </w:r>
          </w:p>
        </w:tc>
      </w:tr>
      <w:tr w:rsidR="00217865" w:rsidRPr="00217865" w14:paraId="2F6DD9D3" w14:textId="77777777" w:rsidTr="002D7DED">
        <w:tc>
          <w:tcPr>
            <w:tcW w:w="631" w:type="dxa"/>
          </w:tcPr>
          <w:p w14:paraId="41368C81"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2020</w:t>
            </w:r>
          </w:p>
        </w:tc>
        <w:tc>
          <w:tcPr>
            <w:tcW w:w="1301" w:type="dxa"/>
            <w:vAlign w:val="bottom"/>
          </w:tcPr>
          <w:p w14:paraId="64B91591" w14:textId="015C7E2E" w:rsidR="00912B4E" w:rsidRPr="00217865" w:rsidRDefault="00912B4E" w:rsidP="001863FA">
            <w:pPr>
              <w:pStyle w:val="Z"/>
              <w:spacing w:before="60" w:after="60"/>
              <w:jc w:val="center"/>
              <w:rPr>
                <w:color w:val="000000" w:themeColor="text1"/>
                <w:szCs w:val="18"/>
              </w:rPr>
            </w:pPr>
            <w:r w:rsidRPr="00217865">
              <w:rPr>
                <w:color w:val="000000" w:themeColor="text1"/>
                <w:szCs w:val="18"/>
              </w:rPr>
              <w:t>79.0</w:t>
            </w:r>
          </w:p>
        </w:tc>
        <w:tc>
          <w:tcPr>
            <w:tcW w:w="1135" w:type="dxa"/>
            <w:vAlign w:val="bottom"/>
          </w:tcPr>
          <w:p w14:paraId="2B7D3A50" w14:textId="54616EBF" w:rsidR="00912B4E" w:rsidRPr="00217865" w:rsidRDefault="00912B4E" w:rsidP="001863FA">
            <w:pPr>
              <w:pStyle w:val="Z"/>
              <w:spacing w:before="60" w:after="60"/>
              <w:jc w:val="center"/>
              <w:rPr>
                <w:color w:val="000000" w:themeColor="text1"/>
                <w:szCs w:val="18"/>
              </w:rPr>
            </w:pPr>
            <w:r w:rsidRPr="00217865">
              <w:rPr>
                <w:color w:val="000000" w:themeColor="text1"/>
                <w:szCs w:val="18"/>
              </w:rPr>
              <w:t>77.6</w:t>
            </w:r>
          </w:p>
        </w:tc>
        <w:tc>
          <w:tcPr>
            <w:tcW w:w="1251" w:type="dxa"/>
            <w:vAlign w:val="bottom"/>
          </w:tcPr>
          <w:p w14:paraId="7E32D258" w14:textId="6275E015" w:rsidR="00912B4E" w:rsidRPr="00217865" w:rsidRDefault="00912B4E" w:rsidP="001863FA">
            <w:pPr>
              <w:pStyle w:val="Z"/>
              <w:spacing w:before="60" w:after="60"/>
              <w:jc w:val="center"/>
              <w:rPr>
                <w:color w:val="000000" w:themeColor="text1"/>
                <w:szCs w:val="18"/>
              </w:rPr>
            </w:pPr>
            <w:r w:rsidRPr="00217865">
              <w:rPr>
                <w:color w:val="000000" w:themeColor="text1"/>
                <w:szCs w:val="18"/>
              </w:rPr>
              <w:t>36.2</w:t>
            </w:r>
          </w:p>
        </w:tc>
        <w:tc>
          <w:tcPr>
            <w:tcW w:w="1135" w:type="dxa"/>
            <w:vAlign w:val="bottom"/>
          </w:tcPr>
          <w:p w14:paraId="7EBC7E83" w14:textId="5F228169" w:rsidR="00912B4E" w:rsidRPr="00217865" w:rsidRDefault="00912B4E" w:rsidP="001863FA">
            <w:pPr>
              <w:pStyle w:val="Z"/>
              <w:spacing w:before="60" w:after="60"/>
              <w:jc w:val="center"/>
              <w:rPr>
                <w:color w:val="000000" w:themeColor="text1"/>
                <w:szCs w:val="18"/>
              </w:rPr>
            </w:pPr>
            <w:r w:rsidRPr="00217865">
              <w:rPr>
                <w:color w:val="000000" w:themeColor="text1"/>
                <w:szCs w:val="18"/>
              </w:rPr>
              <w:t>47.9</w:t>
            </w:r>
          </w:p>
        </w:tc>
        <w:tc>
          <w:tcPr>
            <w:tcW w:w="1251" w:type="dxa"/>
            <w:vAlign w:val="bottom"/>
          </w:tcPr>
          <w:p w14:paraId="204E743C" w14:textId="7C6C9AB7" w:rsidR="00912B4E" w:rsidRPr="00217865" w:rsidRDefault="00912B4E" w:rsidP="001863FA">
            <w:pPr>
              <w:pStyle w:val="Z"/>
              <w:spacing w:before="60" w:after="60"/>
              <w:jc w:val="center"/>
              <w:rPr>
                <w:color w:val="000000" w:themeColor="text1"/>
                <w:szCs w:val="18"/>
              </w:rPr>
            </w:pPr>
            <w:r w:rsidRPr="00217865">
              <w:rPr>
                <w:color w:val="000000" w:themeColor="text1"/>
                <w:szCs w:val="18"/>
              </w:rPr>
              <w:t>81.6</w:t>
            </w:r>
          </w:p>
        </w:tc>
        <w:tc>
          <w:tcPr>
            <w:tcW w:w="1135" w:type="dxa"/>
            <w:vAlign w:val="bottom"/>
          </w:tcPr>
          <w:p w14:paraId="7CCDD305" w14:textId="6D784F18" w:rsidR="00912B4E" w:rsidRPr="00217865" w:rsidRDefault="00912B4E" w:rsidP="001863FA">
            <w:pPr>
              <w:pStyle w:val="Z"/>
              <w:spacing w:before="60" w:after="60"/>
              <w:jc w:val="center"/>
              <w:rPr>
                <w:color w:val="000000" w:themeColor="text1"/>
                <w:szCs w:val="18"/>
              </w:rPr>
            </w:pPr>
            <w:r w:rsidRPr="00217865">
              <w:rPr>
                <w:color w:val="000000" w:themeColor="text1"/>
                <w:szCs w:val="18"/>
              </w:rPr>
              <w:t>74.7</w:t>
            </w:r>
          </w:p>
        </w:tc>
        <w:tc>
          <w:tcPr>
            <w:tcW w:w="911" w:type="dxa"/>
            <w:vAlign w:val="bottom"/>
          </w:tcPr>
          <w:p w14:paraId="7F2573FA" w14:textId="18E173CF" w:rsidR="00912B4E" w:rsidRPr="00217865" w:rsidRDefault="00912B4E" w:rsidP="001863FA">
            <w:pPr>
              <w:pStyle w:val="Z"/>
              <w:spacing w:before="60" w:after="60"/>
              <w:jc w:val="center"/>
              <w:rPr>
                <w:color w:val="000000" w:themeColor="text1"/>
                <w:szCs w:val="18"/>
              </w:rPr>
            </w:pPr>
            <w:r w:rsidRPr="00217865">
              <w:rPr>
                <w:color w:val="000000" w:themeColor="text1"/>
                <w:szCs w:val="18"/>
              </w:rPr>
              <w:t>76.5</w:t>
            </w:r>
          </w:p>
        </w:tc>
        <w:tc>
          <w:tcPr>
            <w:tcW w:w="1135" w:type="dxa"/>
            <w:vAlign w:val="bottom"/>
          </w:tcPr>
          <w:p w14:paraId="5ADF461D" w14:textId="1C248393" w:rsidR="00912B4E" w:rsidRPr="00217865" w:rsidRDefault="00912B4E" w:rsidP="001863FA">
            <w:pPr>
              <w:pStyle w:val="Z"/>
              <w:spacing w:before="60" w:after="60"/>
              <w:jc w:val="center"/>
              <w:rPr>
                <w:color w:val="000000" w:themeColor="text1"/>
                <w:szCs w:val="18"/>
              </w:rPr>
            </w:pPr>
            <w:r w:rsidRPr="00217865">
              <w:rPr>
                <w:color w:val="000000" w:themeColor="text1"/>
                <w:szCs w:val="18"/>
              </w:rPr>
              <w:t>72.1</w:t>
            </w:r>
          </w:p>
        </w:tc>
        <w:tc>
          <w:tcPr>
            <w:tcW w:w="1091" w:type="dxa"/>
            <w:vAlign w:val="bottom"/>
          </w:tcPr>
          <w:p w14:paraId="4291AFF6" w14:textId="3001D7E0" w:rsidR="00912B4E" w:rsidRPr="00217865" w:rsidRDefault="00912B4E" w:rsidP="001863FA">
            <w:pPr>
              <w:pStyle w:val="Z"/>
              <w:spacing w:before="60" w:after="60"/>
              <w:jc w:val="center"/>
              <w:rPr>
                <w:color w:val="000000" w:themeColor="text1"/>
                <w:szCs w:val="18"/>
              </w:rPr>
            </w:pPr>
            <w:r w:rsidRPr="00217865">
              <w:rPr>
                <w:color w:val="000000" w:themeColor="text1"/>
                <w:szCs w:val="18"/>
              </w:rPr>
              <w:t>76.7</w:t>
            </w:r>
          </w:p>
        </w:tc>
        <w:tc>
          <w:tcPr>
            <w:tcW w:w="1135" w:type="dxa"/>
            <w:vAlign w:val="bottom"/>
          </w:tcPr>
          <w:p w14:paraId="6A1839A5" w14:textId="51C377C1" w:rsidR="00912B4E" w:rsidRPr="00217865" w:rsidRDefault="00912B4E" w:rsidP="001863FA">
            <w:pPr>
              <w:pStyle w:val="Z"/>
              <w:spacing w:before="60" w:after="60"/>
              <w:jc w:val="center"/>
              <w:rPr>
                <w:color w:val="000000" w:themeColor="text1"/>
                <w:szCs w:val="18"/>
              </w:rPr>
            </w:pPr>
            <w:r w:rsidRPr="00217865">
              <w:rPr>
                <w:color w:val="000000" w:themeColor="text1"/>
                <w:szCs w:val="18"/>
              </w:rPr>
              <w:t>70.5</w:t>
            </w:r>
          </w:p>
        </w:tc>
        <w:tc>
          <w:tcPr>
            <w:tcW w:w="1171" w:type="dxa"/>
            <w:vAlign w:val="bottom"/>
          </w:tcPr>
          <w:p w14:paraId="3E686182" w14:textId="55A5FEBF" w:rsidR="00912B4E" w:rsidRPr="00217865" w:rsidRDefault="00912B4E" w:rsidP="001863FA">
            <w:pPr>
              <w:pStyle w:val="Z"/>
              <w:spacing w:before="60" w:after="60"/>
              <w:jc w:val="center"/>
              <w:rPr>
                <w:color w:val="000000" w:themeColor="text1"/>
                <w:szCs w:val="18"/>
              </w:rPr>
            </w:pPr>
            <w:r w:rsidRPr="00217865">
              <w:rPr>
                <w:color w:val="000000" w:themeColor="text1"/>
                <w:szCs w:val="18"/>
              </w:rPr>
              <w:t>73.8</w:t>
            </w:r>
          </w:p>
        </w:tc>
        <w:tc>
          <w:tcPr>
            <w:tcW w:w="1135" w:type="dxa"/>
            <w:vAlign w:val="bottom"/>
          </w:tcPr>
          <w:p w14:paraId="457187A7" w14:textId="5C2AB6C2" w:rsidR="00912B4E" w:rsidRPr="00217865" w:rsidRDefault="00912B4E" w:rsidP="001863FA">
            <w:pPr>
              <w:pStyle w:val="Z"/>
              <w:spacing w:before="60" w:after="60"/>
              <w:jc w:val="center"/>
              <w:rPr>
                <w:color w:val="000000" w:themeColor="text1"/>
                <w:szCs w:val="18"/>
              </w:rPr>
            </w:pPr>
            <w:r w:rsidRPr="00217865">
              <w:rPr>
                <w:color w:val="000000" w:themeColor="text1"/>
                <w:szCs w:val="18"/>
              </w:rPr>
              <w:t>63.7</w:t>
            </w:r>
          </w:p>
        </w:tc>
      </w:tr>
      <w:tr w:rsidR="00217865" w:rsidRPr="00217865" w14:paraId="14136082" w14:textId="77777777" w:rsidTr="002D7DED">
        <w:tc>
          <w:tcPr>
            <w:tcW w:w="631" w:type="dxa"/>
          </w:tcPr>
          <w:p w14:paraId="244A4A6C"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2021</w:t>
            </w:r>
          </w:p>
        </w:tc>
        <w:tc>
          <w:tcPr>
            <w:tcW w:w="1301" w:type="dxa"/>
            <w:vAlign w:val="bottom"/>
          </w:tcPr>
          <w:p w14:paraId="5115D1BF" w14:textId="38E26C88" w:rsidR="00912B4E" w:rsidRPr="00217865" w:rsidRDefault="00912B4E" w:rsidP="001863FA">
            <w:pPr>
              <w:pStyle w:val="Z"/>
              <w:spacing w:before="60" w:after="60"/>
              <w:jc w:val="center"/>
              <w:rPr>
                <w:color w:val="000000" w:themeColor="text1"/>
                <w:szCs w:val="18"/>
              </w:rPr>
            </w:pPr>
            <w:r w:rsidRPr="00217865">
              <w:rPr>
                <w:color w:val="000000" w:themeColor="text1"/>
                <w:szCs w:val="18"/>
              </w:rPr>
              <w:t>78.5</w:t>
            </w:r>
          </w:p>
        </w:tc>
        <w:tc>
          <w:tcPr>
            <w:tcW w:w="1135" w:type="dxa"/>
            <w:vAlign w:val="bottom"/>
          </w:tcPr>
          <w:p w14:paraId="4D1C7549" w14:textId="616A65DC" w:rsidR="00912B4E" w:rsidRPr="00217865" w:rsidRDefault="00912B4E" w:rsidP="001863FA">
            <w:pPr>
              <w:pStyle w:val="Z"/>
              <w:spacing w:before="60" w:after="60"/>
              <w:jc w:val="center"/>
              <w:rPr>
                <w:color w:val="000000" w:themeColor="text1"/>
                <w:szCs w:val="18"/>
              </w:rPr>
            </w:pPr>
            <w:r w:rsidRPr="00217865">
              <w:rPr>
                <w:color w:val="000000" w:themeColor="text1"/>
                <w:szCs w:val="18"/>
              </w:rPr>
              <w:t>79.6</w:t>
            </w:r>
          </w:p>
        </w:tc>
        <w:tc>
          <w:tcPr>
            <w:tcW w:w="1251" w:type="dxa"/>
            <w:vAlign w:val="bottom"/>
          </w:tcPr>
          <w:p w14:paraId="57CC56BF" w14:textId="49CB75AE" w:rsidR="00912B4E" w:rsidRPr="00217865" w:rsidRDefault="00912B4E" w:rsidP="001863FA">
            <w:pPr>
              <w:pStyle w:val="Z"/>
              <w:spacing w:before="60" w:after="60"/>
              <w:jc w:val="center"/>
              <w:rPr>
                <w:color w:val="000000" w:themeColor="text1"/>
                <w:szCs w:val="18"/>
              </w:rPr>
            </w:pPr>
            <w:r w:rsidRPr="00217865">
              <w:rPr>
                <w:color w:val="000000" w:themeColor="text1"/>
                <w:szCs w:val="18"/>
              </w:rPr>
              <w:t>37.3</w:t>
            </w:r>
          </w:p>
        </w:tc>
        <w:tc>
          <w:tcPr>
            <w:tcW w:w="1135" w:type="dxa"/>
            <w:vAlign w:val="bottom"/>
          </w:tcPr>
          <w:p w14:paraId="5528C66F" w14:textId="1D6E7A91" w:rsidR="00912B4E" w:rsidRPr="00217865" w:rsidRDefault="00912B4E" w:rsidP="001863FA">
            <w:pPr>
              <w:pStyle w:val="Z"/>
              <w:spacing w:before="60" w:after="60"/>
              <w:jc w:val="center"/>
              <w:rPr>
                <w:color w:val="000000" w:themeColor="text1"/>
                <w:szCs w:val="18"/>
              </w:rPr>
            </w:pPr>
            <w:r w:rsidRPr="00217865">
              <w:rPr>
                <w:color w:val="000000" w:themeColor="text1"/>
                <w:szCs w:val="18"/>
              </w:rPr>
              <w:t>48.8</w:t>
            </w:r>
          </w:p>
        </w:tc>
        <w:tc>
          <w:tcPr>
            <w:tcW w:w="1251" w:type="dxa"/>
            <w:vAlign w:val="bottom"/>
          </w:tcPr>
          <w:p w14:paraId="1851837E" w14:textId="3B7F4C39" w:rsidR="00912B4E" w:rsidRPr="00217865" w:rsidRDefault="00912B4E" w:rsidP="001863FA">
            <w:pPr>
              <w:pStyle w:val="Z"/>
              <w:spacing w:before="60" w:after="60"/>
              <w:jc w:val="center"/>
              <w:rPr>
                <w:color w:val="000000" w:themeColor="text1"/>
                <w:szCs w:val="18"/>
              </w:rPr>
            </w:pPr>
            <w:r w:rsidRPr="00217865">
              <w:rPr>
                <w:color w:val="000000" w:themeColor="text1"/>
                <w:szCs w:val="18"/>
              </w:rPr>
              <w:t>81.4</w:t>
            </w:r>
          </w:p>
        </w:tc>
        <w:tc>
          <w:tcPr>
            <w:tcW w:w="1135" w:type="dxa"/>
            <w:vAlign w:val="bottom"/>
          </w:tcPr>
          <w:p w14:paraId="0A2E3339" w14:textId="1D9BEDF7" w:rsidR="00912B4E" w:rsidRPr="00217865" w:rsidRDefault="00912B4E" w:rsidP="001863FA">
            <w:pPr>
              <w:pStyle w:val="Z"/>
              <w:spacing w:before="60" w:after="60"/>
              <w:jc w:val="center"/>
              <w:rPr>
                <w:color w:val="000000" w:themeColor="text1"/>
                <w:szCs w:val="18"/>
              </w:rPr>
            </w:pPr>
            <w:r w:rsidRPr="00217865">
              <w:rPr>
                <w:color w:val="000000" w:themeColor="text1"/>
                <w:szCs w:val="18"/>
              </w:rPr>
              <w:t>77.9</w:t>
            </w:r>
          </w:p>
        </w:tc>
        <w:tc>
          <w:tcPr>
            <w:tcW w:w="911" w:type="dxa"/>
            <w:vAlign w:val="bottom"/>
          </w:tcPr>
          <w:p w14:paraId="296FB8E5" w14:textId="3FD85ACB" w:rsidR="00912B4E" w:rsidRPr="00217865" w:rsidRDefault="00912B4E" w:rsidP="001863FA">
            <w:pPr>
              <w:pStyle w:val="Z"/>
              <w:spacing w:before="60" w:after="60"/>
              <w:jc w:val="center"/>
              <w:rPr>
                <w:color w:val="000000" w:themeColor="text1"/>
                <w:szCs w:val="18"/>
              </w:rPr>
            </w:pPr>
            <w:r w:rsidRPr="00217865">
              <w:rPr>
                <w:color w:val="000000" w:themeColor="text1"/>
                <w:szCs w:val="18"/>
              </w:rPr>
              <w:t>74.5</w:t>
            </w:r>
          </w:p>
        </w:tc>
        <w:tc>
          <w:tcPr>
            <w:tcW w:w="1135" w:type="dxa"/>
            <w:vAlign w:val="bottom"/>
          </w:tcPr>
          <w:p w14:paraId="3E1502F5" w14:textId="6A200705" w:rsidR="00912B4E" w:rsidRPr="00217865" w:rsidRDefault="00912B4E" w:rsidP="001863FA">
            <w:pPr>
              <w:pStyle w:val="Z"/>
              <w:spacing w:before="60" w:after="60"/>
              <w:jc w:val="center"/>
              <w:rPr>
                <w:color w:val="000000" w:themeColor="text1"/>
                <w:szCs w:val="18"/>
              </w:rPr>
            </w:pPr>
            <w:r w:rsidRPr="00217865">
              <w:rPr>
                <w:color w:val="000000" w:themeColor="text1"/>
                <w:szCs w:val="18"/>
              </w:rPr>
              <w:t>72.6</w:t>
            </w:r>
          </w:p>
        </w:tc>
        <w:tc>
          <w:tcPr>
            <w:tcW w:w="1091" w:type="dxa"/>
            <w:vAlign w:val="bottom"/>
          </w:tcPr>
          <w:p w14:paraId="471F3BB5" w14:textId="52D5F69D" w:rsidR="00912B4E" w:rsidRPr="00217865" w:rsidRDefault="00912B4E" w:rsidP="001863FA">
            <w:pPr>
              <w:pStyle w:val="Z"/>
              <w:spacing w:before="60" w:after="60"/>
              <w:jc w:val="center"/>
              <w:rPr>
                <w:color w:val="000000" w:themeColor="text1"/>
                <w:szCs w:val="18"/>
              </w:rPr>
            </w:pPr>
            <w:r w:rsidRPr="00217865">
              <w:rPr>
                <w:color w:val="000000" w:themeColor="text1"/>
                <w:szCs w:val="18"/>
              </w:rPr>
              <w:t>78.7</w:t>
            </w:r>
          </w:p>
        </w:tc>
        <w:tc>
          <w:tcPr>
            <w:tcW w:w="1135" w:type="dxa"/>
            <w:vAlign w:val="bottom"/>
          </w:tcPr>
          <w:p w14:paraId="14426C44" w14:textId="7562B428" w:rsidR="00912B4E" w:rsidRPr="00217865" w:rsidRDefault="00912B4E" w:rsidP="001863FA">
            <w:pPr>
              <w:pStyle w:val="Z"/>
              <w:spacing w:before="60" w:after="60"/>
              <w:jc w:val="center"/>
              <w:rPr>
                <w:color w:val="000000" w:themeColor="text1"/>
                <w:szCs w:val="18"/>
              </w:rPr>
            </w:pPr>
            <w:r w:rsidRPr="00217865">
              <w:rPr>
                <w:color w:val="000000" w:themeColor="text1"/>
                <w:szCs w:val="18"/>
              </w:rPr>
              <w:t>75.8</w:t>
            </w:r>
          </w:p>
        </w:tc>
        <w:tc>
          <w:tcPr>
            <w:tcW w:w="1171" w:type="dxa"/>
            <w:vAlign w:val="bottom"/>
          </w:tcPr>
          <w:p w14:paraId="53403A8E" w14:textId="6DB2145A" w:rsidR="00912B4E" w:rsidRPr="00217865" w:rsidRDefault="00912B4E" w:rsidP="001863FA">
            <w:pPr>
              <w:pStyle w:val="Z"/>
              <w:spacing w:before="60" w:after="60"/>
              <w:jc w:val="center"/>
              <w:rPr>
                <w:color w:val="000000" w:themeColor="text1"/>
                <w:szCs w:val="18"/>
              </w:rPr>
            </w:pPr>
            <w:r w:rsidRPr="00217865">
              <w:rPr>
                <w:color w:val="000000" w:themeColor="text1"/>
                <w:szCs w:val="18"/>
              </w:rPr>
              <w:t>75.7</w:t>
            </w:r>
          </w:p>
        </w:tc>
        <w:tc>
          <w:tcPr>
            <w:tcW w:w="1135" w:type="dxa"/>
            <w:vAlign w:val="bottom"/>
          </w:tcPr>
          <w:p w14:paraId="621328DC" w14:textId="63C3C5C4" w:rsidR="00912B4E" w:rsidRPr="00217865" w:rsidRDefault="00912B4E" w:rsidP="001863FA">
            <w:pPr>
              <w:pStyle w:val="Z"/>
              <w:spacing w:before="60" w:after="60"/>
              <w:jc w:val="center"/>
              <w:rPr>
                <w:color w:val="000000" w:themeColor="text1"/>
                <w:szCs w:val="18"/>
              </w:rPr>
            </w:pPr>
            <w:r w:rsidRPr="00217865">
              <w:rPr>
                <w:color w:val="000000" w:themeColor="text1"/>
                <w:szCs w:val="18"/>
              </w:rPr>
              <w:t>69.1</w:t>
            </w:r>
          </w:p>
        </w:tc>
      </w:tr>
      <w:tr w:rsidR="00217865" w:rsidRPr="00217865" w14:paraId="7A7B24C1" w14:textId="77777777" w:rsidTr="002D7DED">
        <w:tc>
          <w:tcPr>
            <w:tcW w:w="631" w:type="dxa"/>
          </w:tcPr>
          <w:p w14:paraId="466A13DF"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2022</w:t>
            </w:r>
          </w:p>
        </w:tc>
        <w:tc>
          <w:tcPr>
            <w:tcW w:w="1301" w:type="dxa"/>
            <w:vAlign w:val="bottom"/>
          </w:tcPr>
          <w:p w14:paraId="6E893823" w14:textId="49D29B90" w:rsidR="00912B4E" w:rsidRPr="00217865" w:rsidRDefault="00912B4E" w:rsidP="001863FA">
            <w:pPr>
              <w:pStyle w:val="Z"/>
              <w:spacing w:before="60" w:after="60"/>
              <w:jc w:val="center"/>
              <w:rPr>
                <w:color w:val="000000" w:themeColor="text1"/>
                <w:szCs w:val="18"/>
              </w:rPr>
            </w:pPr>
            <w:r w:rsidRPr="00217865">
              <w:rPr>
                <w:color w:val="000000" w:themeColor="text1"/>
                <w:szCs w:val="18"/>
              </w:rPr>
              <w:t>79.5</w:t>
            </w:r>
          </w:p>
        </w:tc>
        <w:tc>
          <w:tcPr>
            <w:tcW w:w="1135" w:type="dxa"/>
            <w:vAlign w:val="bottom"/>
          </w:tcPr>
          <w:p w14:paraId="213B86A9" w14:textId="2FA6B9B5" w:rsidR="00912B4E" w:rsidRPr="00217865" w:rsidRDefault="00912B4E" w:rsidP="001863FA">
            <w:pPr>
              <w:pStyle w:val="Z"/>
              <w:spacing w:before="60" w:after="60"/>
              <w:jc w:val="center"/>
              <w:rPr>
                <w:color w:val="000000" w:themeColor="text1"/>
                <w:szCs w:val="18"/>
              </w:rPr>
            </w:pPr>
            <w:r w:rsidRPr="00217865">
              <w:rPr>
                <w:color w:val="000000" w:themeColor="text1"/>
                <w:szCs w:val="18"/>
              </w:rPr>
              <w:t>84.1</w:t>
            </w:r>
          </w:p>
        </w:tc>
        <w:tc>
          <w:tcPr>
            <w:tcW w:w="1251" w:type="dxa"/>
            <w:vAlign w:val="bottom"/>
          </w:tcPr>
          <w:p w14:paraId="03A9C343" w14:textId="3260C4CC" w:rsidR="00912B4E" w:rsidRPr="00217865" w:rsidRDefault="00912B4E" w:rsidP="001863FA">
            <w:pPr>
              <w:pStyle w:val="Z"/>
              <w:spacing w:before="60" w:after="60"/>
              <w:jc w:val="center"/>
              <w:rPr>
                <w:color w:val="000000" w:themeColor="text1"/>
                <w:szCs w:val="18"/>
              </w:rPr>
            </w:pPr>
            <w:r w:rsidRPr="00217865">
              <w:rPr>
                <w:color w:val="000000" w:themeColor="text1"/>
                <w:szCs w:val="18"/>
              </w:rPr>
              <w:t>41.3</w:t>
            </w:r>
          </w:p>
        </w:tc>
        <w:tc>
          <w:tcPr>
            <w:tcW w:w="1135" w:type="dxa"/>
            <w:vAlign w:val="bottom"/>
          </w:tcPr>
          <w:p w14:paraId="22B487DB" w14:textId="456AA1D2" w:rsidR="00912B4E" w:rsidRPr="00217865" w:rsidRDefault="00912B4E" w:rsidP="001863FA">
            <w:pPr>
              <w:pStyle w:val="Z"/>
              <w:spacing w:before="60" w:after="60"/>
              <w:jc w:val="center"/>
              <w:rPr>
                <w:color w:val="000000" w:themeColor="text1"/>
                <w:szCs w:val="18"/>
              </w:rPr>
            </w:pPr>
            <w:r w:rsidRPr="00217865">
              <w:rPr>
                <w:color w:val="000000" w:themeColor="text1"/>
                <w:szCs w:val="18"/>
              </w:rPr>
              <w:t>62.2</w:t>
            </w:r>
          </w:p>
        </w:tc>
        <w:tc>
          <w:tcPr>
            <w:tcW w:w="1251" w:type="dxa"/>
            <w:vAlign w:val="bottom"/>
          </w:tcPr>
          <w:p w14:paraId="02CC9DFA" w14:textId="0204EC9C" w:rsidR="00912B4E" w:rsidRPr="00217865" w:rsidRDefault="00912B4E" w:rsidP="001863FA">
            <w:pPr>
              <w:pStyle w:val="Z"/>
              <w:spacing w:before="60" w:after="60"/>
              <w:jc w:val="center"/>
              <w:rPr>
                <w:color w:val="000000" w:themeColor="text1"/>
                <w:szCs w:val="18"/>
              </w:rPr>
            </w:pPr>
            <w:r w:rsidRPr="00217865">
              <w:rPr>
                <w:color w:val="000000" w:themeColor="text1"/>
                <w:szCs w:val="18"/>
              </w:rPr>
              <w:t>81.8</w:t>
            </w:r>
          </w:p>
        </w:tc>
        <w:tc>
          <w:tcPr>
            <w:tcW w:w="1135" w:type="dxa"/>
            <w:vAlign w:val="bottom"/>
          </w:tcPr>
          <w:p w14:paraId="7ED522E2" w14:textId="11F5C1EA" w:rsidR="00912B4E" w:rsidRPr="00217865" w:rsidRDefault="00912B4E" w:rsidP="001863FA">
            <w:pPr>
              <w:pStyle w:val="Z"/>
              <w:spacing w:before="60" w:after="60"/>
              <w:jc w:val="center"/>
              <w:rPr>
                <w:color w:val="000000" w:themeColor="text1"/>
                <w:szCs w:val="18"/>
              </w:rPr>
            </w:pPr>
            <w:r w:rsidRPr="00217865">
              <w:rPr>
                <w:color w:val="000000" w:themeColor="text1"/>
                <w:szCs w:val="18"/>
              </w:rPr>
              <w:t>82.6</w:t>
            </w:r>
          </w:p>
        </w:tc>
        <w:tc>
          <w:tcPr>
            <w:tcW w:w="911" w:type="dxa"/>
            <w:vAlign w:val="bottom"/>
          </w:tcPr>
          <w:p w14:paraId="51A8389B" w14:textId="69BA2C85" w:rsidR="00912B4E" w:rsidRPr="00217865" w:rsidRDefault="00912B4E" w:rsidP="001863FA">
            <w:pPr>
              <w:pStyle w:val="Z"/>
              <w:spacing w:before="60" w:after="60"/>
              <w:jc w:val="center"/>
              <w:rPr>
                <w:color w:val="000000" w:themeColor="text1"/>
                <w:szCs w:val="18"/>
              </w:rPr>
            </w:pPr>
            <w:r w:rsidRPr="00217865">
              <w:rPr>
                <w:color w:val="000000" w:themeColor="text1"/>
                <w:szCs w:val="18"/>
              </w:rPr>
              <w:t>74.2</w:t>
            </w:r>
          </w:p>
        </w:tc>
        <w:tc>
          <w:tcPr>
            <w:tcW w:w="1135" w:type="dxa"/>
            <w:vAlign w:val="bottom"/>
          </w:tcPr>
          <w:p w14:paraId="3D90707E" w14:textId="264AE520" w:rsidR="00912B4E" w:rsidRPr="00217865" w:rsidRDefault="00912B4E" w:rsidP="001863FA">
            <w:pPr>
              <w:pStyle w:val="Z"/>
              <w:spacing w:before="60" w:after="60"/>
              <w:jc w:val="center"/>
              <w:rPr>
                <w:color w:val="000000" w:themeColor="text1"/>
                <w:szCs w:val="18"/>
              </w:rPr>
            </w:pPr>
            <w:r w:rsidRPr="00217865">
              <w:rPr>
                <w:color w:val="000000" w:themeColor="text1"/>
                <w:szCs w:val="18"/>
              </w:rPr>
              <w:t>76.9</w:t>
            </w:r>
          </w:p>
        </w:tc>
        <w:tc>
          <w:tcPr>
            <w:tcW w:w="1091" w:type="dxa"/>
            <w:vAlign w:val="bottom"/>
          </w:tcPr>
          <w:p w14:paraId="693877F9" w14:textId="66A65B8A" w:rsidR="00912B4E" w:rsidRPr="00217865" w:rsidRDefault="00912B4E" w:rsidP="001863FA">
            <w:pPr>
              <w:pStyle w:val="Z"/>
              <w:spacing w:before="60" w:after="60"/>
              <w:jc w:val="center"/>
              <w:rPr>
                <w:color w:val="000000" w:themeColor="text1"/>
                <w:szCs w:val="18"/>
              </w:rPr>
            </w:pPr>
            <w:r w:rsidRPr="00217865">
              <w:rPr>
                <w:color w:val="000000" w:themeColor="text1"/>
                <w:szCs w:val="18"/>
              </w:rPr>
              <w:t>80.7</w:t>
            </w:r>
          </w:p>
        </w:tc>
        <w:tc>
          <w:tcPr>
            <w:tcW w:w="1135" w:type="dxa"/>
            <w:vAlign w:val="bottom"/>
          </w:tcPr>
          <w:p w14:paraId="365F825F" w14:textId="1712A476" w:rsidR="00912B4E" w:rsidRPr="00217865" w:rsidRDefault="00912B4E" w:rsidP="001863FA">
            <w:pPr>
              <w:pStyle w:val="Z"/>
              <w:spacing w:before="60" w:after="60"/>
              <w:jc w:val="center"/>
              <w:rPr>
                <w:color w:val="000000" w:themeColor="text1"/>
                <w:szCs w:val="18"/>
              </w:rPr>
            </w:pPr>
            <w:r w:rsidRPr="00217865">
              <w:rPr>
                <w:color w:val="000000" w:themeColor="text1"/>
                <w:szCs w:val="18"/>
              </w:rPr>
              <w:t>86.4</w:t>
            </w:r>
          </w:p>
        </w:tc>
        <w:tc>
          <w:tcPr>
            <w:tcW w:w="1171" w:type="dxa"/>
            <w:vAlign w:val="bottom"/>
          </w:tcPr>
          <w:p w14:paraId="0919341B" w14:textId="6886E0D1" w:rsidR="00912B4E" w:rsidRPr="00217865" w:rsidRDefault="00912B4E" w:rsidP="001863FA">
            <w:pPr>
              <w:pStyle w:val="Z"/>
              <w:spacing w:before="60" w:after="60"/>
              <w:jc w:val="center"/>
              <w:rPr>
                <w:color w:val="000000" w:themeColor="text1"/>
                <w:szCs w:val="18"/>
              </w:rPr>
            </w:pPr>
            <w:r w:rsidRPr="00217865">
              <w:rPr>
                <w:color w:val="000000" w:themeColor="text1"/>
                <w:szCs w:val="18"/>
              </w:rPr>
              <w:t>76.6</w:t>
            </w:r>
          </w:p>
        </w:tc>
        <w:tc>
          <w:tcPr>
            <w:tcW w:w="1135" w:type="dxa"/>
            <w:vAlign w:val="bottom"/>
          </w:tcPr>
          <w:p w14:paraId="26F0AF20" w14:textId="196BB25B" w:rsidR="00912B4E" w:rsidRPr="00217865" w:rsidRDefault="00912B4E" w:rsidP="001863FA">
            <w:pPr>
              <w:pStyle w:val="Z"/>
              <w:spacing w:before="60" w:after="60"/>
              <w:jc w:val="center"/>
              <w:rPr>
                <w:color w:val="000000" w:themeColor="text1"/>
                <w:szCs w:val="18"/>
              </w:rPr>
            </w:pPr>
            <w:r w:rsidRPr="00217865">
              <w:rPr>
                <w:color w:val="000000" w:themeColor="text1"/>
                <w:szCs w:val="18"/>
              </w:rPr>
              <w:t>76.9</w:t>
            </w:r>
          </w:p>
        </w:tc>
      </w:tr>
      <w:tr w:rsidR="00217865" w:rsidRPr="00217865" w14:paraId="0266EF12" w14:textId="77777777" w:rsidTr="00C929AC">
        <w:tc>
          <w:tcPr>
            <w:tcW w:w="631" w:type="dxa"/>
          </w:tcPr>
          <w:p w14:paraId="613E00EA" w14:textId="77777777" w:rsidR="00912B4E" w:rsidRPr="00217865" w:rsidRDefault="00912B4E" w:rsidP="001863FA">
            <w:pPr>
              <w:pStyle w:val="Z"/>
              <w:spacing w:before="60" w:after="60"/>
              <w:rPr>
                <w:color w:val="000000" w:themeColor="text1"/>
                <w:szCs w:val="18"/>
              </w:rPr>
            </w:pPr>
            <w:r w:rsidRPr="00217865">
              <w:rPr>
                <w:color w:val="000000" w:themeColor="text1"/>
                <w:szCs w:val="18"/>
              </w:rPr>
              <w:t>2023*</w:t>
            </w:r>
          </w:p>
        </w:tc>
        <w:tc>
          <w:tcPr>
            <w:tcW w:w="1301" w:type="dxa"/>
            <w:vAlign w:val="bottom"/>
          </w:tcPr>
          <w:p w14:paraId="22B5F424" w14:textId="2A2F18CA" w:rsidR="00912B4E" w:rsidRPr="00217865" w:rsidRDefault="00912B4E" w:rsidP="001863FA">
            <w:pPr>
              <w:pStyle w:val="Z"/>
              <w:spacing w:before="60" w:after="60"/>
              <w:jc w:val="center"/>
              <w:rPr>
                <w:color w:val="000000" w:themeColor="text1"/>
                <w:szCs w:val="18"/>
              </w:rPr>
            </w:pPr>
            <w:r w:rsidRPr="00217865">
              <w:rPr>
                <w:color w:val="000000" w:themeColor="text1"/>
                <w:szCs w:val="18"/>
              </w:rPr>
              <w:t>79.0</w:t>
            </w:r>
          </w:p>
        </w:tc>
        <w:tc>
          <w:tcPr>
            <w:tcW w:w="1135" w:type="dxa"/>
            <w:vAlign w:val="bottom"/>
          </w:tcPr>
          <w:p w14:paraId="3963C878" w14:textId="6BD6D486" w:rsidR="00912B4E" w:rsidRPr="00217865" w:rsidRDefault="00912B4E" w:rsidP="001863FA">
            <w:pPr>
              <w:pStyle w:val="Z"/>
              <w:spacing w:before="60" w:after="60"/>
              <w:jc w:val="center"/>
              <w:rPr>
                <w:color w:val="000000" w:themeColor="text1"/>
                <w:szCs w:val="18"/>
              </w:rPr>
            </w:pPr>
            <w:r w:rsidRPr="00217865">
              <w:rPr>
                <w:color w:val="000000" w:themeColor="text1"/>
                <w:szCs w:val="18"/>
              </w:rPr>
              <w:t>85.5</w:t>
            </w:r>
          </w:p>
        </w:tc>
        <w:tc>
          <w:tcPr>
            <w:tcW w:w="1251" w:type="dxa"/>
            <w:vAlign w:val="bottom"/>
          </w:tcPr>
          <w:p w14:paraId="440E70B2" w14:textId="26CEDBB8" w:rsidR="00912B4E" w:rsidRPr="00217865" w:rsidRDefault="00912B4E" w:rsidP="001863FA">
            <w:pPr>
              <w:pStyle w:val="Z"/>
              <w:spacing w:before="60" w:after="60"/>
              <w:jc w:val="center"/>
              <w:rPr>
                <w:color w:val="000000" w:themeColor="text1"/>
                <w:szCs w:val="18"/>
              </w:rPr>
            </w:pPr>
            <w:r w:rsidRPr="00217865">
              <w:rPr>
                <w:color w:val="000000" w:themeColor="text1"/>
                <w:szCs w:val="18"/>
              </w:rPr>
              <w:t>39.6</w:t>
            </w:r>
          </w:p>
        </w:tc>
        <w:tc>
          <w:tcPr>
            <w:tcW w:w="1135" w:type="dxa"/>
            <w:vAlign w:val="bottom"/>
          </w:tcPr>
          <w:p w14:paraId="790632FA" w14:textId="68CFE0EE" w:rsidR="00912B4E" w:rsidRPr="00217865" w:rsidRDefault="00912B4E" w:rsidP="001863FA">
            <w:pPr>
              <w:pStyle w:val="Z"/>
              <w:spacing w:before="60" w:after="60"/>
              <w:jc w:val="center"/>
              <w:rPr>
                <w:color w:val="000000" w:themeColor="text1"/>
                <w:szCs w:val="18"/>
              </w:rPr>
            </w:pPr>
            <w:r w:rsidRPr="00217865">
              <w:rPr>
                <w:color w:val="000000" w:themeColor="text1"/>
                <w:szCs w:val="18"/>
              </w:rPr>
              <w:t>74.3</w:t>
            </w:r>
          </w:p>
        </w:tc>
        <w:tc>
          <w:tcPr>
            <w:tcW w:w="1251" w:type="dxa"/>
            <w:vAlign w:val="bottom"/>
          </w:tcPr>
          <w:p w14:paraId="7DDEAA9C" w14:textId="1C1CEC0E" w:rsidR="00912B4E" w:rsidRPr="00217865" w:rsidRDefault="00912B4E" w:rsidP="001863FA">
            <w:pPr>
              <w:pStyle w:val="Z"/>
              <w:spacing w:before="60" w:after="60"/>
              <w:jc w:val="center"/>
              <w:rPr>
                <w:color w:val="000000" w:themeColor="text1"/>
                <w:szCs w:val="18"/>
              </w:rPr>
            </w:pPr>
            <w:r w:rsidRPr="00217865">
              <w:rPr>
                <w:color w:val="000000" w:themeColor="text1"/>
                <w:szCs w:val="18"/>
              </w:rPr>
              <w:t>81.1</w:t>
            </w:r>
          </w:p>
        </w:tc>
        <w:tc>
          <w:tcPr>
            <w:tcW w:w="1135" w:type="dxa"/>
            <w:vAlign w:val="bottom"/>
          </w:tcPr>
          <w:p w14:paraId="6244245F" w14:textId="1C98887D" w:rsidR="00912B4E" w:rsidRPr="00217865" w:rsidRDefault="00912B4E" w:rsidP="001863FA">
            <w:pPr>
              <w:pStyle w:val="Z"/>
              <w:spacing w:before="60" w:after="60"/>
              <w:jc w:val="center"/>
              <w:rPr>
                <w:color w:val="000000" w:themeColor="text1"/>
                <w:szCs w:val="18"/>
              </w:rPr>
            </w:pPr>
            <w:r w:rsidRPr="00217865">
              <w:rPr>
                <w:color w:val="000000" w:themeColor="text1"/>
                <w:szCs w:val="18"/>
              </w:rPr>
              <w:t>84.1</w:t>
            </w:r>
          </w:p>
        </w:tc>
        <w:tc>
          <w:tcPr>
            <w:tcW w:w="911" w:type="dxa"/>
            <w:vAlign w:val="bottom"/>
          </w:tcPr>
          <w:p w14:paraId="6B343A88" w14:textId="2244CB4D" w:rsidR="00912B4E" w:rsidRPr="00217865" w:rsidRDefault="00912B4E" w:rsidP="001863FA">
            <w:pPr>
              <w:pStyle w:val="Z"/>
              <w:spacing w:before="60" w:after="60"/>
              <w:jc w:val="center"/>
              <w:rPr>
                <w:color w:val="000000" w:themeColor="text1"/>
                <w:szCs w:val="18"/>
              </w:rPr>
            </w:pPr>
            <w:r w:rsidRPr="00217865">
              <w:rPr>
                <w:color w:val="000000" w:themeColor="text1"/>
                <w:szCs w:val="18"/>
              </w:rPr>
              <w:t>67.2</w:t>
            </w:r>
          </w:p>
        </w:tc>
        <w:tc>
          <w:tcPr>
            <w:tcW w:w="1135" w:type="dxa"/>
            <w:vAlign w:val="bottom"/>
          </w:tcPr>
          <w:p w14:paraId="4DB6746F" w14:textId="4438182C" w:rsidR="00912B4E" w:rsidRPr="00217865" w:rsidRDefault="00912B4E" w:rsidP="001863FA">
            <w:pPr>
              <w:pStyle w:val="Z"/>
              <w:spacing w:before="60" w:after="60"/>
              <w:jc w:val="center"/>
              <w:rPr>
                <w:color w:val="000000" w:themeColor="text1"/>
                <w:szCs w:val="18"/>
              </w:rPr>
            </w:pPr>
            <w:r w:rsidRPr="00217865">
              <w:rPr>
                <w:color w:val="000000" w:themeColor="text1"/>
                <w:szCs w:val="18"/>
              </w:rPr>
              <w:t>80.4</w:t>
            </w:r>
          </w:p>
        </w:tc>
        <w:tc>
          <w:tcPr>
            <w:tcW w:w="1091" w:type="dxa"/>
            <w:vAlign w:val="bottom"/>
          </w:tcPr>
          <w:p w14:paraId="6B9D9812" w14:textId="413C08DA" w:rsidR="00912B4E" w:rsidRPr="00217865" w:rsidRDefault="00912B4E" w:rsidP="001863FA">
            <w:pPr>
              <w:pStyle w:val="Z"/>
              <w:spacing w:before="60" w:after="60"/>
              <w:jc w:val="center"/>
              <w:rPr>
                <w:color w:val="000000" w:themeColor="text1"/>
                <w:szCs w:val="18"/>
              </w:rPr>
            </w:pPr>
            <w:r w:rsidRPr="00217865">
              <w:rPr>
                <w:color w:val="000000" w:themeColor="text1"/>
                <w:szCs w:val="18"/>
              </w:rPr>
              <w:t>79.7</w:t>
            </w:r>
          </w:p>
        </w:tc>
        <w:tc>
          <w:tcPr>
            <w:tcW w:w="1135" w:type="dxa"/>
            <w:vAlign w:val="bottom"/>
          </w:tcPr>
          <w:p w14:paraId="17DFCAE6" w14:textId="372C5FB3" w:rsidR="00912B4E" w:rsidRPr="00217865" w:rsidRDefault="00912B4E" w:rsidP="001863FA">
            <w:pPr>
              <w:pStyle w:val="Z"/>
              <w:spacing w:before="60" w:after="60"/>
              <w:jc w:val="center"/>
              <w:rPr>
                <w:color w:val="000000" w:themeColor="text1"/>
                <w:szCs w:val="18"/>
              </w:rPr>
            </w:pPr>
            <w:r w:rsidRPr="00217865">
              <w:rPr>
                <w:color w:val="000000" w:themeColor="text1"/>
                <w:szCs w:val="18"/>
              </w:rPr>
              <w:t>87.7</w:t>
            </w:r>
          </w:p>
        </w:tc>
        <w:tc>
          <w:tcPr>
            <w:tcW w:w="1171" w:type="dxa"/>
            <w:vAlign w:val="bottom"/>
          </w:tcPr>
          <w:p w14:paraId="7F77A3CE" w14:textId="53A60D45" w:rsidR="00912B4E" w:rsidRPr="00217865" w:rsidRDefault="00912B4E" w:rsidP="001863FA">
            <w:pPr>
              <w:pStyle w:val="Z"/>
              <w:spacing w:before="60" w:after="60"/>
              <w:jc w:val="center"/>
              <w:rPr>
                <w:color w:val="000000" w:themeColor="text1"/>
                <w:szCs w:val="18"/>
              </w:rPr>
            </w:pPr>
            <w:r w:rsidRPr="00217865">
              <w:rPr>
                <w:color w:val="000000" w:themeColor="text1"/>
                <w:szCs w:val="18"/>
              </w:rPr>
              <w:t>77.1</w:t>
            </w:r>
          </w:p>
        </w:tc>
        <w:tc>
          <w:tcPr>
            <w:tcW w:w="1135" w:type="dxa"/>
            <w:vAlign w:val="bottom"/>
          </w:tcPr>
          <w:p w14:paraId="2BD41644" w14:textId="24580375" w:rsidR="00912B4E" w:rsidRPr="00217865" w:rsidRDefault="00912B4E" w:rsidP="001863FA">
            <w:pPr>
              <w:pStyle w:val="Z"/>
              <w:spacing w:before="60" w:after="60"/>
              <w:jc w:val="center"/>
              <w:rPr>
                <w:color w:val="000000" w:themeColor="text1"/>
                <w:szCs w:val="18"/>
              </w:rPr>
            </w:pPr>
            <w:r w:rsidRPr="00217865">
              <w:rPr>
                <w:color w:val="000000" w:themeColor="text1"/>
                <w:szCs w:val="18"/>
              </w:rPr>
              <w:t>77.0</w:t>
            </w:r>
          </w:p>
        </w:tc>
      </w:tr>
    </w:tbl>
    <w:p w14:paraId="151D7A1D" w14:textId="77777777" w:rsidR="00BA5EED" w:rsidRPr="00217865" w:rsidRDefault="00BA5EED" w:rsidP="00FA09A2">
      <w:pPr>
        <w:pStyle w:val="Noteupdate"/>
        <w:spacing w:before="60"/>
        <w:rPr>
          <w:color w:val="000000" w:themeColor="text1"/>
          <w:sz w:val="18"/>
          <w:szCs w:val="18"/>
        </w:rPr>
      </w:pPr>
      <w:r w:rsidRPr="00217865">
        <w:rPr>
          <w:color w:val="000000" w:themeColor="text1"/>
          <w:sz w:val="18"/>
          <w:szCs w:val="18"/>
        </w:rPr>
        <w:t>* Note that in 2023 a review was conducted on the SES instrument and revisions were made to the Student Support and Services and Peer Engagement (formally Learner Engagement) focus areas. See SES changes paper for further details.</w:t>
      </w:r>
    </w:p>
    <w:p w14:paraId="7917AC9C" w14:textId="77777777" w:rsidR="00AC70D4" w:rsidRPr="00217865" w:rsidRDefault="00AC70D4" w:rsidP="00BA5EED">
      <w:pPr>
        <w:pStyle w:val="SubHeading20"/>
        <w:rPr>
          <w:rFonts w:cs="Arial"/>
          <w:color w:val="000000" w:themeColor="text1"/>
        </w:rPr>
        <w:sectPr w:rsidR="00AC70D4" w:rsidRPr="00217865" w:rsidSect="00C929AC">
          <w:headerReference w:type="default" r:id="rId15"/>
          <w:footerReference w:type="default" r:id="rId16"/>
          <w:pgSz w:w="16840" w:h="11900" w:orient="landscape"/>
          <w:pgMar w:top="710" w:right="852" w:bottom="560" w:left="994" w:header="397" w:footer="170" w:gutter="0"/>
          <w:pgNumType w:fmt="lowerRoman"/>
          <w:cols w:space="708"/>
          <w:docGrid w:linePitch="360"/>
        </w:sectPr>
      </w:pPr>
    </w:p>
    <w:p w14:paraId="591D7A49" w14:textId="77777777" w:rsidR="00BA5EED" w:rsidRPr="00217865" w:rsidRDefault="00BA5EED" w:rsidP="00BA5EED">
      <w:pPr>
        <w:pStyle w:val="SubHeading20"/>
        <w:rPr>
          <w:rFonts w:cs="Arial"/>
          <w:color w:val="000000" w:themeColor="text1"/>
          <w:lang w:val="en-GB" w:eastAsia="en-GB"/>
        </w:rPr>
      </w:pPr>
      <w:r w:rsidRPr="00217865">
        <w:rPr>
          <w:rFonts w:cs="Arial"/>
          <w:color w:val="000000" w:themeColor="text1"/>
          <w:lang w:val="en-GB" w:eastAsia="en-GB"/>
        </w:rPr>
        <w:lastRenderedPageBreak/>
        <w:t>Considered leaving</w:t>
      </w:r>
    </w:p>
    <w:p w14:paraId="4075531B" w14:textId="1E0B51DB" w:rsidR="00BA5EED" w:rsidRPr="00217865" w:rsidRDefault="00430CB0" w:rsidP="00ED7306">
      <w:pPr>
        <w:pStyle w:val="Body"/>
        <w:rPr>
          <w:rFonts w:cs="Arial"/>
          <w:color w:val="000000" w:themeColor="text1"/>
          <w:lang w:val="en-GB" w:eastAsia="en-GB"/>
        </w:rPr>
      </w:pPr>
      <w:r w:rsidRPr="00217865">
        <w:rPr>
          <w:rFonts w:cs="Arial"/>
          <w:color w:val="000000" w:themeColor="text1"/>
          <w:lang w:val="en-GB" w:eastAsia="en-GB"/>
        </w:rPr>
        <w:t>Historically</w:t>
      </w:r>
      <w:r w:rsidR="00706B77" w:rsidRPr="00217865">
        <w:rPr>
          <w:rFonts w:cs="Arial"/>
          <w:color w:val="000000" w:themeColor="text1"/>
          <w:lang w:val="en-GB" w:eastAsia="en-GB"/>
        </w:rPr>
        <w:t>, international students responding to the SES have been less likely to report they had seriously</w:t>
      </w:r>
      <w:r w:rsidR="00367075" w:rsidRPr="00217865">
        <w:rPr>
          <w:rFonts w:cs="Arial"/>
          <w:color w:val="000000" w:themeColor="text1"/>
          <w:lang w:val="en-GB" w:eastAsia="en-GB"/>
        </w:rPr>
        <w:t xml:space="preserve"> considered leaving their </w:t>
      </w:r>
      <w:r w:rsidR="006620C0" w:rsidRPr="00217865">
        <w:rPr>
          <w:rFonts w:cs="Arial"/>
          <w:color w:val="000000" w:themeColor="text1"/>
          <w:lang w:val="en-GB" w:eastAsia="en-GB"/>
        </w:rPr>
        <w:t>institution</w:t>
      </w:r>
      <w:r w:rsidR="00367075" w:rsidRPr="00217865">
        <w:rPr>
          <w:rFonts w:cs="Arial"/>
          <w:color w:val="000000" w:themeColor="text1"/>
          <w:lang w:val="en-GB" w:eastAsia="en-GB"/>
        </w:rPr>
        <w:t xml:space="preserve"> compared to domestic students. The numbers did peak in 2020 and 2021</w:t>
      </w:r>
      <w:r w:rsidR="00283DFA" w:rsidRPr="00217865">
        <w:rPr>
          <w:rFonts w:cs="Arial"/>
          <w:color w:val="000000" w:themeColor="text1"/>
          <w:lang w:val="en-GB" w:eastAsia="en-GB"/>
        </w:rPr>
        <w:t xml:space="preserve"> but dropped markedly in 2022 and </w:t>
      </w:r>
      <w:r w:rsidR="005A034C" w:rsidRPr="00217865">
        <w:rPr>
          <w:rFonts w:cs="Arial"/>
          <w:color w:val="000000" w:themeColor="text1"/>
          <w:lang w:val="en-GB" w:eastAsia="en-GB"/>
        </w:rPr>
        <w:t xml:space="preserve">decreased further again in 2023. In 2023, </w:t>
      </w:r>
      <w:r w:rsidR="00BE5FD5" w:rsidRPr="00217865">
        <w:rPr>
          <w:rFonts w:cs="Arial"/>
          <w:color w:val="000000" w:themeColor="text1"/>
          <w:lang w:val="en-GB" w:eastAsia="en-GB"/>
        </w:rPr>
        <w:t xml:space="preserve">13.9 per cent of </w:t>
      </w:r>
      <w:r w:rsidR="006B3E85" w:rsidRPr="00217865">
        <w:rPr>
          <w:rFonts w:cs="Arial"/>
          <w:color w:val="000000" w:themeColor="text1"/>
          <w:lang w:val="en-GB" w:eastAsia="en-GB"/>
        </w:rPr>
        <w:t xml:space="preserve">international </w:t>
      </w:r>
      <w:r w:rsidR="00BE5FD5" w:rsidRPr="00217865">
        <w:rPr>
          <w:rFonts w:cs="Arial"/>
          <w:color w:val="000000" w:themeColor="text1"/>
          <w:lang w:val="en-GB" w:eastAsia="en-GB"/>
        </w:rPr>
        <w:t xml:space="preserve">undergraduate students </w:t>
      </w:r>
      <w:r w:rsidR="004F1A4E" w:rsidRPr="00217865">
        <w:rPr>
          <w:rFonts w:cs="Arial"/>
          <w:color w:val="000000" w:themeColor="text1"/>
          <w:lang w:val="en-GB" w:eastAsia="en-GB"/>
        </w:rPr>
        <w:t xml:space="preserve">and </w:t>
      </w:r>
      <w:r w:rsidR="00EB5F1F" w:rsidRPr="00217865">
        <w:rPr>
          <w:rFonts w:cs="Arial"/>
          <w:color w:val="000000" w:themeColor="text1"/>
          <w:lang w:val="en-GB" w:eastAsia="en-GB"/>
        </w:rPr>
        <w:t xml:space="preserve">12.2 per cent </w:t>
      </w:r>
      <w:r w:rsidR="006D6468" w:rsidRPr="00217865">
        <w:rPr>
          <w:rFonts w:cs="Arial"/>
          <w:color w:val="000000" w:themeColor="text1"/>
          <w:lang w:val="en-GB" w:eastAsia="en-GB"/>
        </w:rPr>
        <w:t xml:space="preserve">of international postgraduate coursework students </w:t>
      </w:r>
      <w:r w:rsidR="00112FC8" w:rsidRPr="00217865">
        <w:rPr>
          <w:rFonts w:cs="Arial"/>
          <w:color w:val="000000" w:themeColor="text1"/>
          <w:lang w:val="en-GB" w:eastAsia="en-GB"/>
        </w:rPr>
        <w:t xml:space="preserve">reported that they had considered leaving their </w:t>
      </w:r>
      <w:r w:rsidR="00F146EE" w:rsidRPr="00217865">
        <w:rPr>
          <w:rFonts w:cs="Arial"/>
          <w:color w:val="000000" w:themeColor="text1"/>
          <w:lang w:val="en-GB" w:eastAsia="en-GB"/>
        </w:rPr>
        <w:t>institution which were the lowest</w:t>
      </w:r>
      <w:r w:rsidR="007864E1" w:rsidRPr="00217865">
        <w:rPr>
          <w:rFonts w:cs="Arial"/>
          <w:color w:val="000000" w:themeColor="text1"/>
          <w:lang w:val="en-GB" w:eastAsia="en-GB"/>
        </w:rPr>
        <w:t xml:space="preserve"> since</w:t>
      </w:r>
      <w:r w:rsidR="00EC2A8C" w:rsidRPr="00217865">
        <w:rPr>
          <w:rFonts w:cs="Arial"/>
          <w:color w:val="000000" w:themeColor="text1"/>
          <w:lang w:val="en-GB" w:eastAsia="en-GB"/>
        </w:rPr>
        <w:t xml:space="preserve"> 2017</w:t>
      </w:r>
      <w:r w:rsidR="00567729" w:rsidRPr="00217865">
        <w:rPr>
          <w:rFonts w:cs="Arial"/>
          <w:color w:val="000000" w:themeColor="text1"/>
          <w:lang w:val="en-GB" w:eastAsia="en-GB"/>
        </w:rPr>
        <w:t xml:space="preserve">. </w:t>
      </w:r>
      <w:r w:rsidR="003A4795" w:rsidRPr="00217865">
        <w:rPr>
          <w:rFonts w:cs="Arial"/>
          <w:color w:val="000000" w:themeColor="text1"/>
          <w:lang w:val="en-GB" w:eastAsia="en-GB"/>
        </w:rPr>
        <w:t>By way of</w:t>
      </w:r>
      <w:r w:rsidR="00D1135D" w:rsidRPr="00217865">
        <w:rPr>
          <w:rFonts w:cs="Arial"/>
          <w:color w:val="000000" w:themeColor="text1"/>
          <w:lang w:val="en-GB" w:eastAsia="en-GB"/>
        </w:rPr>
        <w:t xml:space="preserve"> comparison, </w:t>
      </w:r>
      <w:r w:rsidR="00FB6639" w:rsidRPr="00217865">
        <w:rPr>
          <w:rFonts w:cs="Arial"/>
          <w:color w:val="000000" w:themeColor="text1"/>
          <w:lang w:val="en-GB" w:eastAsia="en-GB"/>
        </w:rPr>
        <w:t>19.7 per cent of domestic undergraduates and 20.7</w:t>
      </w:r>
      <w:r w:rsidR="005F2F4A" w:rsidRPr="00217865">
        <w:rPr>
          <w:rFonts w:cs="Arial"/>
          <w:color w:val="000000" w:themeColor="text1"/>
          <w:lang w:val="en-GB" w:eastAsia="en-GB"/>
        </w:rPr>
        <w:t xml:space="preserve"> per cent of domestic postgraduate coursework students indicated they had considered leaving in the 2023 SES</w:t>
      </w:r>
      <w:r w:rsidR="00ED7306" w:rsidRPr="00217865">
        <w:rPr>
          <w:rFonts w:cs="Arial"/>
          <w:color w:val="000000" w:themeColor="text1"/>
          <w:lang w:val="en-GB" w:eastAsia="en-GB"/>
        </w:rPr>
        <w:t xml:space="preserve"> which is relatively consistent with previous years.</w:t>
      </w:r>
    </w:p>
    <w:p w14:paraId="03F123C6" w14:textId="354E19EC" w:rsidR="002C1543" w:rsidRPr="00217865" w:rsidRDefault="00223E25" w:rsidP="00ED7306">
      <w:pPr>
        <w:pStyle w:val="Body"/>
        <w:rPr>
          <w:rFonts w:cs="Arial"/>
          <w:color w:val="000000" w:themeColor="text1"/>
          <w:lang w:val="en-GB" w:eastAsia="en-GB"/>
        </w:rPr>
      </w:pPr>
      <w:r w:rsidRPr="00217865">
        <w:rPr>
          <w:rFonts w:cs="Arial"/>
          <w:color w:val="000000" w:themeColor="text1"/>
          <w:lang w:val="en-GB" w:eastAsia="en-GB"/>
        </w:rPr>
        <w:t xml:space="preserve">Financial difficulties and </w:t>
      </w:r>
      <w:r w:rsidR="00B87C37" w:rsidRPr="00217865">
        <w:rPr>
          <w:rFonts w:cs="Arial"/>
          <w:color w:val="000000" w:themeColor="text1"/>
          <w:lang w:val="en-GB" w:eastAsia="en-GB"/>
        </w:rPr>
        <w:t xml:space="preserve">stress levels were the top two reasons </w:t>
      </w:r>
      <w:r w:rsidR="00B65B6F" w:rsidRPr="00217865">
        <w:rPr>
          <w:rFonts w:cs="Arial"/>
          <w:color w:val="000000" w:themeColor="text1"/>
          <w:lang w:val="en-GB" w:eastAsia="en-GB"/>
        </w:rPr>
        <w:t xml:space="preserve">cited by international undergraduate </w:t>
      </w:r>
      <w:r w:rsidR="00B87C37" w:rsidRPr="00217865">
        <w:rPr>
          <w:rFonts w:cs="Arial"/>
          <w:color w:val="000000" w:themeColor="text1"/>
          <w:lang w:val="en-GB" w:eastAsia="en-GB"/>
        </w:rPr>
        <w:t xml:space="preserve">and postgraduate coursework </w:t>
      </w:r>
      <w:r w:rsidR="00B65B6F" w:rsidRPr="00217865">
        <w:rPr>
          <w:rFonts w:cs="Arial"/>
          <w:color w:val="000000" w:themeColor="text1"/>
          <w:lang w:val="en-GB" w:eastAsia="en-GB"/>
        </w:rPr>
        <w:t>students for considering leaving their institution</w:t>
      </w:r>
      <w:r w:rsidR="002F637D" w:rsidRPr="00217865">
        <w:rPr>
          <w:rFonts w:cs="Arial"/>
          <w:color w:val="000000" w:themeColor="text1"/>
          <w:lang w:val="en-GB" w:eastAsia="en-GB"/>
        </w:rPr>
        <w:t xml:space="preserve">. Other frequently reported reasons included </w:t>
      </w:r>
      <w:r w:rsidR="00776587" w:rsidRPr="00217865">
        <w:rPr>
          <w:rFonts w:cs="Arial"/>
          <w:color w:val="000000" w:themeColor="text1"/>
          <w:lang w:val="en-GB" w:eastAsia="en-GB"/>
        </w:rPr>
        <w:t xml:space="preserve">their mental </w:t>
      </w:r>
      <w:proofErr w:type="gramStart"/>
      <w:r w:rsidR="00776587" w:rsidRPr="00217865">
        <w:rPr>
          <w:rFonts w:cs="Arial"/>
          <w:color w:val="000000" w:themeColor="text1"/>
          <w:lang w:val="en-GB" w:eastAsia="en-GB"/>
        </w:rPr>
        <w:t>health,</w:t>
      </w:r>
      <w:proofErr w:type="gramEnd"/>
      <w:r w:rsidR="00776587" w:rsidRPr="00217865">
        <w:rPr>
          <w:rFonts w:cs="Arial"/>
          <w:color w:val="000000" w:themeColor="text1"/>
          <w:lang w:val="en-GB" w:eastAsia="en-GB"/>
        </w:rPr>
        <w:t xml:space="preserve"> course expectations not being met and difficulty with study workload.</w:t>
      </w:r>
    </w:p>
    <w:p w14:paraId="5C8EBC02" w14:textId="41F6FB65" w:rsidR="00600630" w:rsidRPr="00217865" w:rsidRDefault="00C23053" w:rsidP="00C929AC">
      <w:pPr>
        <w:pStyle w:val="SubHeading20"/>
        <w:rPr>
          <w:rFonts w:cs="Arial"/>
          <w:color w:val="000000" w:themeColor="text1"/>
          <w:lang w:val="en-GB" w:eastAsia="en-GB"/>
        </w:rPr>
      </w:pPr>
      <w:r w:rsidRPr="00217865">
        <w:rPr>
          <w:rFonts w:cs="Arial"/>
          <w:color w:val="000000" w:themeColor="text1"/>
          <w:lang w:val="en-GB" w:eastAsia="en-GB"/>
        </w:rPr>
        <w:t>International student living experience</w:t>
      </w:r>
    </w:p>
    <w:p w14:paraId="5CC40F38" w14:textId="1C565201" w:rsidR="005146E8" w:rsidRPr="00217865" w:rsidRDefault="00074418" w:rsidP="002201A2">
      <w:pPr>
        <w:pStyle w:val="Body"/>
        <w:rPr>
          <w:rFonts w:cs="Arial"/>
          <w:color w:val="000000" w:themeColor="text1"/>
        </w:rPr>
      </w:pPr>
      <w:r w:rsidRPr="00217865">
        <w:rPr>
          <w:rFonts w:cs="Arial"/>
          <w:color w:val="000000" w:themeColor="text1"/>
        </w:rPr>
        <w:t xml:space="preserve">Despite </w:t>
      </w:r>
      <w:r w:rsidR="006C4446" w:rsidRPr="00217865">
        <w:rPr>
          <w:rFonts w:cs="Arial"/>
          <w:color w:val="000000" w:themeColor="text1"/>
        </w:rPr>
        <w:t>disruptions</w:t>
      </w:r>
      <w:r w:rsidR="00713BA7" w:rsidRPr="00217865">
        <w:rPr>
          <w:rFonts w:cs="Arial"/>
          <w:color w:val="000000" w:themeColor="text1"/>
        </w:rPr>
        <w:t xml:space="preserve"> to international students</w:t>
      </w:r>
      <w:r w:rsidR="000F70C1" w:rsidRPr="00217865">
        <w:rPr>
          <w:rFonts w:cs="Arial"/>
          <w:color w:val="000000" w:themeColor="text1"/>
        </w:rPr>
        <w:t>’</w:t>
      </w:r>
      <w:r w:rsidR="00177AF9" w:rsidRPr="00217865">
        <w:rPr>
          <w:rFonts w:cs="Arial"/>
          <w:color w:val="000000" w:themeColor="text1"/>
        </w:rPr>
        <w:t xml:space="preserve"> educational experience</w:t>
      </w:r>
      <w:r w:rsidR="000F70C1" w:rsidRPr="00217865">
        <w:rPr>
          <w:rFonts w:cs="Arial"/>
          <w:color w:val="000000" w:themeColor="text1"/>
        </w:rPr>
        <w:t xml:space="preserve"> in Australia</w:t>
      </w:r>
      <w:r w:rsidR="00436B24" w:rsidRPr="00217865">
        <w:rPr>
          <w:rFonts w:cs="Arial"/>
          <w:color w:val="000000" w:themeColor="text1"/>
        </w:rPr>
        <w:t xml:space="preserve"> throughout the pandemic, </w:t>
      </w:r>
      <w:r w:rsidR="007755B8" w:rsidRPr="00217865">
        <w:rPr>
          <w:rFonts w:cs="Arial"/>
          <w:color w:val="000000" w:themeColor="text1"/>
        </w:rPr>
        <w:t xml:space="preserve">their ratings of </w:t>
      </w:r>
      <w:r w:rsidR="00CA71F8" w:rsidRPr="00217865">
        <w:rPr>
          <w:rFonts w:cs="Arial"/>
          <w:color w:val="000000" w:themeColor="text1"/>
        </w:rPr>
        <w:t xml:space="preserve">their living experience have remained high. </w:t>
      </w:r>
      <w:r w:rsidR="0014633B" w:rsidRPr="00217865">
        <w:rPr>
          <w:rFonts w:cs="Arial"/>
          <w:color w:val="000000" w:themeColor="text1"/>
        </w:rPr>
        <w:t>In 2023, 93.</w:t>
      </w:r>
      <w:r w:rsidR="009315EB" w:rsidRPr="00217865">
        <w:rPr>
          <w:rFonts w:cs="Arial"/>
          <w:color w:val="000000" w:themeColor="text1"/>
        </w:rPr>
        <w:t>1</w:t>
      </w:r>
      <w:r w:rsidR="0014633B" w:rsidRPr="00217865">
        <w:rPr>
          <w:rFonts w:cs="Arial"/>
          <w:color w:val="000000" w:themeColor="text1"/>
        </w:rPr>
        <w:t xml:space="preserve"> per cent of international undergraduates and 93</w:t>
      </w:r>
      <w:r w:rsidR="009315EB" w:rsidRPr="00217865">
        <w:rPr>
          <w:rFonts w:cs="Arial"/>
          <w:color w:val="000000" w:themeColor="text1"/>
        </w:rPr>
        <w:t>.3 per cent of international postgraduate coursework students</w:t>
      </w:r>
      <w:r w:rsidR="008B37F4" w:rsidRPr="00217865">
        <w:rPr>
          <w:rFonts w:cs="Arial"/>
          <w:color w:val="000000" w:themeColor="text1"/>
        </w:rPr>
        <w:t xml:space="preserve"> rated their overall living experience positively.</w:t>
      </w:r>
      <w:r w:rsidR="00890751" w:rsidRPr="00217865">
        <w:rPr>
          <w:rFonts w:cs="Arial"/>
          <w:color w:val="000000" w:themeColor="text1"/>
        </w:rPr>
        <w:t xml:space="preserve"> Other aspects</w:t>
      </w:r>
      <w:r w:rsidR="006E3BEC" w:rsidRPr="00217865">
        <w:rPr>
          <w:rFonts w:cs="Arial"/>
          <w:color w:val="000000" w:themeColor="text1"/>
        </w:rPr>
        <w:t xml:space="preserve"> rated highl</w:t>
      </w:r>
      <w:r w:rsidR="000B0BB3" w:rsidRPr="00217865">
        <w:rPr>
          <w:rFonts w:cs="Arial"/>
          <w:color w:val="000000" w:themeColor="text1"/>
        </w:rPr>
        <w:t>y</w:t>
      </w:r>
      <w:r w:rsidR="006E3BEC" w:rsidRPr="00217865">
        <w:rPr>
          <w:rFonts w:cs="Arial"/>
          <w:color w:val="000000" w:themeColor="text1"/>
        </w:rPr>
        <w:t xml:space="preserve"> at both levels of study</w:t>
      </w:r>
      <w:r w:rsidR="00B46219" w:rsidRPr="00217865">
        <w:rPr>
          <w:rFonts w:cs="Arial"/>
          <w:color w:val="000000" w:themeColor="text1"/>
        </w:rPr>
        <w:t xml:space="preserve"> included </w:t>
      </w:r>
      <w:r w:rsidR="00F16A4F" w:rsidRPr="00217865">
        <w:rPr>
          <w:rFonts w:cs="Arial"/>
          <w:color w:val="000000" w:themeColor="text1"/>
        </w:rPr>
        <w:t>students’ personal safety on campus</w:t>
      </w:r>
      <w:r w:rsidR="00B258A6" w:rsidRPr="00217865">
        <w:rPr>
          <w:rFonts w:cs="Arial"/>
          <w:color w:val="000000" w:themeColor="text1"/>
        </w:rPr>
        <w:t xml:space="preserve">, improving their English </w:t>
      </w:r>
      <w:r w:rsidR="004A26BB" w:rsidRPr="00217865">
        <w:rPr>
          <w:rFonts w:cs="Arial"/>
          <w:color w:val="000000" w:themeColor="text1"/>
        </w:rPr>
        <w:t xml:space="preserve">language skills and personal safety off campus. Work experience was </w:t>
      </w:r>
      <w:r w:rsidR="00622183" w:rsidRPr="00217865">
        <w:rPr>
          <w:rFonts w:cs="Arial"/>
          <w:color w:val="000000" w:themeColor="text1"/>
        </w:rPr>
        <w:t>the lowest rated aspect of living in Australia</w:t>
      </w:r>
      <w:r w:rsidR="00063AD3" w:rsidRPr="00217865">
        <w:rPr>
          <w:rFonts w:cs="Arial"/>
          <w:color w:val="000000" w:themeColor="text1"/>
        </w:rPr>
        <w:t xml:space="preserve"> with 74.5 per cent of international undergraduates and 66.2 per cent of international postgraduate coursework students rating this positively in 2023.</w:t>
      </w:r>
    </w:p>
    <w:p w14:paraId="1B8279B8" w14:textId="3D22765A" w:rsidR="005071AF" w:rsidRPr="00217865" w:rsidRDefault="005071AF" w:rsidP="002201A2">
      <w:pPr>
        <w:pStyle w:val="Body"/>
        <w:rPr>
          <w:rFonts w:cs="Arial"/>
          <w:color w:val="000000" w:themeColor="text1"/>
        </w:rPr>
      </w:pPr>
      <w:r w:rsidRPr="00217865">
        <w:rPr>
          <w:rFonts w:cs="Arial"/>
          <w:color w:val="000000" w:themeColor="text1"/>
        </w:rPr>
        <w:t>The most important factors</w:t>
      </w:r>
      <w:r w:rsidR="000B49B6" w:rsidRPr="00217865">
        <w:rPr>
          <w:rFonts w:cs="Arial"/>
          <w:color w:val="000000" w:themeColor="text1"/>
        </w:rPr>
        <w:t xml:space="preserve"> in deciding to study in Australia </w:t>
      </w:r>
      <w:r w:rsidR="00BB275A" w:rsidRPr="00217865">
        <w:rPr>
          <w:rFonts w:cs="Arial"/>
          <w:color w:val="000000" w:themeColor="text1"/>
        </w:rPr>
        <w:t>and for choosing their current institutions were broadly similar for undergraduates and postgraduate coursework students.</w:t>
      </w:r>
      <w:r w:rsidR="0039435A" w:rsidRPr="00217865">
        <w:rPr>
          <w:rFonts w:cs="Arial"/>
          <w:color w:val="000000" w:themeColor="text1"/>
        </w:rPr>
        <w:t xml:space="preserve"> International students placed the greatest importance on personal safety and security, the cost of living and the reputation of Aust</w:t>
      </w:r>
      <w:r w:rsidR="00CE6EFB" w:rsidRPr="00217865">
        <w:rPr>
          <w:rFonts w:cs="Arial"/>
          <w:color w:val="000000" w:themeColor="text1"/>
        </w:rPr>
        <w:t>ralia’s education system</w:t>
      </w:r>
      <w:r w:rsidR="00EE690D" w:rsidRPr="00217865">
        <w:rPr>
          <w:rFonts w:cs="Arial"/>
          <w:color w:val="000000" w:themeColor="text1"/>
        </w:rPr>
        <w:t xml:space="preserve"> in their decision to study in Australia. </w:t>
      </w:r>
    </w:p>
    <w:p w14:paraId="01F5C671" w14:textId="64C4E4FF" w:rsidR="0053792C" w:rsidRPr="00217865" w:rsidRDefault="0053792C" w:rsidP="00C929AC">
      <w:pPr>
        <w:pStyle w:val="Body"/>
        <w:rPr>
          <w:rFonts w:cs="Arial"/>
          <w:color w:val="000000" w:themeColor="text1"/>
        </w:rPr>
      </w:pPr>
      <w:r w:rsidRPr="00217865">
        <w:rPr>
          <w:rFonts w:cs="Arial"/>
          <w:color w:val="000000" w:themeColor="text1"/>
        </w:rPr>
        <w:t xml:space="preserve">When choosing an institution to study at, </w:t>
      </w:r>
      <w:r w:rsidR="00DD3208" w:rsidRPr="00217865">
        <w:rPr>
          <w:rFonts w:cs="Arial"/>
          <w:color w:val="000000" w:themeColor="text1"/>
        </w:rPr>
        <w:t xml:space="preserve">offering the </w:t>
      </w:r>
      <w:r w:rsidR="00A80EDF" w:rsidRPr="00217865">
        <w:rPr>
          <w:rFonts w:cs="Arial"/>
          <w:color w:val="000000" w:themeColor="text1"/>
        </w:rPr>
        <w:t xml:space="preserve">right course, the </w:t>
      </w:r>
      <w:r w:rsidR="001203CF" w:rsidRPr="00217865">
        <w:rPr>
          <w:rFonts w:cs="Arial"/>
          <w:color w:val="000000" w:themeColor="text1"/>
        </w:rPr>
        <w:t>population</w:t>
      </w:r>
      <w:r w:rsidR="00A80EDF" w:rsidRPr="00217865">
        <w:rPr>
          <w:rFonts w:cs="Arial"/>
          <w:color w:val="000000" w:themeColor="text1"/>
        </w:rPr>
        <w:t xml:space="preserve"> of the qualification, employment opportunities</w:t>
      </w:r>
      <w:r w:rsidR="001203CF" w:rsidRPr="00217865">
        <w:rPr>
          <w:rFonts w:cs="Arial"/>
          <w:color w:val="000000" w:themeColor="text1"/>
        </w:rPr>
        <w:t>, the reputation of the provider and the course fee were all important factor</w:t>
      </w:r>
      <w:r w:rsidR="00E73128" w:rsidRPr="00217865">
        <w:rPr>
          <w:rFonts w:cs="Arial"/>
          <w:color w:val="000000" w:themeColor="text1"/>
        </w:rPr>
        <w:t>s international students considered.</w:t>
      </w:r>
    </w:p>
    <w:p w14:paraId="61A67562" w14:textId="77777777" w:rsidR="00821227" w:rsidRPr="00217865" w:rsidRDefault="00821227" w:rsidP="00821227">
      <w:pPr>
        <w:pStyle w:val="Body"/>
        <w:rPr>
          <w:rFonts w:cs="Arial"/>
          <w:color w:val="000000" w:themeColor="text1"/>
          <w:highlight w:val="yellow"/>
        </w:rPr>
      </w:pPr>
    </w:p>
    <w:p w14:paraId="49F20CD7" w14:textId="77777777" w:rsidR="00821227" w:rsidRPr="00217865" w:rsidRDefault="00821227" w:rsidP="00821227">
      <w:pPr>
        <w:spacing w:before="107" w:line="218" w:lineRule="atLeast"/>
        <w:jc w:val="right"/>
        <w:rPr>
          <w:rFonts w:cs="Arial"/>
          <w:color w:val="000000" w:themeColor="text1"/>
          <w:sz w:val="15"/>
          <w:szCs w:val="15"/>
          <w:highlight w:val="yellow"/>
        </w:rPr>
      </w:pPr>
      <w:r w:rsidRPr="00217865">
        <w:rPr>
          <w:rFonts w:cs="Arial"/>
          <w:color w:val="000000" w:themeColor="text1"/>
          <w:sz w:val="15"/>
          <w:szCs w:val="15"/>
          <w:highlight w:val="yellow"/>
        </w:rPr>
        <w:br w:type="page"/>
      </w:r>
    </w:p>
    <w:sdt>
      <w:sdtPr>
        <w:rPr>
          <w:rFonts w:eastAsiaTheme="minorEastAsia" w:cs="Arial"/>
          <w:b/>
          <w:bCs/>
          <w:color w:val="000000" w:themeColor="text1"/>
          <w:sz w:val="24"/>
          <w:szCs w:val="24"/>
        </w:rPr>
        <w:id w:val="-185835526"/>
        <w:docPartObj>
          <w:docPartGallery w:val="Table of Contents"/>
          <w:docPartUnique/>
        </w:docPartObj>
      </w:sdtPr>
      <w:sdtEndPr>
        <w:rPr>
          <w:rFonts w:eastAsiaTheme="minorHAnsi"/>
          <w:b w:val="0"/>
          <w:bCs w:val="0"/>
          <w:noProof/>
          <w:sz w:val="20"/>
          <w:szCs w:val="18"/>
        </w:rPr>
      </w:sdtEndPr>
      <w:sdtContent>
        <w:p w14:paraId="65E35E95" w14:textId="77777777" w:rsidR="00821227" w:rsidRPr="00217865" w:rsidRDefault="00821227" w:rsidP="00A9284B">
          <w:pPr>
            <w:pStyle w:val="TOCHeading"/>
            <w:numPr>
              <w:ilvl w:val="0"/>
              <w:numId w:val="0"/>
            </w:numPr>
            <w:rPr>
              <w:rStyle w:val="MajorHeadingChar"/>
              <w:rFonts w:cs="Arial"/>
              <w:color w:val="000000" w:themeColor="text1"/>
            </w:rPr>
          </w:pPr>
          <w:r w:rsidRPr="00217865">
            <w:rPr>
              <w:rStyle w:val="MajorHeadingChar"/>
              <w:rFonts w:cs="Arial"/>
              <w:color w:val="000000" w:themeColor="text1"/>
            </w:rPr>
            <w:t>Table of Contents</w:t>
          </w:r>
        </w:p>
        <w:p w14:paraId="71B9403D" w14:textId="04B60396" w:rsidR="00A533FF" w:rsidRPr="00217865" w:rsidRDefault="00821227">
          <w:pPr>
            <w:pStyle w:val="TOC1"/>
            <w:rPr>
              <w:rFonts w:asciiTheme="minorHAnsi" w:eastAsiaTheme="minorEastAsia" w:hAnsiTheme="minorHAnsi" w:cstheme="minorBidi"/>
              <w:b w:val="0"/>
              <w:color w:val="000000" w:themeColor="text1"/>
              <w:kern w:val="2"/>
              <w:sz w:val="24"/>
              <w:szCs w:val="24"/>
              <w:lang w:eastAsia="en-AU"/>
              <w14:ligatures w14:val="standardContextual"/>
            </w:rPr>
          </w:pPr>
          <w:r w:rsidRPr="00217865">
            <w:rPr>
              <w:rFonts w:cs="Arial"/>
              <w:color w:val="000000" w:themeColor="text1"/>
            </w:rPr>
            <w:fldChar w:fldCharType="begin"/>
          </w:r>
          <w:r w:rsidRPr="00217865">
            <w:rPr>
              <w:rFonts w:cs="Arial"/>
              <w:color w:val="000000" w:themeColor="text1"/>
            </w:rPr>
            <w:instrText xml:space="preserve"> TOC \o "1-3" \h \z \u </w:instrText>
          </w:r>
          <w:r w:rsidRPr="00217865">
            <w:rPr>
              <w:rFonts w:cs="Arial"/>
              <w:color w:val="000000" w:themeColor="text1"/>
            </w:rPr>
            <w:fldChar w:fldCharType="separate"/>
          </w:r>
          <w:hyperlink w:anchor="_Toc178599276" w:history="1">
            <w:r w:rsidR="00A533FF" w:rsidRPr="00217865">
              <w:rPr>
                <w:rStyle w:val="Hyperlink"/>
                <w:rFonts w:cs="Arial"/>
              </w:rPr>
              <w:t>Acknowledgements</w:t>
            </w:r>
            <w:r w:rsidR="00A533FF" w:rsidRPr="00217865">
              <w:rPr>
                <w:webHidden/>
                <w:color w:val="000000" w:themeColor="text1"/>
              </w:rPr>
              <w:tab/>
            </w:r>
            <w:r w:rsidR="00A533FF" w:rsidRPr="00217865">
              <w:rPr>
                <w:webHidden/>
                <w:color w:val="000000" w:themeColor="text1"/>
              </w:rPr>
              <w:fldChar w:fldCharType="begin"/>
            </w:r>
            <w:r w:rsidR="00A533FF" w:rsidRPr="00217865">
              <w:rPr>
                <w:webHidden/>
                <w:color w:val="000000" w:themeColor="text1"/>
              </w:rPr>
              <w:instrText xml:space="preserve"> PAGEREF _Toc178599276 \h </w:instrText>
            </w:r>
            <w:r w:rsidR="00A533FF" w:rsidRPr="00217865">
              <w:rPr>
                <w:webHidden/>
                <w:color w:val="000000" w:themeColor="text1"/>
              </w:rPr>
            </w:r>
            <w:r w:rsidR="00A533FF" w:rsidRPr="00217865">
              <w:rPr>
                <w:webHidden/>
                <w:color w:val="000000" w:themeColor="text1"/>
              </w:rPr>
              <w:fldChar w:fldCharType="separate"/>
            </w:r>
            <w:r w:rsidR="005D5678">
              <w:rPr>
                <w:webHidden/>
                <w:color w:val="000000" w:themeColor="text1"/>
              </w:rPr>
              <w:t>ii</w:t>
            </w:r>
            <w:r w:rsidR="00A533FF" w:rsidRPr="00217865">
              <w:rPr>
                <w:webHidden/>
                <w:color w:val="000000" w:themeColor="text1"/>
              </w:rPr>
              <w:fldChar w:fldCharType="end"/>
            </w:r>
          </w:hyperlink>
        </w:p>
        <w:p w14:paraId="6AE25D8B" w14:textId="026A3161"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77" w:history="1">
            <w:r w:rsidRPr="00217865">
              <w:rPr>
                <w:rStyle w:val="Hyperlink"/>
                <w:rFonts w:cs="Arial"/>
              </w:rPr>
              <w:t>Executive summary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_Toc178599277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iii</w:t>
            </w:r>
            <w:r w:rsidRPr="00217865">
              <w:rPr>
                <w:webHidden/>
                <w:color w:val="000000" w:themeColor="text1"/>
              </w:rPr>
              <w:fldChar w:fldCharType="end"/>
            </w:r>
          </w:hyperlink>
        </w:p>
        <w:p w14:paraId="092B813B" w14:textId="5809F418"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78" w:history="1">
            <w:r w:rsidRPr="00217865">
              <w:rPr>
                <w:rStyle w:val="Hyperlink"/>
                <w:rFonts w:cs="Arial"/>
              </w:rPr>
              <w:t>List of Tables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_Toc178599278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ix</w:t>
            </w:r>
            <w:r w:rsidRPr="00217865">
              <w:rPr>
                <w:webHidden/>
                <w:color w:val="000000" w:themeColor="text1"/>
              </w:rPr>
              <w:fldChar w:fldCharType="end"/>
            </w:r>
          </w:hyperlink>
        </w:p>
        <w:p w14:paraId="65095EEA" w14:textId="69C7D1E8"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79" w:history="1">
            <w:r w:rsidRPr="00217865">
              <w:rPr>
                <w:rStyle w:val="Hyperlink"/>
                <w:rFonts w:cs="Arial"/>
              </w:rPr>
              <w:t>List of Figures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_Toc178599279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x</w:t>
            </w:r>
            <w:r w:rsidRPr="00217865">
              <w:rPr>
                <w:webHidden/>
                <w:color w:val="000000" w:themeColor="text1"/>
              </w:rPr>
              <w:fldChar w:fldCharType="end"/>
            </w:r>
          </w:hyperlink>
        </w:p>
        <w:p w14:paraId="338B36D6" w14:textId="12EA48EE"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80" w:history="1">
            <w:r w:rsidRPr="00217865">
              <w:rPr>
                <w:rStyle w:val="Hyperlink"/>
                <w:rFonts w:cs="Arial"/>
              </w:rPr>
              <w:t>1.</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Introduction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w:t>
            </w:r>
            <w:r w:rsidRPr="00217865">
              <w:rPr>
                <w:webHidden/>
                <w:color w:val="000000" w:themeColor="text1"/>
              </w:rPr>
              <w:fldChar w:fldCharType="end"/>
            </w:r>
          </w:hyperlink>
        </w:p>
        <w:p w14:paraId="7EC384EF" w14:textId="362631C5"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81" w:history="1">
            <w:r w:rsidRPr="00217865">
              <w:rPr>
                <w:rStyle w:val="Hyperlink"/>
                <w:rFonts w:cs="Arial"/>
              </w:rPr>
              <w:t>2.</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The international student experience</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3</w:t>
            </w:r>
            <w:r w:rsidRPr="00217865">
              <w:rPr>
                <w:webHidden/>
                <w:color w:val="000000" w:themeColor="text1"/>
              </w:rPr>
              <w:fldChar w:fldCharType="end"/>
            </w:r>
          </w:hyperlink>
        </w:p>
        <w:p w14:paraId="2DCFB2D2" w14:textId="06F87826"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2" w:history="1">
            <w:r w:rsidRPr="00217865">
              <w:rPr>
                <w:rStyle w:val="Hyperlink"/>
              </w:rPr>
              <w:t>2.1.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Domestic student comparison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6</w:t>
            </w:r>
            <w:r w:rsidRPr="00217865">
              <w:rPr>
                <w:webHidden/>
                <w:color w:val="000000" w:themeColor="text1"/>
              </w:rPr>
              <w:fldChar w:fldCharType="end"/>
            </w:r>
          </w:hyperlink>
        </w:p>
        <w:p w14:paraId="140BEEA5" w14:textId="1E753931"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3" w:history="1">
            <w:r w:rsidRPr="00217865">
              <w:rPr>
                <w:rStyle w:val="Hyperlink"/>
              </w:rPr>
              <w:t>2.2.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Location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w:t>
            </w:r>
            <w:r w:rsidRPr="00217865">
              <w:rPr>
                <w:webHidden/>
                <w:color w:val="000000" w:themeColor="text1"/>
              </w:rPr>
              <w:fldChar w:fldCharType="end"/>
            </w:r>
          </w:hyperlink>
        </w:p>
        <w:p w14:paraId="28CEE6F1" w14:textId="68F7A041"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4" w:history="1">
            <w:r w:rsidRPr="00217865">
              <w:rPr>
                <w:rStyle w:val="Hyperlink"/>
              </w:rPr>
              <w:t>2.3.</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Source country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w:t>
            </w:r>
            <w:r w:rsidRPr="00217865">
              <w:rPr>
                <w:webHidden/>
                <w:color w:val="000000" w:themeColor="text1"/>
              </w:rPr>
              <w:fldChar w:fldCharType="end"/>
            </w:r>
          </w:hyperlink>
        </w:p>
        <w:p w14:paraId="247E6B77" w14:textId="6A6BD63D"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5" w:history="1">
            <w:r w:rsidRPr="00217865">
              <w:rPr>
                <w:rStyle w:val="Hyperlink"/>
              </w:rPr>
              <w:t>2.4.</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Study area</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14</w:t>
            </w:r>
            <w:r w:rsidRPr="00217865">
              <w:rPr>
                <w:webHidden/>
                <w:color w:val="000000" w:themeColor="text1"/>
              </w:rPr>
              <w:fldChar w:fldCharType="end"/>
            </w:r>
          </w:hyperlink>
        </w:p>
        <w:p w14:paraId="20ED8BC0" w14:textId="0EB9F765"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6" w:history="1">
            <w:r w:rsidRPr="00217865">
              <w:rPr>
                <w:rStyle w:val="Hyperlink"/>
              </w:rPr>
              <w:t>2.5.</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Institution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19</w:t>
            </w:r>
            <w:r w:rsidRPr="00217865">
              <w:rPr>
                <w:webHidden/>
                <w:color w:val="000000" w:themeColor="text1"/>
              </w:rPr>
              <w:fldChar w:fldCharType="end"/>
            </w:r>
          </w:hyperlink>
        </w:p>
        <w:p w14:paraId="5416FE38" w14:textId="3B6BA39F"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287" w:history="1">
            <w:r w:rsidRPr="00217865">
              <w:rPr>
                <w:rStyle w:val="Hyperlink"/>
              </w:rPr>
              <w:t>2.5.1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Universities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19</w:t>
            </w:r>
            <w:r w:rsidRPr="00217865">
              <w:rPr>
                <w:webHidden/>
                <w:color w:val="000000" w:themeColor="text1"/>
              </w:rPr>
              <w:fldChar w:fldCharType="end"/>
            </w:r>
          </w:hyperlink>
        </w:p>
        <w:p w14:paraId="11239066" w14:textId="21E55D50"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288" w:history="1">
            <w:r w:rsidRPr="00217865">
              <w:rPr>
                <w:rStyle w:val="Hyperlink"/>
              </w:rPr>
              <w:t>2.5.2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Non-university higher education institutions (NUHEIs)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25</w:t>
            </w:r>
            <w:r w:rsidRPr="00217865">
              <w:rPr>
                <w:webHidden/>
                <w:color w:val="000000" w:themeColor="text1"/>
              </w:rPr>
              <w:fldChar w:fldCharType="end"/>
            </w:r>
          </w:hyperlink>
        </w:p>
        <w:p w14:paraId="1C675BAB" w14:textId="76A18AA4"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89" w:history="1">
            <w:r w:rsidRPr="00217865">
              <w:rPr>
                <w:rStyle w:val="Hyperlink"/>
              </w:rPr>
              <w:t>2.6.</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Likelihood to consider leaving current institution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_Toc178599289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36</w:t>
            </w:r>
            <w:r w:rsidRPr="00217865">
              <w:rPr>
                <w:webHidden/>
                <w:color w:val="000000" w:themeColor="text1"/>
              </w:rPr>
              <w:fldChar w:fldCharType="end"/>
            </w:r>
          </w:hyperlink>
        </w:p>
        <w:p w14:paraId="443474F4" w14:textId="692C8D78"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90" w:history="1">
            <w:r w:rsidRPr="00217865">
              <w:rPr>
                <w:rStyle w:val="Hyperlink"/>
                <w:rFonts w:cs="Arial"/>
              </w:rPr>
              <w:t>3.</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The living experience of international students in Australia</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42</w:t>
            </w:r>
            <w:r w:rsidRPr="00217865">
              <w:rPr>
                <w:webHidden/>
                <w:color w:val="000000" w:themeColor="text1"/>
              </w:rPr>
              <w:fldChar w:fldCharType="end"/>
            </w:r>
          </w:hyperlink>
        </w:p>
        <w:p w14:paraId="2B779992" w14:textId="391E6F27"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1" w:history="1">
            <w:r w:rsidRPr="00217865">
              <w:rPr>
                <w:rStyle w:val="Hyperlink"/>
              </w:rPr>
              <w:t>3.1.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Accommodation experience</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44</w:t>
            </w:r>
            <w:r w:rsidRPr="00217865">
              <w:rPr>
                <w:webHidden/>
                <w:color w:val="000000" w:themeColor="text1"/>
              </w:rPr>
              <w:fldChar w:fldCharType="end"/>
            </w:r>
          </w:hyperlink>
        </w:p>
        <w:p w14:paraId="264B4338" w14:textId="59C2A7E5"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2" w:history="1">
            <w:r w:rsidRPr="00217865">
              <w:rPr>
                <w:rStyle w:val="Hyperlink"/>
              </w:rPr>
              <w:t>3.2.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Use of agents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47</w:t>
            </w:r>
            <w:r w:rsidRPr="00217865">
              <w:rPr>
                <w:webHidden/>
                <w:color w:val="000000" w:themeColor="text1"/>
              </w:rPr>
              <w:fldChar w:fldCharType="end"/>
            </w:r>
          </w:hyperlink>
        </w:p>
        <w:p w14:paraId="305E7244" w14:textId="480E1066"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93" w:history="1">
            <w:r w:rsidRPr="00217865">
              <w:rPr>
                <w:rStyle w:val="Hyperlink"/>
                <w:rFonts w:cs="Arial"/>
              </w:rPr>
              <w:t>4.</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Factors in deciding where to study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48</w:t>
            </w:r>
            <w:r w:rsidRPr="00217865">
              <w:rPr>
                <w:webHidden/>
                <w:color w:val="000000" w:themeColor="text1"/>
              </w:rPr>
              <w:fldChar w:fldCharType="end"/>
            </w:r>
          </w:hyperlink>
        </w:p>
        <w:p w14:paraId="32527A03" w14:textId="0814386F"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4" w:history="1">
            <w:r w:rsidRPr="00217865">
              <w:rPr>
                <w:rStyle w:val="Hyperlink"/>
              </w:rPr>
              <w:t>4.1.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Reasons for choosing to study in Australia</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48</w:t>
            </w:r>
            <w:r w:rsidRPr="00217865">
              <w:rPr>
                <w:webHidden/>
                <w:color w:val="000000" w:themeColor="text1"/>
              </w:rPr>
              <w:fldChar w:fldCharType="end"/>
            </w:r>
          </w:hyperlink>
        </w:p>
        <w:p w14:paraId="211FA0BB" w14:textId="5CC0621C"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5" w:history="1">
            <w:r w:rsidRPr="00217865">
              <w:rPr>
                <w:rStyle w:val="Hyperlink"/>
              </w:rPr>
              <w:t>4.2.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Reasons for choosing to study at current institution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49</w:t>
            </w:r>
            <w:r w:rsidRPr="00217865">
              <w:rPr>
                <w:webHidden/>
                <w:color w:val="000000" w:themeColor="text1"/>
              </w:rPr>
              <w:fldChar w:fldCharType="end"/>
            </w:r>
          </w:hyperlink>
        </w:p>
        <w:p w14:paraId="5565DF07" w14:textId="722B4A39" w:rsidR="00A533FF" w:rsidRPr="00217865" w:rsidRDefault="00A533FF">
          <w:pPr>
            <w:pStyle w:val="TOC1"/>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96" w:history="1">
            <w:r w:rsidRPr="00217865">
              <w:rPr>
                <w:rStyle w:val="Hyperlink"/>
                <w:rFonts w:cs="Arial"/>
              </w:rPr>
              <w:t>5.</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International comparisons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52</w:t>
            </w:r>
            <w:r w:rsidRPr="00217865">
              <w:rPr>
                <w:webHidden/>
                <w:color w:val="000000" w:themeColor="text1"/>
              </w:rPr>
              <w:fldChar w:fldCharType="end"/>
            </w:r>
          </w:hyperlink>
        </w:p>
        <w:p w14:paraId="4029F91E" w14:textId="73887F1D"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297" w:history="1">
            <w:r w:rsidRPr="00217865">
              <w:rPr>
                <w:rStyle w:val="Hyperlink"/>
                <w:rFonts w:cs="Arial"/>
              </w:rPr>
              <w:t>Appendix 1</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Methodological summary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54</w:t>
            </w:r>
            <w:r w:rsidRPr="00217865">
              <w:rPr>
                <w:webHidden/>
                <w:color w:val="000000" w:themeColor="text1"/>
              </w:rPr>
              <w:fldChar w:fldCharType="end"/>
            </w:r>
          </w:hyperlink>
        </w:p>
        <w:p w14:paraId="2546CB1E" w14:textId="3F0D9A6D"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8" w:history="1">
            <w:r w:rsidRPr="00217865">
              <w:rPr>
                <w:rStyle w:val="Hyperlink"/>
              </w:rPr>
              <w:t>A1.1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Overview</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54</w:t>
            </w:r>
            <w:r w:rsidRPr="00217865">
              <w:rPr>
                <w:webHidden/>
                <w:color w:val="000000" w:themeColor="text1"/>
              </w:rPr>
              <w:fldChar w:fldCharType="end"/>
            </w:r>
          </w:hyperlink>
        </w:p>
        <w:p w14:paraId="27EB01DC" w14:textId="3C0EB77D"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299" w:history="1">
            <w:r w:rsidRPr="00217865">
              <w:rPr>
                <w:rStyle w:val="Hyperlink"/>
              </w:rPr>
              <w:t>A1.2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Data collection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_Toc178599299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54</w:t>
            </w:r>
            <w:r w:rsidRPr="00217865">
              <w:rPr>
                <w:webHidden/>
                <w:color w:val="000000" w:themeColor="text1"/>
              </w:rPr>
              <w:fldChar w:fldCharType="end"/>
            </w:r>
          </w:hyperlink>
        </w:p>
        <w:p w14:paraId="7DB32517" w14:textId="33E31296"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00" w:history="1">
            <w:r w:rsidRPr="00217865">
              <w:rPr>
                <w:rStyle w:val="Hyperlink"/>
              </w:rPr>
              <w:t>A1.3</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Response rate by institution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55</w:t>
            </w:r>
            <w:r w:rsidRPr="00217865">
              <w:rPr>
                <w:webHidden/>
                <w:color w:val="000000" w:themeColor="text1"/>
              </w:rPr>
              <w:fldChar w:fldCharType="end"/>
            </w:r>
          </w:hyperlink>
        </w:p>
        <w:p w14:paraId="5CA2F131" w14:textId="0364E6CA"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01" w:history="1">
            <w:r w:rsidRPr="00217865">
              <w:rPr>
                <w:rStyle w:val="Hyperlink"/>
              </w:rPr>
              <w:t>A1.4</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Data representativeness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58</w:t>
            </w:r>
            <w:r w:rsidRPr="00217865">
              <w:rPr>
                <w:webHidden/>
                <w:color w:val="000000" w:themeColor="text1"/>
              </w:rPr>
              <w:fldChar w:fldCharType="end"/>
            </w:r>
          </w:hyperlink>
        </w:p>
        <w:p w14:paraId="720BDF28" w14:textId="1D66CEAC"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02" w:history="1">
            <w:r w:rsidRPr="00217865">
              <w:rPr>
                <w:rStyle w:val="Hyperlink"/>
              </w:rPr>
              <w:t>A1.5</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Precision of national estimates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71</w:t>
            </w:r>
            <w:r w:rsidRPr="00217865">
              <w:rPr>
                <w:webHidden/>
                <w:color w:val="000000" w:themeColor="text1"/>
              </w:rPr>
              <w:fldChar w:fldCharType="end"/>
            </w:r>
          </w:hyperlink>
        </w:p>
        <w:p w14:paraId="4C7CF31F" w14:textId="5F3F5BE3"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03" w:history="1">
            <w:r w:rsidRPr="00217865">
              <w:rPr>
                <w:rStyle w:val="Hyperlink"/>
                <w:rFonts w:cs="Arial"/>
              </w:rPr>
              <w:t>Appendix 2</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Review of the SES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74</w:t>
            </w:r>
            <w:r w:rsidRPr="00217865">
              <w:rPr>
                <w:webHidden/>
                <w:color w:val="000000" w:themeColor="text1"/>
              </w:rPr>
              <w:fldChar w:fldCharType="end"/>
            </w:r>
          </w:hyperlink>
        </w:p>
        <w:p w14:paraId="7087D42F" w14:textId="65B86738"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04" w:history="1">
            <w:r w:rsidRPr="00217865">
              <w:rPr>
                <w:rStyle w:val="Hyperlink"/>
                <w:rFonts w:eastAsiaTheme="majorEastAsia" w:cs="Arial"/>
              </w:rPr>
              <w:t>A2.1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eastAsiaTheme="majorEastAsia" w:cs="Arial"/>
              </w:rPr>
              <w:t>Changes to the SES instrument</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74</w:t>
            </w:r>
            <w:r w:rsidRPr="00217865">
              <w:rPr>
                <w:webHidden/>
                <w:color w:val="000000" w:themeColor="text1"/>
              </w:rPr>
              <w:fldChar w:fldCharType="end"/>
            </w:r>
          </w:hyperlink>
        </w:p>
        <w:p w14:paraId="25E40CCE" w14:textId="7700BD25"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05" w:history="1">
            <w:r w:rsidRPr="00217865">
              <w:rPr>
                <w:rStyle w:val="Hyperlink"/>
                <w:rFonts w:cs="Arial"/>
              </w:rPr>
              <w:t>A2.1.1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Peer Engagement focus area – previously known as Learner Engagement</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74</w:t>
            </w:r>
            <w:r w:rsidRPr="00217865">
              <w:rPr>
                <w:webHidden/>
                <w:color w:val="000000" w:themeColor="text1"/>
              </w:rPr>
              <w:fldChar w:fldCharType="end"/>
            </w:r>
          </w:hyperlink>
        </w:p>
        <w:p w14:paraId="38CC0CE2" w14:textId="2D45CAD9"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06" w:history="1">
            <w:r w:rsidRPr="00217865">
              <w:rPr>
                <w:rStyle w:val="Hyperlink"/>
                <w:rFonts w:cs="Arial"/>
              </w:rPr>
              <w:t>A2.1.2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Student Support and Services focus area – previously known as Student Support</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75</w:t>
            </w:r>
            <w:r w:rsidRPr="00217865">
              <w:rPr>
                <w:webHidden/>
                <w:color w:val="000000" w:themeColor="text1"/>
              </w:rPr>
              <w:fldChar w:fldCharType="end"/>
            </w:r>
          </w:hyperlink>
        </w:p>
        <w:p w14:paraId="07170FF9" w14:textId="7CF6AA00"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07" w:history="1">
            <w:r w:rsidRPr="00217865">
              <w:rPr>
                <w:rStyle w:val="Hyperlink"/>
                <w:rFonts w:cs="Arial"/>
              </w:rPr>
              <w:t>A2.1.3</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Teaching Quality and Engagement focus area – previously known as Teaching Quality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76</w:t>
            </w:r>
            <w:r w:rsidRPr="00217865">
              <w:rPr>
                <w:webHidden/>
                <w:color w:val="000000" w:themeColor="text1"/>
              </w:rPr>
              <w:fldChar w:fldCharType="end"/>
            </w:r>
          </w:hyperlink>
        </w:p>
        <w:p w14:paraId="1ACC7D14" w14:textId="6AE7230D"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08" w:history="1">
            <w:r w:rsidRPr="00217865">
              <w:rPr>
                <w:rStyle w:val="Hyperlink"/>
                <w:rFonts w:cs="Arial"/>
              </w:rPr>
              <w:t>A2.1.4</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Learning Resources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76</w:t>
            </w:r>
            <w:r w:rsidRPr="00217865">
              <w:rPr>
                <w:webHidden/>
                <w:color w:val="000000" w:themeColor="text1"/>
              </w:rPr>
              <w:fldChar w:fldCharType="end"/>
            </w:r>
          </w:hyperlink>
        </w:p>
        <w:p w14:paraId="31E735E4" w14:textId="55E1FD0A"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09" w:history="1">
            <w:r w:rsidRPr="00217865">
              <w:rPr>
                <w:rStyle w:val="Hyperlink"/>
                <w:rFonts w:cs="Arial"/>
              </w:rPr>
              <w:t>A2.1.5</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Study mode</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_Toc178599309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76</w:t>
            </w:r>
            <w:r w:rsidRPr="00217865">
              <w:rPr>
                <w:webHidden/>
                <w:color w:val="000000" w:themeColor="text1"/>
              </w:rPr>
              <w:fldChar w:fldCharType="end"/>
            </w:r>
          </w:hyperlink>
        </w:p>
        <w:p w14:paraId="0E0B4C90" w14:textId="1C61AF80"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10" w:history="1">
            <w:r w:rsidRPr="00217865">
              <w:rPr>
                <w:rStyle w:val="Hyperlink"/>
                <w:rFonts w:cs="Arial"/>
              </w:rPr>
              <w:t>A2.1.6</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Considered leaving</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77</w:t>
            </w:r>
            <w:r w:rsidRPr="00217865">
              <w:rPr>
                <w:webHidden/>
                <w:color w:val="000000" w:themeColor="text1"/>
              </w:rPr>
              <w:fldChar w:fldCharType="end"/>
            </w:r>
          </w:hyperlink>
        </w:p>
        <w:p w14:paraId="6284F6E5" w14:textId="28D60F36"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11" w:history="1">
            <w:r w:rsidRPr="00217865">
              <w:rPr>
                <w:rStyle w:val="Hyperlink"/>
                <w:rFonts w:cs="Arial"/>
              </w:rPr>
              <w:t>A2.1.7</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Retired items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79</w:t>
            </w:r>
            <w:r w:rsidRPr="00217865">
              <w:rPr>
                <w:webHidden/>
                <w:color w:val="000000" w:themeColor="text1"/>
              </w:rPr>
              <w:fldChar w:fldCharType="end"/>
            </w:r>
          </w:hyperlink>
        </w:p>
        <w:p w14:paraId="22008D14" w14:textId="534C4039"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2" w:history="1">
            <w:r w:rsidRPr="00217865">
              <w:rPr>
                <w:rStyle w:val="Hyperlink"/>
                <w:rFonts w:eastAsiaTheme="majorEastAsia" w:cs="Arial"/>
              </w:rPr>
              <w:t>A2.2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eastAsiaTheme="majorEastAsia" w:cs="Arial"/>
              </w:rPr>
              <w:t>Implications of changes on focus area scores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81</w:t>
            </w:r>
            <w:r w:rsidRPr="00217865">
              <w:rPr>
                <w:webHidden/>
                <w:color w:val="000000" w:themeColor="text1"/>
              </w:rPr>
              <w:fldChar w:fldCharType="end"/>
            </w:r>
          </w:hyperlink>
        </w:p>
        <w:p w14:paraId="0A310299" w14:textId="14165B6B"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13" w:history="1">
            <w:r w:rsidRPr="00217865">
              <w:rPr>
                <w:rStyle w:val="Hyperlink"/>
                <w:rFonts w:cs="Arial"/>
              </w:rPr>
              <w:t>Appendix 3</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Student Experience Questionnaire (SEQ)</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82</w:t>
            </w:r>
            <w:r w:rsidRPr="00217865">
              <w:rPr>
                <w:webHidden/>
                <w:color w:val="000000" w:themeColor="text1"/>
              </w:rPr>
              <w:fldChar w:fldCharType="end"/>
            </w:r>
          </w:hyperlink>
        </w:p>
        <w:p w14:paraId="153D6241" w14:textId="6517BC87"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4" w:history="1">
            <w:r w:rsidRPr="00217865">
              <w:rPr>
                <w:rStyle w:val="Hyperlink"/>
              </w:rPr>
              <w:t>A3.1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Core instrument</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82</w:t>
            </w:r>
            <w:r w:rsidRPr="00217865">
              <w:rPr>
                <w:webHidden/>
                <w:color w:val="000000" w:themeColor="text1"/>
              </w:rPr>
              <w:fldChar w:fldCharType="end"/>
            </w:r>
          </w:hyperlink>
        </w:p>
        <w:p w14:paraId="6EEF13B4" w14:textId="0A401CC4"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5" w:history="1">
            <w:r w:rsidRPr="00217865">
              <w:rPr>
                <w:rStyle w:val="Hyperlink"/>
              </w:rPr>
              <w:t>5.1.</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85</w:t>
            </w:r>
            <w:r w:rsidRPr="00217865">
              <w:rPr>
                <w:webHidden/>
                <w:color w:val="000000" w:themeColor="text1"/>
              </w:rPr>
              <w:fldChar w:fldCharType="end"/>
            </w:r>
          </w:hyperlink>
        </w:p>
        <w:p w14:paraId="64D3D427" w14:textId="7E3FBDD1"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6" w:history="1">
            <w:r w:rsidRPr="00217865">
              <w:rPr>
                <w:rStyle w:val="Hyperlink"/>
              </w:rPr>
              <w:t>A3.2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Institution-specific items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86</w:t>
            </w:r>
            <w:r w:rsidRPr="00217865">
              <w:rPr>
                <w:webHidden/>
                <w:color w:val="000000" w:themeColor="text1"/>
              </w:rPr>
              <w:fldChar w:fldCharType="end"/>
            </w:r>
          </w:hyperlink>
        </w:p>
        <w:p w14:paraId="2D7ECE6F" w14:textId="40B8097A"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17" w:history="1">
            <w:r w:rsidRPr="00217865">
              <w:rPr>
                <w:rStyle w:val="Hyperlink"/>
                <w:rFonts w:cs="Arial"/>
              </w:rPr>
              <w:t>Appendix 4</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Production of scores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87</w:t>
            </w:r>
            <w:r w:rsidRPr="00217865">
              <w:rPr>
                <w:webHidden/>
                <w:color w:val="000000" w:themeColor="text1"/>
              </w:rPr>
              <w:fldChar w:fldCharType="end"/>
            </w:r>
          </w:hyperlink>
        </w:p>
        <w:p w14:paraId="74C2523C" w14:textId="7CA90982"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8" w:history="1">
            <w:r w:rsidRPr="00217865">
              <w:rPr>
                <w:rStyle w:val="Hyperlink"/>
              </w:rPr>
              <w:t>A4.1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Focus area-level scores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87</w:t>
            </w:r>
            <w:r w:rsidRPr="00217865">
              <w:rPr>
                <w:webHidden/>
                <w:color w:val="000000" w:themeColor="text1"/>
              </w:rPr>
              <w:fldChar w:fldCharType="end"/>
            </w:r>
          </w:hyperlink>
        </w:p>
        <w:p w14:paraId="5DD9C6CD" w14:textId="2B948D31"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19" w:history="1">
            <w:r w:rsidRPr="00217865">
              <w:rPr>
                <w:rStyle w:val="Hyperlink"/>
              </w:rPr>
              <w:t>A4.2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Item-level scores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_Toc178599319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87</w:t>
            </w:r>
            <w:r w:rsidRPr="00217865">
              <w:rPr>
                <w:webHidden/>
                <w:color w:val="000000" w:themeColor="text1"/>
              </w:rPr>
              <w:fldChar w:fldCharType="end"/>
            </w:r>
          </w:hyperlink>
        </w:p>
        <w:p w14:paraId="06AC7BD2" w14:textId="06017853"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20" w:history="1">
            <w:r w:rsidRPr="00217865">
              <w:rPr>
                <w:rStyle w:val="Hyperlink"/>
                <w:rFonts w:cs="Arial"/>
              </w:rPr>
              <w:t>Appendix 5</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Construction of confidence intervals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90</w:t>
            </w:r>
            <w:r w:rsidRPr="00217865">
              <w:rPr>
                <w:webHidden/>
                <w:color w:val="000000" w:themeColor="text1"/>
              </w:rPr>
              <w:fldChar w:fldCharType="end"/>
            </w:r>
          </w:hyperlink>
        </w:p>
        <w:p w14:paraId="2216D67F" w14:textId="042F160B"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21" w:history="1">
            <w:r w:rsidRPr="00217865">
              <w:rPr>
                <w:rStyle w:val="Hyperlink"/>
                <w:rFonts w:cs="Arial"/>
              </w:rPr>
              <w:t>Appendix 6</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Study area definitions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91</w:t>
            </w:r>
            <w:r w:rsidRPr="00217865">
              <w:rPr>
                <w:webHidden/>
                <w:color w:val="000000" w:themeColor="text1"/>
              </w:rPr>
              <w:fldChar w:fldCharType="end"/>
            </w:r>
          </w:hyperlink>
        </w:p>
        <w:p w14:paraId="612F8A3F" w14:textId="0551AAB0" w:rsidR="00A533FF" w:rsidRPr="00217865" w:rsidRDefault="00A533FF">
          <w:pPr>
            <w:pStyle w:val="TOC1"/>
            <w:tabs>
              <w:tab w:val="left" w:pos="1843"/>
            </w:tabs>
            <w:rPr>
              <w:rFonts w:asciiTheme="minorHAnsi" w:eastAsiaTheme="minorEastAsia" w:hAnsiTheme="minorHAnsi" w:cstheme="minorBidi"/>
              <w:b w:val="0"/>
              <w:color w:val="000000" w:themeColor="text1"/>
              <w:kern w:val="2"/>
              <w:sz w:val="24"/>
              <w:szCs w:val="24"/>
              <w:lang w:eastAsia="en-AU"/>
              <w14:ligatures w14:val="standardContextual"/>
            </w:rPr>
          </w:pPr>
          <w:hyperlink w:anchor="_Toc178599322" w:history="1">
            <w:r w:rsidRPr="00217865">
              <w:rPr>
                <w:rStyle w:val="Hyperlink"/>
                <w:rFonts w:cs="Arial"/>
              </w:rPr>
              <w:t>Appendix 7</w:t>
            </w:r>
            <w:r w:rsidRPr="00217865">
              <w:rPr>
                <w:rFonts w:asciiTheme="minorHAnsi" w:eastAsiaTheme="minorEastAsia" w:hAnsiTheme="minorHAnsi" w:cstheme="minorBidi"/>
                <w:b w:val="0"/>
                <w:color w:val="000000" w:themeColor="text1"/>
                <w:kern w:val="2"/>
                <w:sz w:val="24"/>
                <w:szCs w:val="24"/>
                <w:lang w:eastAsia="en-AU"/>
                <w14:ligatures w14:val="standardContextual"/>
              </w:rPr>
              <w:tab/>
            </w:r>
            <w:r w:rsidRPr="00217865">
              <w:rPr>
                <w:rStyle w:val="Hyperlink"/>
                <w:rFonts w:cs="Arial"/>
              </w:rPr>
              <w:t>Additional tables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94</w:t>
            </w:r>
            <w:r w:rsidRPr="00217865">
              <w:rPr>
                <w:webHidden/>
                <w:color w:val="000000" w:themeColor="text1"/>
              </w:rPr>
              <w:fldChar w:fldCharType="end"/>
            </w:r>
          </w:hyperlink>
        </w:p>
        <w:p w14:paraId="77D770FE" w14:textId="1371DD3B"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23" w:history="1">
            <w:r w:rsidRPr="00217865">
              <w:rPr>
                <w:rStyle w:val="Hyperlink"/>
              </w:rPr>
              <w:t>A7.1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Pr>
              <w:t>SES results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94</w:t>
            </w:r>
            <w:r w:rsidRPr="00217865">
              <w:rPr>
                <w:webHidden/>
                <w:color w:val="000000" w:themeColor="text1"/>
              </w:rPr>
              <w:fldChar w:fldCharType="end"/>
            </w:r>
          </w:hyperlink>
        </w:p>
        <w:p w14:paraId="1F16C5DF" w14:textId="5B607B24"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4" w:history="1">
            <w:r w:rsidRPr="00217865">
              <w:rPr>
                <w:rStyle w:val="Hyperlink"/>
                <w:rFonts w:cs="Arial"/>
              </w:rPr>
              <w:t>A7.1.1</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Focus areas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94</w:t>
            </w:r>
            <w:r w:rsidRPr="00217865">
              <w:rPr>
                <w:webHidden/>
                <w:color w:val="000000" w:themeColor="text1"/>
              </w:rPr>
              <w:fldChar w:fldCharType="end"/>
            </w:r>
          </w:hyperlink>
        </w:p>
        <w:p w14:paraId="47B1D0C1" w14:textId="648172EB"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5" w:history="1">
            <w:r w:rsidRPr="00217865">
              <w:rPr>
                <w:rStyle w:val="Hyperlink"/>
                <w:rFonts w:cs="Arial"/>
              </w:rPr>
              <w:t>A7.1.2</w:t>
            </w:r>
            <w:r w:rsidRPr="00217865">
              <w:rPr>
                <w:rFonts w:asciiTheme="minorHAnsi" w:eastAsiaTheme="minorEastAsia" w:hAnsiTheme="minorHAnsi" w:cstheme="minorBidi"/>
                <w:color w:val="000000" w:themeColor="text1"/>
                <w:kern w:val="2"/>
                <w:sz w:val="24"/>
                <w:szCs w:val="24"/>
                <w:lang w:eastAsia="en-AU"/>
                <w14:ligatures w14:val="standardContextual"/>
              </w:rPr>
              <w:tab/>
            </w:r>
            <w:r w:rsidRPr="00217865">
              <w:rPr>
                <w:rStyle w:val="Hyperlink"/>
                <w:rFonts w:cs="Arial"/>
              </w:rPr>
              <w:t>Considered leaving</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98</w:t>
            </w:r>
            <w:r w:rsidRPr="00217865">
              <w:rPr>
                <w:webHidden/>
                <w:color w:val="000000" w:themeColor="text1"/>
              </w:rPr>
              <w:fldChar w:fldCharType="end"/>
            </w:r>
          </w:hyperlink>
        </w:p>
        <w:p w14:paraId="0BA266AA" w14:textId="2B55A4D2"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6" w:history="1">
            <w:r w:rsidRPr="00217865">
              <w:rPr>
                <w:rStyle w:val="Hyperlink"/>
                <w:rFonts w:cs="Arial"/>
              </w:rPr>
              <w:t>A7.1.3 Sense of belonging</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100</w:t>
            </w:r>
            <w:r w:rsidRPr="00217865">
              <w:rPr>
                <w:webHidden/>
                <w:color w:val="000000" w:themeColor="text1"/>
              </w:rPr>
              <w:fldChar w:fldCharType="end"/>
            </w:r>
          </w:hyperlink>
        </w:p>
        <w:p w14:paraId="70494678" w14:textId="2642845C"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7" w:history="1">
            <w:r w:rsidRPr="00217865">
              <w:rPr>
                <w:rStyle w:val="Hyperlink"/>
                <w:rFonts w:cs="Arial"/>
              </w:rPr>
              <w:t>A7.1.4 Negative effects on study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_Toc178599327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100</w:t>
            </w:r>
            <w:r w:rsidRPr="00217865">
              <w:rPr>
                <w:webHidden/>
                <w:color w:val="000000" w:themeColor="text1"/>
              </w:rPr>
              <w:fldChar w:fldCharType="end"/>
            </w:r>
          </w:hyperlink>
        </w:p>
        <w:p w14:paraId="46216B12" w14:textId="0473B2C4"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8" w:history="1">
            <w:r w:rsidRPr="00217865">
              <w:rPr>
                <w:rStyle w:val="Hyperlink"/>
                <w:rFonts w:cs="Arial"/>
              </w:rPr>
              <w:t>A7.1.5 Detailed focus area items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_Toc178599328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101</w:t>
            </w:r>
            <w:r w:rsidRPr="00217865">
              <w:rPr>
                <w:webHidden/>
                <w:color w:val="000000" w:themeColor="text1"/>
              </w:rPr>
              <w:fldChar w:fldCharType="end"/>
            </w:r>
          </w:hyperlink>
        </w:p>
        <w:p w14:paraId="0B156696" w14:textId="6D28CA3A"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29" w:history="1">
            <w:r w:rsidRPr="00217865">
              <w:rPr>
                <w:rStyle w:val="Hyperlink"/>
                <w:rFonts w:cs="Arial"/>
              </w:rPr>
              <w:t>A7.1.6 Freedom of expression</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_Toc178599329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104</w:t>
            </w:r>
            <w:r w:rsidRPr="00217865">
              <w:rPr>
                <w:webHidden/>
                <w:color w:val="000000" w:themeColor="text1"/>
              </w:rPr>
              <w:fldChar w:fldCharType="end"/>
            </w:r>
          </w:hyperlink>
        </w:p>
        <w:p w14:paraId="4F0D4230" w14:textId="32A67355"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30" w:history="1">
            <w:r w:rsidRPr="00217865">
              <w:rPr>
                <w:rStyle w:val="Hyperlink"/>
              </w:rPr>
              <w:t>A7.2 International Student Experience</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_Toc178599330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104</w:t>
            </w:r>
            <w:r w:rsidRPr="00217865">
              <w:rPr>
                <w:webHidden/>
                <w:color w:val="000000" w:themeColor="text1"/>
              </w:rPr>
              <w:fldChar w:fldCharType="end"/>
            </w:r>
          </w:hyperlink>
        </w:p>
        <w:p w14:paraId="4AB10008" w14:textId="33329A52"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31" w:history="1">
            <w:r w:rsidRPr="00217865">
              <w:rPr>
                <w:rStyle w:val="Hyperlink"/>
              </w:rPr>
              <w:t>A7.2.1 Reason for choosing where to study</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_Toc178599331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104</w:t>
            </w:r>
            <w:r w:rsidRPr="00217865">
              <w:rPr>
                <w:webHidden/>
                <w:color w:val="000000" w:themeColor="text1"/>
              </w:rPr>
              <w:fldChar w:fldCharType="end"/>
            </w:r>
          </w:hyperlink>
        </w:p>
        <w:p w14:paraId="035B0F86" w14:textId="20BACC1F"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32" w:history="1">
            <w:r w:rsidRPr="00217865">
              <w:rPr>
                <w:rStyle w:val="Hyperlink"/>
              </w:rPr>
              <w:t>A7.2.2 International student living experience</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_Toc178599332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105</w:t>
            </w:r>
            <w:r w:rsidRPr="00217865">
              <w:rPr>
                <w:webHidden/>
                <w:color w:val="000000" w:themeColor="text1"/>
              </w:rPr>
              <w:fldChar w:fldCharType="end"/>
            </w:r>
          </w:hyperlink>
        </w:p>
        <w:p w14:paraId="576F2846" w14:textId="56F0F89C" w:rsidR="00A533FF" w:rsidRPr="00217865" w:rsidRDefault="00A533FF">
          <w:pPr>
            <w:pStyle w:val="TOC2"/>
            <w:rPr>
              <w:rFonts w:asciiTheme="minorHAnsi" w:eastAsiaTheme="minorEastAsia" w:hAnsiTheme="minorHAnsi" w:cstheme="minorBidi"/>
              <w:color w:val="000000" w:themeColor="text1"/>
              <w:kern w:val="2"/>
              <w:sz w:val="24"/>
              <w:szCs w:val="24"/>
              <w:lang w:eastAsia="en-AU"/>
              <w14:ligatures w14:val="standardContextual"/>
            </w:rPr>
          </w:pPr>
          <w:hyperlink w:anchor="_Toc178599333" w:history="1">
            <w:r w:rsidRPr="00217865">
              <w:rPr>
                <w:rStyle w:val="Hyperlink"/>
              </w:rPr>
              <w:t>A7.3 Methodological tables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_Toc178599333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107</w:t>
            </w:r>
            <w:r w:rsidRPr="00217865">
              <w:rPr>
                <w:webHidden/>
                <w:color w:val="000000" w:themeColor="text1"/>
              </w:rPr>
              <w:fldChar w:fldCharType="end"/>
            </w:r>
          </w:hyperlink>
        </w:p>
        <w:p w14:paraId="5E68DFCB" w14:textId="0C32C61E"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34" w:history="1">
            <w:r w:rsidRPr="00217865">
              <w:rPr>
                <w:rStyle w:val="Hyperlink"/>
                <w:rFonts w:cs="Arial"/>
              </w:rPr>
              <w:t>A7.3.1 Overview and response rates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_Toc178599334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107</w:t>
            </w:r>
            <w:r w:rsidRPr="00217865">
              <w:rPr>
                <w:webHidden/>
                <w:color w:val="000000" w:themeColor="text1"/>
              </w:rPr>
              <w:fldChar w:fldCharType="end"/>
            </w:r>
          </w:hyperlink>
        </w:p>
        <w:p w14:paraId="785E4AD4" w14:textId="46732453"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35" w:history="1">
            <w:r w:rsidRPr="00217865">
              <w:rPr>
                <w:rStyle w:val="Hyperlink"/>
                <w:rFonts w:cs="Arial"/>
              </w:rPr>
              <w:t>A7.3.2 Response characteristics and representativeness</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_Toc178599335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107</w:t>
            </w:r>
            <w:r w:rsidRPr="00217865">
              <w:rPr>
                <w:webHidden/>
                <w:color w:val="000000" w:themeColor="text1"/>
              </w:rPr>
              <w:fldChar w:fldCharType="end"/>
            </w:r>
          </w:hyperlink>
        </w:p>
        <w:p w14:paraId="5469B049" w14:textId="62BDA4BC" w:rsidR="00A533FF" w:rsidRPr="00217865" w:rsidRDefault="00A533FF">
          <w:pPr>
            <w:pStyle w:val="TOC3"/>
            <w:rPr>
              <w:rFonts w:asciiTheme="minorHAnsi" w:eastAsiaTheme="minorEastAsia" w:hAnsiTheme="minorHAnsi" w:cstheme="minorBidi"/>
              <w:color w:val="000000" w:themeColor="text1"/>
              <w:kern w:val="2"/>
              <w:sz w:val="24"/>
              <w:szCs w:val="24"/>
              <w:lang w:eastAsia="en-AU"/>
              <w14:ligatures w14:val="standardContextual"/>
            </w:rPr>
          </w:pPr>
          <w:hyperlink w:anchor="_Toc178599336" w:history="1">
            <w:r w:rsidRPr="00217865">
              <w:rPr>
                <w:rStyle w:val="Hyperlink"/>
                <w:rFonts w:cs="Arial"/>
              </w:rPr>
              <w:t>A7.3.3 Confidence intervals and weighting</w:t>
            </w:r>
            <w:r w:rsidRPr="00217865">
              <w:rPr>
                <w:webHidden/>
                <w:color w:val="000000" w:themeColor="text1"/>
              </w:rPr>
              <w:tab/>
            </w:r>
            <w:r w:rsidRPr="00217865">
              <w:rPr>
                <w:webHidden/>
                <w:color w:val="000000" w:themeColor="text1"/>
              </w:rPr>
              <w:fldChar w:fldCharType="begin"/>
            </w:r>
            <w:r w:rsidRPr="00217865">
              <w:rPr>
                <w:webHidden/>
                <w:color w:val="000000" w:themeColor="text1"/>
              </w:rPr>
              <w:instrText xml:space="preserve"> PAGEREF _Toc178599336 \h </w:instrText>
            </w:r>
            <w:r w:rsidRPr="00217865">
              <w:rPr>
                <w:webHidden/>
                <w:color w:val="000000" w:themeColor="text1"/>
              </w:rPr>
            </w:r>
            <w:r w:rsidRPr="00217865">
              <w:rPr>
                <w:webHidden/>
                <w:color w:val="000000" w:themeColor="text1"/>
              </w:rPr>
              <w:fldChar w:fldCharType="separate"/>
            </w:r>
            <w:r w:rsidR="005D5678">
              <w:rPr>
                <w:webHidden/>
                <w:color w:val="000000" w:themeColor="text1"/>
              </w:rPr>
              <w:t>109</w:t>
            </w:r>
            <w:r w:rsidRPr="00217865">
              <w:rPr>
                <w:webHidden/>
                <w:color w:val="000000" w:themeColor="text1"/>
              </w:rPr>
              <w:fldChar w:fldCharType="end"/>
            </w:r>
          </w:hyperlink>
        </w:p>
        <w:p w14:paraId="4C16CD90" w14:textId="759CB15D" w:rsidR="00821227" w:rsidRPr="00217865" w:rsidRDefault="00821227" w:rsidP="00821227">
          <w:pPr>
            <w:rPr>
              <w:rFonts w:cs="Arial"/>
              <w:color w:val="000000" w:themeColor="text1"/>
            </w:rPr>
          </w:pPr>
          <w:r w:rsidRPr="00217865">
            <w:rPr>
              <w:rFonts w:cs="Arial"/>
              <w:b/>
              <w:bCs/>
              <w:noProof/>
              <w:color w:val="000000" w:themeColor="text1"/>
            </w:rPr>
            <w:fldChar w:fldCharType="end"/>
          </w:r>
        </w:p>
      </w:sdtContent>
    </w:sdt>
    <w:p w14:paraId="21D8EF9F" w14:textId="77777777" w:rsidR="00821227" w:rsidRPr="00217865" w:rsidRDefault="00821227" w:rsidP="00821227">
      <w:pPr>
        <w:rPr>
          <w:rFonts w:cs="Arial"/>
          <w:color w:val="000000" w:themeColor="text1"/>
          <w:highlight w:val="yellow"/>
        </w:rPr>
      </w:pPr>
      <w:r w:rsidRPr="00217865">
        <w:rPr>
          <w:rFonts w:cs="Arial"/>
          <w:color w:val="000000" w:themeColor="text1"/>
          <w:highlight w:val="yellow"/>
        </w:rPr>
        <w:br w:type="page"/>
      </w:r>
    </w:p>
    <w:p w14:paraId="1A6D663B" w14:textId="77777777" w:rsidR="00821227" w:rsidRPr="00217865" w:rsidRDefault="00821227" w:rsidP="00A9284B">
      <w:pPr>
        <w:pStyle w:val="MajorHeading"/>
        <w:rPr>
          <w:rFonts w:cs="Arial"/>
          <w:color w:val="000000" w:themeColor="text1"/>
        </w:rPr>
      </w:pPr>
      <w:bookmarkStart w:id="10" w:name="_Toc178599278"/>
      <w:r w:rsidRPr="00217865">
        <w:rPr>
          <w:rFonts w:cs="Arial"/>
          <w:color w:val="000000" w:themeColor="text1"/>
        </w:rPr>
        <w:lastRenderedPageBreak/>
        <w:t>List of Tables</w:t>
      </w:r>
      <w:bookmarkEnd w:id="10"/>
    </w:p>
    <w:p w14:paraId="0A3C7EE3" w14:textId="230025C2" w:rsidR="00A533FF" w:rsidRPr="00217865" w:rsidRDefault="00821227">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r w:rsidRPr="00217865">
        <w:rPr>
          <w:rFonts w:cs="Arial"/>
          <w:b/>
          <w:bCs/>
          <w:szCs w:val="20"/>
          <w:highlight w:val="yellow"/>
        </w:rPr>
        <w:fldChar w:fldCharType="begin"/>
      </w:r>
      <w:r w:rsidRPr="00217865">
        <w:rPr>
          <w:rFonts w:cs="Arial"/>
          <w:highlight w:val="yellow"/>
        </w:rPr>
        <w:instrText xml:space="preserve"> TOC \h \z \c "Table" </w:instrText>
      </w:r>
      <w:r w:rsidRPr="00217865">
        <w:rPr>
          <w:rFonts w:cs="Arial"/>
          <w:b/>
          <w:bCs/>
          <w:szCs w:val="20"/>
          <w:highlight w:val="yellow"/>
        </w:rPr>
        <w:fldChar w:fldCharType="separate"/>
      </w:r>
      <w:hyperlink w:anchor="_Toc178599366" w:history="1">
        <w:r w:rsidR="00A533FF" w:rsidRPr="00217865">
          <w:rPr>
            <w:rStyle w:val="Hyperlink"/>
            <w:noProof/>
          </w:rPr>
          <w:t>Table 1 International undergraduate student experience by location, 2021-2023 (% positive rating)</w:t>
        </w:r>
        <w:r w:rsidR="00A533FF" w:rsidRPr="00217865">
          <w:rPr>
            <w:noProof/>
            <w:webHidden/>
          </w:rPr>
          <w:tab/>
        </w:r>
        <w:r w:rsidR="00A533FF" w:rsidRPr="00217865">
          <w:rPr>
            <w:noProof/>
            <w:webHidden/>
          </w:rPr>
          <w:fldChar w:fldCharType="begin"/>
        </w:r>
        <w:r w:rsidR="00A533FF" w:rsidRPr="00217865">
          <w:rPr>
            <w:noProof/>
            <w:webHidden/>
          </w:rPr>
          <w:instrText xml:space="preserve"> PAGEREF _Toc178599366 \h </w:instrText>
        </w:r>
        <w:r w:rsidR="00A533FF" w:rsidRPr="00217865">
          <w:rPr>
            <w:noProof/>
            <w:webHidden/>
          </w:rPr>
        </w:r>
        <w:r w:rsidR="00A533FF" w:rsidRPr="00217865">
          <w:rPr>
            <w:noProof/>
            <w:webHidden/>
          </w:rPr>
          <w:fldChar w:fldCharType="separate"/>
        </w:r>
        <w:r w:rsidR="005D5678">
          <w:rPr>
            <w:noProof/>
            <w:webHidden/>
          </w:rPr>
          <w:t>9</w:t>
        </w:r>
        <w:r w:rsidR="00A533FF" w:rsidRPr="00217865">
          <w:rPr>
            <w:noProof/>
            <w:webHidden/>
          </w:rPr>
          <w:fldChar w:fldCharType="end"/>
        </w:r>
      </w:hyperlink>
    </w:p>
    <w:p w14:paraId="4DDC90E6" w14:textId="61F8130C"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67" w:history="1">
        <w:r w:rsidRPr="007624C4">
          <w:rPr>
            <w:rStyle w:val="Hyperlink"/>
            <w:noProof/>
          </w:rPr>
          <w:t>Table 2 International postgraduate coursework student experience by location, 2021-2023 (% positive rating)</w:t>
        </w:r>
        <w:r w:rsidRPr="007624C4">
          <w:rPr>
            <w:noProof/>
            <w:webHidden/>
          </w:rPr>
          <w:tab/>
        </w:r>
        <w:r w:rsidRPr="007624C4">
          <w:rPr>
            <w:noProof/>
            <w:webHidden/>
          </w:rPr>
          <w:fldChar w:fldCharType="begin"/>
        </w:r>
        <w:r w:rsidRPr="007624C4">
          <w:rPr>
            <w:noProof/>
            <w:webHidden/>
          </w:rPr>
          <w:instrText xml:space="preserve"> PAGEREF _Toc178599367 \h </w:instrText>
        </w:r>
        <w:r w:rsidRPr="007624C4">
          <w:rPr>
            <w:noProof/>
            <w:webHidden/>
          </w:rPr>
        </w:r>
        <w:r w:rsidRPr="007624C4">
          <w:rPr>
            <w:noProof/>
            <w:webHidden/>
          </w:rPr>
          <w:fldChar w:fldCharType="separate"/>
        </w:r>
        <w:r w:rsidR="005D5678">
          <w:rPr>
            <w:noProof/>
            <w:webHidden/>
          </w:rPr>
          <w:t>10</w:t>
        </w:r>
        <w:r w:rsidRPr="007624C4">
          <w:rPr>
            <w:noProof/>
            <w:webHidden/>
          </w:rPr>
          <w:fldChar w:fldCharType="end"/>
        </w:r>
      </w:hyperlink>
    </w:p>
    <w:p w14:paraId="21AF9781" w14:textId="5D179555"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68" w:history="1">
        <w:r w:rsidRPr="007624C4">
          <w:rPr>
            <w:rStyle w:val="Hyperlink"/>
            <w:rFonts w:cs="Arial"/>
            <w:noProof/>
          </w:rPr>
          <w:t>Table 3 International undergraduate student education experience by source country, 2021-2023 (% positive rating)</w:t>
        </w:r>
        <w:r w:rsidRPr="007624C4">
          <w:rPr>
            <w:noProof/>
            <w:webHidden/>
          </w:rPr>
          <w:tab/>
        </w:r>
        <w:r w:rsidRPr="007624C4">
          <w:rPr>
            <w:noProof/>
            <w:webHidden/>
          </w:rPr>
          <w:fldChar w:fldCharType="begin"/>
        </w:r>
        <w:r w:rsidRPr="007624C4">
          <w:rPr>
            <w:noProof/>
            <w:webHidden/>
          </w:rPr>
          <w:instrText xml:space="preserve"> PAGEREF _Toc178599368 \h </w:instrText>
        </w:r>
        <w:r w:rsidRPr="007624C4">
          <w:rPr>
            <w:noProof/>
            <w:webHidden/>
          </w:rPr>
        </w:r>
        <w:r w:rsidRPr="007624C4">
          <w:rPr>
            <w:noProof/>
            <w:webHidden/>
          </w:rPr>
          <w:fldChar w:fldCharType="separate"/>
        </w:r>
        <w:r w:rsidR="005D5678">
          <w:rPr>
            <w:noProof/>
            <w:webHidden/>
          </w:rPr>
          <w:t>12</w:t>
        </w:r>
        <w:r w:rsidRPr="007624C4">
          <w:rPr>
            <w:noProof/>
            <w:webHidden/>
          </w:rPr>
          <w:fldChar w:fldCharType="end"/>
        </w:r>
      </w:hyperlink>
    </w:p>
    <w:p w14:paraId="6854026F" w14:textId="6E227E26"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69" w:history="1">
        <w:r w:rsidRPr="007624C4">
          <w:rPr>
            <w:rStyle w:val="Hyperlink"/>
            <w:rFonts w:cs="Arial"/>
            <w:noProof/>
          </w:rPr>
          <w:t>Table 4 International postgraduate coursework student education experience by source country, 2021-2023 (% positive rating)</w:t>
        </w:r>
        <w:r w:rsidRPr="007624C4">
          <w:rPr>
            <w:noProof/>
            <w:webHidden/>
          </w:rPr>
          <w:tab/>
        </w:r>
        <w:r w:rsidRPr="007624C4">
          <w:rPr>
            <w:noProof/>
            <w:webHidden/>
          </w:rPr>
          <w:fldChar w:fldCharType="begin"/>
        </w:r>
        <w:r w:rsidRPr="007624C4">
          <w:rPr>
            <w:noProof/>
            <w:webHidden/>
          </w:rPr>
          <w:instrText xml:space="preserve"> PAGEREF _Toc178599369 \h </w:instrText>
        </w:r>
        <w:r w:rsidRPr="007624C4">
          <w:rPr>
            <w:noProof/>
            <w:webHidden/>
          </w:rPr>
        </w:r>
        <w:r w:rsidRPr="007624C4">
          <w:rPr>
            <w:noProof/>
            <w:webHidden/>
          </w:rPr>
          <w:fldChar w:fldCharType="separate"/>
        </w:r>
        <w:r w:rsidR="005D5678">
          <w:rPr>
            <w:noProof/>
            <w:webHidden/>
          </w:rPr>
          <w:t>12</w:t>
        </w:r>
        <w:r w:rsidRPr="007624C4">
          <w:rPr>
            <w:noProof/>
            <w:webHidden/>
          </w:rPr>
          <w:fldChar w:fldCharType="end"/>
        </w:r>
      </w:hyperlink>
    </w:p>
    <w:p w14:paraId="79EE3C9B" w14:textId="25316696"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0" w:history="1">
        <w:r w:rsidRPr="00217865">
          <w:rPr>
            <w:rStyle w:val="Hyperlink"/>
            <w:noProof/>
          </w:rPr>
          <w:t>Table 5 International undergraduate student educational experience by study area, 2021-2023 (% positive rating)</w:t>
        </w:r>
        <w:r w:rsidRPr="00217865">
          <w:rPr>
            <w:noProof/>
            <w:webHidden/>
          </w:rPr>
          <w:tab/>
        </w:r>
        <w:r w:rsidRPr="00217865">
          <w:rPr>
            <w:noProof/>
            <w:webHidden/>
          </w:rPr>
          <w:fldChar w:fldCharType="begin"/>
        </w:r>
        <w:r w:rsidRPr="00217865">
          <w:rPr>
            <w:noProof/>
            <w:webHidden/>
          </w:rPr>
          <w:instrText xml:space="preserve"> PAGEREF _Toc178599370 \h </w:instrText>
        </w:r>
        <w:r w:rsidRPr="00217865">
          <w:rPr>
            <w:noProof/>
            <w:webHidden/>
          </w:rPr>
        </w:r>
        <w:r w:rsidRPr="00217865">
          <w:rPr>
            <w:noProof/>
            <w:webHidden/>
          </w:rPr>
          <w:fldChar w:fldCharType="separate"/>
        </w:r>
        <w:r w:rsidR="005D5678">
          <w:rPr>
            <w:noProof/>
            <w:webHidden/>
          </w:rPr>
          <w:t>16</w:t>
        </w:r>
        <w:r w:rsidRPr="00217865">
          <w:rPr>
            <w:noProof/>
            <w:webHidden/>
          </w:rPr>
          <w:fldChar w:fldCharType="end"/>
        </w:r>
      </w:hyperlink>
    </w:p>
    <w:p w14:paraId="4397EFCF" w14:textId="767F0219"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1" w:history="1">
        <w:r w:rsidRPr="00217865">
          <w:rPr>
            <w:rStyle w:val="Hyperlink"/>
            <w:rFonts w:cs="Arial"/>
            <w:noProof/>
          </w:rPr>
          <w:t>Table 6 International postgraduate coursework student educational experience by study area, 2021-2023 (% positive rating)</w:t>
        </w:r>
        <w:r w:rsidRPr="00217865">
          <w:rPr>
            <w:noProof/>
            <w:webHidden/>
          </w:rPr>
          <w:tab/>
        </w:r>
        <w:r w:rsidRPr="00217865">
          <w:rPr>
            <w:noProof/>
            <w:webHidden/>
          </w:rPr>
          <w:fldChar w:fldCharType="begin"/>
        </w:r>
        <w:r w:rsidRPr="00217865">
          <w:rPr>
            <w:noProof/>
            <w:webHidden/>
          </w:rPr>
          <w:instrText xml:space="preserve"> PAGEREF _Toc178599371 \h </w:instrText>
        </w:r>
        <w:r w:rsidRPr="00217865">
          <w:rPr>
            <w:noProof/>
            <w:webHidden/>
          </w:rPr>
        </w:r>
        <w:r w:rsidRPr="00217865">
          <w:rPr>
            <w:noProof/>
            <w:webHidden/>
          </w:rPr>
          <w:fldChar w:fldCharType="separate"/>
        </w:r>
        <w:r w:rsidR="005D5678">
          <w:rPr>
            <w:noProof/>
            <w:webHidden/>
          </w:rPr>
          <w:t>17</w:t>
        </w:r>
        <w:r w:rsidRPr="00217865">
          <w:rPr>
            <w:noProof/>
            <w:webHidden/>
          </w:rPr>
          <w:fldChar w:fldCharType="end"/>
        </w:r>
      </w:hyperlink>
    </w:p>
    <w:p w14:paraId="36D7A873" w14:textId="378904FA"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2" w:history="1">
        <w:r w:rsidRPr="00217865">
          <w:rPr>
            <w:rStyle w:val="Hyperlink"/>
            <w:rFonts w:cs="Arial"/>
            <w:noProof/>
          </w:rPr>
          <w:t>Table 7 International undergraduate student experience by university, 2022-2023 (% positive rating, with 90% confidence intervals)*</w:t>
        </w:r>
        <w:r w:rsidRPr="00217865">
          <w:rPr>
            <w:noProof/>
            <w:webHidden/>
          </w:rPr>
          <w:tab/>
        </w:r>
        <w:r w:rsidRPr="00217865">
          <w:rPr>
            <w:noProof/>
            <w:webHidden/>
          </w:rPr>
          <w:fldChar w:fldCharType="begin"/>
        </w:r>
        <w:r w:rsidRPr="00217865">
          <w:rPr>
            <w:noProof/>
            <w:webHidden/>
          </w:rPr>
          <w:instrText xml:space="preserve"> PAGEREF _Toc178599372 \h </w:instrText>
        </w:r>
        <w:r w:rsidRPr="00217865">
          <w:rPr>
            <w:noProof/>
            <w:webHidden/>
          </w:rPr>
        </w:r>
        <w:r w:rsidRPr="00217865">
          <w:rPr>
            <w:noProof/>
            <w:webHidden/>
          </w:rPr>
          <w:fldChar w:fldCharType="separate"/>
        </w:r>
        <w:r w:rsidR="005D5678">
          <w:rPr>
            <w:noProof/>
            <w:webHidden/>
          </w:rPr>
          <w:t>22</w:t>
        </w:r>
        <w:r w:rsidRPr="00217865">
          <w:rPr>
            <w:noProof/>
            <w:webHidden/>
          </w:rPr>
          <w:fldChar w:fldCharType="end"/>
        </w:r>
      </w:hyperlink>
    </w:p>
    <w:p w14:paraId="0A660BDD" w14:textId="3048E1E3"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3" w:history="1">
        <w:r w:rsidRPr="00217865">
          <w:rPr>
            <w:rStyle w:val="Hyperlink"/>
            <w:rFonts w:cs="Arial"/>
            <w:noProof/>
          </w:rPr>
          <w:t>Table 8 International undergraduate student education experience, by non-university higher education institution (NUHEI), pooled 2021-2022 and 2022-2023 (% positive rating, with 90% confidence intervals)</w:t>
        </w:r>
        <w:r w:rsidRPr="00217865">
          <w:rPr>
            <w:noProof/>
            <w:webHidden/>
          </w:rPr>
          <w:tab/>
        </w:r>
        <w:r w:rsidRPr="00217865">
          <w:rPr>
            <w:noProof/>
            <w:webHidden/>
          </w:rPr>
          <w:fldChar w:fldCharType="begin"/>
        </w:r>
        <w:r w:rsidRPr="00217865">
          <w:rPr>
            <w:noProof/>
            <w:webHidden/>
          </w:rPr>
          <w:instrText xml:space="preserve"> PAGEREF _Toc178599373 \h </w:instrText>
        </w:r>
        <w:r w:rsidRPr="00217865">
          <w:rPr>
            <w:noProof/>
            <w:webHidden/>
          </w:rPr>
        </w:r>
        <w:r w:rsidRPr="00217865">
          <w:rPr>
            <w:noProof/>
            <w:webHidden/>
          </w:rPr>
          <w:fldChar w:fldCharType="separate"/>
        </w:r>
        <w:r w:rsidR="005D5678">
          <w:rPr>
            <w:noProof/>
            <w:webHidden/>
          </w:rPr>
          <w:t>27</w:t>
        </w:r>
        <w:r w:rsidRPr="00217865">
          <w:rPr>
            <w:noProof/>
            <w:webHidden/>
          </w:rPr>
          <w:fldChar w:fldCharType="end"/>
        </w:r>
      </w:hyperlink>
    </w:p>
    <w:p w14:paraId="07E1C6B9" w14:textId="075A4626"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4" w:history="1">
        <w:r w:rsidRPr="00217865">
          <w:rPr>
            <w:rStyle w:val="Hyperlink"/>
            <w:rFonts w:cs="Arial"/>
            <w:noProof/>
          </w:rPr>
          <w:t>Table 9 International postgraduate coursework student education experience, by non-university higher education institution (NUHEI), pooled 2021-2022 and 2022-2023 (% positive rating, with 90% confidence intervals)</w:t>
        </w:r>
        <w:r w:rsidRPr="00217865">
          <w:rPr>
            <w:noProof/>
            <w:webHidden/>
          </w:rPr>
          <w:tab/>
        </w:r>
        <w:r w:rsidRPr="00217865">
          <w:rPr>
            <w:noProof/>
            <w:webHidden/>
          </w:rPr>
          <w:fldChar w:fldCharType="begin"/>
        </w:r>
        <w:r w:rsidRPr="00217865">
          <w:rPr>
            <w:noProof/>
            <w:webHidden/>
          </w:rPr>
          <w:instrText xml:space="preserve"> PAGEREF _Toc178599374 \h </w:instrText>
        </w:r>
        <w:r w:rsidRPr="00217865">
          <w:rPr>
            <w:noProof/>
            <w:webHidden/>
          </w:rPr>
        </w:r>
        <w:r w:rsidRPr="00217865">
          <w:rPr>
            <w:noProof/>
            <w:webHidden/>
          </w:rPr>
          <w:fldChar w:fldCharType="separate"/>
        </w:r>
        <w:r w:rsidR="005D5678">
          <w:rPr>
            <w:noProof/>
            <w:webHidden/>
          </w:rPr>
          <w:t>33</w:t>
        </w:r>
        <w:r w:rsidRPr="00217865">
          <w:rPr>
            <w:noProof/>
            <w:webHidden/>
          </w:rPr>
          <w:fldChar w:fldCharType="end"/>
        </w:r>
      </w:hyperlink>
    </w:p>
    <w:p w14:paraId="7B916BD7" w14:textId="511F8528"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5" w:history="1">
        <w:r w:rsidRPr="00217865">
          <w:rPr>
            <w:rStyle w:val="Hyperlink"/>
            <w:rFonts w:cs="Arial"/>
            <w:noProof/>
          </w:rPr>
          <w:t>Table 10 International undergraduate student living experience by source country, 2023 (% positive rating)</w:t>
        </w:r>
        <w:r w:rsidRPr="00217865">
          <w:rPr>
            <w:noProof/>
            <w:webHidden/>
          </w:rPr>
          <w:tab/>
        </w:r>
        <w:r w:rsidRPr="00217865">
          <w:rPr>
            <w:noProof/>
            <w:webHidden/>
          </w:rPr>
          <w:fldChar w:fldCharType="begin"/>
        </w:r>
        <w:r w:rsidRPr="00217865">
          <w:rPr>
            <w:noProof/>
            <w:webHidden/>
          </w:rPr>
          <w:instrText xml:space="preserve"> PAGEREF _Toc178599375 \h </w:instrText>
        </w:r>
        <w:r w:rsidRPr="00217865">
          <w:rPr>
            <w:noProof/>
            <w:webHidden/>
          </w:rPr>
        </w:r>
        <w:r w:rsidRPr="00217865">
          <w:rPr>
            <w:noProof/>
            <w:webHidden/>
          </w:rPr>
          <w:fldChar w:fldCharType="separate"/>
        </w:r>
        <w:r w:rsidR="005D5678">
          <w:rPr>
            <w:noProof/>
            <w:webHidden/>
          </w:rPr>
          <w:t>43</w:t>
        </w:r>
        <w:r w:rsidRPr="00217865">
          <w:rPr>
            <w:noProof/>
            <w:webHidden/>
          </w:rPr>
          <w:fldChar w:fldCharType="end"/>
        </w:r>
      </w:hyperlink>
    </w:p>
    <w:p w14:paraId="14E2FFA2" w14:textId="6E80F85B"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6" w:history="1">
        <w:r w:rsidRPr="00217865">
          <w:rPr>
            <w:rStyle w:val="Hyperlink"/>
            <w:rFonts w:cs="Arial"/>
            <w:noProof/>
          </w:rPr>
          <w:t>Table 11 International undergraduate student living arrangements and positive ratings, 2023, %</w:t>
        </w:r>
        <w:r w:rsidRPr="00217865">
          <w:rPr>
            <w:noProof/>
            <w:webHidden/>
          </w:rPr>
          <w:tab/>
        </w:r>
        <w:r w:rsidRPr="00217865">
          <w:rPr>
            <w:noProof/>
            <w:webHidden/>
          </w:rPr>
          <w:fldChar w:fldCharType="begin"/>
        </w:r>
        <w:r w:rsidRPr="00217865">
          <w:rPr>
            <w:noProof/>
            <w:webHidden/>
          </w:rPr>
          <w:instrText xml:space="preserve"> PAGEREF _Toc178599376 \h </w:instrText>
        </w:r>
        <w:r w:rsidRPr="00217865">
          <w:rPr>
            <w:noProof/>
            <w:webHidden/>
          </w:rPr>
        </w:r>
        <w:r w:rsidRPr="00217865">
          <w:rPr>
            <w:noProof/>
            <w:webHidden/>
          </w:rPr>
          <w:fldChar w:fldCharType="separate"/>
        </w:r>
        <w:r w:rsidR="005D5678">
          <w:rPr>
            <w:noProof/>
            <w:webHidden/>
          </w:rPr>
          <w:t>44</w:t>
        </w:r>
        <w:r w:rsidRPr="00217865">
          <w:rPr>
            <w:noProof/>
            <w:webHidden/>
          </w:rPr>
          <w:fldChar w:fldCharType="end"/>
        </w:r>
      </w:hyperlink>
    </w:p>
    <w:p w14:paraId="6375AC50" w14:textId="6634BA6B"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7" w:history="1">
        <w:r w:rsidRPr="00217865">
          <w:rPr>
            <w:rStyle w:val="Hyperlink"/>
            <w:rFonts w:cs="Arial"/>
            <w:noProof/>
          </w:rPr>
          <w:t>Table 12 2023 SES operational overview: international undergraduate and postgraduate coursework</w:t>
        </w:r>
        <w:r w:rsidRPr="00217865">
          <w:rPr>
            <w:noProof/>
            <w:webHidden/>
          </w:rPr>
          <w:tab/>
        </w:r>
        <w:r w:rsidRPr="00217865">
          <w:rPr>
            <w:noProof/>
            <w:webHidden/>
          </w:rPr>
          <w:fldChar w:fldCharType="begin"/>
        </w:r>
        <w:r w:rsidRPr="00217865">
          <w:rPr>
            <w:noProof/>
            <w:webHidden/>
          </w:rPr>
          <w:instrText xml:space="preserve"> PAGEREF _Toc178599377 \h </w:instrText>
        </w:r>
        <w:r w:rsidRPr="00217865">
          <w:rPr>
            <w:noProof/>
            <w:webHidden/>
          </w:rPr>
        </w:r>
        <w:r w:rsidRPr="00217865">
          <w:rPr>
            <w:noProof/>
            <w:webHidden/>
          </w:rPr>
          <w:fldChar w:fldCharType="separate"/>
        </w:r>
        <w:r w:rsidR="005D5678">
          <w:rPr>
            <w:noProof/>
            <w:webHidden/>
          </w:rPr>
          <w:t>54</w:t>
        </w:r>
        <w:r w:rsidRPr="00217865">
          <w:rPr>
            <w:noProof/>
            <w:webHidden/>
          </w:rPr>
          <w:fldChar w:fldCharType="end"/>
        </w:r>
      </w:hyperlink>
    </w:p>
    <w:p w14:paraId="34605753" w14:textId="33B5FB97"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8" w:history="1">
        <w:r w:rsidRPr="00217865">
          <w:rPr>
            <w:rStyle w:val="Hyperlink"/>
            <w:noProof/>
          </w:rPr>
          <w:t>Table 13 SES international response rate by institution, 2022-2023 (%)</w:t>
        </w:r>
        <w:r w:rsidRPr="00217865">
          <w:rPr>
            <w:noProof/>
            <w:webHidden/>
          </w:rPr>
          <w:tab/>
        </w:r>
        <w:r w:rsidRPr="00217865">
          <w:rPr>
            <w:noProof/>
            <w:webHidden/>
          </w:rPr>
          <w:fldChar w:fldCharType="begin"/>
        </w:r>
        <w:r w:rsidRPr="00217865">
          <w:rPr>
            <w:noProof/>
            <w:webHidden/>
          </w:rPr>
          <w:instrText xml:space="preserve"> PAGEREF _Toc178599378 \h </w:instrText>
        </w:r>
        <w:r w:rsidRPr="00217865">
          <w:rPr>
            <w:noProof/>
            <w:webHidden/>
          </w:rPr>
        </w:r>
        <w:r w:rsidRPr="00217865">
          <w:rPr>
            <w:noProof/>
            <w:webHidden/>
          </w:rPr>
          <w:fldChar w:fldCharType="separate"/>
        </w:r>
        <w:r w:rsidR="005D5678">
          <w:rPr>
            <w:noProof/>
            <w:webHidden/>
          </w:rPr>
          <w:t>55</w:t>
        </w:r>
        <w:r w:rsidRPr="00217865">
          <w:rPr>
            <w:noProof/>
            <w:webHidden/>
          </w:rPr>
          <w:fldChar w:fldCharType="end"/>
        </w:r>
      </w:hyperlink>
    </w:p>
    <w:p w14:paraId="6F02D1F5" w14:textId="6FF9B5A4"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79" w:history="1">
        <w:r w:rsidRPr="00217865">
          <w:rPr>
            <w:rStyle w:val="Hyperlink"/>
            <w:rFonts w:cs="Arial"/>
            <w:noProof/>
          </w:rPr>
          <w:t>Table 14 2023 International undergraduate SES response characteristics and population parameters by subgroup*</w:t>
        </w:r>
        <w:r w:rsidRPr="00217865">
          <w:rPr>
            <w:noProof/>
            <w:webHidden/>
          </w:rPr>
          <w:tab/>
        </w:r>
        <w:r w:rsidRPr="00217865">
          <w:rPr>
            <w:noProof/>
            <w:webHidden/>
          </w:rPr>
          <w:fldChar w:fldCharType="begin"/>
        </w:r>
        <w:r w:rsidRPr="00217865">
          <w:rPr>
            <w:noProof/>
            <w:webHidden/>
          </w:rPr>
          <w:instrText xml:space="preserve"> PAGEREF _Toc178599379 \h </w:instrText>
        </w:r>
        <w:r w:rsidRPr="00217865">
          <w:rPr>
            <w:noProof/>
            <w:webHidden/>
          </w:rPr>
        </w:r>
        <w:r w:rsidRPr="00217865">
          <w:rPr>
            <w:noProof/>
            <w:webHidden/>
          </w:rPr>
          <w:fldChar w:fldCharType="separate"/>
        </w:r>
        <w:r w:rsidR="005D5678">
          <w:rPr>
            <w:noProof/>
            <w:webHidden/>
          </w:rPr>
          <w:t>59</w:t>
        </w:r>
        <w:r w:rsidRPr="00217865">
          <w:rPr>
            <w:noProof/>
            <w:webHidden/>
          </w:rPr>
          <w:fldChar w:fldCharType="end"/>
        </w:r>
      </w:hyperlink>
    </w:p>
    <w:p w14:paraId="5A3D96CB" w14:textId="5B08BD33"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0" w:history="1">
        <w:r w:rsidRPr="00217865">
          <w:rPr>
            <w:rStyle w:val="Hyperlink"/>
            <w:rFonts w:cs="Arial"/>
            <w:noProof/>
          </w:rPr>
          <w:t>Table 15 2023 International undergraduate SES student response characteristics and population parameters by study area</w:t>
        </w:r>
        <w:r w:rsidRPr="00217865">
          <w:rPr>
            <w:noProof/>
            <w:webHidden/>
          </w:rPr>
          <w:tab/>
        </w:r>
        <w:r w:rsidRPr="00217865">
          <w:rPr>
            <w:noProof/>
            <w:webHidden/>
          </w:rPr>
          <w:fldChar w:fldCharType="begin"/>
        </w:r>
        <w:r w:rsidRPr="00217865">
          <w:rPr>
            <w:noProof/>
            <w:webHidden/>
          </w:rPr>
          <w:instrText xml:space="preserve"> PAGEREF _Toc178599380 \h </w:instrText>
        </w:r>
        <w:r w:rsidRPr="00217865">
          <w:rPr>
            <w:noProof/>
            <w:webHidden/>
          </w:rPr>
        </w:r>
        <w:r w:rsidRPr="00217865">
          <w:rPr>
            <w:noProof/>
            <w:webHidden/>
          </w:rPr>
          <w:fldChar w:fldCharType="separate"/>
        </w:r>
        <w:r w:rsidR="005D5678">
          <w:rPr>
            <w:noProof/>
            <w:webHidden/>
          </w:rPr>
          <w:t>60</w:t>
        </w:r>
        <w:r w:rsidRPr="00217865">
          <w:rPr>
            <w:noProof/>
            <w:webHidden/>
          </w:rPr>
          <w:fldChar w:fldCharType="end"/>
        </w:r>
      </w:hyperlink>
    </w:p>
    <w:p w14:paraId="07CECE14" w14:textId="6E9D1C30"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1" w:history="1">
        <w:r w:rsidRPr="00217865">
          <w:rPr>
            <w:rStyle w:val="Hyperlink"/>
            <w:noProof/>
            <w:lang w:val="en-GB"/>
          </w:rPr>
          <w:t>Table 16 International undergraduate student population parameters and response characteristics by university, 2023</w:t>
        </w:r>
        <w:r w:rsidRPr="00217865">
          <w:rPr>
            <w:noProof/>
            <w:webHidden/>
          </w:rPr>
          <w:tab/>
        </w:r>
        <w:r w:rsidRPr="00217865">
          <w:rPr>
            <w:noProof/>
            <w:webHidden/>
          </w:rPr>
          <w:fldChar w:fldCharType="begin"/>
        </w:r>
        <w:r w:rsidRPr="00217865">
          <w:rPr>
            <w:noProof/>
            <w:webHidden/>
          </w:rPr>
          <w:instrText xml:space="preserve"> PAGEREF _Toc178599381 \h </w:instrText>
        </w:r>
        <w:r w:rsidRPr="00217865">
          <w:rPr>
            <w:noProof/>
            <w:webHidden/>
          </w:rPr>
        </w:r>
        <w:r w:rsidRPr="00217865">
          <w:rPr>
            <w:noProof/>
            <w:webHidden/>
          </w:rPr>
          <w:fldChar w:fldCharType="separate"/>
        </w:r>
        <w:r w:rsidR="005D5678">
          <w:rPr>
            <w:noProof/>
            <w:webHidden/>
          </w:rPr>
          <w:t>61</w:t>
        </w:r>
        <w:r w:rsidRPr="00217865">
          <w:rPr>
            <w:noProof/>
            <w:webHidden/>
          </w:rPr>
          <w:fldChar w:fldCharType="end"/>
        </w:r>
      </w:hyperlink>
    </w:p>
    <w:p w14:paraId="23C4910F" w14:textId="272223DE"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2" w:history="1">
        <w:r w:rsidRPr="00217865">
          <w:rPr>
            <w:rStyle w:val="Hyperlink"/>
            <w:noProof/>
            <w:lang w:val="en-GB"/>
          </w:rPr>
          <w:t>Table 17 International undergraduate student population parameters and response characteristics by non-university higher education institution (NUHEI), 2023</w:t>
        </w:r>
        <w:r w:rsidRPr="00217865">
          <w:rPr>
            <w:noProof/>
            <w:webHidden/>
          </w:rPr>
          <w:tab/>
        </w:r>
        <w:r w:rsidRPr="00217865">
          <w:rPr>
            <w:noProof/>
            <w:webHidden/>
          </w:rPr>
          <w:fldChar w:fldCharType="begin"/>
        </w:r>
        <w:r w:rsidRPr="00217865">
          <w:rPr>
            <w:noProof/>
            <w:webHidden/>
          </w:rPr>
          <w:instrText xml:space="preserve"> PAGEREF _Toc178599382 \h </w:instrText>
        </w:r>
        <w:r w:rsidRPr="00217865">
          <w:rPr>
            <w:noProof/>
            <w:webHidden/>
          </w:rPr>
        </w:r>
        <w:r w:rsidRPr="00217865">
          <w:rPr>
            <w:noProof/>
            <w:webHidden/>
          </w:rPr>
          <w:fldChar w:fldCharType="separate"/>
        </w:r>
        <w:r w:rsidR="005D5678">
          <w:rPr>
            <w:noProof/>
            <w:webHidden/>
          </w:rPr>
          <w:t>63</w:t>
        </w:r>
        <w:r w:rsidRPr="00217865">
          <w:rPr>
            <w:noProof/>
            <w:webHidden/>
          </w:rPr>
          <w:fldChar w:fldCharType="end"/>
        </w:r>
      </w:hyperlink>
    </w:p>
    <w:p w14:paraId="46FDC457" w14:textId="5BEAE5BF"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3" w:history="1">
        <w:r w:rsidRPr="00217865">
          <w:rPr>
            <w:rStyle w:val="Hyperlink"/>
            <w:noProof/>
            <w:lang w:val="en-GB"/>
          </w:rPr>
          <w:t>Table 18 Undergraduate student population parameters and response characteristics by university, 2023</w:t>
        </w:r>
        <w:r w:rsidRPr="00217865">
          <w:rPr>
            <w:noProof/>
            <w:webHidden/>
          </w:rPr>
          <w:tab/>
        </w:r>
        <w:r w:rsidRPr="00217865">
          <w:rPr>
            <w:noProof/>
            <w:webHidden/>
          </w:rPr>
          <w:fldChar w:fldCharType="begin"/>
        </w:r>
        <w:r w:rsidRPr="00217865">
          <w:rPr>
            <w:noProof/>
            <w:webHidden/>
          </w:rPr>
          <w:instrText xml:space="preserve"> PAGEREF _Toc178599383 \h </w:instrText>
        </w:r>
        <w:r w:rsidRPr="00217865">
          <w:rPr>
            <w:noProof/>
            <w:webHidden/>
          </w:rPr>
        </w:r>
        <w:r w:rsidRPr="00217865">
          <w:rPr>
            <w:noProof/>
            <w:webHidden/>
          </w:rPr>
          <w:fldChar w:fldCharType="separate"/>
        </w:r>
        <w:r w:rsidR="005D5678">
          <w:rPr>
            <w:noProof/>
            <w:webHidden/>
          </w:rPr>
          <w:t>65</w:t>
        </w:r>
        <w:r w:rsidRPr="00217865">
          <w:rPr>
            <w:noProof/>
            <w:webHidden/>
          </w:rPr>
          <w:fldChar w:fldCharType="end"/>
        </w:r>
      </w:hyperlink>
    </w:p>
    <w:p w14:paraId="106219EC" w14:textId="1652B9F0"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4" w:history="1">
        <w:r w:rsidRPr="00217865">
          <w:rPr>
            <w:rStyle w:val="Hyperlink"/>
            <w:noProof/>
            <w:lang w:val="en-GB"/>
          </w:rPr>
          <w:t>Table 19 Undergraduate student population parameters and response characteristics by non-university higher education institution (NUHEI), 2023</w:t>
        </w:r>
        <w:r w:rsidRPr="00217865">
          <w:rPr>
            <w:noProof/>
            <w:webHidden/>
          </w:rPr>
          <w:tab/>
        </w:r>
        <w:r w:rsidRPr="00217865">
          <w:rPr>
            <w:noProof/>
            <w:webHidden/>
          </w:rPr>
          <w:fldChar w:fldCharType="begin"/>
        </w:r>
        <w:r w:rsidRPr="00217865">
          <w:rPr>
            <w:noProof/>
            <w:webHidden/>
          </w:rPr>
          <w:instrText xml:space="preserve"> PAGEREF _Toc178599384 \h </w:instrText>
        </w:r>
        <w:r w:rsidRPr="00217865">
          <w:rPr>
            <w:noProof/>
            <w:webHidden/>
          </w:rPr>
        </w:r>
        <w:r w:rsidRPr="00217865">
          <w:rPr>
            <w:noProof/>
            <w:webHidden/>
          </w:rPr>
          <w:fldChar w:fldCharType="separate"/>
        </w:r>
        <w:r w:rsidR="005D5678">
          <w:rPr>
            <w:noProof/>
            <w:webHidden/>
          </w:rPr>
          <w:t>67</w:t>
        </w:r>
        <w:r w:rsidRPr="00217865">
          <w:rPr>
            <w:noProof/>
            <w:webHidden/>
          </w:rPr>
          <w:fldChar w:fldCharType="end"/>
        </w:r>
      </w:hyperlink>
    </w:p>
    <w:p w14:paraId="1E891DD2" w14:textId="581391D9"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5" w:history="1">
        <w:r w:rsidRPr="00217865">
          <w:rPr>
            <w:rStyle w:val="Hyperlink"/>
            <w:noProof/>
          </w:rPr>
          <w:t>Table 20 Percentage positive ratings, international undergraduates by student sub-group, 2023 (with 90% confidence intervals)</w:t>
        </w:r>
        <w:r w:rsidRPr="00217865">
          <w:rPr>
            <w:noProof/>
            <w:webHidden/>
          </w:rPr>
          <w:tab/>
        </w:r>
        <w:r w:rsidRPr="00217865">
          <w:rPr>
            <w:noProof/>
            <w:webHidden/>
          </w:rPr>
          <w:fldChar w:fldCharType="begin"/>
        </w:r>
        <w:r w:rsidRPr="00217865">
          <w:rPr>
            <w:noProof/>
            <w:webHidden/>
          </w:rPr>
          <w:instrText xml:space="preserve"> PAGEREF _Toc178599385 \h </w:instrText>
        </w:r>
        <w:r w:rsidRPr="00217865">
          <w:rPr>
            <w:noProof/>
            <w:webHidden/>
          </w:rPr>
        </w:r>
        <w:r w:rsidRPr="00217865">
          <w:rPr>
            <w:noProof/>
            <w:webHidden/>
          </w:rPr>
          <w:fldChar w:fldCharType="separate"/>
        </w:r>
        <w:r w:rsidR="005D5678">
          <w:rPr>
            <w:noProof/>
            <w:webHidden/>
          </w:rPr>
          <w:t>72</w:t>
        </w:r>
        <w:r w:rsidRPr="00217865">
          <w:rPr>
            <w:noProof/>
            <w:webHidden/>
          </w:rPr>
          <w:fldChar w:fldCharType="end"/>
        </w:r>
      </w:hyperlink>
    </w:p>
    <w:p w14:paraId="0D49C5C7" w14:textId="006F869B" w:rsidR="00A533FF" w:rsidRPr="00217865"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6" w:history="1">
        <w:r w:rsidRPr="00217865">
          <w:rPr>
            <w:rStyle w:val="Hyperlink"/>
            <w:noProof/>
          </w:rPr>
          <w:t>Table 21 Percentage positive ratings, international undergraduates by study area, 2023 (with 90% confidence intervals)</w:t>
        </w:r>
        <w:r w:rsidRPr="00217865">
          <w:rPr>
            <w:noProof/>
            <w:webHidden/>
          </w:rPr>
          <w:tab/>
        </w:r>
        <w:r w:rsidRPr="00217865">
          <w:rPr>
            <w:noProof/>
            <w:webHidden/>
          </w:rPr>
          <w:fldChar w:fldCharType="begin"/>
        </w:r>
        <w:r w:rsidRPr="00217865">
          <w:rPr>
            <w:noProof/>
            <w:webHidden/>
          </w:rPr>
          <w:instrText xml:space="preserve"> PAGEREF _Toc178599386 \h </w:instrText>
        </w:r>
        <w:r w:rsidRPr="00217865">
          <w:rPr>
            <w:noProof/>
            <w:webHidden/>
          </w:rPr>
        </w:r>
        <w:r w:rsidRPr="00217865">
          <w:rPr>
            <w:noProof/>
            <w:webHidden/>
          </w:rPr>
          <w:fldChar w:fldCharType="separate"/>
        </w:r>
        <w:r w:rsidR="005D5678">
          <w:rPr>
            <w:noProof/>
            <w:webHidden/>
          </w:rPr>
          <w:t>73</w:t>
        </w:r>
        <w:r w:rsidRPr="00217865">
          <w:rPr>
            <w:noProof/>
            <w:webHidden/>
          </w:rPr>
          <w:fldChar w:fldCharType="end"/>
        </w:r>
      </w:hyperlink>
    </w:p>
    <w:p w14:paraId="62351784" w14:textId="754306E8"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7" w:history="1">
        <w:r w:rsidRPr="007624C4">
          <w:rPr>
            <w:rStyle w:val="Hyperlink"/>
            <w:rFonts w:eastAsia="Times New Roman" w:cs="Arial"/>
            <w:noProof/>
            <w:lang w:eastAsia="en-AU"/>
          </w:rPr>
          <w:t>Table 22 New Peer Engagement focus area items</w:t>
        </w:r>
        <w:r w:rsidRPr="007624C4">
          <w:rPr>
            <w:noProof/>
            <w:webHidden/>
          </w:rPr>
          <w:tab/>
        </w:r>
        <w:r w:rsidRPr="007624C4">
          <w:rPr>
            <w:noProof/>
            <w:webHidden/>
          </w:rPr>
          <w:fldChar w:fldCharType="begin"/>
        </w:r>
        <w:r w:rsidRPr="007624C4">
          <w:rPr>
            <w:noProof/>
            <w:webHidden/>
          </w:rPr>
          <w:instrText xml:space="preserve"> PAGEREF _Toc178599387 \h </w:instrText>
        </w:r>
        <w:r w:rsidRPr="007624C4">
          <w:rPr>
            <w:noProof/>
            <w:webHidden/>
          </w:rPr>
        </w:r>
        <w:r w:rsidRPr="007624C4">
          <w:rPr>
            <w:noProof/>
            <w:webHidden/>
          </w:rPr>
          <w:fldChar w:fldCharType="separate"/>
        </w:r>
        <w:r w:rsidR="005D5678">
          <w:rPr>
            <w:noProof/>
            <w:webHidden/>
          </w:rPr>
          <w:t>75</w:t>
        </w:r>
        <w:r w:rsidRPr="007624C4">
          <w:rPr>
            <w:noProof/>
            <w:webHidden/>
          </w:rPr>
          <w:fldChar w:fldCharType="end"/>
        </w:r>
      </w:hyperlink>
    </w:p>
    <w:p w14:paraId="29D413F2" w14:textId="1A79C6F8"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8" w:history="1">
        <w:r w:rsidRPr="007624C4">
          <w:rPr>
            <w:rStyle w:val="Hyperlink"/>
            <w:rFonts w:eastAsia="Times New Roman" w:cs="Arial"/>
            <w:noProof/>
            <w:lang w:eastAsia="en-AU"/>
          </w:rPr>
          <w:t>Table 23 New Student Support and Services focus area items</w:t>
        </w:r>
        <w:r w:rsidRPr="007624C4">
          <w:rPr>
            <w:noProof/>
            <w:webHidden/>
          </w:rPr>
          <w:tab/>
        </w:r>
        <w:r w:rsidRPr="007624C4">
          <w:rPr>
            <w:noProof/>
            <w:webHidden/>
          </w:rPr>
          <w:fldChar w:fldCharType="begin"/>
        </w:r>
        <w:r w:rsidRPr="007624C4">
          <w:rPr>
            <w:noProof/>
            <w:webHidden/>
          </w:rPr>
          <w:instrText xml:space="preserve"> PAGEREF _Toc178599388 \h </w:instrText>
        </w:r>
        <w:r w:rsidRPr="007624C4">
          <w:rPr>
            <w:noProof/>
            <w:webHidden/>
          </w:rPr>
        </w:r>
        <w:r w:rsidRPr="007624C4">
          <w:rPr>
            <w:noProof/>
            <w:webHidden/>
          </w:rPr>
          <w:fldChar w:fldCharType="separate"/>
        </w:r>
        <w:r w:rsidR="005D5678">
          <w:rPr>
            <w:noProof/>
            <w:webHidden/>
          </w:rPr>
          <w:t>76</w:t>
        </w:r>
        <w:r w:rsidRPr="007624C4">
          <w:rPr>
            <w:noProof/>
            <w:webHidden/>
          </w:rPr>
          <w:fldChar w:fldCharType="end"/>
        </w:r>
      </w:hyperlink>
    </w:p>
    <w:p w14:paraId="480E0175" w14:textId="4DE11153"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89" w:history="1">
        <w:r w:rsidRPr="007624C4">
          <w:rPr>
            <w:rStyle w:val="Hyperlink"/>
            <w:rFonts w:eastAsia="Times New Roman" w:cs="Arial"/>
            <w:noProof/>
            <w:lang w:eastAsia="en-AU"/>
          </w:rPr>
          <w:t>Table 24 New study mode questions</w:t>
        </w:r>
        <w:r w:rsidRPr="007624C4">
          <w:rPr>
            <w:noProof/>
            <w:webHidden/>
          </w:rPr>
          <w:tab/>
        </w:r>
        <w:r w:rsidRPr="007624C4">
          <w:rPr>
            <w:noProof/>
            <w:webHidden/>
          </w:rPr>
          <w:fldChar w:fldCharType="begin"/>
        </w:r>
        <w:r w:rsidRPr="007624C4">
          <w:rPr>
            <w:noProof/>
            <w:webHidden/>
          </w:rPr>
          <w:instrText xml:space="preserve"> PAGEREF _Toc178599389 \h </w:instrText>
        </w:r>
        <w:r w:rsidRPr="007624C4">
          <w:rPr>
            <w:noProof/>
            <w:webHidden/>
          </w:rPr>
        </w:r>
        <w:r w:rsidRPr="007624C4">
          <w:rPr>
            <w:noProof/>
            <w:webHidden/>
          </w:rPr>
          <w:fldChar w:fldCharType="separate"/>
        </w:r>
        <w:r w:rsidR="005D5678">
          <w:rPr>
            <w:noProof/>
            <w:webHidden/>
          </w:rPr>
          <w:t>77</w:t>
        </w:r>
        <w:r w:rsidRPr="007624C4">
          <w:rPr>
            <w:noProof/>
            <w:webHidden/>
          </w:rPr>
          <w:fldChar w:fldCharType="end"/>
        </w:r>
      </w:hyperlink>
    </w:p>
    <w:p w14:paraId="5C5AB779" w14:textId="30903610"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0" w:history="1">
        <w:r w:rsidRPr="007624C4">
          <w:rPr>
            <w:rStyle w:val="Hyperlink"/>
            <w:rFonts w:eastAsia="Times New Roman" w:cs="Arial"/>
            <w:noProof/>
            <w:lang w:eastAsia="en-AU"/>
          </w:rPr>
          <w:t>Table 25 List of the old and new response options for reasons considered leaving</w:t>
        </w:r>
        <w:r w:rsidRPr="007624C4">
          <w:rPr>
            <w:noProof/>
            <w:webHidden/>
          </w:rPr>
          <w:tab/>
        </w:r>
        <w:r w:rsidRPr="007624C4">
          <w:rPr>
            <w:noProof/>
            <w:webHidden/>
          </w:rPr>
          <w:fldChar w:fldCharType="begin"/>
        </w:r>
        <w:r w:rsidRPr="007624C4">
          <w:rPr>
            <w:noProof/>
            <w:webHidden/>
          </w:rPr>
          <w:instrText xml:space="preserve"> PAGEREF _Toc178599390 \h </w:instrText>
        </w:r>
        <w:r w:rsidRPr="007624C4">
          <w:rPr>
            <w:noProof/>
            <w:webHidden/>
          </w:rPr>
        </w:r>
        <w:r w:rsidRPr="007624C4">
          <w:rPr>
            <w:noProof/>
            <w:webHidden/>
          </w:rPr>
          <w:fldChar w:fldCharType="separate"/>
        </w:r>
        <w:r w:rsidR="005D5678">
          <w:rPr>
            <w:noProof/>
            <w:webHidden/>
          </w:rPr>
          <w:t>78</w:t>
        </w:r>
        <w:r w:rsidRPr="007624C4">
          <w:rPr>
            <w:noProof/>
            <w:webHidden/>
          </w:rPr>
          <w:fldChar w:fldCharType="end"/>
        </w:r>
      </w:hyperlink>
    </w:p>
    <w:p w14:paraId="1F3D9239" w14:textId="12706BE4"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1" w:history="1">
        <w:r w:rsidRPr="007624C4">
          <w:rPr>
            <w:rStyle w:val="Hyperlink"/>
            <w:rFonts w:eastAsia="Times New Roman" w:cs="Arial"/>
            <w:noProof/>
            <w:lang w:eastAsia="en-AU"/>
          </w:rPr>
          <w:t>Table 26 Summary of items removed from the 2023 SES</w:t>
        </w:r>
        <w:r w:rsidRPr="007624C4">
          <w:rPr>
            <w:noProof/>
            <w:webHidden/>
          </w:rPr>
          <w:tab/>
        </w:r>
        <w:r w:rsidRPr="007624C4">
          <w:rPr>
            <w:noProof/>
            <w:webHidden/>
          </w:rPr>
          <w:fldChar w:fldCharType="begin"/>
        </w:r>
        <w:r w:rsidRPr="007624C4">
          <w:rPr>
            <w:noProof/>
            <w:webHidden/>
          </w:rPr>
          <w:instrText xml:space="preserve"> PAGEREF _Toc178599391 \h </w:instrText>
        </w:r>
        <w:r w:rsidRPr="007624C4">
          <w:rPr>
            <w:noProof/>
            <w:webHidden/>
          </w:rPr>
        </w:r>
        <w:r w:rsidRPr="007624C4">
          <w:rPr>
            <w:noProof/>
            <w:webHidden/>
          </w:rPr>
          <w:fldChar w:fldCharType="separate"/>
        </w:r>
        <w:r w:rsidR="005D5678">
          <w:rPr>
            <w:noProof/>
            <w:webHidden/>
          </w:rPr>
          <w:t>79</w:t>
        </w:r>
        <w:r w:rsidRPr="007624C4">
          <w:rPr>
            <w:noProof/>
            <w:webHidden/>
          </w:rPr>
          <w:fldChar w:fldCharType="end"/>
        </w:r>
      </w:hyperlink>
    </w:p>
    <w:p w14:paraId="181F5273" w14:textId="403BF527"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2" w:history="1">
        <w:r w:rsidRPr="007624C4">
          <w:rPr>
            <w:rStyle w:val="Hyperlink"/>
            <w:rFonts w:cs="Arial"/>
            <w:noProof/>
          </w:rPr>
          <w:t>Table 27 2023 SEQ Item Summary: Skill Development items</w:t>
        </w:r>
        <w:r w:rsidRPr="007624C4">
          <w:rPr>
            <w:noProof/>
            <w:webHidden/>
          </w:rPr>
          <w:tab/>
        </w:r>
        <w:r w:rsidRPr="007624C4">
          <w:rPr>
            <w:noProof/>
            <w:webHidden/>
          </w:rPr>
          <w:fldChar w:fldCharType="begin"/>
        </w:r>
        <w:r w:rsidRPr="007624C4">
          <w:rPr>
            <w:noProof/>
            <w:webHidden/>
          </w:rPr>
          <w:instrText xml:space="preserve"> PAGEREF _Toc178599392 \h </w:instrText>
        </w:r>
        <w:r w:rsidRPr="007624C4">
          <w:rPr>
            <w:noProof/>
            <w:webHidden/>
          </w:rPr>
        </w:r>
        <w:r w:rsidRPr="007624C4">
          <w:rPr>
            <w:noProof/>
            <w:webHidden/>
          </w:rPr>
          <w:fldChar w:fldCharType="separate"/>
        </w:r>
        <w:r w:rsidR="005D5678">
          <w:rPr>
            <w:noProof/>
            <w:webHidden/>
          </w:rPr>
          <w:t>82</w:t>
        </w:r>
        <w:r w:rsidRPr="007624C4">
          <w:rPr>
            <w:noProof/>
            <w:webHidden/>
          </w:rPr>
          <w:fldChar w:fldCharType="end"/>
        </w:r>
      </w:hyperlink>
    </w:p>
    <w:p w14:paraId="04AAD308" w14:textId="3446B043"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3" w:history="1">
        <w:r w:rsidRPr="007624C4">
          <w:rPr>
            <w:rStyle w:val="Hyperlink"/>
            <w:rFonts w:cs="Arial"/>
            <w:noProof/>
          </w:rPr>
          <w:t>Table 28 2023 SEQ Item Summary: Peer Engagement items</w:t>
        </w:r>
        <w:r w:rsidRPr="007624C4">
          <w:rPr>
            <w:noProof/>
            <w:webHidden/>
          </w:rPr>
          <w:tab/>
        </w:r>
        <w:r w:rsidRPr="007624C4">
          <w:rPr>
            <w:noProof/>
            <w:webHidden/>
          </w:rPr>
          <w:fldChar w:fldCharType="begin"/>
        </w:r>
        <w:r w:rsidRPr="007624C4">
          <w:rPr>
            <w:noProof/>
            <w:webHidden/>
          </w:rPr>
          <w:instrText xml:space="preserve"> PAGEREF _Toc178599393 \h </w:instrText>
        </w:r>
        <w:r w:rsidRPr="007624C4">
          <w:rPr>
            <w:noProof/>
            <w:webHidden/>
          </w:rPr>
        </w:r>
        <w:r w:rsidRPr="007624C4">
          <w:rPr>
            <w:noProof/>
            <w:webHidden/>
          </w:rPr>
          <w:fldChar w:fldCharType="separate"/>
        </w:r>
        <w:r w:rsidR="005D5678">
          <w:rPr>
            <w:noProof/>
            <w:webHidden/>
          </w:rPr>
          <w:t>82</w:t>
        </w:r>
        <w:r w:rsidRPr="007624C4">
          <w:rPr>
            <w:noProof/>
            <w:webHidden/>
          </w:rPr>
          <w:fldChar w:fldCharType="end"/>
        </w:r>
      </w:hyperlink>
    </w:p>
    <w:p w14:paraId="286E97CC" w14:textId="63BDF99B"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4" w:history="1">
        <w:r w:rsidRPr="007624C4">
          <w:rPr>
            <w:rStyle w:val="Hyperlink"/>
            <w:rFonts w:cs="Arial"/>
            <w:noProof/>
          </w:rPr>
          <w:t>Table 29 2023 SEQ Item Summary: Teaching Quality and Engagement items</w:t>
        </w:r>
        <w:r w:rsidRPr="007624C4">
          <w:rPr>
            <w:noProof/>
            <w:webHidden/>
          </w:rPr>
          <w:tab/>
        </w:r>
        <w:r w:rsidRPr="007624C4">
          <w:rPr>
            <w:noProof/>
            <w:webHidden/>
          </w:rPr>
          <w:fldChar w:fldCharType="begin"/>
        </w:r>
        <w:r w:rsidRPr="007624C4">
          <w:rPr>
            <w:noProof/>
            <w:webHidden/>
          </w:rPr>
          <w:instrText xml:space="preserve"> PAGEREF _Toc178599394 \h </w:instrText>
        </w:r>
        <w:r w:rsidRPr="007624C4">
          <w:rPr>
            <w:noProof/>
            <w:webHidden/>
          </w:rPr>
        </w:r>
        <w:r w:rsidRPr="007624C4">
          <w:rPr>
            <w:noProof/>
            <w:webHidden/>
          </w:rPr>
          <w:fldChar w:fldCharType="separate"/>
        </w:r>
        <w:r w:rsidR="005D5678">
          <w:rPr>
            <w:noProof/>
            <w:webHidden/>
          </w:rPr>
          <w:t>83</w:t>
        </w:r>
        <w:r w:rsidRPr="007624C4">
          <w:rPr>
            <w:noProof/>
            <w:webHidden/>
          </w:rPr>
          <w:fldChar w:fldCharType="end"/>
        </w:r>
      </w:hyperlink>
    </w:p>
    <w:p w14:paraId="35C2484C" w14:textId="2C1D31B7"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5" w:history="1">
        <w:r w:rsidRPr="007624C4">
          <w:rPr>
            <w:rStyle w:val="Hyperlink"/>
            <w:rFonts w:cs="Arial"/>
            <w:noProof/>
          </w:rPr>
          <w:t>Table 30 2023 SEQ Item Summary: Student Support and Services items</w:t>
        </w:r>
        <w:r w:rsidRPr="007624C4">
          <w:rPr>
            <w:noProof/>
            <w:webHidden/>
          </w:rPr>
          <w:tab/>
        </w:r>
        <w:r w:rsidRPr="007624C4">
          <w:rPr>
            <w:noProof/>
            <w:webHidden/>
          </w:rPr>
          <w:fldChar w:fldCharType="begin"/>
        </w:r>
        <w:r w:rsidRPr="007624C4">
          <w:rPr>
            <w:noProof/>
            <w:webHidden/>
          </w:rPr>
          <w:instrText xml:space="preserve"> PAGEREF _Toc178599395 \h </w:instrText>
        </w:r>
        <w:r w:rsidRPr="007624C4">
          <w:rPr>
            <w:noProof/>
            <w:webHidden/>
          </w:rPr>
        </w:r>
        <w:r w:rsidRPr="007624C4">
          <w:rPr>
            <w:noProof/>
            <w:webHidden/>
          </w:rPr>
          <w:fldChar w:fldCharType="separate"/>
        </w:r>
        <w:r w:rsidR="005D5678">
          <w:rPr>
            <w:noProof/>
            <w:webHidden/>
          </w:rPr>
          <w:t>83</w:t>
        </w:r>
        <w:r w:rsidRPr="007624C4">
          <w:rPr>
            <w:noProof/>
            <w:webHidden/>
          </w:rPr>
          <w:fldChar w:fldCharType="end"/>
        </w:r>
      </w:hyperlink>
    </w:p>
    <w:p w14:paraId="795C679E" w14:textId="32AFBD08"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6" w:history="1">
        <w:r w:rsidRPr="007624C4">
          <w:rPr>
            <w:rStyle w:val="Hyperlink"/>
            <w:rFonts w:cs="Arial"/>
            <w:noProof/>
          </w:rPr>
          <w:t>Table 31 2023 SEQ Item Summary: Learning Resources items</w:t>
        </w:r>
        <w:r w:rsidRPr="007624C4">
          <w:rPr>
            <w:noProof/>
            <w:webHidden/>
          </w:rPr>
          <w:tab/>
        </w:r>
        <w:r w:rsidRPr="007624C4">
          <w:rPr>
            <w:noProof/>
            <w:webHidden/>
          </w:rPr>
          <w:fldChar w:fldCharType="begin"/>
        </w:r>
        <w:r w:rsidRPr="007624C4">
          <w:rPr>
            <w:noProof/>
            <w:webHidden/>
          </w:rPr>
          <w:instrText xml:space="preserve"> PAGEREF _Toc178599396 \h </w:instrText>
        </w:r>
        <w:r w:rsidRPr="007624C4">
          <w:rPr>
            <w:noProof/>
            <w:webHidden/>
          </w:rPr>
        </w:r>
        <w:r w:rsidRPr="007624C4">
          <w:rPr>
            <w:noProof/>
            <w:webHidden/>
          </w:rPr>
          <w:fldChar w:fldCharType="separate"/>
        </w:r>
        <w:r w:rsidR="005D5678">
          <w:rPr>
            <w:noProof/>
            <w:webHidden/>
          </w:rPr>
          <w:t>83</w:t>
        </w:r>
        <w:r w:rsidRPr="007624C4">
          <w:rPr>
            <w:noProof/>
            <w:webHidden/>
          </w:rPr>
          <w:fldChar w:fldCharType="end"/>
        </w:r>
      </w:hyperlink>
    </w:p>
    <w:p w14:paraId="69001AB2" w14:textId="0F8DD4B9"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7" w:history="1">
        <w:r w:rsidRPr="007624C4">
          <w:rPr>
            <w:rStyle w:val="Hyperlink"/>
            <w:rFonts w:cs="Arial"/>
            <w:noProof/>
          </w:rPr>
          <w:t>Table 32 2023 SEQ Item Summary: Open-response items</w:t>
        </w:r>
        <w:r w:rsidRPr="007624C4">
          <w:rPr>
            <w:noProof/>
            <w:webHidden/>
          </w:rPr>
          <w:tab/>
        </w:r>
        <w:r w:rsidRPr="007624C4">
          <w:rPr>
            <w:noProof/>
            <w:webHidden/>
          </w:rPr>
          <w:fldChar w:fldCharType="begin"/>
        </w:r>
        <w:r w:rsidRPr="007624C4">
          <w:rPr>
            <w:noProof/>
            <w:webHidden/>
          </w:rPr>
          <w:instrText xml:space="preserve"> PAGEREF _Toc178599397 \h </w:instrText>
        </w:r>
        <w:r w:rsidRPr="007624C4">
          <w:rPr>
            <w:noProof/>
            <w:webHidden/>
          </w:rPr>
        </w:r>
        <w:r w:rsidRPr="007624C4">
          <w:rPr>
            <w:noProof/>
            <w:webHidden/>
          </w:rPr>
          <w:fldChar w:fldCharType="separate"/>
        </w:r>
        <w:r w:rsidR="005D5678">
          <w:rPr>
            <w:noProof/>
            <w:webHidden/>
          </w:rPr>
          <w:t>84</w:t>
        </w:r>
        <w:r w:rsidRPr="007624C4">
          <w:rPr>
            <w:noProof/>
            <w:webHidden/>
          </w:rPr>
          <w:fldChar w:fldCharType="end"/>
        </w:r>
      </w:hyperlink>
    </w:p>
    <w:p w14:paraId="440D1A12" w14:textId="0F7609FE"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8" w:history="1">
        <w:r w:rsidRPr="007624C4">
          <w:rPr>
            <w:rStyle w:val="Hyperlink"/>
            <w:rFonts w:cs="Arial"/>
            <w:noProof/>
          </w:rPr>
          <w:t>Table 33 2023 SEQ Item Summary: Demographic and contextual items</w:t>
        </w:r>
        <w:r w:rsidRPr="007624C4">
          <w:rPr>
            <w:noProof/>
            <w:webHidden/>
          </w:rPr>
          <w:tab/>
        </w:r>
        <w:r w:rsidRPr="007624C4">
          <w:rPr>
            <w:noProof/>
            <w:webHidden/>
          </w:rPr>
          <w:fldChar w:fldCharType="begin"/>
        </w:r>
        <w:r w:rsidRPr="007624C4">
          <w:rPr>
            <w:noProof/>
            <w:webHidden/>
          </w:rPr>
          <w:instrText xml:space="preserve"> PAGEREF _Toc178599398 \h </w:instrText>
        </w:r>
        <w:r w:rsidRPr="007624C4">
          <w:rPr>
            <w:noProof/>
            <w:webHidden/>
          </w:rPr>
        </w:r>
        <w:r w:rsidRPr="007624C4">
          <w:rPr>
            <w:noProof/>
            <w:webHidden/>
          </w:rPr>
          <w:fldChar w:fldCharType="separate"/>
        </w:r>
        <w:r w:rsidR="005D5678">
          <w:rPr>
            <w:noProof/>
            <w:webHidden/>
          </w:rPr>
          <w:t>84</w:t>
        </w:r>
        <w:r w:rsidRPr="007624C4">
          <w:rPr>
            <w:noProof/>
            <w:webHidden/>
          </w:rPr>
          <w:fldChar w:fldCharType="end"/>
        </w:r>
      </w:hyperlink>
    </w:p>
    <w:p w14:paraId="45AE0499" w14:textId="06376FE8"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399" w:history="1">
        <w:r w:rsidRPr="007624C4">
          <w:rPr>
            <w:rStyle w:val="Hyperlink"/>
            <w:noProof/>
            <w:lang w:val="en-GB"/>
          </w:rPr>
          <w:t>Table 34 2023 SEQ Item Summary: Freedom of expression items</w:t>
        </w:r>
        <w:r w:rsidRPr="007624C4">
          <w:rPr>
            <w:noProof/>
            <w:webHidden/>
          </w:rPr>
          <w:tab/>
        </w:r>
        <w:r w:rsidRPr="007624C4">
          <w:rPr>
            <w:noProof/>
            <w:webHidden/>
          </w:rPr>
          <w:fldChar w:fldCharType="begin"/>
        </w:r>
        <w:r w:rsidRPr="007624C4">
          <w:rPr>
            <w:noProof/>
            <w:webHidden/>
          </w:rPr>
          <w:instrText xml:space="preserve"> PAGEREF _Toc178599399 \h </w:instrText>
        </w:r>
        <w:r w:rsidRPr="007624C4">
          <w:rPr>
            <w:noProof/>
            <w:webHidden/>
          </w:rPr>
        </w:r>
        <w:r w:rsidRPr="007624C4">
          <w:rPr>
            <w:noProof/>
            <w:webHidden/>
          </w:rPr>
          <w:fldChar w:fldCharType="separate"/>
        </w:r>
        <w:r w:rsidR="005D5678">
          <w:rPr>
            <w:noProof/>
            <w:webHidden/>
          </w:rPr>
          <w:t>85</w:t>
        </w:r>
        <w:r w:rsidRPr="007624C4">
          <w:rPr>
            <w:noProof/>
            <w:webHidden/>
          </w:rPr>
          <w:fldChar w:fldCharType="end"/>
        </w:r>
      </w:hyperlink>
    </w:p>
    <w:p w14:paraId="3FF3362D" w14:textId="271AFFAF"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400" w:history="1">
        <w:r w:rsidRPr="007624C4">
          <w:rPr>
            <w:rStyle w:val="Hyperlink"/>
            <w:rFonts w:cs="Arial"/>
            <w:noProof/>
          </w:rPr>
          <w:t>Table 35 2023 SES International Student Items</w:t>
        </w:r>
        <w:r w:rsidRPr="007624C4">
          <w:rPr>
            <w:noProof/>
            <w:webHidden/>
          </w:rPr>
          <w:tab/>
        </w:r>
        <w:r w:rsidRPr="007624C4">
          <w:rPr>
            <w:noProof/>
            <w:webHidden/>
          </w:rPr>
          <w:fldChar w:fldCharType="begin"/>
        </w:r>
        <w:r w:rsidRPr="007624C4">
          <w:rPr>
            <w:noProof/>
            <w:webHidden/>
          </w:rPr>
          <w:instrText xml:space="preserve"> PAGEREF _Toc178599400 \h </w:instrText>
        </w:r>
        <w:r w:rsidRPr="007624C4">
          <w:rPr>
            <w:noProof/>
            <w:webHidden/>
          </w:rPr>
        </w:r>
        <w:r w:rsidRPr="007624C4">
          <w:rPr>
            <w:noProof/>
            <w:webHidden/>
          </w:rPr>
          <w:fldChar w:fldCharType="separate"/>
        </w:r>
        <w:r w:rsidR="005D5678">
          <w:rPr>
            <w:noProof/>
            <w:webHidden/>
          </w:rPr>
          <w:t>85</w:t>
        </w:r>
        <w:r w:rsidRPr="007624C4">
          <w:rPr>
            <w:noProof/>
            <w:webHidden/>
          </w:rPr>
          <w:fldChar w:fldCharType="end"/>
        </w:r>
      </w:hyperlink>
    </w:p>
    <w:p w14:paraId="707238F5" w14:textId="26626B88"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401" w:history="1">
        <w:r w:rsidRPr="007624C4">
          <w:rPr>
            <w:rStyle w:val="Hyperlink"/>
            <w:rFonts w:cs="Arial"/>
            <w:noProof/>
          </w:rPr>
          <w:t>Table 36 Example of Teaching Quality and Engagement focus area scoring for one SES respondent</w:t>
        </w:r>
        <w:r w:rsidRPr="007624C4">
          <w:rPr>
            <w:noProof/>
            <w:webHidden/>
          </w:rPr>
          <w:tab/>
        </w:r>
        <w:r w:rsidRPr="007624C4">
          <w:rPr>
            <w:noProof/>
            <w:webHidden/>
          </w:rPr>
          <w:fldChar w:fldCharType="begin"/>
        </w:r>
        <w:r w:rsidRPr="007624C4">
          <w:rPr>
            <w:noProof/>
            <w:webHidden/>
          </w:rPr>
          <w:instrText xml:space="preserve"> PAGEREF _Toc178599401 \h </w:instrText>
        </w:r>
        <w:r w:rsidRPr="007624C4">
          <w:rPr>
            <w:noProof/>
            <w:webHidden/>
          </w:rPr>
        </w:r>
        <w:r w:rsidRPr="007624C4">
          <w:rPr>
            <w:noProof/>
            <w:webHidden/>
          </w:rPr>
          <w:fldChar w:fldCharType="separate"/>
        </w:r>
        <w:r w:rsidR="005D5678">
          <w:rPr>
            <w:noProof/>
            <w:webHidden/>
          </w:rPr>
          <w:t>88</w:t>
        </w:r>
        <w:r w:rsidRPr="007624C4">
          <w:rPr>
            <w:noProof/>
            <w:webHidden/>
          </w:rPr>
          <w:fldChar w:fldCharType="end"/>
        </w:r>
      </w:hyperlink>
    </w:p>
    <w:p w14:paraId="68FFFC52" w14:textId="00AF33EF" w:rsidR="00A533FF" w:rsidRPr="007624C4" w:rsidRDefault="00A533FF">
      <w:pPr>
        <w:pStyle w:val="TableofFigures"/>
        <w:tabs>
          <w:tab w:val="right" w:leader="dot" w:pos="10620"/>
        </w:tabs>
        <w:rPr>
          <w:rFonts w:asciiTheme="minorHAnsi" w:eastAsiaTheme="minorEastAsia" w:hAnsiTheme="minorHAnsi"/>
          <w:noProof/>
          <w:kern w:val="2"/>
          <w:sz w:val="24"/>
          <w:szCs w:val="24"/>
          <w:lang w:eastAsia="en-AU"/>
          <w14:ligatures w14:val="standardContextual"/>
        </w:rPr>
      </w:pPr>
      <w:hyperlink w:anchor="_Toc178599402" w:history="1">
        <w:r w:rsidRPr="007624C4">
          <w:rPr>
            <w:rStyle w:val="Hyperlink"/>
            <w:rFonts w:cs="Arial"/>
            <w:noProof/>
          </w:rPr>
          <w:t>Table 37 21 and 45 study areas concordance with ASCED field of education</w:t>
        </w:r>
        <w:r w:rsidRPr="007624C4">
          <w:rPr>
            <w:noProof/>
            <w:webHidden/>
          </w:rPr>
          <w:tab/>
        </w:r>
        <w:r w:rsidRPr="007624C4">
          <w:rPr>
            <w:noProof/>
            <w:webHidden/>
          </w:rPr>
          <w:fldChar w:fldCharType="begin"/>
        </w:r>
        <w:r w:rsidRPr="007624C4">
          <w:rPr>
            <w:noProof/>
            <w:webHidden/>
          </w:rPr>
          <w:instrText xml:space="preserve"> PAGEREF _Toc178599402 \h </w:instrText>
        </w:r>
        <w:r w:rsidRPr="007624C4">
          <w:rPr>
            <w:noProof/>
            <w:webHidden/>
          </w:rPr>
        </w:r>
        <w:r w:rsidRPr="007624C4">
          <w:rPr>
            <w:noProof/>
            <w:webHidden/>
          </w:rPr>
          <w:fldChar w:fldCharType="separate"/>
        </w:r>
        <w:r w:rsidR="005D5678">
          <w:rPr>
            <w:noProof/>
            <w:webHidden/>
          </w:rPr>
          <w:t>91</w:t>
        </w:r>
        <w:r w:rsidRPr="007624C4">
          <w:rPr>
            <w:noProof/>
            <w:webHidden/>
          </w:rPr>
          <w:fldChar w:fldCharType="end"/>
        </w:r>
      </w:hyperlink>
    </w:p>
    <w:p w14:paraId="7AC8D301" w14:textId="3F7FD697" w:rsidR="00821227" w:rsidRPr="00217865" w:rsidRDefault="00821227" w:rsidP="00D8385D">
      <w:pPr>
        <w:rPr>
          <w:rFonts w:cs="Arial"/>
          <w:color w:val="000000" w:themeColor="text1"/>
          <w:highlight w:val="yellow"/>
        </w:rPr>
      </w:pPr>
      <w:r w:rsidRPr="00217865">
        <w:rPr>
          <w:rFonts w:cs="Arial"/>
          <w:color w:val="000000" w:themeColor="text1"/>
          <w:highlight w:val="yellow"/>
        </w:rPr>
        <w:fldChar w:fldCharType="end"/>
      </w:r>
      <w:r w:rsidRPr="00217865">
        <w:rPr>
          <w:rFonts w:cs="Arial"/>
          <w:color w:val="000000" w:themeColor="text1"/>
          <w:highlight w:val="yellow"/>
        </w:rPr>
        <w:br w:type="page"/>
      </w:r>
    </w:p>
    <w:p w14:paraId="0553C5ED" w14:textId="77777777" w:rsidR="00821227" w:rsidRPr="00217865" w:rsidRDefault="00821227" w:rsidP="006215D3">
      <w:pPr>
        <w:pStyle w:val="MajorHeading"/>
        <w:rPr>
          <w:rFonts w:cs="Arial"/>
          <w:color w:val="000000" w:themeColor="text1"/>
        </w:rPr>
      </w:pPr>
      <w:bookmarkStart w:id="11" w:name="_Toc178599279"/>
      <w:r w:rsidRPr="00217865">
        <w:rPr>
          <w:rFonts w:cs="Arial"/>
          <w:color w:val="000000" w:themeColor="text1"/>
        </w:rPr>
        <w:lastRenderedPageBreak/>
        <w:t>List of Figures</w:t>
      </w:r>
      <w:bookmarkEnd w:id="11"/>
    </w:p>
    <w:p w14:paraId="0E4E91E3" w14:textId="49F8A281" w:rsidR="00177584" w:rsidRDefault="00821227">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r w:rsidRPr="00217865">
        <w:rPr>
          <w:rFonts w:eastAsiaTheme="majorEastAsia" w:cs="Arial"/>
          <w:sz w:val="28"/>
          <w:szCs w:val="28"/>
          <w:highlight w:val="yellow"/>
          <w:lang w:val="en-GB"/>
        </w:rPr>
        <w:fldChar w:fldCharType="begin"/>
      </w:r>
      <w:r w:rsidRPr="00217865">
        <w:rPr>
          <w:rFonts w:eastAsiaTheme="majorEastAsia" w:cs="Arial"/>
          <w:sz w:val="28"/>
          <w:szCs w:val="28"/>
          <w:highlight w:val="yellow"/>
          <w:lang w:val="en-GB"/>
        </w:rPr>
        <w:instrText xml:space="preserve"> TOC \h \z \c "Figure" </w:instrText>
      </w:r>
      <w:r w:rsidRPr="00217865">
        <w:rPr>
          <w:rFonts w:eastAsiaTheme="majorEastAsia" w:cs="Arial"/>
          <w:sz w:val="28"/>
          <w:szCs w:val="28"/>
          <w:highlight w:val="yellow"/>
          <w:lang w:val="en-GB"/>
        </w:rPr>
        <w:fldChar w:fldCharType="separate"/>
      </w:r>
      <w:hyperlink w:anchor="_Toc208242358" w:history="1">
        <w:r w:rsidR="00177584" w:rsidRPr="009F0F36">
          <w:rPr>
            <w:rStyle w:val="Hyperlink"/>
            <w:noProof/>
          </w:rPr>
          <w:t>Figure 1</w:t>
        </w:r>
        <w:r w:rsidR="00177584">
          <w:rPr>
            <w:rFonts w:asciiTheme="minorHAnsi" w:eastAsiaTheme="minorEastAsia" w:hAnsiTheme="minorHAnsi"/>
            <w:noProof/>
            <w:color w:val="auto"/>
            <w:kern w:val="2"/>
            <w:sz w:val="24"/>
            <w:szCs w:val="24"/>
            <w:lang w:eastAsia="zh-CN"/>
            <w14:ligatures w14:val="standardContextual"/>
          </w:rPr>
          <w:tab/>
        </w:r>
        <w:r w:rsidR="00177584" w:rsidRPr="009F0F36">
          <w:rPr>
            <w:rStyle w:val="Hyperlink"/>
            <w:noProof/>
          </w:rPr>
          <w:t>The international undergraduate student experience, 2017-2023 (% positive rating)</w:t>
        </w:r>
        <w:r w:rsidR="00177584">
          <w:rPr>
            <w:noProof/>
            <w:webHidden/>
          </w:rPr>
          <w:tab/>
        </w:r>
        <w:r w:rsidR="00177584">
          <w:rPr>
            <w:noProof/>
            <w:webHidden/>
          </w:rPr>
          <w:fldChar w:fldCharType="begin"/>
        </w:r>
        <w:r w:rsidR="00177584">
          <w:rPr>
            <w:noProof/>
            <w:webHidden/>
          </w:rPr>
          <w:instrText xml:space="preserve"> PAGEREF _Toc208242358 \h </w:instrText>
        </w:r>
        <w:r w:rsidR="00177584">
          <w:rPr>
            <w:noProof/>
            <w:webHidden/>
          </w:rPr>
        </w:r>
        <w:r w:rsidR="00177584">
          <w:rPr>
            <w:noProof/>
            <w:webHidden/>
          </w:rPr>
          <w:fldChar w:fldCharType="separate"/>
        </w:r>
        <w:r w:rsidR="00177584">
          <w:rPr>
            <w:noProof/>
            <w:webHidden/>
          </w:rPr>
          <w:t>4</w:t>
        </w:r>
        <w:r w:rsidR="00177584">
          <w:rPr>
            <w:noProof/>
            <w:webHidden/>
          </w:rPr>
          <w:fldChar w:fldCharType="end"/>
        </w:r>
      </w:hyperlink>
    </w:p>
    <w:p w14:paraId="773F68E9" w14:textId="3C2D8DB4"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59" w:history="1">
        <w:r w:rsidRPr="009F0F36">
          <w:rPr>
            <w:rStyle w:val="Hyperlink"/>
            <w:noProof/>
          </w:rPr>
          <w:t>Figure 2</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The international postgraduate coursework student experience, 2017-2023 (% positive rating)</w:t>
        </w:r>
        <w:r>
          <w:rPr>
            <w:noProof/>
            <w:webHidden/>
          </w:rPr>
          <w:tab/>
        </w:r>
        <w:r>
          <w:rPr>
            <w:noProof/>
            <w:webHidden/>
          </w:rPr>
          <w:fldChar w:fldCharType="begin"/>
        </w:r>
        <w:r>
          <w:rPr>
            <w:noProof/>
            <w:webHidden/>
          </w:rPr>
          <w:instrText xml:space="preserve"> PAGEREF _Toc208242359 \h </w:instrText>
        </w:r>
        <w:r>
          <w:rPr>
            <w:noProof/>
            <w:webHidden/>
          </w:rPr>
        </w:r>
        <w:r>
          <w:rPr>
            <w:noProof/>
            <w:webHidden/>
          </w:rPr>
          <w:fldChar w:fldCharType="separate"/>
        </w:r>
        <w:r>
          <w:rPr>
            <w:noProof/>
            <w:webHidden/>
          </w:rPr>
          <w:t>5</w:t>
        </w:r>
        <w:r>
          <w:rPr>
            <w:noProof/>
            <w:webHidden/>
          </w:rPr>
          <w:fldChar w:fldCharType="end"/>
        </w:r>
      </w:hyperlink>
    </w:p>
    <w:p w14:paraId="56A89C5E" w14:textId="76687D58"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0" w:history="1">
        <w:r w:rsidRPr="009F0F36">
          <w:rPr>
            <w:rStyle w:val="Hyperlink"/>
            <w:noProof/>
          </w:rPr>
          <w:t>Figure 3</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Undergraduate student experience by citizenship status, 2019-2023 (% positive rating)</w:t>
        </w:r>
        <w:r>
          <w:rPr>
            <w:noProof/>
            <w:webHidden/>
          </w:rPr>
          <w:tab/>
        </w:r>
        <w:r>
          <w:rPr>
            <w:noProof/>
            <w:webHidden/>
          </w:rPr>
          <w:fldChar w:fldCharType="begin"/>
        </w:r>
        <w:r>
          <w:rPr>
            <w:noProof/>
            <w:webHidden/>
          </w:rPr>
          <w:instrText xml:space="preserve"> PAGEREF _Toc208242360 \h </w:instrText>
        </w:r>
        <w:r>
          <w:rPr>
            <w:noProof/>
            <w:webHidden/>
          </w:rPr>
        </w:r>
        <w:r>
          <w:rPr>
            <w:noProof/>
            <w:webHidden/>
          </w:rPr>
          <w:fldChar w:fldCharType="separate"/>
        </w:r>
        <w:r>
          <w:rPr>
            <w:noProof/>
            <w:webHidden/>
          </w:rPr>
          <w:t>7</w:t>
        </w:r>
        <w:r>
          <w:rPr>
            <w:noProof/>
            <w:webHidden/>
          </w:rPr>
          <w:fldChar w:fldCharType="end"/>
        </w:r>
      </w:hyperlink>
    </w:p>
    <w:p w14:paraId="1D83A761" w14:textId="33695CFF"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1" w:history="1">
        <w:r w:rsidRPr="009F0F36">
          <w:rPr>
            <w:rStyle w:val="Hyperlink"/>
            <w:noProof/>
          </w:rPr>
          <w:t>Figure 4</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Postgraduate coursework student experience by citizenship status, 2019-2023 (% positive rating)</w:t>
        </w:r>
        <w:r>
          <w:rPr>
            <w:noProof/>
            <w:webHidden/>
          </w:rPr>
          <w:tab/>
        </w:r>
        <w:r>
          <w:rPr>
            <w:noProof/>
            <w:webHidden/>
          </w:rPr>
          <w:fldChar w:fldCharType="begin"/>
        </w:r>
        <w:r>
          <w:rPr>
            <w:noProof/>
            <w:webHidden/>
          </w:rPr>
          <w:instrText xml:space="preserve"> PAGEREF _Toc208242361 \h </w:instrText>
        </w:r>
        <w:r>
          <w:rPr>
            <w:noProof/>
            <w:webHidden/>
          </w:rPr>
        </w:r>
        <w:r>
          <w:rPr>
            <w:noProof/>
            <w:webHidden/>
          </w:rPr>
          <w:fldChar w:fldCharType="separate"/>
        </w:r>
        <w:r>
          <w:rPr>
            <w:noProof/>
            <w:webHidden/>
          </w:rPr>
          <w:t>8</w:t>
        </w:r>
        <w:r>
          <w:rPr>
            <w:noProof/>
            <w:webHidden/>
          </w:rPr>
          <w:fldChar w:fldCharType="end"/>
        </w:r>
      </w:hyperlink>
    </w:p>
    <w:p w14:paraId="5EB8F6EC" w14:textId="57B4B3E7"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2" w:history="1">
        <w:r w:rsidRPr="009F0F36">
          <w:rPr>
            <w:rStyle w:val="Hyperlink"/>
            <w:noProof/>
          </w:rPr>
          <w:t>Figure 5</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Quality of entire educational experience for international undergraduate university students, 2023 (% positive rating)</w:t>
        </w:r>
        <w:r>
          <w:rPr>
            <w:noProof/>
            <w:webHidden/>
          </w:rPr>
          <w:tab/>
        </w:r>
        <w:r>
          <w:rPr>
            <w:noProof/>
            <w:webHidden/>
          </w:rPr>
          <w:fldChar w:fldCharType="begin"/>
        </w:r>
        <w:r>
          <w:rPr>
            <w:noProof/>
            <w:webHidden/>
          </w:rPr>
          <w:instrText xml:space="preserve"> PAGEREF _Toc208242362 \h </w:instrText>
        </w:r>
        <w:r>
          <w:rPr>
            <w:noProof/>
            <w:webHidden/>
          </w:rPr>
        </w:r>
        <w:r>
          <w:rPr>
            <w:noProof/>
            <w:webHidden/>
          </w:rPr>
          <w:fldChar w:fldCharType="separate"/>
        </w:r>
        <w:r>
          <w:rPr>
            <w:noProof/>
            <w:webHidden/>
          </w:rPr>
          <w:t>20</w:t>
        </w:r>
        <w:r>
          <w:rPr>
            <w:noProof/>
            <w:webHidden/>
          </w:rPr>
          <w:fldChar w:fldCharType="end"/>
        </w:r>
      </w:hyperlink>
    </w:p>
    <w:p w14:paraId="78E5AEE5" w14:textId="59D1A1DF"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3" w:history="1">
        <w:r w:rsidRPr="009F0F36">
          <w:rPr>
            <w:rStyle w:val="Hyperlink"/>
            <w:noProof/>
          </w:rPr>
          <w:t>Figure 6</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Quality of entire educational experience for international postgraduate coursework university students, 2023 (% positive rating)</w:t>
        </w:r>
        <w:r>
          <w:rPr>
            <w:noProof/>
            <w:webHidden/>
          </w:rPr>
          <w:tab/>
        </w:r>
        <w:r>
          <w:rPr>
            <w:noProof/>
            <w:webHidden/>
          </w:rPr>
          <w:fldChar w:fldCharType="begin"/>
        </w:r>
        <w:r>
          <w:rPr>
            <w:noProof/>
            <w:webHidden/>
          </w:rPr>
          <w:instrText xml:space="preserve"> PAGEREF _Toc208242363 \h </w:instrText>
        </w:r>
        <w:r>
          <w:rPr>
            <w:noProof/>
            <w:webHidden/>
          </w:rPr>
        </w:r>
        <w:r>
          <w:rPr>
            <w:noProof/>
            <w:webHidden/>
          </w:rPr>
          <w:fldChar w:fldCharType="separate"/>
        </w:r>
        <w:r>
          <w:rPr>
            <w:noProof/>
            <w:webHidden/>
          </w:rPr>
          <w:t>21</w:t>
        </w:r>
        <w:r>
          <w:rPr>
            <w:noProof/>
            <w:webHidden/>
          </w:rPr>
          <w:fldChar w:fldCharType="end"/>
        </w:r>
      </w:hyperlink>
    </w:p>
    <w:p w14:paraId="1E738E5D" w14:textId="422F525E"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4" w:history="1">
        <w:r w:rsidRPr="009F0F36">
          <w:rPr>
            <w:rStyle w:val="Hyperlink"/>
            <w:rFonts w:cs="Arial"/>
            <w:b/>
            <w:noProof/>
            <w:lang w:val="en-GB"/>
          </w:rPr>
          <w:t>Figure 7</w:t>
        </w:r>
        <w:r>
          <w:rPr>
            <w:rFonts w:asciiTheme="minorHAnsi" w:eastAsiaTheme="minorEastAsia" w:hAnsiTheme="minorHAnsi"/>
            <w:noProof/>
            <w:color w:val="auto"/>
            <w:kern w:val="2"/>
            <w:sz w:val="24"/>
            <w:szCs w:val="24"/>
            <w:lang w:eastAsia="zh-CN"/>
            <w14:ligatures w14:val="standardContextual"/>
          </w:rPr>
          <w:tab/>
        </w:r>
        <w:r w:rsidRPr="009F0F36">
          <w:rPr>
            <w:rStyle w:val="Hyperlink"/>
            <w:rFonts w:cs="Arial"/>
            <w:b/>
            <w:noProof/>
            <w:lang w:val="en-GB"/>
          </w:rPr>
          <w:t>Quality of entire educational experience for international undergraduate non-university higher education institution (NUHEI) students, pooled 2022-2023 (% positive rating)</w:t>
        </w:r>
        <w:r>
          <w:rPr>
            <w:noProof/>
            <w:webHidden/>
          </w:rPr>
          <w:tab/>
        </w:r>
        <w:r>
          <w:rPr>
            <w:noProof/>
            <w:webHidden/>
          </w:rPr>
          <w:fldChar w:fldCharType="begin"/>
        </w:r>
        <w:r>
          <w:rPr>
            <w:noProof/>
            <w:webHidden/>
          </w:rPr>
          <w:instrText xml:space="preserve"> PAGEREF _Toc208242364 \h </w:instrText>
        </w:r>
        <w:r>
          <w:rPr>
            <w:noProof/>
            <w:webHidden/>
          </w:rPr>
        </w:r>
        <w:r>
          <w:rPr>
            <w:noProof/>
            <w:webHidden/>
          </w:rPr>
          <w:fldChar w:fldCharType="separate"/>
        </w:r>
        <w:r>
          <w:rPr>
            <w:noProof/>
            <w:webHidden/>
          </w:rPr>
          <w:t>26</w:t>
        </w:r>
        <w:r>
          <w:rPr>
            <w:noProof/>
            <w:webHidden/>
          </w:rPr>
          <w:fldChar w:fldCharType="end"/>
        </w:r>
      </w:hyperlink>
    </w:p>
    <w:p w14:paraId="52295356" w14:textId="06C2809F"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5" w:history="1">
        <w:r w:rsidRPr="009F0F36">
          <w:rPr>
            <w:rStyle w:val="Hyperlink"/>
            <w:noProof/>
          </w:rPr>
          <w:t>Figure 8</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Quality of entire educational experience for international postgraduate coursework non-university higher education institution (NUHEI) students, pooled 2022-2023 (% positive rating)</w:t>
        </w:r>
        <w:r>
          <w:rPr>
            <w:noProof/>
            <w:webHidden/>
          </w:rPr>
          <w:tab/>
        </w:r>
        <w:r>
          <w:rPr>
            <w:noProof/>
            <w:webHidden/>
          </w:rPr>
          <w:fldChar w:fldCharType="begin"/>
        </w:r>
        <w:r>
          <w:rPr>
            <w:noProof/>
            <w:webHidden/>
          </w:rPr>
          <w:instrText xml:space="preserve"> PAGEREF _Toc208242365 \h </w:instrText>
        </w:r>
        <w:r>
          <w:rPr>
            <w:noProof/>
            <w:webHidden/>
          </w:rPr>
        </w:r>
        <w:r>
          <w:rPr>
            <w:noProof/>
            <w:webHidden/>
          </w:rPr>
          <w:fldChar w:fldCharType="separate"/>
        </w:r>
        <w:r>
          <w:rPr>
            <w:noProof/>
            <w:webHidden/>
          </w:rPr>
          <w:t>32</w:t>
        </w:r>
        <w:r>
          <w:rPr>
            <w:noProof/>
            <w:webHidden/>
          </w:rPr>
          <w:fldChar w:fldCharType="end"/>
        </w:r>
      </w:hyperlink>
    </w:p>
    <w:p w14:paraId="166EE402" w14:textId="4C61AC66"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6" w:history="1">
        <w:r w:rsidRPr="009F0F36">
          <w:rPr>
            <w:rStyle w:val="Hyperlink"/>
            <w:noProof/>
          </w:rPr>
          <w:t>Figure 9</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Proportion of undergraduate students who considered early departure from institution by citizenship status, 2017-2023</w:t>
        </w:r>
        <w:r>
          <w:rPr>
            <w:noProof/>
            <w:webHidden/>
          </w:rPr>
          <w:tab/>
        </w:r>
        <w:r>
          <w:rPr>
            <w:noProof/>
            <w:webHidden/>
          </w:rPr>
          <w:fldChar w:fldCharType="begin"/>
        </w:r>
        <w:r>
          <w:rPr>
            <w:noProof/>
            <w:webHidden/>
          </w:rPr>
          <w:instrText xml:space="preserve"> PAGEREF _Toc208242366 \h </w:instrText>
        </w:r>
        <w:r>
          <w:rPr>
            <w:noProof/>
            <w:webHidden/>
          </w:rPr>
        </w:r>
        <w:r>
          <w:rPr>
            <w:noProof/>
            <w:webHidden/>
          </w:rPr>
          <w:fldChar w:fldCharType="separate"/>
        </w:r>
        <w:r>
          <w:rPr>
            <w:noProof/>
            <w:webHidden/>
          </w:rPr>
          <w:t>36</w:t>
        </w:r>
        <w:r>
          <w:rPr>
            <w:noProof/>
            <w:webHidden/>
          </w:rPr>
          <w:fldChar w:fldCharType="end"/>
        </w:r>
      </w:hyperlink>
    </w:p>
    <w:p w14:paraId="372DEB6E" w14:textId="0A3687D5"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7" w:history="1">
        <w:r w:rsidRPr="009F0F36">
          <w:rPr>
            <w:rStyle w:val="Hyperlink"/>
            <w:noProof/>
          </w:rPr>
          <w:t>Figure 10</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Proportion of postgraduate coursework students who considered early departure from institution by citizenship status, 2017-2023</w:t>
        </w:r>
        <w:r>
          <w:rPr>
            <w:noProof/>
            <w:webHidden/>
          </w:rPr>
          <w:tab/>
        </w:r>
        <w:r>
          <w:rPr>
            <w:noProof/>
            <w:webHidden/>
          </w:rPr>
          <w:fldChar w:fldCharType="begin"/>
        </w:r>
        <w:r>
          <w:rPr>
            <w:noProof/>
            <w:webHidden/>
          </w:rPr>
          <w:instrText xml:space="preserve"> PAGEREF _Toc208242367 \h </w:instrText>
        </w:r>
        <w:r>
          <w:rPr>
            <w:noProof/>
            <w:webHidden/>
          </w:rPr>
        </w:r>
        <w:r>
          <w:rPr>
            <w:noProof/>
            <w:webHidden/>
          </w:rPr>
          <w:fldChar w:fldCharType="separate"/>
        </w:r>
        <w:r>
          <w:rPr>
            <w:noProof/>
            <w:webHidden/>
          </w:rPr>
          <w:t>37</w:t>
        </w:r>
        <w:r>
          <w:rPr>
            <w:noProof/>
            <w:webHidden/>
          </w:rPr>
          <w:fldChar w:fldCharType="end"/>
        </w:r>
      </w:hyperlink>
    </w:p>
    <w:p w14:paraId="77ADB878" w14:textId="1A0FBFB3"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8" w:history="1">
        <w:r w:rsidRPr="009F0F36">
          <w:rPr>
            <w:rStyle w:val="Hyperlink"/>
            <w:noProof/>
          </w:rPr>
          <w:t>Figure 11</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Reasons for considering early departure among undergraduate students by citizenship status, 2023 (% of those who had considered leaving)</w:t>
        </w:r>
        <w:r>
          <w:rPr>
            <w:noProof/>
            <w:webHidden/>
          </w:rPr>
          <w:tab/>
        </w:r>
        <w:r>
          <w:rPr>
            <w:noProof/>
            <w:webHidden/>
          </w:rPr>
          <w:fldChar w:fldCharType="begin"/>
        </w:r>
        <w:r>
          <w:rPr>
            <w:noProof/>
            <w:webHidden/>
          </w:rPr>
          <w:instrText xml:space="preserve"> PAGEREF _Toc208242368 \h </w:instrText>
        </w:r>
        <w:r>
          <w:rPr>
            <w:noProof/>
            <w:webHidden/>
          </w:rPr>
        </w:r>
        <w:r>
          <w:rPr>
            <w:noProof/>
            <w:webHidden/>
          </w:rPr>
          <w:fldChar w:fldCharType="separate"/>
        </w:r>
        <w:r>
          <w:rPr>
            <w:noProof/>
            <w:webHidden/>
          </w:rPr>
          <w:t>38</w:t>
        </w:r>
        <w:r>
          <w:rPr>
            <w:noProof/>
            <w:webHidden/>
          </w:rPr>
          <w:fldChar w:fldCharType="end"/>
        </w:r>
      </w:hyperlink>
    </w:p>
    <w:p w14:paraId="5E8AC7CE" w14:textId="6D2A5242"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69" w:history="1">
        <w:r w:rsidRPr="009F0F36">
          <w:rPr>
            <w:rStyle w:val="Hyperlink"/>
            <w:noProof/>
          </w:rPr>
          <w:t>Figure 12</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Reasons for considering early departure among postgraduate students by citizenship status, 2023 (% of those who had considered leaving)</w:t>
        </w:r>
        <w:r>
          <w:rPr>
            <w:noProof/>
            <w:webHidden/>
          </w:rPr>
          <w:tab/>
        </w:r>
        <w:r>
          <w:rPr>
            <w:noProof/>
            <w:webHidden/>
          </w:rPr>
          <w:fldChar w:fldCharType="begin"/>
        </w:r>
        <w:r>
          <w:rPr>
            <w:noProof/>
            <w:webHidden/>
          </w:rPr>
          <w:instrText xml:space="preserve"> PAGEREF _Toc208242369 \h </w:instrText>
        </w:r>
        <w:r>
          <w:rPr>
            <w:noProof/>
            <w:webHidden/>
          </w:rPr>
        </w:r>
        <w:r>
          <w:rPr>
            <w:noProof/>
            <w:webHidden/>
          </w:rPr>
          <w:fldChar w:fldCharType="separate"/>
        </w:r>
        <w:r>
          <w:rPr>
            <w:noProof/>
            <w:webHidden/>
          </w:rPr>
          <w:t>40</w:t>
        </w:r>
        <w:r>
          <w:rPr>
            <w:noProof/>
            <w:webHidden/>
          </w:rPr>
          <w:fldChar w:fldCharType="end"/>
        </w:r>
      </w:hyperlink>
    </w:p>
    <w:p w14:paraId="0D201F8D" w14:textId="788E48A6"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0" w:history="1">
        <w:r w:rsidRPr="009F0F36">
          <w:rPr>
            <w:rStyle w:val="Hyperlink"/>
            <w:noProof/>
          </w:rPr>
          <w:t>Figure 13</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student overall living experience by course level, 2020-2023 (% positive rating)</w:t>
        </w:r>
        <w:r>
          <w:rPr>
            <w:noProof/>
            <w:webHidden/>
          </w:rPr>
          <w:tab/>
        </w:r>
        <w:r>
          <w:rPr>
            <w:noProof/>
            <w:webHidden/>
          </w:rPr>
          <w:fldChar w:fldCharType="begin"/>
        </w:r>
        <w:r>
          <w:rPr>
            <w:noProof/>
            <w:webHidden/>
          </w:rPr>
          <w:instrText xml:space="preserve"> PAGEREF _Toc208242370 \h </w:instrText>
        </w:r>
        <w:r>
          <w:rPr>
            <w:noProof/>
            <w:webHidden/>
          </w:rPr>
        </w:r>
        <w:r>
          <w:rPr>
            <w:noProof/>
            <w:webHidden/>
          </w:rPr>
          <w:fldChar w:fldCharType="separate"/>
        </w:r>
        <w:r>
          <w:rPr>
            <w:noProof/>
            <w:webHidden/>
          </w:rPr>
          <w:t>42</w:t>
        </w:r>
        <w:r>
          <w:rPr>
            <w:noProof/>
            <w:webHidden/>
          </w:rPr>
          <w:fldChar w:fldCharType="end"/>
        </w:r>
      </w:hyperlink>
    </w:p>
    <w:p w14:paraId="2467256A" w14:textId="7FA2B02F"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1" w:history="1">
        <w:r w:rsidRPr="009F0F36">
          <w:rPr>
            <w:rStyle w:val="Hyperlink"/>
            <w:noProof/>
          </w:rPr>
          <w:t>Figure 14</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student living experience by course level, 2023 (% positive rating)</w:t>
        </w:r>
        <w:r>
          <w:rPr>
            <w:noProof/>
            <w:webHidden/>
          </w:rPr>
          <w:tab/>
        </w:r>
        <w:r>
          <w:rPr>
            <w:noProof/>
            <w:webHidden/>
          </w:rPr>
          <w:fldChar w:fldCharType="begin"/>
        </w:r>
        <w:r>
          <w:rPr>
            <w:noProof/>
            <w:webHidden/>
          </w:rPr>
          <w:instrText xml:space="preserve"> PAGEREF _Toc208242371 \h </w:instrText>
        </w:r>
        <w:r>
          <w:rPr>
            <w:noProof/>
            <w:webHidden/>
          </w:rPr>
        </w:r>
        <w:r>
          <w:rPr>
            <w:noProof/>
            <w:webHidden/>
          </w:rPr>
          <w:fldChar w:fldCharType="separate"/>
        </w:r>
        <w:r>
          <w:rPr>
            <w:noProof/>
            <w:webHidden/>
          </w:rPr>
          <w:t>43</w:t>
        </w:r>
        <w:r>
          <w:rPr>
            <w:noProof/>
            <w:webHidden/>
          </w:rPr>
          <w:fldChar w:fldCharType="end"/>
        </w:r>
      </w:hyperlink>
    </w:p>
    <w:p w14:paraId="24130809" w14:textId="0BB0DB82"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2" w:history="1">
        <w:r w:rsidRPr="009F0F36">
          <w:rPr>
            <w:rStyle w:val="Hyperlink"/>
            <w:noProof/>
          </w:rPr>
          <w:t>Figure 15</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student accommodation experience, 2020-2023 (% positive rating)</w:t>
        </w:r>
        <w:r>
          <w:rPr>
            <w:noProof/>
            <w:webHidden/>
          </w:rPr>
          <w:tab/>
        </w:r>
        <w:r>
          <w:rPr>
            <w:noProof/>
            <w:webHidden/>
          </w:rPr>
          <w:fldChar w:fldCharType="begin"/>
        </w:r>
        <w:r>
          <w:rPr>
            <w:noProof/>
            <w:webHidden/>
          </w:rPr>
          <w:instrText xml:space="preserve"> PAGEREF _Toc208242372 \h </w:instrText>
        </w:r>
        <w:r>
          <w:rPr>
            <w:noProof/>
            <w:webHidden/>
          </w:rPr>
        </w:r>
        <w:r>
          <w:rPr>
            <w:noProof/>
            <w:webHidden/>
          </w:rPr>
          <w:fldChar w:fldCharType="separate"/>
        </w:r>
        <w:r>
          <w:rPr>
            <w:noProof/>
            <w:webHidden/>
          </w:rPr>
          <w:t>44</w:t>
        </w:r>
        <w:r>
          <w:rPr>
            <w:noProof/>
            <w:webHidden/>
          </w:rPr>
          <w:fldChar w:fldCharType="end"/>
        </w:r>
      </w:hyperlink>
    </w:p>
    <w:p w14:paraId="09280169" w14:textId="6350FBE0"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3" w:history="1">
        <w:r w:rsidRPr="009F0F36">
          <w:rPr>
            <w:rStyle w:val="Hyperlink"/>
            <w:noProof/>
          </w:rPr>
          <w:t>Figure 16</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 accommodation arrangements by source country, 2023, %</w:t>
        </w:r>
        <w:r>
          <w:rPr>
            <w:noProof/>
            <w:webHidden/>
          </w:rPr>
          <w:tab/>
        </w:r>
        <w:r>
          <w:rPr>
            <w:noProof/>
            <w:webHidden/>
          </w:rPr>
          <w:fldChar w:fldCharType="begin"/>
        </w:r>
        <w:r>
          <w:rPr>
            <w:noProof/>
            <w:webHidden/>
          </w:rPr>
          <w:instrText xml:space="preserve"> PAGEREF _Toc208242373 \h </w:instrText>
        </w:r>
        <w:r>
          <w:rPr>
            <w:noProof/>
            <w:webHidden/>
          </w:rPr>
        </w:r>
        <w:r>
          <w:rPr>
            <w:noProof/>
            <w:webHidden/>
          </w:rPr>
          <w:fldChar w:fldCharType="separate"/>
        </w:r>
        <w:r>
          <w:rPr>
            <w:noProof/>
            <w:webHidden/>
          </w:rPr>
          <w:t>46</w:t>
        </w:r>
        <w:r>
          <w:rPr>
            <w:noProof/>
            <w:webHidden/>
          </w:rPr>
          <w:fldChar w:fldCharType="end"/>
        </w:r>
      </w:hyperlink>
    </w:p>
    <w:p w14:paraId="5ECADF33" w14:textId="6CE52608"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4" w:history="1">
        <w:r w:rsidRPr="009F0F36">
          <w:rPr>
            <w:rStyle w:val="Hyperlink"/>
            <w:noProof/>
          </w:rPr>
          <w:t>Figure 17</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students who used an agent to help with visa application or enrolment (%)</w:t>
        </w:r>
        <w:r>
          <w:rPr>
            <w:noProof/>
            <w:webHidden/>
          </w:rPr>
          <w:tab/>
        </w:r>
        <w:r>
          <w:rPr>
            <w:noProof/>
            <w:webHidden/>
          </w:rPr>
          <w:fldChar w:fldCharType="begin"/>
        </w:r>
        <w:r>
          <w:rPr>
            <w:noProof/>
            <w:webHidden/>
          </w:rPr>
          <w:instrText xml:space="preserve"> PAGEREF _Toc208242374 \h </w:instrText>
        </w:r>
        <w:r>
          <w:rPr>
            <w:noProof/>
            <w:webHidden/>
          </w:rPr>
        </w:r>
        <w:r>
          <w:rPr>
            <w:noProof/>
            <w:webHidden/>
          </w:rPr>
          <w:fldChar w:fldCharType="separate"/>
        </w:r>
        <w:r>
          <w:rPr>
            <w:noProof/>
            <w:webHidden/>
          </w:rPr>
          <w:t>47</w:t>
        </w:r>
        <w:r>
          <w:rPr>
            <w:noProof/>
            <w:webHidden/>
          </w:rPr>
          <w:fldChar w:fldCharType="end"/>
        </w:r>
      </w:hyperlink>
    </w:p>
    <w:p w14:paraId="27E1A15D" w14:textId="0EB3A44E"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5" w:history="1">
        <w:r w:rsidRPr="009F0F36">
          <w:rPr>
            <w:rStyle w:val="Hyperlink"/>
            <w:noProof/>
          </w:rPr>
          <w:t>Figure 18</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 rating with service provided by agent* (% positive rating of students who used an agent*)</w:t>
        </w:r>
        <w:r>
          <w:rPr>
            <w:noProof/>
            <w:webHidden/>
          </w:rPr>
          <w:tab/>
        </w:r>
        <w:r>
          <w:rPr>
            <w:noProof/>
            <w:webHidden/>
          </w:rPr>
          <w:fldChar w:fldCharType="begin"/>
        </w:r>
        <w:r>
          <w:rPr>
            <w:noProof/>
            <w:webHidden/>
          </w:rPr>
          <w:instrText xml:space="preserve"> PAGEREF _Toc208242375 \h </w:instrText>
        </w:r>
        <w:r>
          <w:rPr>
            <w:noProof/>
            <w:webHidden/>
          </w:rPr>
        </w:r>
        <w:r>
          <w:rPr>
            <w:noProof/>
            <w:webHidden/>
          </w:rPr>
          <w:fldChar w:fldCharType="separate"/>
        </w:r>
        <w:r>
          <w:rPr>
            <w:noProof/>
            <w:webHidden/>
          </w:rPr>
          <w:t>47</w:t>
        </w:r>
        <w:r>
          <w:rPr>
            <w:noProof/>
            <w:webHidden/>
          </w:rPr>
          <w:fldChar w:fldCharType="end"/>
        </w:r>
      </w:hyperlink>
    </w:p>
    <w:p w14:paraId="15F82D9A" w14:textId="16FF6D93"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6" w:history="1">
        <w:r w:rsidRPr="009F0F36">
          <w:rPr>
            <w:rStyle w:val="Hyperlink"/>
            <w:noProof/>
          </w:rPr>
          <w:t>Figure 19</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student reasons for choosing to study in Australia by course level, 2023 (% importance rating)</w:t>
        </w:r>
        <w:r>
          <w:rPr>
            <w:noProof/>
            <w:webHidden/>
          </w:rPr>
          <w:tab/>
        </w:r>
        <w:r>
          <w:rPr>
            <w:noProof/>
            <w:webHidden/>
          </w:rPr>
          <w:fldChar w:fldCharType="begin"/>
        </w:r>
        <w:r>
          <w:rPr>
            <w:noProof/>
            <w:webHidden/>
          </w:rPr>
          <w:instrText xml:space="preserve"> PAGEREF _Toc208242376 \h </w:instrText>
        </w:r>
        <w:r>
          <w:rPr>
            <w:noProof/>
            <w:webHidden/>
          </w:rPr>
        </w:r>
        <w:r>
          <w:rPr>
            <w:noProof/>
            <w:webHidden/>
          </w:rPr>
          <w:fldChar w:fldCharType="separate"/>
        </w:r>
        <w:r>
          <w:rPr>
            <w:noProof/>
            <w:webHidden/>
          </w:rPr>
          <w:t>48</w:t>
        </w:r>
        <w:r>
          <w:rPr>
            <w:noProof/>
            <w:webHidden/>
          </w:rPr>
          <w:fldChar w:fldCharType="end"/>
        </w:r>
      </w:hyperlink>
    </w:p>
    <w:p w14:paraId="6CFA24FD" w14:textId="1786E135"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7" w:history="1">
        <w:r w:rsidRPr="009F0F36">
          <w:rPr>
            <w:rStyle w:val="Hyperlink"/>
            <w:noProof/>
          </w:rPr>
          <w:t>Figure 20</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 reasons for choosing to study in Australia by source country, 2023 (% importance rating)</w:t>
        </w:r>
        <w:r>
          <w:rPr>
            <w:noProof/>
            <w:webHidden/>
          </w:rPr>
          <w:tab/>
        </w:r>
        <w:r>
          <w:rPr>
            <w:noProof/>
            <w:webHidden/>
          </w:rPr>
          <w:fldChar w:fldCharType="begin"/>
        </w:r>
        <w:r>
          <w:rPr>
            <w:noProof/>
            <w:webHidden/>
          </w:rPr>
          <w:instrText xml:space="preserve"> PAGEREF _Toc208242377 \h </w:instrText>
        </w:r>
        <w:r>
          <w:rPr>
            <w:noProof/>
            <w:webHidden/>
          </w:rPr>
        </w:r>
        <w:r>
          <w:rPr>
            <w:noProof/>
            <w:webHidden/>
          </w:rPr>
          <w:fldChar w:fldCharType="separate"/>
        </w:r>
        <w:r>
          <w:rPr>
            <w:noProof/>
            <w:webHidden/>
          </w:rPr>
          <w:t>49</w:t>
        </w:r>
        <w:r>
          <w:rPr>
            <w:noProof/>
            <w:webHidden/>
          </w:rPr>
          <w:fldChar w:fldCharType="end"/>
        </w:r>
      </w:hyperlink>
    </w:p>
    <w:p w14:paraId="5369F904" w14:textId="727F0100"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8" w:history="1">
        <w:r w:rsidRPr="009F0F36">
          <w:rPr>
            <w:rStyle w:val="Hyperlink"/>
            <w:noProof/>
          </w:rPr>
          <w:t>Figure 21</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student reasons for choosing current institution by course level, 2023 (% importance rating)</w:t>
        </w:r>
        <w:r>
          <w:rPr>
            <w:noProof/>
            <w:webHidden/>
          </w:rPr>
          <w:tab/>
        </w:r>
        <w:r>
          <w:rPr>
            <w:noProof/>
            <w:webHidden/>
          </w:rPr>
          <w:fldChar w:fldCharType="begin"/>
        </w:r>
        <w:r>
          <w:rPr>
            <w:noProof/>
            <w:webHidden/>
          </w:rPr>
          <w:instrText xml:space="preserve"> PAGEREF _Toc208242378 \h </w:instrText>
        </w:r>
        <w:r>
          <w:rPr>
            <w:noProof/>
            <w:webHidden/>
          </w:rPr>
        </w:r>
        <w:r>
          <w:rPr>
            <w:noProof/>
            <w:webHidden/>
          </w:rPr>
          <w:fldChar w:fldCharType="separate"/>
        </w:r>
        <w:r>
          <w:rPr>
            <w:noProof/>
            <w:webHidden/>
          </w:rPr>
          <w:t>50</w:t>
        </w:r>
        <w:r>
          <w:rPr>
            <w:noProof/>
            <w:webHidden/>
          </w:rPr>
          <w:fldChar w:fldCharType="end"/>
        </w:r>
      </w:hyperlink>
    </w:p>
    <w:p w14:paraId="2382F914" w14:textId="45FD3D28"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79" w:history="1">
        <w:r w:rsidRPr="009F0F36">
          <w:rPr>
            <w:rStyle w:val="Hyperlink"/>
            <w:noProof/>
          </w:rPr>
          <w:t>Figure 22</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 reasons for choosing to study at current institution by source country, 2023 (% importance rating)</w:t>
        </w:r>
        <w:r>
          <w:rPr>
            <w:noProof/>
            <w:webHidden/>
          </w:rPr>
          <w:tab/>
        </w:r>
        <w:r>
          <w:rPr>
            <w:noProof/>
            <w:webHidden/>
          </w:rPr>
          <w:fldChar w:fldCharType="begin"/>
        </w:r>
        <w:r>
          <w:rPr>
            <w:noProof/>
            <w:webHidden/>
          </w:rPr>
          <w:instrText xml:space="preserve"> PAGEREF _Toc208242379 \h </w:instrText>
        </w:r>
        <w:r>
          <w:rPr>
            <w:noProof/>
            <w:webHidden/>
          </w:rPr>
        </w:r>
        <w:r>
          <w:rPr>
            <w:noProof/>
            <w:webHidden/>
          </w:rPr>
          <w:fldChar w:fldCharType="separate"/>
        </w:r>
        <w:r>
          <w:rPr>
            <w:noProof/>
            <w:webHidden/>
          </w:rPr>
          <w:t>51</w:t>
        </w:r>
        <w:r>
          <w:rPr>
            <w:noProof/>
            <w:webHidden/>
          </w:rPr>
          <w:fldChar w:fldCharType="end"/>
        </w:r>
      </w:hyperlink>
    </w:p>
    <w:p w14:paraId="729A39F2" w14:textId="29EA0ACC"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0" w:history="1">
        <w:r w:rsidRPr="009F0F36">
          <w:rPr>
            <w:rStyle w:val="Hyperlink"/>
            <w:noProof/>
          </w:rPr>
          <w:t>Figure 23</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International undergraduate student ratings of overall educational experience, Australia, USA, and United Kingdom, 2019-2023 (% positive rating)</w:t>
        </w:r>
        <w:r>
          <w:rPr>
            <w:noProof/>
            <w:webHidden/>
          </w:rPr>
          <w:tab/>
        </w:r>
        <w:r>
          <w:rPr>
            <w:noProof/>
            <w:webHidden/>
          </w:rPr>
          <w:fldChar w:fldCharType="begin"/>
        </w:r>
        <w:r>
          <w:rPr>
            <w:noProof/>
            <w:webHidden/>
          </w:rPr>
          <w:instrText xml:space="preserve"> PAGEREF _Toc208242380 \h </w:instrText>
        </w:r>
        <w:r>
          <w:rPr>
            <w:noProof/>
            <w:webHidden/>
          </w:rPr>
        </w:r>
        <w:r>
          <w:rPr>
            <w:noProof/>
            <w:webHidden/>
          </w:rPr>
          <w:fldChar w:fldCharType="separate"/>
        </w:r>
        <w:r>
          <w:rPr>
            <w:noProof/>
            <w:webHidden/>
          </w:rPr>
          <w:t>53</w:t>
        </w:r>
        <w:r>
          <w:rPr>
            <w:noProof/>
            <w:webHidden/>
          </w:rPr>
          <w:fldChar w:fldCharType="end"/>
        </w:r>
      </w:hyperlink>
    </w:p>
    <w:p w14:paraId="21ADF645" w14:textId="12116B11"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1" w:history="1">
        <w:r w:rsidRPr="009F0F36">
          <w:rPr>
            <w:rStyle w:val="Hyperlink"/>
            <w:noProof/>
          </w:rPr>
          <w:t>Figure 24</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rescale SEQ items</w:t>
        </w:r>
        <w:r>
          <w:rPr>
            <w:noProof/>
            <w:webHidden/>
          </w:rPr>
          <w:tab/>
        </w:r>
        <w:r>
          <w:rPr>
            <w:noProof/>
            <w:webHidden/>
          </w:rPr>
          <w:fldChar w:fldCharType="begin"/>
        </w:r>
        <w:r>
          <w:rPr>
            <w:noProof/>
            <w:webHidden/>
          </w:rPr>
          <w:instrText xml:space="preserve"> PAGEREF _Toc208242381 \h </w:instrText>
        </w:r>
        <w:r>
          <w:rPr>
            <w:noProof/>
            <w:webHidden/>
          </w:rPr>
        </w:r>
        <w:r>
          <w:rPr>
            <w:noProof/>
            <w:webHidden/>
          </w:rPr>
          <w:fldChar w:fldCharType="separate"/>
        </w:r>
        <w:r>
          <w:rPr>
            <w:noProof/>
            <w:webHidden/>
          </w:rPr>
          <w:t>88</w:t>
        </w:r>
        <w:r>
          <w:rPr>
            <w:noProof/>
            <w:webHidden/>
          </w:rPr>
          <w:fldChar w:fldCharType="end"/>
        </w:r>
      </w:hyperlink>
    </w:p>
    <w:p w14:paraId="29CD8A90" w14:textId="15C3C6AD"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2" w:history="1">
        <w:r w:rsidRPr="009F0F36">
          <w:rPr>
            <w:rStyle w:val="Hyperlink"/>
            <w:noProof/>
          </w:rPr>
          <w:t>Figure 25</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compute SES focus area scores</w:t>
        </w:r>
        <w:r>
          <w:rPr>
            <w:noProof/>
            <w:webHidden/>
          </w:rPr>
          <w:tab/>
        </w:r>
        <w:r>
          <w:rPr>
            <w:noProof/>
            <w:webHidden/>
          </w:rPr>
          <w:fldChar w:fldCharType="begin"/>
        </w:r>
        <w:r>
          <w:rPr>
            <w:noProof/>
            <w:webHidden/>
          </w:rPr>
          <w:instrText xml:space="preserve"> PAGEREF _Toc208242382 \h </w:instrText>
        </w:r>
        <w:r>
          <w:rPr>
            <w:noProof/>
            <w:webHidden/>
          </w:rPr>
        </w:r>
        <w:r>
          <w:rPr>
            <w:noProof/>
            <w:webHidden/>
          </w:rPr>
          <w:fldChar w:fldCharType="separate"/>
        </w:r>
        <w:r>
          <w:rPr>
            <w:noProof/>
            <w:webHidden/>
          </w:rPr>
          <w:t>88</w:t>
        </w:r>
        <w:r>
          <w:rPr>
            <w:noProof/>
            <w:webHidden/>
          </w:rPr>
          <w:fldChar w:fldCharType="end"/>
        </w:r>
      </w:hyperlink>
    </w:p>
    <w:p w14:paraId="4D497374" w14:textId="0FABA1F9"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3" w:history="1">
        <w:r w:rsidRPr="009F0F36">
          <w:rPr>
            <w:rStyle w:val="Hyperlink"/>
            <w:noProof/>
          </w:rPr>
          <w:t>Figure 26</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compute SES binary focus area scores</w:t>
        </w:r>
        <w:r>
          <w:rPr>
            <w:noProof/>
            <w:webHidden/>
          </w:rPr>
          <w:tab/>
        </w:r>
        <w:r>
          <w:rPr>
            <w:noProof/>
            <w:webHidden/>
          </w:rPr>
          <w:fldChar w:fldCharType="begin"/>
        </w:r>
        <w:r>
          <w:rPr>
            <w:noProof/>
            <w:webHidden/>
          </w:rPr>
          <w:instrText xml:space="preserve"> PAGEREF _Toc208242383 \h </w:instrText>
        </w:r>
        <w:r>
          <w:rPr>
            <w:noProof/>
            <w:webHidden/>
          </w:rPr>
        </w:r>
        <w:r>
          <w:rPr>
            <w:noProof/>
            <w:webHidden/>
          </w:rPr>
          <w:fldChar w:fldCharType="separate"/>
        </w:r>
        <w:r>
          <w:rPr>
            <w:noProof/>
            <w:webHidden/>
          </w:rPr>
          <w:t>88</w:t>
        </w:r>
        <w:r>
          <w:rPr>
            <w:noProof/>
            <w:webHidden/>
          </w:rPr>
          <w:fldChar w:fldCharType="end"/>
        </w:r>
      </w:hyperlink>
    </w:p>
    <w:p w14:paraId="15DF0B60" w14:textId="0A77CD7E"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4" w:history="1">
        <w:r w:rsidRPr="009F0F36">
          <w:rPr>
            <w:rStyle w:val="Hyperlink"/>
            <w:noProof/>
          </w:rPr>
          <w:t>Figure 27</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compute item-level scores</w:t>
        </w:r>
        <w:r>
          <w:rPr>
            <w:noProof/>
            <w:webHidden/>
          </w:rPr>
          <w:tab/>
        </w:r>
        <w:r>
          <w:rPr>
            <w:noProof/>
            <w:webHidden/>
          </w:rPr>
          <w:fldChar w:fldCharType="begin"/>
        </w:r>
        <w:r>
          <w:rPr>
            <w:noProof/>
            <w:webHidden/>
          </w:rPr>
          <w:instrText xml:space="preserve"> PAGEREF _Toc208242384 \h </w:instrText>
        </w:r>
        <w:r>
          <w:rPr>
            <w:noProof/>
            <w:webHidden/>
          </w:rPr>
        </w:r>
        <w:r>
          <w:rPr>
            <w:noProof/>
            <w:webHidden/>
          </w:rPr>
          <w:fldChar w:fldCharType="separate"/>
        </w:r>
        <w:r>
          <w:rPr>
            <w:noProof/>
            <w:webHidden/>
          </w:rPr>
          <w:t>88</w:t>
        </w:r>
        <w:r>
          <w:rPr>
            <w:noProof/>
            <w:webHidden/>
          </w:rPr>
          <w:fldChar w:fldCharType="end"/>
        </w:r>
      </w:hyperlink>
    </w:p>
    <w:p w14:paraId="28C41A5F" w14:textId="43C5D708"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5" w:history="1">
        <w:r w:rsidRPr="009F0F36">
          <w:rPr>
            <w:rStyle w:val="Hyperlink"/>
            <w:noProof/>
          </w:rPr>
          <w:t>Figure 28</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compute the SES freedom of expression score</w:t>
        </w:r>
        <w:r>
          <w:rPr>
            <w:noProof/>
            <w:webHidden/>
          </w:rPr>
          <w:tab/>
        </w:r>
        <w:r>
          <w:rPr>
            <w:noProof/>
            <w:webHidden/>
          </w:rPr>
          <w:fldChar w:fldCharType="begin"/>
        </w:r>
        <w:r>
          <w:rPr>
            <w:noProof/>
            <w:webHidden/>
          </w:rPr>
          <w:instrText xml:space="preserve"> PAGEREF _Toc208242385 \h </w:instrText>
        </w:r>
        <w:r>
          <w:rPr>
            <w:noProof/>
            <w:webHidden/>
          </w:rPr>
        </w:r>
        <w:r>
          <w:rPr>
            <w:noProof/>
            <w:webHidden/>
          </w:rPr>
          <w:fldChar w:fldCharType="separate"/>
        </w:r>
        <w:r>
          <w:rPr>
            <w:noProof/>
            <w:webHidden/>
          </w:rPr>
          <w:t>89</w:t>
        </w:r>
        <w:r>
          <w:rPr>
            <w:noProof/>
            <w:webHidden/>
          </w:rPr>
          <w:fldChar w:fldCharType="end"/>
        </w:r>
      </w:hyperlink>
    </w:p>
    <w:p w14:paraId="063486B5" w14:textId="369D9F38" w:rsidR="00177584" w:rsidRDefault="00177584">
      <w:pPr>
        <w:pStyle w:val="TableofFigures"/>
        <w:tabs>
          <w:tab w:val="right" w:leader="dot" w:pos="10620"/>
        </w:tabs>
        <w:rPr>
          <w:rFonts w:asciiTheme="minorHAnsi" w:eastAsiaTheme="minorEastAsia" w:hAnsiTheme="minorHAnsi"/>
          <w:noProof/>
          <w:color w:val="auto"/>
          <w:kern w:val="2"/>
          <w:sz w:val="24"/>
          <w:szCs w:val="24"/>
          <w:lang w:eastAsia="zh-CN"/>
          <w14:ligatures w14:val="standardContextual"/>
        </w:rPr>
      </w:pPr>
      <w:hyperlink w:anchor="_Toc208242386" w:history="1">
        <w:r w:rsidRPr="009F0F36">
          <w:rPr>
            <w:rStyle w:val="Hyperlink"/>
            <w:noProof/>
          </w:rPr>
          <w:t>Figure 29</w:t>
        </w:r>
        <w:r>
          <w:rPr>
            <w:rFonts w:asciiTheme="minorHAnsi" w:eastAsiaTheme="minorEastAsia" w:hAnsiTheme="minorHAnsi"/>
            <w:noProof/>
            <w:color w:val="auto"/>
            <w:kern w:val="2"/>
            <w:sz w:val="24"/>
            <w:szCs w:val="24"/>
            <w:lang w:eastAsia="zh-CN"/>
            <w14:ligatures w14:val="standardContextual"/>
          </w:rPr>
          <w:tab/>
        </w:r>
        <w:r w:rsidRPr="009F0F36">
          <w:rPr>
            <w:rStyle w:val="Hyperlink"/>
            <w:noProof/>
          </w:rPr>
          <w:t>Example of how to use SPSS syntax to compute item-level freedom of expression scores</w:t>
        </w:r>
        <w:r>
          <w:rPr>
            <w:noProof/>
            <w:webHidden/>
          </w:rPr>
          <w:tab/>
        </w:r>
        <w:r>
          <w:rPr>
            <w:noProof/>
            <w:webHidden/>
          </w:rPr>
          <w:fldChar w:fldCharType="begin"/>
        </w:r>
        <w:r>
          <w:rPr>
            <w:noProof/>
            <w:webHidden/>
          </w:rPr>
          <w:instrText xml:space="preserve"> PAGEREF _Toc208242386 \h </w:instrText>
        </w:r>
        <w:r>
          <w:rPr>
            <w:noProof/>
            <w:webHidden/>
          </w:rPr>
        </w:r>
        <w:r>
          <w:rPr>
            <w:noProof/>
            <w:webHidden/>
          </w:rPr>
          <w:fldChar w:fldCharType="separate"/>
        </w:r>
        <w:r>
          <w:rPr>
            <w:noProof/>
            <w:webHidden/>
          </w:rPr>
          <w:t>89</w:t>
        </w:r>
        <w:r>
          <w:rPr>
            <w:noProof/>
            <w:webHidden/>
          </w:rPr>
          <w:fldChar w:fldCharType="end"/>
        </w:r>
      </w:hyperlink>
    </w:p>
    <w:p w14:paraId="31CF2CF7" w14:textId="28207937" w:rsidR="00821227" w:rsidRPr="00217865" w:rsidRDefault="00821227" w:rsidP="00821227">
      <w:pPr>
        <w:rPr>
          <w:rFonts w:eastAsiaTheme="majorEastAsia" w:cs="Arial"/>
          <w:b/>
          <w:bCs/>
          <w:color w:val="000000" w:themeColor="text1"/>
          <w:sz w:val="28"/>
          <w:szCs w:val="28"/>
          <w:highlight w:val="yellow"/>
          <w:lang w:val="en-GB"/>
        </w:rPr>
      </w:pPr>
      <w:r w:rsidRPr="00217865">
        <w:rPr>
          <w:rFonts w:eastAsiaTheme="majorEastAsia" w:cs="Arial"/>
          <w:b/>
          <w:bCs/>
          <w:color w:val="000000" w:themeColor="text1"/>
          <w:sz w:val="28"/>
          <w:szCs w:val="28"/>
          <w:highlight w:val="yellow"/>
          <w:lang w:val="en-GB"/>
        </w:rPr>
        <w:fldChar w:fldCharType="end"/>
      </w:r>
    </w:p>
    <w:p w14:paraId="19620CD6" w14:textId="77777777" w:rsidR="006215D3" w:rsidRPr="00217865" w:rsidRDefault="00821227" w:rsidP="00821227">
      <w:pPr>
        <w:rPr>
          <w:rFonts w:eastAsiaTheme="majorEastAsia" w:cs="Arial"/>
          <w:b/>
          <w:bCs/>
          <w:color w:val="000000" w:themeColor="text1"/>
          <w:sz w:val="28"/>
          <w:szCs w:val="28"/>
          <w:highlight w:val="yellow"/>
          <w:lang w:val="en-GB"/>
        </w:rPr>
        <w:sectPr w:rsidR="006215D3" w:rsidRPr="00217865" w:rsidSect="00D8385D">
          <w:headerReference w:type="default" r:id="rId17"/>
          <w:footerReference w:type="default" r:id="rId18"/>
          <w:pgSz w:w="11900" w:h="16840"/>
          <w:pgMar w:top="852" w:right="560" w:bottom="994" w:left="710" w:header="397" w:footer="340" w:gutter="0"/>
          <w:pgNumType w:fmt="lowerRoman"/>
          <w:cols w:space="708"/>
          <w:docGrid w:linePitch="360"/>
        </w:sectPr>
      </w:pPr>
      <w:r w:rsidRPr="00217865">
        <w:rPr>
          <w:rFonts w:eastAsiaTheme="majorEastAsia" w:cs="Arial"/>
          <w:b/>
          <w:bCs/>
          <w:color w:val="000000" w:themeColor="text1"/>
          <w:sz w:val="28"/>
          <w:szCs w:val="28"/>
          <w:highlight w:val="yellow"/>
          <w:lang w:val="en-GB"/>
        </w:rPr>
        <w:br w:type="page"/>
      </w:r>
    </w:p>
    <w:p w14:paraId="456A50C4" w14:textId="77777777" w:rsidR="00821227" w:rsidRPr="00217865" w:rsidRDefault="00821227" w:rsidP="00A9284B">
      <w:pPr>
        <w:pStyle w:val="Heading1"/>
        <w:rPr>
          <w:rFonts w:cs="Arial"/>
          <w:color w:val="000000" w:themeColor="text1"/>
        </w:rPr>
      </w:pPr>
      <w:bookmarkStart w:id="12" w:name="_Toc178599280"/>
      <w:bookmarkStart w:id="13" w:name="_Hlk171893552"/>
      <w:r w:rsidRPr="00217865">
        <w:rPr>
          <w:rFonts w:cs="Arial"/>
          <w:color w:val="000000" w:themeColor="text1"/>
        </w:rPr>
        <w:lastRenderedPageBreak/>
        <w:t>Introduction</w:t>
      </w:r>
      <w:bookmarkEnd w:id="12"/>
    </w:p>
    <w:p w14:paraId="4FC9EE0E" w14:textId="05BF2F6C" w:rsidR="0070014B" w:rsidRPr="00217865" w:rsidRDefault="0070014B" w:rsidP="001844F6">
      <w:pPr>
        <w:pStyle w:val="SubHeading1"/>
        <w:rPr>
          <w:rFonts w:cs="Arial"/>
          <w:color w:val="000000" w:themeColor="text1"/>
        </w:rPr>
      </w:pPr>
      <w:r w:rsidRPr="00217865">
        <w:rPr>
          <w:rFonts w:cs="Arial"/>
          <w:color w:val="000000" w:themeColor="text1"/>
        </w:rPr>
        <w:t>Background</w:t>
      </w:r>
    </w:p>
    <w:p w14:paraId="466762B9" w14:textId="77777777" w:rsidR="0070014B" w:rsidRPr="00217865" w:rsidRDefault="00821227" w:rsidP="0070014B">
      <w:pPr>
        <w:pStyle w:val="Body"/>
        <w:rPr>
          <w:rFonts w:cs="Arial"/>
          <w:color w:val="000000" w:themeColor="text1"/>
        </w:rPr>
      </w:pPr>
      <w:r w:rsidRPr="00217865">
        <w:rPr>
          <w:rFonts w:cs="Arial"/>
          <w:color w:val="000000" w:themeColor="text1"/>
        </w:rPr>
        <w:t xml:space="preserve">The SES provides a national architecture for collecting data on key aspects of the higher education student experience, both for domestic and international students. The SES focuses on aspects of the student experience that are measurable and linked with learning and development outcomes, and which are potentially able to be influenced by institutions. The SES measures five aspects of the student educational experience: </w:t>
      </w:r>
      <w:r w:rsidR="0070014B" w:rsidRPr="00217865">
        <w:rPr>
          <w:rFonts w:cs="Arial"/>
          <w:color w:val="000000" w:themeColor="text1"/>
        </w:rPr>
        <w:t xml:space="preserve">Skills Development, Peer Engagement (formerly Learner Engagement), Teaching Quality and Engagement (formerly Teaching Quality), Student Support and Services (formerly Student Support), and Learning Resources. </w:t>
      </w:r>
    </w:p>
    <w:p w14:paraId="6890C910" w14:textId="0743228F" w:rsidR="00821227" w:rsidRPr="00217865" w:rsidRDefault="00821227" w:rsidP="00821227">
      <w:pPr>
        <w:pStyle w:val="Body"/>
        <w:rPr>
          <w:rFonts w:cs="Arial"/>
          <w:color w:val="000000" w:themeColor="text1"/>
        </w:rPr>
      </w:pPr>
      <w:r w:rsidRPr="00217865">
        <w:rPr>
          <w:rFonts w:cs="Arial"/>
          <w:color w:val="000000" w:themeColor="text1"/>
        </w:rPr>
        <w:t xml:space="preserve">Given the importance of international education in Australia, an additional module specifically directed towards measuring the international student living experience was added to the SES in 2020. Additional items focused on international students’ decision to study in Australia and with Australian higher education institutions, as well as their living arrangements, such as their experience with accommodation, transport, safety, relationships and employment opportunities while studying. The additional module measuring the international student living experience was developed following consultation with the higher education sector. </w:t>
      </w:r>
    </w:p>
    <w:p w14:paraId="0F3DD5B3" w14:textId="27E9EE80" w:rsidR="00C50513" w:rsidRPr="00217865" w:rsidRDefault="00C50513" w:rsidP="00E2500F">
      <w:pPr>
        <w:pStyle w:val="Body"/>
        <w:rPr>
          <w:rFonts w:cs="Arial"/>
          <w:color w:val="000000" w:themeColor="text1"/>
        </w:rPr>
      </w:pPr>
      <w:proofErr w:type="gramStart"/>
      <w:r w:rsidRPr="00217865">
        <w:rPr>
          <w:rFonts w:cs="Arial"/>
          <w:color w:val="000000" w:themeColor="text1"/>
        </w:rPr>
        <w:t>In order to</w:t>
      </w:r>
      <w:proofErr w:type="gramEnd"/>
      <w:r w:rsidRPr="00217865">
        <w:rPr>
          <w:rFonts w:cs="Arial"/>
          <w:color w:val="000000" w:themeColor="text1"/>
        </w:rPr>
        <w:t xml:space="preserve"> report meaningfully on these varied aspects of the international student experience, each student is adjudged to have rated their experience either positively or negatively for each item and sometimes, based on responses to a group of items or focus area. Scores presented in this report for both items and focus areas represent the proportion of students responding positively. The survey items and response frames are reproduced in </w:t>
      </w:r>
      <w:r w:rsidRPr="00217865">
        <w:rPr>
          <w:rFonts w:cs="Arial"/>
          <w:color w:val="000000" w:themeColor="text1"/>
        </w:rPr>
        <w:fldChar w:fldCharType="begin"/>
      </w:r>
      <w:r w:rsidRPr="00217865">
        <w:rPr>
          <w:rFonts w:cs="Arial"/>
          <w:color w:val="000000" w:themeColor="text1"/>
        </w:rPr>
        <w:instrText xml:space="preserve"> REF _Ref171899969 \r \h </w:instrText>
      </w:r>
      <w:r w:rsidR="00E2500F" w:rsidRPr="00217865">
        <w:rPr>
          <w:rFonts w:cs="Arial"/>
          <w:color w:val="000000" w:themeColor="text1"/>
        </w:rPr>
        <w:instrText xml:space="preserve"> \* MERGEFORMAT </w:instrText>
      </w:r>
      <w:r w:rsidRPr="00217865">
        <w:rPr>
          <w:rFonts w:cs="Arial"/>
          <w:color w:val="000000" w:themeColor="text1"/>
        </w:rPr>
      </w:r>
      <w:r w:rsidRPr="00217865">
        <w:rPr>
          <w:rFonts w:cs="Arial"/>
          <w:color w:val="000000" w:themeColor="text1"/>
        </w:rPr>
        <w:fldChar w:fldCharType="separate"/>
      </w:r>
      <w:r w:rsidR="005D5678">
        <w:rPr>
          <w:rFonts w:cs="Arial"/>
          <w:color w:val="000000" w:themeColor="text1"/>
        </w:rPr>
        <w:t>Appendix 3</w:t>
      </w:r>
      <w:r w:rsidRPr="00217865">
        <w:rPr>
          <w:rFonts w:cs="Arial"/>
          <w:color w:val="000000" w:themeColor="text1"/>
        </w:rPr>
        <w:fldChar w:fldCharType="end"/>
      </w:r>
      <w:r w:rsidR="0088791E" w:rsidRPr="00217865">
        <w:rPr>
          <w:rFonts w:cs="Arial"/>
          <w:color w:val="000000" w:themeColor="text1"/>
        </w:rPr>
        <w:t xml:space="preserve"> </w:t>
      </w:r>
      <w:r w:rsidRPr="00217865">
        <w:rPr>
          <w:rFonts w:cs="Arial"/>
          <w:color w:val="000000" w:themeColor="text1"/>
        </w:rPr>
        <w:t>’</w:t>
      </w:r>
      <w:r w:rsidR="0088791E" w:rsidRPr="00217865">
        <w:rPr>
          <w:rFonts w:cs="Arial"/>
          <w:color w:val="000000" w:themeColor="text1"/>
        </w:rPr>
        <w:t>Student Experience Questionnaire (SEQ)’</w:t>
      </w:r>
      <w:r w:rsidRPr="00217865">
        <w:rPr>
          <w:rFonts w:cs="Arial"/>
          <w:color w:val="000000" w:themeColor="text1"/>
        </w:rPr>
        <w:t>. Detailed information on how the scores are calculated is</w:t>
      </w:r>
      <w:r w:rsidR="0088791E" w:rsidRPr="00217865">
        <w:rPr>
          <w:rFonts w:cs="Arial"/>
          <w:color w:val="000000" w:themeColor="text1"/>
        </w:rPr>
        <w:t xml:space="preserve"> provided</w:t>
      </w:r>
      <w:r w:rsidRPr="00217865">
        <w:rPr>
          <w:rFonts w:cs="Arial"/>
          <w:color w:val="000000" w:themeColor="text1"/>
        </w:rPr>
        <w:t xml:space="preserve"> in </w:t>
      </w:r>
      <w:r w:rsidRPr="00217865">
        <w:rPr>
          <w:rFonts w:cs="Arial"/>
          <w:color w:val="000000" w:themeColor="text1"/>
        </w:rPr>
        <w:fldChar w:fldCharType="begin"/>
      </w:r>
      <w:r w:rsidRPr="00217865">
        <w:rPr>
          <w:rFonts w:cs="Arial"/>
          <w:color w:val="000000" w:themeColor="text1"/>
        </w:rPr>
        <w:instrText xml:space="preserve"> REF _Ref167703459 \w \h </w:instrText>
      </w:r>
      <w:r w:rsidR="00E2500F" w:rsidRPr="00217865">
        <w:rPr>
          <w:rFonts w:cs="Arial"/>
          <w:color w:val="000000" w:themeColor="text1"/>
        </w:rPr>
        <w:instrText xml:space="preserve"> \* MERGEFORMAT </w:instrText>
      </w:r>
      <w:r w:rsidRPr="00217865">
        <w:rPr>
          <w:rFonts w:cs="Arial"/>
          <w:color w:val="000000" w:themeColor="text1"/>
        </w:rPr>
      </w:r>
      <w:r w:rsidRPr="00217865">
        <w:rPr>
          <w:rFonts w:cs="Arial"/>
          <w:color w:val="000000" w:themeColor="text1"/>
        </w:rPr>
        <w:fldChar w:fldCharType="separate"/>
      </w:r>
      <w:r w:rsidR="005D5678">
        <w:rPr>
          <w:rFonts w:cs="Arial"/>
          <w:color w:val="000000" w:themeColor="text1"/>
        </w:rPr>
        <w:t>Appendix 4</w:t>
      </w:r>
      <w:r w:rsidRPr="00217865">
        <w:rPr>
          <w:rFonts w:cs="Arial"/>
          <w:color w:val="000000" w:themeColor="text1"/>
        </w:rPr>
        <w:fldChar w:fldCharType="end"/>
      </w:r>
      <w:r w:rsidRPr="00217865">
        <w:rPr>
          <w:rFonts w:cs="Arial"/>
          <w:color w:val="000000" w:themeColor="text1"/>
        </w:rPr>
        <w:t xml:space="preserve"> ‘</w:t>
      </w:r>
      <w:r w:rsidRPr="00217865">
        <w:rPr>
          <w:rFonts w:cs="Arial"/>
          <w:color w:val="000000" w:themeColor="text1"/>
        </w:rPr>
        <w:fldChar w:fldCharType="begin"/>
      </w:r>
      <w:r w:rsidRPr="00217865">
        <w:rPr>
          <w:rFonts w:cs="Arial"/>
          <w:color w:val="000000" w:themeColor="text1"/>
        </w:rPr>
        <w:instrText xml:space="preserve"> REF _Ref167703459 \h </w:instrText>
      </w:r>
      <w:r w:rsidR="00E2500F" w:rsidRPr="00217865">
        <w:rPr>
          <w:rFonts w:cs="Arial"/>
          <w:color w:val="000000" w:themeColor="text1"/>
        </w:rPr>
        <w:instrText xml:space="preserve"> \* MERGEFORMAT </w:instrText>
      </w:r>
      <w:r w:rsidRPr="00217865">
        <w:rPr>
          <w:rFonts w:cs="Arial"/>
          <w:color w:val="000000" w:themeColor="text1"/>
        </w:rPr>
      </w:r>
      <w:r w:rsidRPr="00217865">
        <w:rPr>
          <w:rFonts w:cs="Arial"/>
          <w:color w:val="000000" w:themeColor="text1"/>
        </w:rPr>
        <w:fldChar w:fldCharType="separate"/>
      </w:r>
      <w:r w:rsidR="005D5678" w:rsidRPr="00217865">
        <w:rPr>
          <w:rFonts w:cs="Arial"/>
          <w:color w:val="000000" w:themeColor="text1"/>
        </w:rPr>
        <w:t>Production of scores</w:t>
      </w:r>
      <w:r w:rsidRPr="00217865">
        <w:rPr>
          <w:rFonts w:cs="Arial"/>
          <w:color w:val="000000" w:themeColor="text1"/>
        </w:rPr>
        <w:fldChar w:fldCharType="end"/>
      </w:r>
      <w:r w:rsidRPr="00217865">
        <w:rPr>
          <w:rFonts w:cs="Arial"/>
          <w:color w:val="000000" w:themeColor="text1"/>
        </w:rPr>
        <w:t xml:space="preserve">’. </w:t>
      </w:r>
    </w:p>
    <w:p w14:paraId="5D3BA144" w14:textId="523BE2DB" w:rsidR="00C50513" w:rsidRPr="00217865" w:rsidRDefault="00C50513" w:rsidP="00C50513">
      <w:pPr>
        <w:pStyle w:val="SubHeading1"/>
        <w:rPr>
          <w:rFonts w:cs="Arial"/>
          <w:color w:val="000000" w:themeColor="text1"/>
        </w:rPr>
      </w:pPr>
      <w:r w:rsidRPr="00217865">
        <w:rPr>
          <w:rFonts w:cs="Arial"/>
          <w:color w:val="000000" w:themeColor="text1"/>
        </w:rPr>
        <w:t>Review of the SES</w:t>
      </w:r>
    </w:p>
    <w:p w14:paraId="53A69DF2" w14:textId="675A6E63" w:rsidR="00C50513" w:rsidRPr="00217865" w:rsidRDefault="00C50513" w:rsidP="00C50513">
      <w:pPr>
        <w:pStyle w:val="Body"/>
        <w:rPr>
          <w:rFonts w:cs="Arial"/>
          <w:color w:val="000000" w:themeColor="text1"/>
        </w:rPr>
      </w:pPr>
      <w:r w:rsidRPr="00217865">
        <w:rPr>
          <w:rFonts w:cs="Arial"/>
          <w:color w:val="000000" w:themeColor="text1"/>
        </w:rPr>
        <w:t xml:space="preserve">A review of the SES instrument commenced in 2022, which included widespread sector consultation and a statistical analysis to test the performance of the measures. Following this review, </w:t>
      </w:r>
      <w:proofErr w:type="gramStart"/>
      <w:r w:rsidRPr="00217865">
        <w:rPr>
          <w:rFonts w:cs="Arial"/>
          <w:color w:val="000000" w:themeColor="text1"/>
        </w:rPr>
        <w:t>a number of</w:t>
      </w:r>
      <w:proofErr w:type="gramEnd"/>
      <w:r w:rsidRPr="00217865">
        <w:rPr>
          <w:rFonts w:cs="Arial"/>
          <w:color w:val="000000" w:themeColor="text1"/>
        </w:rPr>
        <w:t xml:space="preserve"> changes were made to the instrument which have been applied </w:t>
      </w:r>
      <w:r w:rsidR="00400302" w:rsidRPr="00217865">
        <w:rPr>
          <w:rFonts w:cs="Arial"/>
          <w:color w:val="000000" w:themeColor="text1"/>
        </w:rPr>
        <w:t>to</w:t>
      </w:r>
      <w:r w:rsidRPr="00217865">
        <w:rPr>
          <w:rFonts w:cs="Arial"/>
          <w:color w:val="000000" w:themeColor="text1"/>
        </w:rPr>
        <w:t xml:space="preserve"> the 2023 SES. </w:t>
      </w:r>
      <w:proofErr w:type="gramStart"/>
      <w:r w:rsidRPr="00217865">
        <w:rPr>
          <w:rFonts w:cs="Arial"/>
          <w:color w:val="000000" w:themeColor="text1"/>
        </w:rPr>
        <w:t>In particular, changes</w:t>
      </w:r>
      <w:proofErr w:type="gramEnd"/>
      <w:r w:rsidRPr="00217865">
        <w:rPr>
          <w:rFonts w:cs="Arial"/>
          <w:color w:val="000000" w:themeColor="text1"/>
        </w:rPr>
        <w:t xml:space="preserve"> were made to the underlying items and response frames of the Learner Engagement and Student Support focus areas, which were renamed Peer Engagement and Student Support and Services </w:t>
      </w:r>
      <w:r w:rsidR="00226FD7" w:rsidRPr="00217865">
        <w:rPr>
          <w:rFonts w:cs="Arial"/>
          <w:color w:val="000000" w:themeColor="text1"/>
        </w:rPr>
        <w:t xml:space="preserve">respectively </w:t>
      </w:r>
      <w:r w:rsidRPr="00217865">
        <w:rPr>
          <w:rFonts w:cs="Arial"/>
          <w:color w:val="000000" w:themeColor="text1"/>
        </w:rPr>
        <w:t>to better reflect the underlying concepts of these focus areas. Note that the Teaching Quality focus area was renamed to Teaching Quality and Engagement to better reflect the underlying construct</w:t>
      </w:r>
      <w:r w:rsidR="00AE6120" w:rsidRPr="00217865">
        <w:rPr>
          <w:rFonts w:cs="Arial"/>
          <w:color w:val="000000" w:themeColor="text1"/>
        </w:rPr>
        <w:t>;</w:t>
      </w:r>
      <w:r w:rsidRPr="00217865">
        <w:rPr>
          <w:rFonts w:cs="Arial"/>
          <w:color w:val="000000" w:themeColor="text1"/>
        </w:rPr>
        <w:t xml:space="preserve"> </w:t>
      </w:r>
      <w:r w:rsidR="00AE6120" w:rsidRPr="00217865">
        <w:rPr>
          <w:rFonts w:cs="Arial"/>
          <w:color w:val="000000" w:themeColor="text1"/>
        </w:rPr>
        <w:t>however,</w:t>
      </w:r>
      <w:r w:rsidRPr="00217865">
        <w:rPr>
          <w:rFonts w:cs="Arial"/>
          <w:color w:val="000000" w:themeColor="text1"/>
        </w:rPr>
        <w:t xml:space="preserve"> the underlying items remain</w:t>
      </w:r>
      <w:r w:rsidRPr="00217865" w:rsidDel="002F0AFC">
        <w:rPr>
          <w:rFonts w:cs="Arial"/>
          <w:color w:val="000000" w:themeColor="text1"/>
        </w:rPr>
        <w:t xml:space="preserve"> </w:t>
      </w:r>
      <w:r w:rsidRPr="00217865">
        <w:rPr>
          <w:rFonts w:cs="Arial"/>
          <w:color w:val="000000" w:themeColor="text1"/>
        </w:rPr>
        <w:t xml:space="preserve">unchanged. </w:t>
      </w:r>
    </w:p>
    <w:p w14:paraId="3A062A80" w14:textId="493E90CA" w:rsidR="00C50513" w:rsidRPr="00217865" w:rsidRDefault="00C50513" w:rsidP="00C50513">
      <w:pPr>
        <w:pStyle w:val="Body"/>
        <w:rPr>
          <w:rFonts w:cs="Arial"/>
          <w:color w:val="000000" w:themeColor="text1"/>
        </w:rPr>
      </w:pPr>
      <w:proofErr w:type="gramStart"/>
      <w:r w:rsidRPr="00217865">
        <w:rPr>
          <w:rFonts w:cs="Arial"/>
          <w:color w:val="000000" w:themeColor="text1"/>
        </w:rPr>
        <w:t>On the basis of</w:t>
      </w:r>
      <w:proofErr w:type="gramEnd"/>
      <w:r w:rsidRPr="00217865">
        <w:rPr>
          <w:rFonts w:cs="Arial"/>
          <w:color w:val="000000" w:themeColor="text1"/>
        </w:rPr>
        <w:t xml:space="preserve"> a statistical analysis, it was determined that the revisions made to the Peer Engagement and Student Support and Services focus areas improved the accuracy and robustness of the intended measures and retained sufficient consistency with the broad concepts that the derived focus area scores could be considered a continuation of the time series. However, consideration should be given to semantic differences in the underlying survey items and response frames when examining year on year changes to these focus areas. </w:t>
      </w:r>
      <w:r w:rsidR="00080293" w:rsidRPr="00217865">
        <w:rPr>
          <w:rFonts w:cs="Arial"/>
          <w:color w:val="000000" w:themeColor="text1"/>
        </w:rPr>
        <w:t>To emphasise this</w:t>
      </w:r>
      <w:r w:rsidR="0081015D" w:rsidRPr="00217865">
        <w:rPr>
          <w:rFonts w:cs="Arial"/>
          <w:color w:val="000000" w:themeColor="text1"/>
        </w:rPr>
        <w:t xml:space="preserve"> change in </w:t>
      </w:r>
      <w:r w:rsidR="00981225" w:rsidRPr="00217865">
        <w:rPr>
          <w:rFonts w:cs="Arial"/>
          <w:color w:val="000000" w:themeColor="text1"/>
        </w:rPr>
        <w:t>the</w:t>
      </w:r>
      <w:r w:rsidR="00F55181" w:rsidRPr="00217865">
        <w:rPr>
          <w:rFonts w:cs="Arial"/>
          <w:color w:val="000000" w:themeColor="text1"/>
        </w:rPr>
        <w:t xml:space="preserve"> underlying items of the Peer Engagement and Student Support and Services focus areas, </w:t>
      </w:r>
      <w:r w:rsidR="00B648E0" w:rsidRPr="00217865">
        <w:rPr>
          <w:rFonts w:cs="Arial"/>
          <w:color w:val="000000" w:themeColor="text1"/>
        </w:rPr>
        <w:t>dotted lines</w:t>
      </w:r>
      <w:r w:rsidR="005351A7" w:rsidRPr="00217865">
        <w:rPr>
          <w:rFonts w:cs="Arial"/>
          <w:color w:val="000000" w:themeColor="text1"/>
        </w:rPr>
        <w:t xml:space="preserve"> </w:t>
      </w:r>
      <w:r w:rsidR="00AB536C" w:rsidRPr="00217865">
        <w:rPr>
          <w:rFonts w:cs="Arial"/>
          <w:color w:val="000000" w:themeColor="text1"/>
        </w:rPr>
        <w:t xml:space="preserve">between 2022 and 2023 have been used </w:t>
      </w:r>
      <w:r w:rsidR="005D511D" w:rsidRPr="00217865">
        <w:rPr>
          <w:rFonts w:cs="Arial"/>
          <w:color w:val="000000" w:themeColor="text1"/>
        </w:rPr>
        <w:t>throughout this report</w:t>
      </w:r>
      <w:r w:rsidR="00CE20D3" w:rsidRPr="00217865">
        <w:rPr>
          <w:rFonts w:cs="Arial"/>
          <w:color w:val="000000" w:themeColor="text1"/>
        </w:rPr>
        <w:t xml:space="preserve"> in all relevant figures.</w:t>
      </w:r>
      <w:r w:rsidR="00981225" w:rsidRPr="00217865">
        <w:rPr>
          <w:rFonts w:cs="Arial"/>
          <w:color w:val="000000" w:themeColor="text1"/>
        </w:rPr>
        <w:t xml:space="preserve"> </w:t>
      </w:r>
      <w:r w:rsidRPr="00217865">
        <w:rPr>
          <w:rFonts w:cs="Arial"/>
          <w:color w:val="000000" w:themeColor="text1"/>
        </w:rPr>
        <w:t xml:space="preserve">Refer to Appendix 2 ‘Review of the SES’ for more information about the review of the SES instrument and the impact on focus area scores. </w:t>
      </w:r>
    </w:p>
    <w:p w14:paraId="19994552" w14:textId="77777777" w:rsidR="00C50513" w:rsidRPr="00217865" w:rsidRDefault="00C50513" w:rsidP="00C50513">
      <w:pPr>
        <w:pStyle w:val="SubHeading1"/>
        <w:rPr>
          <w:rFonts w:cs="Arial"/>
          <w:color w:val="000000" w:themeColor="text1"/>
        </w:rPr>
      </w:pPr>
      <w:r w:rsidRPr="00217865">
        <w:rPr>
          <w:rFonts w:cs="Arial"/>
          <w:color w:val="000000" w:themeColor="text1"/>
        </w:rPr>
        <w:t>Participation</w:t>
      </w:r>
    </w:p>
    <w:p w14:paraId="280525F2" w14:textId="4930F11E" w:rsidR="00C50513" w:rsidRPr="00217865" w:rsidRDefault="00C50513" w:rsidP="00C50513">
      <w:pPr>
        <w:pStyle w:val="Body"/>
        <w:rPr>
          <w:rFonts w:cs="Arial"/>
          <w:color w:val="000000" w:themeColor="text1"/>
        </w:rPr>
      </w:pPr>
      <w:r w:rsidRPr="00217865">
        <w:rPr>
          <w:rFonts w:cs="Arial"/>
          <w:color w:val="000000" w:themeColor="text1"/>
        </w:rPr>
        <w:t xml:space="preserve">All 42 Australian universities participated in the 2023 SES as well as 100 non-university higher education institutions (NUHEIs), for a total of 142 institutions. There were 267,268 valid surveys once combined </w:t>
      </w:r>
      <w:r w:rsidR="00915D9F" w:rsidRPr="00217865">
        <w:rPr>
          <w:rFonts w:cs="Arial"/>
          <w:color w:val="000000" w:themeColor="text1"/>
        </w:rPr>
        <w:t xml:space="preserve">(including </w:t>
      </w:r>
      <w:r w:rsidRPr="00217865">
        <w:rPr>
          <w:rFonts w:cs="Arial"/>
          <w:color w:val="000000" w:themeColor="text1"/>
        </w:rPr>
        <w:t>double degre</w:t>
      </w:r>
      <w:r w:rsidR="00915D9F" w:rsidRPr="00217865">
        <w:rPr>
          <w:rFonts w:cs="Arial"/>
          <w:color w:val="000000" w:themeColor="text1"/>
        </w:rPr>
        <w:t>e</w:t>
      </w:r>
      <w:r w:rsidRPr="00217865">
        <w:rPr>
          <w:rFonts w:cs="Arial"/>
          <w:color w:val="000000" w:themeColor="text1"/>
        </w:rPr>
        <w:t>s</w:t>
      </w:r>
      <w:r w:rsidR="00915D9F" w:rsidRPr="00217865">
        <w:rPr>
          <w:rFonts w:cs="Arial"/>
          <w:color w:val="000000" w:themeColor="text1"/>
        </w:rPr>
        <w:t>)</w:t>
      </w:r>
      <w:r w:rsidRPr="00217865">
        <w:rPr>
          <w:rFonts w:cs="Arial"/>
          <w:color w:val="000000" w:themeColor="text1"/>
        </w:rPr>
        <w:t xml:space="preserve"> and a response rate of 37.5 per cent was achieved. The SES International Report includes a subset of international student responses to the main SES National Report</w:t>
      </w:r>
      <w:r w:rsidR="00915D9F" w:rsidRPr="00217865">
        <w:rPr>
          <w:rFonts w:cs="Arial"/>
          <w:color w:val="000000" w:themeColor="text1"/>
        </w:rPr>
        <w:t>.</w:t>
      </w:r>
      <w:r w:rsidRPr="00217865">
        <w:rPr>
          <w:rFonts w:cs="Arial"/>
          <w:color w:val="000000" w:themeColor="text1"/>
        </w:rPr>
        <w:t xml:space="preserve"> </w:t>
      </w:r>
      <w:r w:rsidR="00915D9F" w:rsidRPr="00217865">
        <w:rPr>
          <w:rFonts w:cs="Arial"/>
          <w:color w:val="000000" w:themeColor="text1"/>
        </w:rPr>
        <w:t>A</w:t>
      </w:r>
      <w:r w:rsidRPr="00217865">
        <w:rPr>
          <w:rFonts w:cs="Arial"/>
          <w:color w:val="000000" w:themeColor="text1"/>
        </w:rPr>
        <w:t>ll 42 universities and 92 NUHEIs</w:t>
      </w:r>
      <w:r w:rsidR="00915D9F" w:rsidRPr="00217865">
        <w:rPr>
          <w:rFonts w:cs="Arial"/>
          <w:color w:val="000000" w:themeColor="text1"/>
        </w:rPr>
        <w:t xml:space="preserve"> had</w:t>
      </w:r>
      <w:r w:rsidRPr="00217865">
        <w:rPr>
          <w:rFonts w:cs="Arial"/>
          <w:color w:val="000000" w:themeColor="text1"/>
        </w:rPr>
        <w:t xml:space="preserve"> responses from international students, representing 72,229 responses and a response rate of 36.3 per cent.</w:t>
      </w:r>
    </w:p>
    <w:p w14:paraId="688D6F81" w14:textId="1C953567" w:rsidR="00C50513" w:rsidRPr="00217865" w:rsidRDefault="00C50513" w:rsidP="00C50513">
      <w:pPr>
        <w:pStyle w:val="Body"/>
        <w:rPr>
          <w:rFonts w:cs="Arial"/>
          <w:color w:val="000000" w:themeColor="text1"/>
        </w:rPr>
      </w:pPr>
      <w:r w:rsidRPr="00217865">
        <w:rPr>
          <w:rFonts w:cs="Arial"/>
          <w:color w:val="000000" w:themeColor="text1"/>
        </w:rPr>
        <w:t xml:space="preserve">Prior to 2020, the scope of the SES would ordinarily be restricted to international onshore students. However, since 2020, some international students with Temporary Entry Visas, while classified as international onshore students and therefore included within the scope of the present survey, were </w:t>
      </w:r>
      <w:proofErr w:type="gramStart"/>
      <w:r w:rsidRPr="00217865">
        <w:rPr>
          <w:rFonts w:cs="Arial"/>
          <w:color w:val="000000" w:themeColor="text1"/>
        </w:rPr>
        <w:t>actually located</w:t>
      </w:r>
      <w:proofErr w:type="gramEnd"/>
      <w:r w:rsidRPr="00217865">
        <w:rPr>
          <w:rFonts w:cs="Arial"/>
          <w:color w:val="000000" w:themeColor="text1"/>
        </w:rPr>
        <w:t xml:space="preserve"> offshore at the time of the survey in </w:t>
      </w:r>
      <w:r w:rsidR="00D158A1" w:rsidRPr="00217865">
        <w:rPr>
          <w:rFonts w:cs="Arial"/>
          <w:color w:val="000000" w:themeColor="text1"/>
        </w:rPr>
        <w:t>2023</w:t>
      </w:r>
      <w:r w:rsidRPr="00217865">
        <w:rPr>
          <w:rFonts w:cs="Arial"/>
          <w:color w:val="000000" w:themeColor="text1"/>
        </w:rPr>
        <w:t xml:space="preserve">. The proportion of international student respondents located </w:t>
      </w:r>
      <w:r w:rsidR="00CD1409" w:rsidRPr="00217865">
        <w:rPr>
          <w:rFonts w:cs="Arial"/>
          <w:color w:val="000000" w:themeColor="text1"/>
        </w:rPr>
        <w:t>offshore</w:t>
      </w:r>
      <w:r w:rsidRPr="00217865">
        <w:rPr>
          <w:rFonts w:cs="Arial"/>
          <w:color w:val="000000" w:themeColor="text1"/>
        </w:rPr>
        <w:t xml:space="preserve"> at the time of the survey increased from 12.1 </w:t>
      </w:r>
      <w:r w:rsidRPr="00217865">
        <w:rPr>
          <w:rFonts w:cs="Arial"/>
          <w:color w:val="000000" w:themeColor="text1"/>
        </w:rPr>
        <w:lastRenderedPageBreak/>
        <w:t>per cent of undergraduate respondents in 2020 to 33.9 per cent in 2021 and back down to 8.9 per cent in 2022 and reducing further to around 3.3 per cent in 2023. A similar pattern was observed for postgraduate coursework student</w:t>
      </w:r>
      <w:r w:rsidR="00D75C9E" w:rsidRPr="00217865">
        <w:rPr>
          <w:rFonts w:cs="Arial"/>
          <w:color w:val="000000" w:themeColor="text1"/>
        </w:rPr>
        <w:t>s</w:t>
      </w:r>
      <w:r w:rsidRPr="00217865">
        <w:rPr>
          <w:rFonts w:cs="Arial"/>
          <w:color w:val="000000" w:themeColor="text1"/>
        </w:rPr>
        <w:t>.</w:t>
      </w:r>
    </w:p>
    <w:p w14:paraId="14FBA9B8" w14:textId="759ED733" w:rsidR="00C50513" w:rsidRPr="00217865" w:rsidRDefault="00C50513" w:rsidP="00C50513">
      <w:pPr>
        <w:pStyle w:val="Body"/>
        <w:rPr>
          <w:rFonts w:cs="Arial"/>
          <w:color w:val="000000" w:themeColor="text1"/>
        </w:rPr>
      </w:pPr>
      <w:r w:rsidRPr="00217865">
        <w:rPr>
          <w:rFonts w:cs="Arial"/>
          <w:color w:val="000000" w:themeColor="text1"/>
        </w:rPr>
        <w:t xml:space="preserve">The main online fieldwork period ran from 25 July to 27 August 2023. A secondary collection ran from 5 September to 8 October 2023. </w:t>
      </w:r>
    </w:p>
    <w:p w14:paraId="15AAA301" w14:textId="15490A60" w:rsidR="00C50513" w:rsidRPr="00217865" w:rsidRDefault="00C50513" w:rsidP="00C50513">
      <w:pPr>
        <w:pStyle w:val="Body"/>
        <w:rPr>
          <w:rFonts w:cs="Arial"/>
          <w:color w:val="000000" w:themeColor="text1"/>
        </w:rPr>
      </w:pPr>
      <w:r w:rsidRPr="00217865">
        <w:rPr>
          <w:rFonts w:cs="Arial"/>
          <w:color w:val="000000" w:themeColor="text1"/>
        </w:rPr>
        <w:t xml:space="preserve">International students make up around </w:t>
      </w:r>
      <w:r w:rsidR="00801ADD" w:rsidRPr="00217865">
        <w:rPr>
          <w:rFonts w:cs="Arial"/>
          <w:color w:val="000000" w:themeColor="text1"/>
        </w:rPr>
        <w:t>18</w:t>
      </w:r>
      <w:r w:rsidRPr="00217865">
        <w:rPr>
          <w:rFonts w:cs="Arial"/>
          <w:color w:val="000000" w:themeColor="text1"/>
        </w:rPr>
        <w:t xml:space="preserve"> per cent of undergraduate responses mainly sourced from </w:t>
      </w:r>
      <w:r w:rsidR="00FB143C" w:rsidRPr="00217865">
        <w:rPr>
          <w:rFonts w:cs="Arial"/>
          <w:color w:val="000000" w:themeColor="text1"/>
        </w:rPr>
        <w:t xml:space="preserve">five </w:t>
      </w:r>
      <w:r w:rsidRPr="00217865">
        <w:rPr>
          <w:rFonts w:cs="Arial"/>
          <w:color w:val="000000" w:themeColor="text1"/>
        </w:rPr>
        <w:t>countries (</w:t>
      </w:r>
      <w:r w:rsidR="003A0943">
        <w:rPr>
          <w:rFonts w:cs="Arial"/>
          <w:color w:val="000000" w:themeColor="text1"/>
        </w:rPr>
        <w:t>China (excludes SARs and Taiwan)</w:t>
      </w:r>
      <w:r w:rsidRPr="00217865">
        <w:rPr>
          <w:rFonts w:cs="Arial"/>
          <w:color w:val="000000" w:themeColor="text1"/>
        </w:rPr>
        <w:t xml:space="preserve">, Nepal, India, Vietnam and Malaysia) which make up around 57 per cent of total undergraduate international respondents. International undergraduate responses are also mainly clustered in just a few study areas and institutions, with Business and management, Computing and information systems and Nursing making up around </w:t>
      </w:r>
      <w:r w:rsidR="0070750D" w:rsidRPr="00217865">
        <w:rPr>
          <w:rFonts w:cs="Arial"/>
          <w:color w:val="000000" w:themeColor="text1"/>
        </w:rPr>
        <w:t>5</w:t>
      </w:r>
      <w:r w:rsidR="00B14B00" w:rsidRPr="00217865">
        <w:rPr>
          <w:rFonts w:cs="Arial"/>
          <w:color w:val="000000" w:themeColor="text1"/>
        </w:rPr>
        <w:t>2</w:t>
      </w:r>
      <w:r w:rsidR="0070750D" w:rsidRPr="00217865">
        <w:rPr>
          <w:rFonts w:cs="Arial"/>
          <w:color w:val="000000" w:themeColor="text1"/>
        </w:rPr>
        <w:t xml:space="preserve"> </w:t>
      </w:r>
      <w:r w:rsidRPr="00217865">
        <w:rPr>
          <w:rFonts w:cs="Arial"/>
          <w:color w:val="000000" w:themeColor="text1"/>
        </w:rPr>
        <w:t>per cent of responses and 10 institutions accounting for around 41 per cent of international undergraduate responses, with the largest of these being Monash University and the University of New South Wales. International undergraduate students studying at NUHEIs account for around 25 per cent of responses with the largest of these being Stott’s College.</w:t>
      </w:r>
    </w:p>
    <w:p w14:paraId="4E3C28D1" w14:textId="1611F6C7" w:rsidR="00C50513" w:rsidRPr="00217865" w:rsidRDefault="00C50513" w:rsidP="00C50513">
      <w:pPr>
        <w:pStyle w:val="Body"/>
        <w:rPr>
          <w:rFonts w:cs="Arial"/>
          <w:color w:val="000000" w:themeColor="text1"/>
          <w:highlight w:val="yellow"/>
        </w:rPr>
      </w:pPr>
      <w:r w:rsidRPr="00217865">
        <w:rPr>
          <w:rFonts w:cs="Arial"/>
          <w:color w:val="000000" w:themeColor="text1"/>
        </w:rPr>
        <w:t>Postgraduate coursework international students make up around 47</w:t>
      </w:r>
      <w:r w:rsidR="005402AA" w:rsidRPr="00217865">
        <w:rPr>
          <w:rFonts w:cs="Arial"/>
          <w:color w:val="000000" w:themeColor="text1"/>
        </w:rPr>
        <w:t xml:space="preserve"> </w:t>
      </w:r>
      <w:r w:rsidRPr="00217865">
        <w:rPr>
          <w:rFonts w:cs="Arial"/>
          <w:color w:val="000000" w:themeColor="text1"/>
        </w:rPr>
        <w:t xml:space="preserve">per cent of total SES responses, with students from </w:t>
      </w:r>
      <w:r w:rsidR="003A0943">
        <w:rPr>
          <w:rFonts w:cs="Arial"/>
          <w:color w:val="000000" w:themeColor="text1"/>
        </w:rPr>
        <w:t>China (excludes SARs and Taiwan)</w:t>
      </w:r>
      <w:r w:rsidRPr="00217865">
        <w:rPr>
          <w:rFonts w:cs="Arial"/>
          <w:color w:val="000000" w:themeColor="text1"/>
        </w:rPr>
        <w:t xml:space="preserve">, India, Nepal and Bhutan making up almost 60 per cent of respondents. This group are clustered in the Business and management, Computing and information systems, Engineering and Teacher education study areas which make up around 68 per cent of responses and 10 institutions accounting for around 48 per cent of total responses with the largest of these being the University of Melbourne and the University of New South Wales. International postgraduate coursework students studying at NUHEIs account for around 15 per cent of responses with the largest of these being the Kaplan Business School. </w:t>
      </w:r>
    </w:p>
    <w:p w14:paraId="74F6B064" w14:textId="77777777" w:rsidR="00C50513" w:rsidRPr="00217865" w:rsidRDefault="00C50513" w:rsidP="00C50513">
      <w:pPr>
        <w:pStyle w:val="SubHeading1"/>
        <w:rPr>
          <w:rFonts w:cs="Arial"/>
          <w:color w:val="000000" w:themeColor="text1"/>
          <w:lang w:val="en-GB"/>
        </w:rPr>
      </w:pPr>
      <w:bookmarkStart w:id="14" w:name="_Toc169679784"/>
      <w:r w:rsidRPr="00217865">
        <w:rPr>
          <w:rFonts w:cs="Arial"/>
          <w:color w:val="000000" w:themeColor="text1"/>
          <w:lang w:val="en-GB"/>
        </w:rPr>
        <w:t>Changes to the international student experience since 2019</w:t>
      </w:r>
      <w:bookmarkEnd w:id="14"/>
    </w:p>
    <w:p w14:paraId="36D9DDB2" w14:textId="77777777" w:rsidR="00C50513" w:rsidRPr="00217865" w:rsidRDefault="00C50513" w:rsidP="00C50513">
      <w:pPr>
        <w:pStyle w:val="Body"/>
        <w:rPr>
          <w:rFonts w:cs="Arial"/>
          <w:color w:val="000000" w:themeColor="text1"/>
        </w:rPr>
      </w:pPr>
      <w:r w:rsidRPr="00217865">
        <w:rPr>
          <w:rFonts w:cs="Arial"/>
          <w:color w:val="000000" w:themeColor="text1"/>
        </w:rPr>
        <w:t xml:space="preserve">The international education sector was significantly affected by the COVID-19 pandemic. Higher education institutions were required to substantially adapt their teaching and learning, resourcing and student support arrangements, initially in response to restrictions and health directives to respond to the COVID-19 pandemic and to manage subsequent changes beyond. International students were required to meet additional challenges arising from restrictions imposed on international travel, financial difficulties and the isolation of studying fully online both in Australia </w:t>
      </w:r>
      <w:proofErr w:type="gramStart"/>
      <w:r w:rsidRPr="00217865">
        <w:rPr>
          <w:rFonts w:cs="Arial"/>
          <w:color w:val="000000" w:themeColor="text1"/>
        </w:rPr>
        <w:t>or</w:t>
      </w:r>
      <w:proofErr w:type="gramEnd"/>
      <w:r w:rsidRPr="00217865">
        <w:rPr>
          <w:rFonts w:cs="Arial"/>
          <w:color w:val="000000" w:themeColor="text1"/>
        </w:rPr>
        <w:t xml:space="preserve"> overseas. The 2023 Student Experience Survey (SES) International Report shows how international students have fared since 2020.</w:t>
      </w:r>
    </w:p>
    <w:p w14:paraId="0C24925D" w14:textId="77777777" w:rsidR="00C50513" w:rsidRPr="00217865" w:rsidRDefault="00C50513" w:rsidP="00821227">
      <w:pPr>
        <w:pStyle w:val="Body"/>
        <w:rPr>
          <w:rFonts w:cs="Arial"/>
          <w:color w:val="000000" w:themeColor="text1"/>
        </w:rPr>
      </w:pPr>
    </w:p>
    <w:p w14:paraId="48813F3E" w14:textId="36511B73" w:rsidR="00821227" w:rsidRPr="00217865" w:rsidRDefault="00821227" w:rsidP="006215D3">
      <w:pPr>
        <w:pStyle w:val="Heading1"/>
        <w:rPr>
          <w:rFonts w:cs="Arial"/>
          <w:b/>
          <w:bCs/>
          <w:color w:val="000000" w:themeColor="text1"/>
        </w:rPr>
      </w:pPr>
      <w:bookmarkStart w:id="15" w:name="_Toc178599281"/>
      <w:r w:rsidRPr="00217865">
        <w:rPr>
          <w:rFonts w:cs="Arial"/>
          <w:color w:val="000000" w:themeColor="text1"/>
        </w:rPr>
        <w:lastRenderedPageBreak/>
        <w:t xml:space="preserve">The international student </w:t>
      </w:r>
      <w:proofErr w:type="gramStart"/>
      <w:r w:rsidRPr="00217865">
        <w:rPr>
          <w:rFonts w:cs="Arial"/>
          <w:color w:val="000000" w:themeColor="text1"/>
        </w:rPr>
        <w:t>experience</w:t>
      </w:r>
      <w:bookmarkEnd w:id="15"/>
      <w:proofErr w:type="gramEnd"/>
    </w:p>
    <w:p w14:paraId="216413CE" w14:textId="4F8D293D" w:rsidR="00821227" w:rsidRPr="00217865" w:rsidRDefault="00821227" w:rsidP="00821227">
      <w:pPr>
        <w:pStyle w:val="Body"/>
        <w:rPr>
          <w:rFonts w:cs="Arial"/>
          <w:color w:val="000000" w:themeColor="text1"/>
        </w:rPr>
      </w:pPr>
      <w:r w:rsidRPr="00217865">
        <w:rPr>
          <w:rFonts w:cs="Arial"/>
          <w:color w:val="000000" w:themeColor="text1"/>
        </w:rPr>
        <w:t xml:space="preserve">International student ratings of their </w:t>
      </w:r>
      <w:r w:rsidR="001844F6" w:rsidRPr="00217865">
        <w:rPr>
          <w:rFonts w:cs="Arial"/>
          <w:color w:val="000000" w:themeColor="text1"/>
        </w:rPr>
        <w:t xml:space="preserve">Australian higher </w:t>
      </w:r>
      <w:r w:rsidRPr="00217865">
        <w:rPr>
          <w:rFonts w:cs="Arial"/>
          <w:color w:val="000000" w:themeColor="text1"/>
        </w:rPr>
        <w:t>education experience remained relatively stable between 201</w:t>
      </w:r>
      <w:r w:rsidR="001844F6" w:rsidRPr="00217865">
        <w:rPr>
          <w:rFonts w:cs="Arial"/>
          <w:color w:val="000000" w:themeColor="text1"/>
        </w:rPr>
        <w:t>7</w:t>
      </w:r>
      <w:r w:rsidRPr="00217865">
        <w:rPr>
          <w:rFonts w:cs="Arial"/>
          <w:color w:val="000000" w:themeColor="text1"/>
        </w:rPr>
        <w:t xml:space="preserve"> and 2019 despite a large increase in the number of international students in the Australian higher education system. In 2020, there was a sharp reduction in student ratings of their educational experience as many institutions rapidly adapted their teaching and learning arrangements</w:t>
      </w:r>
      <w:r w:rsidR="006935FF" w:rsidRPr="00217865">
        <w:rPr>
          <w:rFonts w:cs="Arial"/>
          <w:color w:val="000000" w:themeColor="text1"/>
        </w:rPr>
        <w:t xml:space="preserve"> and student support</w:t>
      </w:r>
      <w:r w:rsidRPr="00217865">
        <w:rPr>
          <w:rFonts w:cs="Arial"/>
          <w:color w:val="000000" w:themeColor="text1"/>
        </w:rPr>
        <w:t xml:space="preserve"> in response to the COVID-19 pandemic. While there was a subsequent increase in international student ratings in 2021, they did not return to the levels seen prior to the onset of the pandemic</w:t>
      </w:r>
      <w:r w:rsidR="006935FF" w:rsidRPr="00217865">
        <w:rPr>
          <w:rFonts w:cs="Arial"/>
          <w:color w:val="000000" w:themeColor="text1"/>
        </w:rPr>
        <w:t xml:space="preserve"> with a large proportion of these students continuing to study predominantly online and offshore</w:t>
      </w:r>
      <w:r w:rsidRPr="00217865">
        <w:rPr>
          <w:rFonts w:cs="Arial"/>
          <w:color w:val="000000" w:themeColor="text1"/>
        </w:rPr>
        <w:t xml:space="preserve">. </w:t>
      </w:r>
    </w:p>
    <w:p w14:paraId="175876FE" w14:textId="3DBA5143" w:rsidR="00821227" w:rsidRPr="00217865" w:rsidRDefault="00821227" w:rsidP="00821227">
      <w:pPr>
        <w:pStyle w:val="Body"/>
        <w:rPr>
          <w:rFonts w:cs="Arial"/>
          <w:color w:val="000000" w:themeColor="text1"/>
        </w:rPr>
      </w:pPr>
      <w:r w:rsidRPr="00217865">
        <w:rPr>
          <w:rFonts w:cs="Arial"/>
          <w:color w:val="000000" w:themeColor="text1"/>
        </w:rPr>
        <w:t>Since 2022, all focus area scores</w:t>
      </w:r>
      <w:r w:rsidR="006935FF" w:rsidRPr="00217865">
        <w:rPr>
          <w:rFonts w:cs="Arial"/>
          <w:color w:val="000000" w:themeColor="text1"/>
        </w:rPr>
        <w:t xml:space="preserve"> for international students</w:t>
      </w:r>
      <w:r w:rsidRPr="00217865">
        <w:rPr>
          <w:rFonts w:cs="Arial"/>
          <w:color w:val="000000" w:themeColor="text1"/>
        </w:rPr>
        <w:t xml:space="preserve"> recovered to levels seen </w:t>
      </w:r>
      <w:r w:rsidR="00F26AE0" w:rsidRPr="00217865">
        <w:rPr>
          <w:rFonts w:cs="Arial"/>
          <w:color w:val="000000" w:themeColor="text1"/>
        </w:rPr>
        <w:t>in 2019</w:t>
      </w:r>
      <w:r w:rsidR="001844F6" w:rsidRPr="00217865">
        <w:rPr>
          <w:rFonts w:cs="Arial"/>
          <w:color w:val="000000" w:themeColor="text1"/>
        </w:rPr>
        <w:t xml:space="preserve">, </w:t>
      </w:r>
      <w:r w:rsidRPr="00217865">
        <w:rPr>
          <w:rFonts w:cs="Arial"/>
          <w:color w:val="000000" w:themeColor="text1"/>
        </w:rPr>
        <w:t xml:space="preserve">as shown by </w:t>
      </w:r>
      <w:r w:rsidR="00E34892" w:rsidRPr="002D5D30">
        <w:rPr>
          <w:rFonts w:cs="Arial"/>
          <w:b/>
          <w:bCs/>
          <w:color w:val="000000" w:themeColor="text1"/>
        </w:rPr>
        <w:fldChar w:fldCharType="begin"/>
      </w:r>
      <w:r w:rsidR="00E34892" w:rsidRPr="002D5D30">
        <w:rPr>
          <w:rFonts w:cs="Arial"/>
          <w:b/>
          <w:bCs/>
          <w:color w:val="000000" w:themeColor="text1"/>
        </w:rPr>
        <w:instrText xml:space="preserve"> REF _Ref133591198 \h </w:instrText>
      </w:r>
      <w:r w:rsidR="00A6216F" w:rsidRPr="002D5D30">
        <w:rPr>
          <w:rFonts w:cs="Arial"/>
          <w:b/>
          <w:bCs/>
          <w:color w:val="000000" w:themeColor="text1"/>
        </w:rPr>
        <w:instrText xml:space="preserve"> \* MERGEFORMAT </w:instrText>
      </w:r>
      <w:r w:rsidR="00E34892" w:rsidRPr="002D5D30">
        <w:rPr>
          <w:rFonts w:cs="Arial"/>
          <w:b/>
          <w:bCs/>
          <w:color w:val="000000" w:themeColor="text1"/>
        </w:rPr>
      </w:r>
      <w:r w:rsidR="00E34892"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1</w:t>
      </w:r>
      <w:r w:rsidR="00E34892" w:rsidRPr="002D5D30">
        <w:rPr>
          <w:rFonts w:cs="Arial"/>
          <w:b/>
          <w:bCs/>
          <w:color w:val="000000" w:themeColor="text1"/>
        </w:rPr>
        <w:fldChar w:fldCharType="end"/>
      </w:r>
      <w:r w:rsidR="001844F6" w:rsidRPr="00217865">
        <w:rPr>
          <w:rFonts w:cs="Arial"/>
          <w:color w:val="000000" w:themeColor="text1"/>
        </w:rPr>
        <w:t xml:space="preserve"> and </w:t>
      </w:r>
      <w:r w:rsidR="001844F6" w:rsidRPr="002D5D30">
        <w:rPr>
          <w:rFonts w:cs="Arial"/>
          <w:b/>
          <w:bCs/>
          <w:color w:val="000000" w:themeColor="text1"/>
        </w:rPr>
        <w:fldChar w:fldCharType="begin"/>
      </w:r>
      <w:r w:rsidR="001844F6" w:rsidRPr="002D5D30">
        <w:rPr>
          <w:rFonts w:cs="Arial"/>
          <w:b/>
          <w:bCs/>
          <w:color w:val="000000" w:themeColor="text1"/>
        </w:rPr>
        <w:instrText xml:space="preserve"> REF _Ref169549592 \h </w:instrText>
      </w:r>
      <w:r w:rsidR="00F26AE0" w:rsidRPr="002D5D30">
        <w:rPr>
          <w:rFonts w:cs="Arial"/>
          <w:b/>
          <w:bCs/>
          <w:color w:val="000000" w:themeColor="text1"/>
        </w:rPr>
        <w:instrText xml:space="preserve"> \* MERGEFORMAT </w:instrText>
      </w:r>
      <w:r w:rsidR="001844F6" w:rsidRPr="002D5D30">
        <w:rPr>
          <w:rFonts w:cs="Arial"/>
          <w:b/>
          <w:bCs/>
          <w:color w:val="000000" w:themeColor="text1"/>
        </w:rPr>
      </w:r>
      <w:r w:rsidR="001844F6"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2</w:t>
      </w:r>
      <w:r w:rsidR="001844F6" w:rsidRPr="002D5D30">
        <w:rPr>
          <w:rFonts w:cs="Arial"/>
          <w:b/>
          <w:bCs/>
          <w:color w:val="000000" w:themeColor="text1"/>
        </w:rPr>
        <w:fldChar w:fldCharType="end"/>
      </w:r>
      <w:r w:rsidRPr="00217865">
        <w:rPr>
          <w:rFonts w:cs="Arial"/>
          <w:color w:val="000000" w:themeColor="text1"/>
        </w:rPr>
        <w:t xml:space="preserve">. In 2023, </w:t>
      </w:r>
      <w:proofErr w:type="gramStart"/>
      <w:r w:rsidRPr="00217865">
        <w:rPr>
          <w:rFonts w:cs="Arial"/>
          <w:color w:val="000000" w:themeColor="text1"/>
        </w:rPr>
        <w:t>with the exception of</w:t>
      </w:r>
      <w:proofErr w:type="gramEnd"/>
      <w:r w:rsidRPr="00217865">
        <w:rPr>
          <w:rFonts w:cs="Arial"/>
          <w:color w:val="000000" w:themeColor="text1"/>
        </w:rPr>
        <w:t xml:space="preserve"> </w:t>
      </w:r>
      <w:r w:rsidR="00F26AE0" w:rsidRPr="00217865">
        <w:rPr>
          <w:rFonts w:cs="Arial"/>
          <w:color w:val="000000" w:themeColor="text1"/>
        </w:rPr>
        <w:t xml:space="preserve">the Overall educational experience and </w:t>
      </w:r>
      <w:r w:rsidRPr="00217865">
        <w:rPr>
          <w:rFonts w:cs="Arial"/>
          <w:color w:val="000000" w:themeColor="text1"/>
        </w:rPr>
        <w:t>Learning Resources</w:t>
      </w:r>
      <w:r w:rsidR="00597E1A" w:rsidRPr="00217865">
        <w:rPr>
          <w:rFonts w:cs="Arial"/>
          <w:color w:val="000000" w:themeColor="text1"/>
        </w:rPr>
        <w:t xml:space="preserve"> for undergraduates</w:t>
      </w:r>
      <w:r w:rsidRPr="00217865">
        <w:rPr>
          <w:rFonts w:cs="Arial"/>
          <w:color w:val="000000" w:themeColor="text1"/>
        </w:rPr>
        <w:t>, all focus area scores were recorded at the highest ratings since</w:t>
      </w:r>
      <w:r w:rsidR="006935FF" w:rsidRPr="00217865">
        <w:rPr>
          <w:rFonts w:cs="Arial"/>
          <w:color w:val="000000" w:themeColor="text1"/>
        </w:rPr>
        <w:t xml:space="preserve"> the</w:t>
      </w:r>
      <w:r w:rsidRPr="00217865">
        <w:rPr>
          <w:rFonts w:cs="Arial"/>
          <w:color w:val="000000" w:themeColor="text1"/>
        </w:rPr>
        <w:t xml:space="preserve"> inception</w:t>
      </w:r>
      <w:r w:rsidR="006935FF" w:rsidRPr="00217865">
        <w:rPr>
          <w:rFonts w:cs="Arial"/>
          <w:color w:val="000000" w:themeColor="text1"/>
        </w:rPr>
        <w:t xml:space="preserve"> of the SES</w:t>
      </w:r>
      <w:r w:rsidRPr="00217865">
        <w:rPr>
          <w:rFonts w:cs="Arial"/>
          <w:color w:val="000000" w:themeColor="text1"/>
        </w:rPr>
        <w:t>. Detailed tables of results at the individual item level related to each of the focus areas are available from the QILT website in the additional tables associated with this report. A detailed listing of these tables is available in in Appendix 7.</w:t>
      </w:r>
    </w:p>
    <w:p w14:paraId="525A3D44" w14:textId="77777777" w:rsidR="00821227" w:rsidRPr="00217865" w:rsidRDefault="00821227" w:rsidP="00821227">
      <w:pPr>
        <w:pStyle w:val="Body"/>
        <w:rPr>
          <w:rFonts w:cs="Arial"/>
          <w:color w:val="000000" w:themeColor="text1"/>
          <w:highlight w:val="yellow"/>
        </w:rPr>
      </w:pPr>
    </w:p>
    <w:p w14:paraId="6AED4D2A" w14:textId="77777777" w:rsidR="00821227" w:rsidRPr="00217865" w:rsidRDefault="00821227" w:rsidP="00821227">
      <w:pPr>
        <w:pStyle w:val="Body"/>
        <w:rPr>
          <w:rFonts w:cs="Arial"/>
          <w:color w:val="000000" w:themeColor="text1"/>
          <w:highlight w:val="yellow"/>
        </w:rPr>
        <w:sectPr w:rsidR="00821227" w:rsidRPr="00217865" w:rsidSect="00D8385D">
          <w:footerReference w:type="default" r:id="rId19"/>
          <w:pgSz w:w="11900" w:h="16840"/>
          <w:pgMar w:top="852" w:right="560" w:bottom="994" w:left="710" w:header="397" w:footer="340" w:gutter="0"/>
          <w:pgNumType w:start="1"/>
          <w:cols w:space="708"/>
          <w:docGrid w:linePitch="360"/>
        </w:sectPr>
      </w:pPr>
    </w:p>
    <w:p w14:paraId="2CB640F1" w14:textId="220ED154" w:rsidR="00821227" w:rsidRPr="00217865" w:rsidRDefault="00821227" w:rsidP="00821227">
      <w:pPr>
        <w:pStyle w:val="Caption"/>
        <w:rPr>
          <w:color w:val="000000" w:themeColor="text1"/>
        </w:rPr>
      </w:pPr>
      <w:bookmarkStart w:id="16" w:name="_Ref133591198"/>
      <w:bookmarkStart w:id="17" w:name="_Toc208242358"/>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w:t>
      </w:r>
      <w:r w:rsidR="001706E8" w:rsidRPr="00217865">
        <w:rPr>
          <w:noProof/>
          <w:color w:val="000000" w:themeColor="text1"/>
        </w:rPr>
        <w:fldChar w:fldCharType="end"/>
      </w:r>
      <w:bookmarkEnd w:id="16"/>
      <w:r w:rsidR="007624C4">
        <w:rPr>
          <w:color w:val="000000" w:themeColor="text1"/>
        </w:rPr>
        <w:tab/>
      </w:r>
      <w:r w:rsidRPr="00217865">
        <w:rPr>
          <w:color w:val="000000" w:themeColor="text1"/>
        </w:rPr>
        <w:t>The international undergraduate student experience, 2017-2023 (% positive rating)</w:t>
      </w:r>
      <w:bookmarkEnd w:id="17"/>
    </w:p>
    <w:p w14:paraId="1448A7B9" w14:textId="6DA59FCD" w:rsidR="00B05316" w:rsidRPr="00217865" w:rsidRDefault="00CF0C36" w:rsidP="007624C4">
      <w:pPr>
        <w:pStyle w:val="Body"/>
        <w:rPr>
          <w:rStyle w:val="FigureNoteChar"/>
          <w:rFonts w:cs="Arial"/>
          <w:color w:val="000000" w:themeColor="text1"/>
          <w:sz w:val="18"/>
          <w:szCs w:val="18"/>
        </w:rPr>
      </w:pPr>
      <w:r w:rsidRPr="00217865">
        <w:rPr>
          <w:rFonts w:cs="Arial"/>
          <w:noProof/>
          <w:color w:val="000000" w:themeColor="text1"/>
        </w:rPr>
        <w:drawing>
          <wp:inline distT="0" distB="0" distL="0" distR="0" wp14:anchorId="2BDFDC22" wp14:editId="30474C14">
            <wp:extent cx="9521190" cy="5146040"/>
            <wp:effectExtent l="0" t="0" r="3810" b="0"/>
            <wp:docPr id="1683440932" name="Chart 1">
              <a:extLst xmlns:a="http://schemas.openxmlformats.org/drawingml/2006/main">
                <a:ext uri="{FF2B5EF4-FFF2-40B4-BE49-F238E27FC236}">
                  <a16:creationId xmlns:a16="http://schemas.microsoft.com/office/drawing/2014/main" id="{8C2E80D3-0AE2-4567-8FB9-59323DB5328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05316" w:rsidRPr="00217865">
        <w:rPr>
          <w:rStyle w:val="FigureNoteChar"/>
          <w:rFonts w:cs="Arial"/>
          <w:color w:val="000000" w:themeColor="text1"/>
        </w:rPr>
        <w:t xml:space="preserve"> </w:t>
      </w:r>
      <w:r w:rsidR="00B05316" w:rsidRPr="00217865">
        <w:rPr>
          <w:rStyle w:val="FigureNoteChar"/>
          <w:rFonts w:cs="Arial"/>
          <w:color w:val="000000" w:themeColor="text1"/>
          <w:sz w:val="18"/>
          <w:szCs w:val="18"/>
        </w:rPr>
        <w:t xml:space="preserve">Source: The </w:t>
      </w:r>
      <w:r w:rsidR="00D76522" w:rsidRPr="00217865">
        <w:rPr>
          <w:rStyle w:val="FigureNoteChar"/>
          <w:rFonts w:cs="Arial"/>
          <w:color w:val="000000" w:themeColor="text1"/>
          <w:sz w:val="18"/>
          <w:szCs w:val="18"/>
        </w:rPr>
        <w:t>FOCUS_UG_ALL_14-YY_YEAR</w:t>
      </w:r>
      <w:r w:rsidR="00B05316" w:rsidRPr="00217865">
        <w:rPr>
          <w:rStyle w:val="FigureNoteChar"/>
          <w:rFonts w:cs="Arial"/>
          <w:color w:val="000000" w:themeColor="text1"/>
          <w:sz w:val="18"/>
          <w:szCs w:val="18"/>
        </w:rPr>
        <w:t xml:space="preserve"> worksheet in the 2023 SES </w:t>
      </w:r>
      <w:r w:rsidR="00D76522" w:rsidRPr="00217865">
        <w:rPr>
          <w:rStyle w:val="FigureNoteChar"/>
          <w:rFonts w:cs="Arial"/>
          <w:color w:val="000000" w:themeColor="text1"/>
          <w:sz w:val="18"/>
          <w:szCs w:val="18"/>
        </w:rPr>
        <w:t>Intern</w:t>
      </w:r>
      <w:r w:rsidR="00B05316" w:rsidRPr="00217865">
        <w:rPr>
          <w:rStyle w:val="FigureNoteChar"/>
          <w:rFonts w:cs="Arial"/>
          <w:color w:val="000000" w:themeColor="text1"/>
          <w:sz w:val="18"/>
          <w:szCs w:val="18"/>
        </w:rPr>
        <w:t>ational Report Tables available on the QILT website.</w:t>
      </w:r>
    </w:p>
    <w:p w14:paraId="4257113D" w14:textId="52958ED5" w:rsidR="00B05316" w:rsidRPr="00217865" w:rsidRDefault="00B05316" w:rsidP="00B05316">
      <w:pPr>
        <w:pStyle w:val="FigureNote"/>
        <w:rPr>
          <w:rFonts w:cs="Arial"/>
          <w:color w:val="000000" w:themeColor="text1"/>
          <w:sz w:val="18"/>
          <w:szCs w:val="18"/>
        </w:rPr>
      </w:pPr>
      <w:r w:rsidRPr="00217865">
        <w:rPr>
          <w:rFonts w:cs="Arial"/>
          <w:color w:val="000000" w:themeColor="text1"/>
          <w:sz w:val="18"/>
          <w:szCs w:val="18"/>
        </w:rPr>
        <w:t xml:space="preserve">Note that the dotted lines between 2022 and 2023 indicate the change in underlying items of the Peer Engagement and Student Support and Services focus areas. </w:t>
      </w:r>
      <w:r w:rsidRPr="00217865">
        <w:rPr>
          <w:rStyle w:val="ui-provider"/>
          <w:rFonts w:cs="Arial"/>
          <w:color w:val="000000" w:themeColor="text1"/>
          <w:sz w:val="18"/>
          <w:szCs w:val="18"/>
        </w:rPr>
        <w:t>When comparing year-on-year changes, it is recommended that modifications to underlying questionnaire items be taken into consideration when interpreting results.</w:t>
      </w:r>
      <w:r w:rsidRPr="00217865">
        <w:rPr>
          <w:rFonts w:cs="Arial"/>
          <w:color w:val="000000" w:themeColor="text1"/>
          <w:sz w:val="18"/>
          <w:szCs w:val="18"/>
        </w:rPr>
        <w:t xml:space="preserve"> For more information about these changes, refer </w:t>
      </w:r>
      <w:proofErr w:type="spellStart"/>
      <w:r w:rsidRPr="00217865">
        <w:rPr>
          <w:rFonts w:cs="Arial"/>
          <w:color w:val="000000" w:themeColor="text1"/>
          <w:sz w:val="18"/>
          <w:szCs w:val="18"/>
        </w:rPr>
        <w:t>to</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\w \h </w:instrText>
      </w:r>
      <w:r w:rsidR="00A6216F"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Pr>
          <w:rFonts w:cs="Arial"/>
          <w:color w:val="000000" w:themeColor="text1"/>
          <w:sz w:val="18"/>
          <w:szCs w:val="18"/>
        </w:rPr>
        <w:t>Appendix</w:t>
      </w:r>
      <w:proofErr w:type="spellEnd"/>
      <w:r w:rsidR="005D5678">
        <w:rPr>
          <w:rFonts w:cs="Arial"/>
          <w:color w:val="000000" w:themeColor="text1"/>
          <w:sz w:val="18"/>
          <w:szCs w:val="18"/>
        </w:rPr>
        <w:t xml:space="preserve"> 2</w:t>
      </w:r>
      <w:r w:rsidRPr="00217865">
        <w:rPr>
          <w:rFonts w:cs="Arial"/>
          <w:color w:val="000000" w:themeColor="text1"/>
          <w:sz w:val="18"/>
          <w:szCs w:val="18"/>
        </w:rPr>
        <w:fldChar w:fldCharType="end"/>
      </w:r>
      <w:r w:rsidR="000B5D46" w:rsidRPr="00217865">
        <w:rPr>
          <w:rFonts w:cs="Arial"/>
          <w:color w:val="000000" w:themeColor="text1"/>
          <w:sz w:val="18"/>
          <w:szCs w:val="18"/>
        </w:rPr>
        <w:t xml:space="preserve"> Appendix 2 </w:t>
      </w:r>
      <w:r w:rsidR="000B5D46" w:rsidRPr="00217865">
        <w:rPr>
          <w:rFonts w:cs="Arial"/>
          <w:color w:val="000000" w:themeColor="text1"/>
          <w:sz w:val="18"/>
          <w:szCs w:val="18"/>
        </w:rPr>
        <w:fldChar w:fldCharType="begin"/>
      </w:r>
      <w:r w:rsidR="000B5D46" w:rsidRPr="00217865">
        <w:rPr>
          <w:rFonts w:cs="Arial"/>
          <w:color w:val="000000" w:themeColor="text1"/>
          <w:sz w:val="18"/>
          <w:szCs w:val="18"/>
        </w:rPr>
        <w:instrText xml:space="preserve"> REF _Ref167179143 \w \h </w:instrText>
      </w:r>
      <w:r w:rsidR="00A6216F" w:rsidRPr="00217865">
        <w:rPr>
          <w:rFonts w:cs="Arial"/>
          <w:color w:val="000000" w:themeColor="text1"/>
          <w:sz w:val="18"/>
          <w:szCs w:val="18"/>
        </w:rPr>
        <w:instrText xml:space="preserve"> \* MERGEFORMAT </w:instrText>
      </w:r>
      <w:r w:rsidR="000B5D46" w:rsidRPr="00217865">
        <w:rPr>
          <w:rFonts w:cs="Arial"/>
          <w:color w:val="000000" w:themeColor="text1"/>
          <w:sz w:val="18"/>
          <w:szCs w:val="18"/>
        </w:rPr>
      </w:r>
      <w:r w:rsidR="000B5D46" w:rsidRPr="00217865">
        <w:rPr>
          <w:rFonts w:cs="Arial"/>
          <w:color w:val="000000" w:themeColor="text1"/>
          <w:sz w:val="18"/>
          <w:szCs w:val="18"/>
        </w:rPr>
        <w:fldChar w:fldCharType="separate"/>
      </w:r>
      <w:r w:rsidR="005D5678">
        <w:rPr>
          <w:rFonts w:cs="Arial"/>
          <w:color w:val="000000" w:themeColor="text1"/>
          <w:sz w:val="18"/>
          <w:szCs w:val="18"/>
        </w:rPr>
        <w:t>Appendix 2</w:t>
      </w:r>
      <w:r w:rsidR="000B5D46" w:rsidRPr="00217865">
        <w:rPr>
          <w:rFonts w:cs="Arial"/>
          <w:color w:val="000000" w:themeColor="text1"/>
          <w:sz w:val="18"/>
          <w:szCs w:val="18"/>
        </w:rPr>
        <w:fldChar w:fldCharType="end"/>
      </w:r>
      <w:r w:rsidR="000B5D46" w:rsidRPr="00217865">
        <w:rPr>
          <w:rFonts w:cs="Arial"/>
          <w:color w:val="000000" w:themeColor="text1"/>
          <w:sz w:val="18"/>
          <w:szCs w:val="18"/>
        </w:rPr>
        <w:t>‘</w:t>
      </w:r>
      <w:r w:rsidR="000B5D46" w:rsidRPr="00217865">
        <w:rPr>
          <w:rFonts w:cs="Arial"/>
          <w:color w:val="000000" w:themeColor="text1"/>
          <w:sz w:val="18"/>
          <w:szCs w:val="18"/>
        </w:rPr>
        <w:fldChar w:fldCharType="begin"/>
      </w:r>
      <w:r w:rsidR="000B5D46" w:rsidRPr="00217865">
        <w:rPr>
          <w:rFonts w:cs="Arial"/>
          <w:color w:val="000000" w:themeColor="text1"/>
          <w:sz w:val="18"/>
          <w:szCs w:val="18"/>
        </w:rPr>
        <w:instrText xml:space="preserve"> REF _Ref167179143 \h </w:instrText>
      </w:r>
      <w:r w:rsidR="00A6216F" w:rsidRPr="00217865">
        <w:rPr>
          <w:rFonts w:cs="Arial"/>
          <w:color w:val="000000" w:themeColor="text1"/>
          <w:sz w:val="18"/>
          <w:szCs w:val="18"/>
        </w:rPr>
        <w:instrText xml:space="preserve"> \* MERGEFORMAT </w:instrText>
      </w:r>
      <w:r w:rsidR="000B5D46" w:rsidRPr="00217865">
        <w:rPr>
          <w:rFonts w:cs="Arial"/>
          <w:color w:val="000000" w:themeColor="text1"/>
          <w:sz w:val="18"/>
          <w:szCs w:val="18"/>
        </w:rPr>
      </w:r>
      <w:r w:rsidR="000B5D46" w:rsidRPr="00217865">
        <w:rPr>
          <w:rFonts w:cs="Arial"/>
          <w:color w:val="000000" w:themeColor="text1"/>
          <w:sz w:val="18"/>
          <w:szCs w:val="18"/>
        </w:rPr>
        <w:fldChar w:fldCharType="separate"/>
      </w:r>
      <w:r w:rsidR="005D5678" w:rsidRPr="005D5678">
        <w:rPr>
          <w:rFonts w:cs="Arial"/>
          <w:color w:val="000000" w:themeColor="text1"/>
          <w:sz w:val="18"/>
          <w:szCs w:val="18"/>
        </w:rPr>
        <w:t xml:space="preserve">Review of the </w:t>
      </w:r>
      <w:proofErr w:type="spellStart"/>
      <w:r w:rsidR="005D5678" w:rsidRPr="005D5678">
        <w:rPr>
          <w:rFonts w:cs="Arial"/>
          <w:color w:val="000000" w:themeColor="text1"/>
          <w:sz w:val="18"/>
          <w:szCs w:val="18"/>
        </w:rPr>
        <w:t>SES</w:t>
      </w:r>
      <w:r w:rsidR="000B5D46" w:rsidRPr="00217865">
        <w:rPr>
          <w:rFonts w:cs="Arial"/>
          <w:color w:val="000000" w:themeColor="text1"/>
          <w:sz w:val="18"/>
          <w:szCs w:val="18"/>
        </w:rPr>
        <w:fldChar w:fldCharType="end"/>
      </w:r>
      <w:r w:rsidR="000B5D46" w:rsidRPr="00217865">
        <w:rPr>
          <w:rFonts w:cs="Arial"/>
          <w:color w:val="000000" w:themeColor="text1"/>
          <w:sz w:val="18"/>
          <w:szCs w:val="18"/>
        </w:rPr>
        <w:t>’</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\h </w:instrText>
      </w:r>
      <w:r w:rsidR="00A6216F"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sidRPr="00217865">
        <w:rPr>
          <w:rFonts w:cs="Arial"/>
          <w:color w:val="000000" w:themeColor="text1"/>
        </w:rPr>
        <w:t>Review</w:t>
      </w:r>
      <w:proofErr w:type="spellEnd"/>
      <w:r w:rsidR="005D5678" w:rsidRPr="00217865">
        <w:rPr>
          <w:rFonts w:cs="Arial"/>
          <w:color w:val="000000" w:themeColor="text1"/>
        </w:rPr>
        <w:t xml:space="preserve"> of the SES</w:t>
      </w:r>
      <w:r w:rsidRPr="00217865">
        <w:rPr>
          <w:rFonts w:cs="Arial"/>
          <w:color w:val="000000" w:themeColor="text1"/>
          <w:sz w:val="18"/>
          <w:szCs w:val="18"/>
        </w:rPr>
        <w:fldChar w:fldCharType="end"/>
      </w:r>
      <w:r w:rsidRPr="00217865">
        <w:rPr>
          <w:rFonts w:cs="Arial"/>
          <w:color w:val="000000" w:themeColor="text1"/>
          <w:sz w:val="18"/>
          <w:szCs w:val="18"/>
        </w:rPr>
        <w:t>.</w:t>
      </w:r>
    </w:p>
    <w:p w14:paraId="6E7CE93B" w14:textId="213D315F" w:rsidR="00B064BA" w:rsidRPr="00217865" w:rsidRDefault="00B064BA" w:rsidP="00821227">
      <w:pPr>
        <w:pStyle w:val="Body"/>
        <w:rPr>
          <w:rFonts w:cs="Arial"/>
          <w:color w:val="000000" w:themeColor="text1"/>
          <w:sz w:val="18"/>
          <w:szCs w:val="18"/>
          <w:highlight w:val="yellow"/>
        </w:rPr>
        <w:sectPr w:rsidR="00B064BA" w:rsidRPr="00217865" w:rsidSect="00A533FF">
          <w:headerReference w:type="default" r:id="rId21"/>
          <w:footerReference w:type="default" r:id="rId22"/>
          <w:pgSz w:w="16840" w:h="11900" w:orient="landscape"/>
          <w:pgMar w:top="710" w:right="852" w:bottom="560" w:left="994" w:header="397" w:footer="283" w:gutter="0"/>
          <w:cols w:space="708"/>
          <w:docGrid w:linePitch="360"/>
        </w:sectPr>
      </w:pPr>
    </w:p>
    <w:p w14:paraId="632C1D82" w14:textId="5E9A1E4D" w:rsidR="00B064BA" w:rsidRPr="00217865" w:rsidRDefault="00B064BA" w:rsidP="00B064BA">
      <w:pPr>
        <w:pStyle w:val="Caption"/>
        <w:rPr>
          <w:color w:val="000000" w:themeColor="text1"/>
        </w:rPr>
      </w:pPr>
      <w:bookmarkStart w:id="18" w:name="_Ref169549592"/>
      <w:bookmarkStart w:id="19" w:name="_Toc208242359"/>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2</w:t>
      </w:r>
      <w:r w:rsidR="001706E8" w:rsidRPr="00217865">
        <w:rPr>
          <w:noProof/>
          <w:color w:val="000000" w:themeColor="text1"/>
        </w:rPr>
        <w:fldChar w:fldCharType="end"/>
      </w:r>
      <w:bookmarkEnd w:id="18"/>
      <w:r w:rsidR="007624C4">
        <w:rPr>
          <w:color w:val="000000" w:themeColor="text1"/>
        </w:rPr>
        <w:tab/>
      </w:r>
      <w:r w:rsidRPr="00217865">
        <w:rPr>
          <w:color w:val="000000" w:themeColor="text1"/>
        </w:rPr>
        <w:t>The international postgraduate coursework student experience, 2017-2023 (% positive rating)</w:t>
      </w:r>
      <w:bookmarkEnd w:id="19"/>
    </w:p>
    <w:p w14:paraId="3A698060" w14:textId="51491A6C" w:rsidR="00B05316" w:rsidRPr="00217865" w:rsidRDefault="00CF0C36" w:rsidP="00B05316">
      <w:pPr>
        <w:pStyle w:val="Body"/>
        <w:rPr>
          <w:rStyle w:val="FigureNoteChar"/>
          <w:rFonts w:cs="Arial"/>
          <w:color w:val="000000" w:themeColor="text1"/>
          <w:sz w:val="18"/>
          <w:szCs w:val="22"/>
        </w:rPr>
      </w:pPr>
      <w:r w:rsidRPr="00217865">
        <w:rPr>
          <w:rFonts w:cs="Arial"/>
          <w:noProof/>
          <w:color w:val="000000" w:themeColor="text1"/>
        </w:rPr>
        <w:t xml:space="preserve"> </w:t>
      </w:r>
      <w:r w:rsidRPr="00217865">
        <w:rPr>
          <w:rFonts w:cs="Arial"/>
          <w:noProof/>
          <w:color w:val="000000" w:themeColor="text1"/>
        </w:rPr>
        <w:drawing>
          <wp:inline distT="0" distB="0" distL="0" distR="0" wp14:anchorId="79622A80" wp14:editId="3A3E61EC">
            <wp:extent cx="9521190" cy="5146040"/>
            <wp:effectExtent l="0" t="0" r="3810" b="0"/>
            <wp:docPr id="157246935" name="Chart 1">
              <a:extLst xmlns:a="http://schemas.openxmlformats.org/drawingml/2006/main">
                <a:ext uri="{FF2B5EF4-FFF2-40B4-BE49-F238E27FC236}">
                  <a16:creationId xmlns:a16="http://schemas.microsoft.com/office/drawing/2014/main" id="{DE445D25-BEB8-4344-8083-E06F644EA74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05316" w:rsidRPr="00217865">
        <w:rPr>
          <w:rStyle w:val="FigureNoteChar"/>
          <w:rFonts w:cs="Arial"/>
          <w:color w:val="000000" w:themeColor="text1"/>
        </w:rPr>
        <w:t xml:space="preserve"> </w:t>
      </w:r>
      <w:r w:rsidR="00B05316" w:rsidRPr="00217865">
        <w:rPr>
          <w:rStyle w:val="FigureNoteChar"/>
          <w:rFonts w:cs="Arial"/>
          <w:color w:val="000000" w:themeColor="text1"/>
          <w:sz w:val="18"/>
          <w:szCs w:val="22"/>
        </w:rPr>
        <w:t xml:space="preserve">Source: The </w:t>
      </w:r>
      <w:r w:rsidR="00D76522" w:rsidRPr="00217865">
        <w:rPr>
          <w:rStyle w:val="FigureNoteChar"/>
          <w:rFonts w:cs="Arial"/>
          <w:color w:val="000000" w:themeColor="text1"/>
          <w:sz w:val="18"/>
          <w:szCs w:val="22"/>
        </w:rPr>
        <w:t xml:space="preserve">FOCUS_PGC_ALL_17-YY_YEAR </w:t>
      </w:r>
      <w:r w:rsidR="00B05316" w:rsidRPr="00217865">
        <w:rPr>
          <w:rStyle w:val="FigureNoteChar"/>
          <w:rFonts w:cs="Arial"/>
          <w:color w:val="000000" w:themeColor="text1"/>
          <w:sz w:val="18"/>
          <w:szCs w:val="22"/>
        </w:rPr>
        <w:t xml:space="preserve">worksheet in the 2023 SES </w:t>
      </w:r>
      <w:r w:rsidR="00D76522" w:rsidRPr="00217865">
        <w:rPr>
          <w:rStyle w:val="FigureNoteChar"/>
          <w:rFonts w:cs="Arial"/>
          <w:color w:val="000000" w:themeColor="text1"/>
          <w:sz w:val="18"/>
          <w:szCs w:val="22"/>
        </w:rPr>
        <w:t>Intern</w:t>
      </w:r>
      <w:r w:rsidR="00B05316" w:rsidRPr="00217865">
        <w:rPr>
          <w:rStyle w:val="FigureNoteChar"/>
          <w:rFonts w:cs="Arial"/>
          <w:color w:val="000000" w:themeColor="text1"/>
          <w:sz w:val="18"/>
          <w:szCs w:val="22"/>
        </w:rPr>
        <w:t>ational Report Tables available on the QILT website.</w:t>
      </w:r>
    </w:p>
    <w:p w14:paraId="7C6EC075" w14:textId="3B60046B" w:rsidR="00B05316" w:rsidRPr="00217865" w:rsidRDefault="00B05316" w:rsidP="00B05316">
      <w:pPr>
        <w:pStyle w:val="FigureNote"/>
        <w:rPr>
          <w:rFonts w:cs="Arial"/>
          <w:color w:val="000000" w:themeColor="text1"/>
          <w:sz w:val="18"/>
          <w:szCs w:val="24"/>
        </w:rPr>
      </w:pPr>
      <w:r w:rsidRPr="00217865">
        <w:rPr>
          <w:rFonts w:cs="Arial"/>
          <w:color w:val="000000" w:themeColor="text1"/>
          <w:sz w:val="18"/>
          <w:szCs w:val="24"/>
        </w:rPr>
        <w:t xml:space="preserve">Note that the dotted lines between 2022 and 2023 indicate the change in underlying items of the Peer Engagement and Student Support and Services focus areas. </w:t>
      </w:r>
      <w:r w:rsidRPr="00217865">
        <w:rPr>
          <w:rStyle w:val="ui-provider"/>
          <w:rFonts w:cs="Arial"/>
          <w:color w:val="000000" w:themeColor="text1"/>
          <w:sz w:val="18"/>
          <w:szCs w:val="24"/>
        </w:rPr>
        <w:t>When comparing year-on-year changes, it is recommended that modifications to underlying questionnaire items be taken into consideration when interpreting results.</w:t>
      </w:r>
      <w:r w:rsidRPr="00217865">
        <w:rPr>
          <w:rFonts w:cs="Arial"/>
          <w:color w:val="000000" w:themeColor="text1"/>
          <w:sz w:val="18"/>
          <w:szCs w:val="24"/>
        </w:rPr>
        <w:t xml:space="preserve"> For more information about these changes, refer to </w:t>
      </w:r>
      <w:r w:rsidR="00262FF6" w:rsidRPr="00217865">
        <w:rPr>
          <w:rFonts w:cs="Arial"/>
          <w:color w:val="000000" w:themeColor="text1"/>
          <w:sz w:val="18"/>
          <w:szCs w:val="24"/>
        </w:rPr>
        <w:t xml:space="preserve">Appendix 2 </w:t>
      </w:r>
      <w:r w:rsidR="00262FF6" w:rsidRPr="00217865">
        <w:rPr>
          <w:rFonts w:cs="Arial"/>
          <w:color w:val="000000" w:themeColor="text1"/>
          <w:sz w:val="18"/>
          <w:szCs w:val="24"/>
        </w:rPr>
        <w:fldChar w:fldCharType="begin"/>
      </w:r>
      <w:r w:rsidR="00262FF6" w:rsidRPr="00217865">
        <w:rPr>
          <w:rFonts w:cs="Arial"/>
          <w:color w:val="000000" w:themeColor="text1"/>
          <w:sz w:val="18"/>
          <w:szCs w:val="24"/>
        </w:rPr>
        <w:instrText xml:space="preserve"> REF _Ref167179143 \w \h </w:instrText>
      </w:r>
      <w:r w:rsidR="00A6216F" w:rsidRPr="00217865">
        <w:rPr>
          <w:rFonts w:cs="Arial"/>
          <w:color w:val="000000" w:themeColor="text1"/>
          <w:sz w:val="18"/>
          <w:szCs w:val="24"/>
        </w:rPr>
        <w:instrText xml:space="preserve"> \* MERGEFORMAT </w:instrText>
      </w:r>
      <w:r w:rsidR="00262FF6" w:rsidRPr="00217865">
        <w:rPr>
          <w:rFonts w:cs="Arial"/>
          <w:color w:val="000000" w:themeColor="text1"/>
          <w:sz w:val="18"/>
          <w:szCs w:val="24"/>
        </w:rPr>
      </w:r>
      <w:r w:rsidR="00262FF6" w:rsidRPr="00217865">
        <w:rPr>
          <w:rFonts w:cs="Arial"/>
          <w:color w:val="000000" w:themeColor="text1"/>
          <w:sz w:val="18"/>
          <w:szCs w:val="24"/>
        </w:rPr>
        <w:fldChar w:fldCharType="separate"/>
      </w:r>
      <w:r w:rsidR="005D5678">
        <w:rPr>
          <w:rFonts w:cs="Arial"/>
          <w:color w:val="000000" w:themeColor="text1"/>
          <w:sz w:val="18"/>
          <w:szCs w:val="24"/>
        </w:rPr>
        <w:t>Appendix 2</w:t>
      </w:r>
      <w:r w:rsidR="00262FF6" w:rsidRPr="00217865">
        <w:rPr>
          <w:rFonts w:cs="Arial"/>
          <w:color w:val="000000" w:themeColor="text1"/>
          <w:sz w:val="18"/>
          <w:szCs w:val="24"/>
        </w:rPr>
        <w:fldChar w:fldCharType="end"/>
      </w:r>
      <w:r w:rsidR="00262FF6" w:rsidRPr="00217865">
        <w:rPr>
          <w:rFonts w:cs="Arial"/>
          <w:color w:val="000000" w:themeColor="text1"/>
          <w:sz w:val="18"/>
          <w:szCs w:val="24"/>
        </w:rPr>
        <w:t>‘</w:t>
      </w:r>
      <w:r w:rsidRPr="00217865">
        <w:rPr>
          <w:rFonts w:cs="Arial"/>
          <w:color w:val="000000" w:themeColor="text1"/>
          <w:sz w:val="18"/>
          <w:szCs w:val="24"/>
        </w:rPr>
        <w:fldChar w:fldCharType="begin"/>
      </w:r>
      <w:r w:rsidRPr="00217865">
        <w:rPr>
          <w:rFonts w:cs="Arial"/>
          <w:color w:val="000000" w:themeColor="text1"/>
          <w:sz w:val="18"/>
          <w:szCs w:val="24"/>
        </w:rPr>
        <w:instrText xml:space="preserve"> REF _Ref167179143 \h </w:instrText>
      </w:r>
      <w:r w:rsidR="00A6216F" w:rsidRPr="00217865">
        <w:rPr>
          <w:rFonts w:cs="Arial"/>
          <w:color w:val="000000" w:themeColor="text1"/>
          <w:sz w:val="18"/>
          <w:szCs w:val="24"/>
        </w:rPr>
        <w:instrText xml:space="preserve"> \* MERGEFORMAT </w:instrText>
      </w:r>
      <w:r w:rsidRPr="00217865">
        <w:rPr>
          <w:rFonts w:cs="Arial"/>
          <w:color w:val="000000" w:themeColor="text1"/>
          <w:sz w:val="18"/>
          <w:szCs w:val="24"/>
        </w:rPr>
      </w:r>
      <w:r w:rsidRPr="00217865">
        <w:rPr>
          <w:rFonts w:cs="Arial"/>
          <w:color w:val="000000" w:themeColor="text1"/>
          <w:sz w:val="18"/>
          <w:szCs w:val="24"/>
        </w:rPr>
        <w:fldChar w:fldCharType="separate"/>
      </w:r>
      <w:r w:rsidR="005D5678" w:rsidRPr="005D5678">
        <w:rPr>
          <w:rFonts w:cs="Arial"/>
          <w:color w:val="000000" w:themeColor="text1"/>
          <w:sz w:val="18"/>
          <w:szCs w:val="24"/>
        </w:rPr>
        <w:t>Review of the SES</w:t>
      </w:r>
      <w:r w:rsidRPr="00217865">
        <w:rPr>
          <w:rFonts w:cs="Arial"/>
          <w:color w:val="000000" w:themeColor="text1"/>
          <w:sz w:val="18"/>
          <w:szCs w:val="24"/>
        </w:rPr>
        <w:fldChar w:fldCharType="end"/>
      </w:r>
      <w:r w:rsidR="00262FF6" w:rsidRPr="00217865">
        <w:rPr>
          <w:rFonts w:cs="Arial"/>
          <w:color w:val="000000" w:themeColor="text1"/>
          <w:sz w:val="18"/>
          <w:szCs w:val="24"/>
        </w:rPr>
        <w:t>’</w:t>
      </w:r>
      <w:r w:rsidRPr="00217865">
        <w:rPr>
          <w:rFonts w:cs="Arial"/>
          <w:color w:val="000000" w:themeColor="text1"/>
          <w:sz w:val="18"/>
          <w:szCs w:val="24"/>
        </w:rPr>
        <w:t>.</w:t>
      </w:r>
    </w:p>
    <w:p w14:paraId="66E61A9E" w14:textId="3FDA43B0" w:rsidR="00821227" w:rsidRPr="00217865" w:rsidRDefault="00821227" w:rsidP="00821227">
      <w:pPr>
        <w:pStyle w:val="Body"/>
        <w:rPr>
          <w:rFonts w:cs="Arial"/>
          <w:color w:val="000000" w:themeColor="text1"/>
          <w:highlight w:val="yellow"/>
        </w:rPr>
        <w:sectPr w:rsidR="00821227" w:rsidRPr="00217865" w:rsidSect="00A533FF">
          <w:pgSz w:w="16840" w:h="11900" w:orient="landscape"/>
          <w:pgMar w:top="710" w:right="852" w:bottom="560" w:left="994" w:header="397" w:footer="283" w:gutter="0"/>
          <w:cols w:space="708"/>
          <w:docGrid w:linePitch="360"/>
        </w:sectPr>
      </w:pPr>
    </w:p>
    <w:p w14:paraId="2497FAAA" w14:textId="2B64B516" w:rsidR="00821227" w:rsidRPr="00217865" w:rsidRDefault="00890892" w:rsidP="00E06AED">
      <w:pPr>
        <w:pStyle w:val="Heading2"/>
      </w:pPr>
      <w:bookmarkStart w:id="20" w:name="_Toc178599282"/>
      <w:r w:rsidRPr="00217865">
        <w:lastRenderedPageBreak/>
        <w:t>Domestic student comparison</w:t>
      </w:r>
      <w:bookmarkEnd w:id="20"/>
    </w:p>
    <w:p w14:paraId="0588F4C1" w14:textId="624A071C" w:rsidR="00D1119F" w:rsidRPr="00217865" w:rsidRDefault="00D1119F" w:rsidP="00821227">
      <w:pPr>
        <w:pStyle w:val="Body"/>
        <w:rPr>
          <w:rFonts w:cs="Arial"/>
          <w:color w:val="000000" w:themeColor="text1"/>
        </w:rPr>
      </w:pPr>
      <w:r w:rsidRPr="00217865">
        <w:rPr>
          <w:rFonts w:cs="Arial"/>
          <w:color w:val="000000" w:themeColor="text1"/>
        </w:rPr>
        <w:t>In general, international ratings across all focus areas other than the overall educational experience have overtaken ratings by domestic students in 2022 and 2023 at both undergraduate and postgraduate coursework level</w:t>
      </w:r>
      <w:r w:rsidR="007F23BA" w:rsidRPr="00217865">
        <w:rPr>
          <w:rFonts w:cs="Arial"/>
          <w:color w:val="000000" w:themeColor="text1"/>
        </w:rPr>
        <w:t>s</w:t>
      </w:r>
      <w:r w:rsidRPr="00217865">
        <w:rPr>
          <w:rFonts w:cs="Arial"/>
          <w:color w:val="000000" w:themeColor="text1"/>
        </w:rPr>
        <w:t>.</w:t>
      </w:r>
    </w:p>
    <w:p w14:paraId="7578085F" w14:textId="39A3CE80" w:rsidR="00821227" w:rsidRPr="00217865" w:rsidRDefault="00821227" w:rsidP="00821227">
      <w:pPr>
        <w:pStyle w:val="Body"/>
        <w:rPr>
          <w:rFonts w:cs="Arial"/>
          <w:color w:val="000000" w:themeColor="text1"/>
        </w:rPr>
      </w:pPr>
      <w:r w:rsidRPr="00217865">
        <w:rPr>
          <w:rFonts w:cs="Arial"/>
          <w:color w:val="000000" w:themeColor="text1"/>
        </w:rPr>
        <w:t>Prior to 2020, international undergraduate student ratings of the Quality of entire educational experience had been lower than those of domestic students by around 4 to 5 percentage points.</w:t>
      </w:r>
      <w:r w:rsidRPr="00217865" w:rsidDel="00F11DB9">
        <w:rPr>
          <w:rFonts w:cs="Arial"/>
          <w:color w:val="000000" w:themeColor="text1"/>
        </w:rPr>
        <w:t xml:space="preserve"> </w:t>
      </w:r>
      <w:r w:rsidRPr="00217865">
        <w:rPr>
          <w:rFonts w:cs="Arial"/>
          <w:color w:val="000000" w:themeColor="text1"/>
        </w:rPr>
        <w:t xml:space="preserve">In 2020, this gap widened further as domestic student ratings decreased by 9.1 percentage points, while international student ratings decreased by 12.3 percentage points. In 2021, </w:t>
      </w:r>
      <w:r w:rsidR="00573E21" w:rsidRPr="00217865">
        <w:rPr>
          <w:rFonts w:cs="Arial"/>
          <w:color w:val="000000" w:themeColor="text1"/>
        </w:rPr>
        <w:t xml:space="preserve">undergraduate </w:t>
      </w:r>
      <w:r w:rsidR="000B5E9F" w:rsidRPr="00217865">
        <w:rPr>
          <w:rFonts w:cs="Arial"/>
          <w:color w:val="000000" w:themeColor="text1"/>
        </w:rPr>
        <w:t xml:space="preserve">international </w:t>
      </w:r>
      <w:r w:rsidRPr="00217865">
        <w:rPr>
          <w:rFonts w:cs="Arial"/>
          <w:color w:val="000000" w:themeColor="text1"/>
        </w:rPr>
        <w:t>and domestic student ratings of the Quality of entire educational experience increased by 4.2 and 4.1 percentage points respectively. Student ratings of the Quality of entire educational experience increased further in 2022 and 2023 for both international and domestic students, narrowing the gap in ratings to</w:t>
      </w:r>
      <w:r w:rsidR="00F26AE0" w:rsidRPr="00217865">
        <w:rPr>
          <w:rFonts w:cs="Arial"/>
          <w:color w:val="000000" w:themeColor="text1"/>
        </w:rPr>
        <w:t xml:space="preserve"> 1.1 percentage points which is</w:t>
      </w:r>
      <w:r w:rsidRPr="00217865">
        <w:rPr>
          <w:rFonts w:cs="Arial"/>
          <w:color w:val="000000" w:themeColor="text1"/>
        </w:rPr>
        <w:t xml:space="preserve"> the closest they have been</w:t>
      </w:r>
      <w:r w:rsidR="00573E21" w:rsidRPr="00217865">
        <w:rPr>
          <w:rFonts w:cs="Arial"/>
          <w:color w:val="000000" w:themeColor="text1"/>
        </w:rPr>
        <w:t xml:space="preserve"> since the inception of the SES</w:t>
      </w:r>
      <w:r w:rsidRPr="00217865">
        <w:rPr>
          <w:rFonts w:cs="Arial"/>
          <w:color w:val="000000" w:themeColor="text1"/>
        </w:rPr>
        <w:t xml:space="preserve">. </w:t>
      </w:r>
      <w:r w:rsidR="00573E21" w:rsidRPr="00217865">
        <w:rPr>
          <w:rFonts w:cs="Arial"/>
          <w:color w:val="000000" w:themeColor="text1"/>
        </w:rPr>
        <w:t xml:space="preserve">This pattern has been similar for postgraduate coursework students where the </w:t>
      </w:r>
      <w:r w:rsidR="008D0C3C" w:rsidRPr="00217865">
        <w:rPr>
          <w:rFonts w:cs="Arial"/>
          <w:color w:val="000000" w:themeColor="text1"/>
        </w:rPr>
        <w:t xml:space="preserve">gap in </w:t>
      </w:r>
      <w:r w:rsidR="00573E21" w:rsidRPr="00217865">
        <w:rPr>
          <w:rFonts w:cs="Arial"/>
          <w:color w:val="000000" w:themeColor="text1"/>
        </w:rPr>
        <w:t xml:space="preserve">ratings of domestic and international students </w:t>
      </w:r>
      <w:r w:rsidR="008D0C3C" w:rsidRPr="00217865">
        <w:rPr>
          <w:rFonts w:cs="Arial"/>
          <w:color w:val="000000" w:themeColor="text1"/>
        </w:rPr>
        <w:t xml:space="preserve">narrowed </w:t>
      </w:r>
      <w:r w:rsidR="00772BDC" w:rsidRPr="00217865">
        <w:rPr>
          <w:rFonts w:cs="Arial"/>
          <w:color w:val="000000" w:themeColor="text1"/>
        </w:rPr>
        <w:t>between 2021 and 2023</w:t>
      </w:r>
      <w:r w:rsidR="008657CE" w:rsidRPr="00217865">
        <w:rPr>
          <w:rFonts w:cs="Arial"/>
          <w:color w:val="000000" w:themeColor="text1"/>
        </w:rPr>
        <w:t>.</w:t>
      </w:r>
    </w:p>
    <w:p w14:paraId="406D3F3D" w14:textId="575658E5" w:rsidR="00BB63F9" w:rsidRPr="00217865" w:rsidRDefault="00821227" w:rsidP="00821227">
      <w:pPr>
        <w:pStyle w:val="Body"/>
        <w:rPr>
          <w:rFonts w:cs="Arial"/>
          <w:color w:val="000000" w:themeColor="text1"/>
        </w:rPr>
      </w:pPr>
      <w:r w:rsidRPr="00217865">
        <w:rPr>
          <w:rFonts w:cs="Arial"/>
          <w:color w:val="000000" w:themeColor="text1"/>
        </w:rPr>
        <w:t xml:space="preserve">The focus area with the largest drop in </w:t>
      </w:r>
      <w:r w:rsidR="008D0C3C" w:rsidRPr="00217865">
        <w:rPr>
          <w:rFonts w:cs="Arial"/>
          <w:color w:val="000000" w:themeColor="text1"/>
        </w:rPr>
        <w:t xml:space="preserve">undergraduate </w:t>
      </w:r>
      <w:r w:rsidR="00F26AE0" w:rsidRPr="00217865">
        <w:rPr>
          <w:rFonts w:cs="Arial"/>
          <w:color w:val="000000" w:themeColor="text1"/>
        </w:rPr>
        <w:t xml:space="preserve">international student </w:t>
      </w:r>
      <w:r w:rsidRPr="00217865">
        <w:rPr>
          <w:rFonts w:cs="Arial"/>
          <w:color w:val="000000" w:themeColor="text1"/>
        </w:rPr>
        <w:t xml:space="preserve">ratings </w:t>
      </w:r>
      <w:r w:rsidR="008D0C3C" w:rsidRPr="00217865">
        <w:rPr>
          <w:rFonts w:cs="Arial"/>
          <w:color w:val="000000" w:themeColor="text1"/>
        </w:rPr>
        <w:t>from 2019 to</w:t>
      </w:r>
      <w:r w:rsidRPr="00217865">
        <w:rPr>
          <w:rFonts w:cs="Arial"/>
          <w:color w:val="000000" w:themeColor="text1"/>
        </w:rPr>
        <w:t xml:space="preserve"> 2020 was Learning Resources, which </w:t>
      </w:r>
      <w:r w:rsidR="00F26AE0" w:rsidRPr="00217865">
        <w:rPr>
          <w:rFonts w:cs="Arial"/>
          <w:color w:val="000000" w:themeColor="text1"/>
        </w:rPr>
        <w:t xml:space="preserve">saw a </w:t>
      </w:r>
      <w:r w:rsidRPr="00217865">
        <w:rPr>
          <w:rFonts w:cs="Arial"/>
          <w:color w:val="000000" w:themeColor="text1"/>
        </w:rPr>
        <w:t xml:space="preserve">much higher </w:t>
      </w:r>
      <w:r w:rsidR="00F26AE0" w:rsidRPr="00217865">
        <w:rPr>
          <w:rFonts w:cs="Arial"/>
          <w:color w:val="000000" w:themeColor="text1"/>
        </w:rPr>
        <w:t xml:space="preserve">drop than </w:t>
      </w:r>
      <w:r w:rsidR="008D0C3C" w:rsidRPr="00217865">
        <w:rPr>
          <w:rFonts w:cs="Arial"/>
          <w:color w:val="000000" w:themeColor="text1"/>
        </w:rPr>
        <w:t xml:space="preserve">for </w:t>
      </w:r>
      <w:r w:rsidRPr="00217865">
        <w:rPr>
          <w:rFonts w:cs="Arial"/>
          <w:color w:val="000000" w:themeColor="text1"/>
        </w:rPr>
        <w:t>domestic undergraduate</w:t>
      </w:r>
      <w:r w:rsidR="008D0C3C" w:rsidRPr="00217865">
        <w:rPr>
          <w:rFonts w:cs="Arial"/>
          <w:color w:val="000000" w:themeColor="text1"/>
        </w:rPr>
        <w:t>s</w:t>
      </w:r>
      <w:r w:rsidR="000B5E9F" w:rsidRPr="00217865">
        <w:rPr>
          <w:rFonts w:cs="Arial"/>
          <w:color w:val="000000" w:themeColor="text1"/>
        </w:rPr>
        <w:t>,</w:t>
      </w:r>
      <w:r w:rsidRPr="00217865">
        <w:rPr>
          <w:rFonts w:cs="Arial"/>
          <w:color w:val="000000" w:themeColor="text1"/>
        </w:rPr>
        <w:t xml:space="preserve"> </w:t>
      </w:r>
      <w:r w:rsidR="000B5E9F" w:rsidRPr="00217865">
        <w:rPr>
          <w:rFonts w:cs="Arial"/>
          <w:color w:val="000000" w:themeColor="text1"/>
        </w:rPr>
        <w:t>decreasing by</w:t>
      </w:r>
      <w:r w:rsidR="00F26AE0" w:rsidRPr="00217865">
        <w:rPr>
          <w:rFonts w:cs="Arial"/>
          <w:color w:val="000000" w:themeColor="text1"/>
        </w:rPr>
        <w:t xml:space="preserve"> 11.4 percentage points compared with </w:t>
      </w:r>
      <w:r w:rsidR="001F1FCD" w:rsidRPr="00217865">
        <w:rPr>
          <w:rFonts w:cs="Arial"/>
          <w:color w:val="000000" w:themeColor="text1"/>
        </w:rPr>
        <w:t>6.8 for domestic students</w:t>
      </w:r>
      <w:r w:rsidRPr="00217865">
        <w:rPr>
          <w:rFonts w:cs="Arial"/>
          <w:color w:val="000000" w:themeColor="text1"/>
        </w:rPr>
        <w:t xml:space="preserve">. While ratings </w:t>
      </w:r>
      <w:r w:rsidR="001F1FCD" w:rsidRPr="00217865">
        <w:rPr>
          <w:rFonts w:cs="Arial"/>
          <w:color w:val="000000" w:themeColor="text1"/>
        </w:rPr>
        <w:t xml:space="preserve">have </w:t>
      </w:r>
      <w:r w:rsidRPr="00217865">
        <w:rPr>
          <w:rFonts w:cs="Arial"/>
          <w:color w:val="000000" w:themeColor="text1"/>
        </w:rPr>
        <w:t xml:space="preserve">increased for domestic undergraduate students in the past three consecutive years, international undergraduate students </w:t>
      </w:r>
      <w:r w:rsidR="000B5E9F" w:rsidRPr="00217865">
        <w:rPr>
          <w:rFonts w:cs="Arial"/>
          <w:color w:val="000000" w:themeColor="text1"/>
        </w:rPr>
        <w:t>overtook</w:t>
      </w:r>
      <w:r w:rsidR="001F1FCD" w:rsidRPr="00217865">
        <w:rPr>
          <w:rFonts w:cs="Arial"/>
          <w:color w:val="000000" w:themeColor="text1"/>
        </w:rPr>
        <w:t xml:space="preserve"> </w:t>
      </w:r>
      <w:r w:rsidRPr="00217865">
        <w:rPr>
          <w:rFonts w:cs="Arial"/>
          <w:color w:val="000000" w:themeColor="text1"/>
        </w:rPr>
        <w:t>domestic student ratings</w:t>
      </w:r>
      <w:r w:rsidR="008D0C3C" w:rsidRPr="00217865">
        <w:rPr>
          <w:rFonts w:cs="Arial"/>
          <w:color w:val="000000" w:themeColor="text1"/>
        </w:rPr>
        <w:t xml:space="preserve"> of Learning Resources</w:t>
      </w:r>
      <w:r w:rsidRPr="00217865">
        <w:rPr>
          <w:rFonts w:cs="Arial"/>
          <w:color w:val="000000" w:themeColor="text1"/>
        </w:rPr>
        <w:t xml:space="preserve"> between 2022 and 2023. </w:t>
      </w:r>
    </w:p>
    <w:p w14:paraId="21BE5083" w14:textId="7BEFE7E8" w:rsidR="00821227" w:rsidRPr="00217865" w:rsidRDefault="000B5E9F" w:rsidP="00821227">
      <w:pPr>
        <w:pStyle w:val="Body"/>
        <w:rPr>
          <w:rFonts w:cs="Arial"/>
          <w:color w:val="000000" w:themeColor="text1"/>
        </w:rPr>
      </w:pPr>
      <w:r w:rsidRPr="00217865">
        <w:rPr>
          <w:rFonts w:cs="Arial"/>
          <w:color w:val="000000" w:themeColor="text1"/>
        </w:rPr>
        <w:t>T</w:t>
      </w:r>
      <w:r w:rsidR="003C691B" w:rsidRPr="00217865">
        <w:rPr>
          <w:rFonts w:cs="Arial"/>
          <w:color w:val="000000" w:themeColor="text1"/>
        </w:rPr>
        <w:t xml:space="preserve">he drop </w:t>
      </w:r>
      <w:r w:rsidRPr="00217865">
        <w:rPr>
          <w:rFonts w:cs="Arial"/>
          <w:color w:val="000000" w:themeColor="text1"/>
        </w:rPr>
        <w:t xml:space="preserve">in positive ratings of Learning Resources </w:t>
      </w:r>
      <w:r w:rsidR="003C691B" w:rsidRPr="00217865">
        <w:rPr>
          <w:rFonts w:cs="Arial"/>
          <w:color w:val="000000" w:themeColor="text1"/>
        </w:rPr>
        <w:t>f</w:t>
      </w:r>
      <w:r w:rsidRPr="00217865">
        <w:rPr>
          <w:rFonts w:cs="Arial"/>
          <w:color w:val="000000" w:themeColor="text1"/>
        </w:rPr>
        <w:t>rom</w:t>
      </w:r>
      <w:r w:rsidR="003C691B" w:rsidRPr="00217865">
        <w:rPr>
          <w:rFonts w:cs="Arial"/>
          <w:color w:val="000000" w:themeColor="text1"/>
        </w:rPr>
        <w:t xml:space="preserve"> postgraduate coursework students</w:t>
      </w:r>
      <w:r w:rsidR="0052380E" w:rsidRPr="00217865">
        <w:rPr>
          <w:rFonts w:cs="Arial"/>
          <w:color w:val="000000" w:themeColor="text1"/>
        </w:rPr>
        <w:t xml:space="preserve"> between 2019 and 2020</w:t>
      </w:r>
      <w:r w:rsidR="003C691B" w:rsidRPr="00217865">
        <w:rPr>
          <w:rFonts w:cs="Arial"/>
          <w:color w:val="000000" w:themeColor="text1"/>
        </w:rPr>
        <w:t xml:space="preserve"> was </w:t>
      </w:r>
      <w:r w:rsidR="0052380E" w:rsidRPr="00217865">
        <w:rPr>
          <w:rFonts w:cs="Arial"/>
          <w:color w:val="000000" w:themeColor="text1"/>
        </w:rPr>
        <w:t>similarly large</w:t>
      </w:r>
      <w:r w:rsidR="003C691B" w:rsidRPr="00217865">
        <w:rPr>
          <w:rFonts w:cs="Arial"/>
          <w:color w:val="000000" w:themeColor="text1"/>
        </w:rPr>
        <w:t xml:space="preserve">, </w:t>
      </w:r>
      <w:r w:rsidR="0052380E" w:rsidRPr="00217865">
        <w:rPr>
          <w:rFonts w:cs="Arial"/>
          <w:color w:val="000000" w:themeColor="text1"/>
        </w:rPr>
        <w:t>with a decrease of 13.2 percentage points</w:t>
      </w:r>
      <w:r w:rsidR="00FE3AE0" w:rsidRPr="00217865">
        <w:rPr>
          <w:rFonts w:cs="Arial"/>
          <w:color w:val="000000" w:themeColor="text1"/>
        </w:rPr>
        <w:t xml:space="preserve"> among international respondents and 4.7 percentage points among domestic respondents</w:t>
      </w:r>
      <w:r w:rsidRPr="00217865">
        <w:rPr>
          <w:rFonts w:cs="Arial"/>
          <w:color w:val="000000" w:themeColor="text1"/>
        </w:rPr>
        <w:t>.</w:t>
      </w:r>
      <w:r w:rsidR="003C691B" w:rsidRPr="00217865">
        <w:rPr>
          <w:rFonts w:cs="Arial"/>
          <w:color w:val="000000" w:themeColor="text1"/>
        </w:rPr>
        <w:t xml:space="preserve"> </w:t>
      </w:r>
      <w:r w:rsidR="000A6623" w:rsidRPr="00217865">
        <w:rPr>
          <w:rFonts w:cs="Arial"/>
          <w:color w:val="000000" w:themeColor="text1"/>
        </w:rPr>
        <w:t xml:space="preserve">However, </w:t>
      </w:r>
      <w:r w:rsidR="003C691B" w:rsidRPr="00217865">
        <w:rPr>
          <w:rFonts w:cs="Arial"/>
          <w:color w:val="000000" w:themeColor="text1"/>
        </w:rPr>
        <w:t xml:space="preserve">international </w:t>
      </w:r>
      <w:r w:rsidR="000A6623" w:rsidRPr="00217865">
        <w:rPr>
          <w:rFonts w:cs="Arial"/>
          <w:color w:val="000000" w:themeColor="text1"/>
        </w:rPr>
        <w:t xml:space="preserve">postgraduate coursework </w:t>
      </w:r>
      <w:r w:rsidR="003C691B" w:rsidRPr="00217865">
        <w:rPr>
          <w:rFonts w:cs="Arial"/>
          <w:color w:val="000000" w:themeColor="text1"/>
        </w:rPr>
        <w:t>student ratings rose well above those of domestic students by 5.7 percentage points in 2022 and again in 2023 to finish 8 percentage points higher.</w:t>
      </w:r>
    </w:p>
    <w:p w14:paraId="6B6FC434" w14:textId="40029D0F" w:rsidR="00BB63F9" w:rsidRPr="00217865" w:rsidRDefault="001A0C19" w:rsidP="001A0C19">
      <w:pPr>
        <w:pStyle w:val="Body"/>
        <w:rPr>
          <w:rFonts w:cs="Arial"/>
          <w:color w:val="000000" w:themeColor="text1"/>
        </w:rPr>
      </w:pPr>
      <w:r w:rsidRPr="00217865">
        <w:rPr>
          <w:rFonts w:cs="Arial"/>
          <w:color w:val="000000" w:themeColor="text1"/>
        </w:rPr>
        <w:t>The Learner Engagement focus area also saw a large drop in ratings between 2019 and 2020 for both domestic and international undergraduate students, as shown by</w:t>
      </w:r>
      <w:r w:rsidR="001D1384" w:rsidRPr="00217865">
        <w:rPr>
          <w:rFonts w:cs="Arial"/>
          <w:color w:val="000000" w:themeColor="text1"/>
        </w:rPr>
        <w:t xml:space="preserve"> </w:t>
      </w:r>
      <w:r w:rsidR="00257400" w:rsidRPr="002D5D30">
        <w:rPr>
          <w:rFonts w:cs="Arial"/>
          <w:b/>
          <w:bCs/>
          <w:color w:val="000000" w:themeColor="text1"/>
        </w:rPr>
        <w:fldChar w:fldCharType="begin"/>
      </w:r>
      <w:r w:rsidR="00257400" w:rsidRPr="002D5D30">
        <w:rPr>
          <w:rFonts w:cs="Arial"/>
          <w:b/>
          <w:bCs/>
          <w:color w:val="000000" w:themeColor="text1"/>
        </w:rPr>
        <w:instrText xml:space="preserve"> REF _Ref175646284 \h </w:instrText>
      </w:r>
      <w:r w:rsidR="00A6216F" w:rsidRPr="002D5D30">
        <w:rPr>
          <w:rFonts w:cs="Arial"/>
          <w:b/>
          <w:bCs/>
          <w:color w:val="000000" w:themeColor="text1"/>
        </w:rPr>
        <w:instrText xml:space="preserve"> \* MERGEFORMAT </w:instrText>
      </w:r>
      <w:r w:rsidR="00257400" w:rsidRPr="002D5D30">
        <w:rPr>
          <w:rFonts w:cs="Arial"/>
          <w:b/>
          <w:bCs/>
          <w:color w:val="000000" w:themeColor="text1"/>
        </w:rPr>
      </w:r>
      <w:r w:rsidR="00257400"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3</w:t>
      </w:r>
      <w:r w:rsidR="00257400" w:rsidRPr="002D5D30">
        <w:rPr>
          <w:rFonts w:cs="Arial"/>
          <w:b/>
          <w:bCs/>
          <w:color w:val="000000" w:themeColor="text1"/>
        </w:rPr>
        <w:fldChar w:fldCharType="end"/>
      </w:r>
      <w:r w:rsidRPr="00217865">
        <w:rPr>
          <w:rFonts w:cs="Arial"/>
          <w:color w:val="000000" w:themeColor="text1"/>
        </w:rPr>
        <w:t xml:space="preserve">. This change may be attributed to changes in delivery modes and campus access due to the COVID-19 pandemic. Despite ratings improving somewhat for domestic students between 2020 and 2021, they remained </w:t>
      </w:r>
      <w:r w:rsidR="001F1FCD" w:rsidRPr="00217865">
        <w:rPr>
          <w:rFonts w:cs="Arial"/>
          <w:color w:val="000000" w:themeColor="text1"/>
        </w:rPr>
        <w:t xml:space="preserve">almost </w:t>
      </w:r>
      <w:r w:rsidRPr="00217865">
        <w:rPr>
          <w:rFonts w:cs="Arial"/>
          <w:color w:val="000000" w:themeColor="text1"/>
        </w:rPr>
        <w:t>unchanged for international undergraduate students. This was</w:t>
      </w:r>
      <w:r w:rsidR="001F1FCD" w:rsidRPr="00217865">
        <w:rPr>
          <w:rFonts w:cs="Arial"/>
          <w:color w:val="000000" w:themeColor="text1"/>
        </w:rPr>
        <w:t xml:space="preserve"> likely</w:t>
      </w:r>
      <w:r w:rsidRPr="00217865">
        <w:rPr>
          <w:rFonts w:cs="Arial"/>
          <w:color w:val="000000" w:themeColor="text1"/>
        </w:rPr>
        <w:t xml:space="preserve"> due to the high proportion of international undergraduate students located overseas in 2021, limiting their opportunities to interact with other students during this period. In 2020, around 12.1 per cent of international undergraduate student responses were from students located outside Australia, rising to 33.9 per cent in 2021 and decreasing to 8.9 per cent in 2022</w:t>
      </w:r>
      <w:r w:rsidR="001F1FCD" w:rsidRPr="00217865">
        <w:rPr>
          <w:rFonts w:cs="Arial"/>
          <w:color w:val="000000" w:themeColor="text1"/>
        </w:rPr>
        <w:t xml:space="preserve"> and 3.3 per cent in 2023</w:t>
      </w:r>
      <w:r w:rsidRPr="00217865">
        <w:rPr>
          <w:rFonts w:cs="Arial"/>
          <w:color w:val="000000" w:themeColor="text1"/>
        </w:rPr>
        <w:t>. This</w:t>
      </w:r>
      <w:r w:rsidR="0039176A" w:rsidRPr="00217865">
        <w:rPr>
          <w:rFonts w:cs="Arial"/>
          <w:color w:val="000000" w:themeColor="text1"/>
        </w:rPr>
        <w:t xml:space="preserve"> pattern </w:t>
      </w:r>
      <w:r w:rsidR="00C26F99" w:rsidRPr="00217865">
        <w:rPr>
          <w:rFonts w:cs="Arial"/>
          <w:color w:val="000000" w:themeColor="text1"/>
        </w:rPr>
        <w:t>was</w:t>
      </w:r>
      <w:r w:rsidR="0039176A" w:rsidRPr="00217865">
        <w:rPr>
          <w:rFonts w:cs="Arial"/>
          <w:color w:val="000000" w:themeColor="text1"/>
        </w:rPr>
        <w:t xml:space="preserve"> similar for </w:t>
      </w:r>
      <w:r w:rsidR="00C26F99" w:rsidRPr="00217865">
        <w:rPr>
          <w:rFonts w:cs="Arial"/>
          <w:color w:val="000000" w:themeColor="text1"/>
        </w:rPr>
        <w:t xml:space="preserve">international </w:t>
      </w:r>
      <w:r w:rsidR="0039176A" w:rsidRPr="00217865">
        <w:rPr>
          <w:rFonts w:cs="Arial"/>
          <w:color w:val="000000" w:themeColor="text1"/>
        </w:rPr>
        <w:t>postgraduate coursework students and</w:t>
      </w:r>
      <w:r w:rsidRPr="00217865">
        <w:rPr>
          <w:rFonts w:cs="Arial"/>
          <w:color w:val="000000" w:themeColor="text1"/>
        </w:rPr>
        <w:t xml:space="preserve"> may go some way to explaining why </w:t>
      </w:r>
      <w:r w:rsidR="00C26F99" w:rsidRPr="00217865">
        <w:rPr>
          <w:rFonts w:cs="Arial"/>
          <w:color w:val="000000" w:themeColor="text1"/>
        </w:rPr>
        <w:t xml:space="preserve">international </w:t>
      </w:r>
      <w:r w:rsidRPr="00217865">
        <w:rPr>
          <w:rFonts w:cs="Arial"/>
          <w:color w:val="000000" w:themeColor="text1"/>
        </w:rPr>
        <w:t xml:space="preserve">student ratings of Learner Engagement </w:t>
      </w:r>
      <w:r w:rsidR="00BF6E00" w:rsidRPr="00217865">
        <w:rPr>
          <w:rFonts w:cs="Arial"/>
          <w:color w:val="000000" w:themeColor="text1"/>
        </w:rPr>
        <w:t>did not improve</w:t>
      </w:r>
      <w:r w:rsidRPr="00217865">
        <w:rPr>
          <w:rFonts w:cs="Arial"/>
          <w:color w:val="000000" w:themeColor="text1"/>
        </w:rPr>
        <w:t xml:space="preserve"> in 2021 but recovered strongly </w:t>
      </w:r>
      <w:r w:rsidR="003C691B" w:rsidRPr="00217865">
        <w:rPr>
          <w:rFonts w:cs="Arial"/>
          <w:color w:val="000000" w:themeColor="text1"/>
        </w:rPr>
        <w:t xml:space="preserve">in </w:t>
      </w:r>
      <w:r w:rsidRPr="00217865">
        <w:rPr>
          <w:rFonts w:cs="Arial"/>
          <w:color w:val="000000" w:themeColor="text1"/>
        </w:rPr>
        <w:t>2022</w:t>
      </w:r>
      <w:r w:rsidR="00DA2780" w:rsidRPr="00217865">
        <w:rPr>
          <w:rFonts w:cs="Arial"/>
          <w:color w:val="000000" w:themeColor="text1"/>
        </w:rPr>
        <w:t xml:space="preserve"> for both </w:t>
      </w:r>
      <w:r w:rsidR="004C2A0D" w:rsidRPr="00217865">
        <w:rPr>
          <w:rFonts w:cs="Arial"/>
          <w:color w:val="000000" w:themeColor="text1"/>
        </w:rPr>
        <w:t>course</w:t>
      </w:r>
      <w:r w:rsidR="00DA2780" w:rsidRPr="00217865">
        <w:rPr>
          <w:rFonts w:cs="Arial"/>
          <w:color w:val="000000" w:themeColor="text1"/>
        </w:rPr>
        <w:t xml:space="preserve"> levels</w:t>
      </w:r>
      <w:r w:rsidR="003C691B" w:rsidRPr="00217865">
        <w:rPr>
          <w:rFonts w:cs="Arial"/>
          <w:color w:val="000000" w:themeColor="text1"/>
        </w:rPr>
        <w:t xml:space="preserve">. While the focus area was reviewed and renamed Peer Engagement in 2023, the general trend has continued with international undergraduates rating this focus area 12.9 percentage points higher than domestic students. </w:t>
      </w:r>
    </w:p>
    <w:p w14:paraId="465F53CD" w14:textId="7D01626C" w:rsidR="001A0C19" w:rsidRPr="00217865" w:rsidRDefault="003C691B" w:rsidP="001A0C19">
      <w:pPr>
        <w:pStyle w:val="Body"/>
        <w:rPr>
          <w:rFonts w:cs="Arial"/>
          <w:color w:val="000000" w:themeColor="text1"/>
        </w:rPr>
      </w:pPr>
      <w:r w:rsidRPr="00217865">
        <w:rPr>
          <w:rFonts w:cs="Arial"/>
          <w:color w:val="000000" w:themeColor="text1"/>
        </w:rPr>
        <w:t>Postgraduate coursework international students have traditionally rated Learner Engagement more highly than domestic students, most likely related to the higher proportion of domestic students at this level studying online (</w:t>
      </w:r>
      <w:r w:rsidR="00BF6E00" w:rsidRPr="00217865">
        <w:rPr>
          <w:rFonts w:cs="Arial"/>
          <w:color w:val="000000" w:themeColor="text1"/>
        </w:rPr>
        <w:t xml:space="preserve">i.e., </w:t>
      </w:r>
      <w:r w:rsidRPr="00217865">
        <w:rPr>
          <w:rFonts w:cs="Arial"/>
          <w:color w:val="000000" w:themeColor="text1"/>
        </w:rPr>
        <w:t>external study mode)</w:t>
      </w:r>
      <w:r w:rsidR="00BB63F9" w:rsidRPr="00217865">
        <w:rPr>
          <w:rFonts w:cs="Arial"/>
          <w:color w:val="000000" w:themeColor="text1"/>
        </w:rPr>
        <w:t xml:space="preserve"> and this gap increased markedly to 20.9 percentage points in 2022 when a large proportion of international students had returned to study in Australia.</w:t>
      </w:r>
      <w:r w:rsidRPr="00217865">
        <w:rPr>
          <w:rFonts w:cs="Arial"/>
          <w:color w:val="000000" w:themeColor="text1"/>
        </w:rPr>
        <w:t xml:space="preserve"> </w:t>
      </w:r>
      <w:r w:rsidR="00BB63F9" w:rsidRPr="00217865">
        <w:rPr>
          <w:rFonts w:cs="Arial"/>
          <w:color w:val="000000" w:themeColor="text1"/>
        </w:rPr>
        <w:t>In the new Peer Engagement focus area in 2023, this trend continued, but the gap increased to 34.7 percentage points.</w:t>
      </w:r>
      <w:r w:rsidRPr="00217865">
        <w:rPr>
          <w:rFonts w:cs="Arial"/>
          <w:color w:val="000000" w:themeColor="text1"/>
        </w:rPr>
        <w:t xml:space="preserve"> </w:t>
      </w:r>
    </w:p>
    <w:p w14:paraId="60DC648B" w14:textId="6C988962" w:rsidR="003C691B" w:rsidRPr="00217865" w:rsidRDefault="00BB63F9" w:rsidP="001A0C19">
      <w:pPr>
        <w:pStyle w:val="Body"/>
        <w:rPr>
          <w:rFonts w:cs="Arial"/>
          <w:color w:val="000000" w:themeColor="text1"/>
        </w:rPr>
      </w:pPr>
      <w:r w:rsidRPr="00217865">
        <w:rPr>
          <w:rFonts w:cs="Arial"/>
          <w:color w:val="000000" w:themeColor="text1"/>
        </w:rPr>
        <w:t xml:space="preserve">Undergraduate ratings of Student Support fell below those of domestic students in 2020 and 2021 but overtook domestic ratings in 2022 to finish 2.5 percentage points higher. However, </w:t>
      </w:r>
      <w:r w:rsidR="00D1119F" w:rsidRPr="00217865">
        <w:rPr>
          <w:rFonts w:cs="Arial"/>
          <w:color w:val="000000" w:themeColor="text1"/>
        </w:rPr>
        <w:t xml:space="preserve">with the </w:t>
      </w:r>
      <w:r w:rsidR="00BF6E00" w:rsidRPr="00217865">
        <w:rPr>
          <w:rFonts w:cs="Arial"/>
          <w:color w:val="000000" w:themeColor="text1"/>
        </w:rPr>
        <w:t>revised</w:t>
      </w:r>
      <w:r w:rsidR="00D1119F" w:rsidRPr="00217865">
        <w:rPr>
          <w:rFonts w:cs="Arial"/>
          <w:color w:val="000000" w:themeColor="text1"/>
        </w:rPr>
        <w:t xml:space="preserve"> focus area of Student Support and Services in 2023, the difference had increased to 8.7 percentage points. This pattern was similar for postgraduate coursework students where</w:t>
      </w:r>
      <w:r w:rsidRPr="00217865">
        <w:rPr>
          <w:rFonts w:cs="Arial"/>
          <w:color w:val="000000" w:themeColor="text1"/>
        </w:rPr>
        <w:t xml:space="preserve"> international student ratings overtook domestic student ratings in 2022 to be 2.7 percentage points higher</w:t>
      </w:r>
      <w:r w:rsidR="00BF6E00" w:rsidRPr="00217865">
        <w:rPr>
          <w:rFonts w:cs="Arial"/>
          <w:color w:val="000000" w:themeColor="text1"/>
        </w:rPr>
        <w:t>.</w:t>
      </w:r>
      <w:r w:rsidR="00D1119F" w:rsidRPr="00217865">
        <w:rPr>
          <w:rFonts w:cs="Arial"/>
          <w:color w:val="000000" w:themeColor="text1"/>
        </w:rPr>
        <w:t xml:space="preserve"> </w:t>
      </w:r>
      <w:r w:rsidR="00BF6E00" w:rsidRPr="00217865">
        <w:rPr>
          <w:rFonts w:cs="Arial"/>
          <w:color w:val="000000" w:themeColor="text1"/>
        </w:rPr>
        <w:t>I</w:t>
      </w:r>
      <w:r w:rsidRPr="00217865">
        <w:rPr>
          <w:rFonts w:cs="Arial"/>
          <w:color w:val="000000" w:themeColor="text1"/>
        </w:rPr>
        <w:t xml:space="preserve">n 2023, the new Student Support and Services saw a </w:t>
      </w:r>
      <w:r w:rsidR="00D1119F" w:rsidRPr="00217865">
        <w:rPr>
          <w:rFonts w:cs="Arial"/>
          <w:color w:val="000000" w:themeColor="text1"/>
        </w:rPr>
        <w:t xml:space="preserve">much </w:t>
      </w:r>
      <w:r w:rsidRPr="00217865">
        <w:rPr>
          <w:rFonts w:cs="Arial"/>
          <w:color w:val="000000" w:themeColor="text1"/>
        </w:rPr>
        <w:t>larger difference of 13.2 percentage points, with international students rating their experience of the helpfulness of student support and services at their institutions more highly</w:t>
      </w:r>
      <w:r w:rsidR="00BF6E00" w:rsidRPr="00217865">
        <w:rPr>
          <w:rFonts w:cs="Arial"/>
          <w:color w:val="000000" w:themeColor="text1"/>
        </w:rPr>
        <w:t xml:space="preserve"> than domestic students</w:t>
      </w:r>
      <w:r w:rsidRPr="00217865">
        <w:rPr>
          <w:rFonts w:cs="Arial"/>
          <w:color w:val="000000" w:themeColor="text1"/>
        </w:rPr>
        <w:t>.</w:t>
      </w:r>
    </w:p>
    <w:p w14:paraId="5EAC2D0D" w14:textId="77777777" w:rsidR="001A0C19" w:rsidRPr="00217865" w:rsidRDefault="001A0C19" w:rsidP="00821227">
      <w:pPr>
        <w:pStyle w:val="Body"/>
        <w:rPr>
          <w:rFonts w:cs="Arial"/>
          <w:color w:val="000000" w:themeColor="text1"/>
        </w:rPr>
      </w:pPr>
    </w:p>
    <w:p w14:paraId="7D0CE4BE" w14:textId="20C4588C" w:rsidR="00332258" w:rsidRPr="00217865" w:rsidRDefault="00332258" w:rsidP="00332258">
      <w:pPr>
        <w:pStyle w:val="Caption"/>
        <w:rPr>
          <w:color w:val="000000" w:themeColor="text1"/>
        </w:rPr>
      </w:pPr>
      <w:bookmarkStart w:id="21" w:name="_Ref175646284"/>
      <w:bookmarkStart w:id="22" w:name="_Toc208242360"/>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3</w:t>
      </w:r>
      <w:r w:rsidR="001706E8" w:rsidRPr="00217865">
        <w:rPr>
          <w:noProof/>
          <w:color w:val="000000" w:themeColor="text1"/>
        </w:rPr>
        <w:fldChar w:fldCharType="end"/>
      </w:r>
      <w:bookmarkEnd w:id="21"/>
      <w:r w:rsidR="007624C4">
        <w:rPr>
          <w:color w:val="000000" w:themeColor="text1"/>
        </w:rPr>
        <w:tab/>
      </w:r>
      <w:r w:rsidRPr="00217865">
        <w:rPr>
          <w:color w:val="000000" w:themeColor="text1"/>
        </w:rPr>
        <w:t xml:space="preserve">Undergraduate student experience </w:t>
      </w:r>
      <w:r w:rsidR="00E21A21" w:rsidRPr="00217865">
        <w:rPr>
          <w:color w:val="000000" w:themeColor="text1"/>
        </w:rPr>
        <w:t xml:space="preserve">by </w:t>
      </w:r>
      <w:r w:rsidRPr="00217865">
        <w:rPr>
          <w:color w:val="000000" w:themeColor="text1"/>
        </w:rPr>
        <w:t>citizenship status, 2019-2023 (% positive rating)</w:t>
      </w:r>
      <w:bookmarkEnd w:id="22"/>
    </w:p>
    <w:p w14:paraId="219FB8A3" w14:textId="77777777" w:rsidR="00332258" w:rsidRPr="00217865" w:rsidRDefault="00332258" w:rsidP="00332258">
      <w:pPr>
        <w:pStyle w:val="Caption"/>
        <w:rPr>
          <w:color w:val="000000" w:themeColor="text1"/>
        </w:rPr>
      </w:pPr>
      <w:r w:rsidRPr="00217865">
        <w:rPr>
          <w:noProof/>
          <w:color w:val="000000" w:themeColor="text1"/>
        </w:rPr>
        <w:drawing>
          <wp:inline distT="0" distB="0" distL="0" distR="0" wp14:anchorId="6CE5EC36" wp14:editId="4D0E8A10">
            <wp:extent cx="2274571" cy="382905"/>
            <wp:effectExtent l="0" t="0" r="0" b="0"/>
            <wp:docPr id="1297443566" name="Picture 14">
              <a:extLst xmlns:a="http://schemas.openxmlformats.org/drawingml/2006/main">
                <a:ext uri="{FF2B5EF4-FFF2-40B4-BE49-F238E27FC236}">
                  <a16:creationId xmlns:a16="http://schemas.microsoft.com/office/drawing/2014/main" id="{77D0ED05-9A69-3C8E-9EE0-A40A28A406C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43566" name="Picture 14">
                      <a:extLst>
                        <a:ext uri="{FF2B5EF4-FFF2-40B4-BE49-F238E27FC236}">
                          <a16:creationId xmlns:a16="http://schemas.microsoft.com/office/drawing/2014/main" id="{77D0ED05-9A69-3C8E-9EE0-A40A28A406C7}"/>
                        </a:ext>
                        <a:ext uri="{C183D7F6-B498-43B3-948B-1728B52AA6E4}">
                          <adec:decorative xmlns:adec="http://schemas.microsoft.com/office/drawing/2017/decorative" val="1"/>
                        </a:ext>
                      </a:extLs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31581" t="357" r="31346" b="85150"/>
                    <a:stretch/>
                  </pic:blipFill>
                  <pic:spPr bwMode="auto">
                    <a:xfrm>
                      <a:off x="0" y="0"/>
                      <a:ext cx="2274571" cy="3829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791D04" w14:textId="77777777" w:rsidR="002F7058" w:rsidRPr="00217865" w:rsidRDefault="002F7058" w:rsidP="002F7058">
      <w:pPr>
        <w:pStyle w:val="Body"/>
        <w:rPr>
          <w:rFonts w:cs="Arial"/>
          <w:color w:val="000000" w:themeColor="text1"/>
          <w:lang w:eastAsia="en-AU"/>
        </w:rPr>
      </w:pPr>
      <w:r w:rsidRPr="00217865">
        <w:rPr>
          <w:rFonts w:cs="Arial"/>
          <w:noProof/>
          <w:color w:val="000000" w:themeColor="text1"/>
        </w:rPr>
        <w:drawing>
          <wp:inline distT="0" distB="0" distL="0" distR="0" wp14:anchorId="482610D2" wp14:editId="063F7F97">
            <wp:extent cx="3348000" cy="2520000"/>
            <wp:effectExtent l="0" t="0" r="5080" b="0"/>
            <wp:docPr id="1650019783" name="Chart 1">
              <a:extLst xmlns:a="http://schemas.openxmlformats.org/drawingml/2006/main">
                <a:ext uri="{FF2B5EF4-FFF2-40B4-BE49-F238E27FC236}">
                  <a16:creationId xmlns:a16="http://schemas.microsoft.com/office/drawing/2014/main" id="{3CE72BAC-48A7-0D75-4B00-A0290DB4A6E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217865">
        <w:rPr>
          <w:rFonts w:cs="Arial"/>
          <w:noProof/>
          <w:color w:val="000000" w:themeColor="text1"/>
        </w:rPr>
        <w:drawing>
          <wp:inline distT="0" distB="0" distL="0" distR="0" wp14:anchorId="40548347" wp14:editId="41D36938">
            <wp:extent cx="3348000" cy="2520000"/>
            <wp:effectExtent l="0" t="0" r="5080" b="0"/>
            <wp:docPr id="732689370" name="Chart 2">
              <a:extLst xmlns:a="http://schemas.openxmlformats.org/drawingml/2006/main">
                <a:ext uri="{FF2B5EF4-FFF2-40B4-BE49-F238E27FC236}">
                  <a16:creationId xmlns:a16="http://schemas.microsoft.com/office/drawing/2014/main" id="{AB56728A-737E-E206-D04C-A67DEE42659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17865">
        <w:rPr>
          <w:rFonts w:cs="Arial"/>
          <w:noProof/>
          <w:color w:val="000000" w:themeColor="text1"/>
        </w:rPr>
        <w:drawing>
          <wp:inline distT="0" distB="0" distL="0" distR="0" wp14:anchorId="13C0575A" wp14:editId="34454AF4">
            <wp:extent cx="3348000" cy="2520000"/>
            <wp:effectExtent l="0" t="0" r="5080" b="0"/>
            <wp:docPr id="342984503" name="Chart 3">
              <a:extLst xmlns:a="http://schemas.openxmlformats.org/drawingml/2006/main">
                <a:ext uri="{FF2B5EF4-FFF2-40B4-BE49-F238E27FC236}">
                  <a16:creationId xmlns:a16="http://schemas.microsoft.com/office/drawing/2014/main" id="{5ECEBFFA-3958-BE5F-53E9-FACC019A67D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217865">
        <w:rPr>
          <w:rFonts w:cs="Arial"/>
          <w:noProof/>
          <w:color w:val="000000" w:themeColor="text1"/>
        </w:rPr>
        <w:drawing>
          <wp:inline distT="0" distB="0" distL="0" distR="0" wp14:anchorId="45EFBAE0" wp14:editId="66786847">
            <wp:extent cx="3348000" cy="2520000"/>
            <wp:effectExtent l="0" t="0" r="5080" b="0"/>
            <wp:docPr id="1220182579" name="Chart 4">
              <a:extLst xmlns:a="http://schemas.openxmlformats.org/drawingml/2006/main">
                <a:ext uri="{FF2B5EF4-FFF2-40B4-BE49-F238E27FC236}">
                  <a16:creationId xmlns:a16="http://schemas.microsoft.com/office/drawing/2014/main" id="{C6674FCF-4C67-3A7B-1234-DC6D9EB32A5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217865">
        <w:rPr>
          <w:rFonts w:cs="Arial"/>
          <w:noProof/>
          <w:color w:val="000000" w:themeColor="text1"/>
        </w:rPr>
        <w:drawing>
          <wp:inline distT="0" distB="0" distL="0" distR="0" wp14:anchorId="0A257B3E" wp14:editId="3806314F">
            <wp:extent cx="3348000" cy="2520000"/>
            <wp:effectExtent l="0" t="0" r="5080" b="0"/>
            <wp:docPr id="1822910588" name="Chart 5">
              <a:extLst xmlns:a="http://schemas.openxmlformats.org/drawingml/2006/main">
                <a:ext uri="{FF2B5EF4-FFF2-40B4-BE49-F238E27FC236}">
                  <a16:creationId xmlns:a16="http://schemas.microsoft.com/office/drawing/2014/main" id="{AA604F38-6338-55A2-8022-A5230C9E136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217865">
        <w:rPr>
          <w:rFonts w:cs="Arial"/>
          <w:noProof/>
          <w:color w:val="000000" w:themeColor="text1"/>
        </w:rPr>
        <w:drawing>
          <wp:inline distT="0" distB="0" distL="0" distR="0" wp14:anchorId="1EC3E19F" wp14:editId="61594057">
            <wp:extent cx="3348000" cy="2520000"/>
            <wp:effectExtent l="0" t="0" r="5080" b="0"/>
            <wp:docPr id="628255035" name="Chart 6">
              <a:extLst xmlns:a="http://schemas.openxmlformats.org/drawingml/2006/main">
                <a:ext uri="{FF2B5EF4-FFF2-40B4-BE49-F238E27FC236}">
                  <a16:creationId xmlns:a16="http://schemas.microsoft.com/office/drawing/2014/main" id="{780E71CD-0353-DF2D-9FAA-E6C0E111585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5B2CD8" w14:textId="65B53600" w:rsidR="002F7058" w:rsidRPr="00217865" w:rsidRDefault="002F7058" w:rsidP="002F7058">
      <w:pPr>
        <w:pStyle w:val="FigureNote"/>
        <w:rPr>
          <w:rFonts w:cs="Arial"/>
          <w:color w:val="000000" w:themeColor="text1"/>
          <w:sz w:val="18"/>
          <w:szCs w:val="18"/>
        </w:rPr>
      </w:pPr>
      <w:r w:rsidRPr="00217865">
        <w:rPr>
          <w:rFonts w:cs="Arial"/>
          <w:color w:val="000000" w:themeColor="text1"/>
          <w:sz w:val="18"/>
          <w:szCs w:val="18"/>
        </w:rPr>
        <w:t xml:space="preserve">Source: The </w:t>
      </w:r>
      <w:r w:rsidRPr="00217865">
        <w:rPr>
          <w:rStyle w:val="cf01"/>
          <w:rFonts w:ascii="Arial" w:hAnsi="Arial" w:cs="Arial"/>
          <w:color w:val="000000" w:themeColor="text1"/>
        </w:rPr>
        <w:t xml:space="preserve">FOCUS_UG_ALL_6Y_E942 </w:t>
      </w:r>
      <w:r w:rsidRPr="00217865">
        <w:rPr>
          <w:rFonts w:cs="Arial"/>
          <w:color w:val="000000" w:themeColor="text1"/>
          <w:sz w:val="18"/>
          <w:szCs w:val="18"/>
        </w:rPr>
        <w:t>worksheet in the 2023 SES International Report Tables available on the QILT website.</w:t>
      </w:r>
    </w:p>
    <w:p w14:paraId="0E68DBC5" w14:textId="3BE47052" w:rsidR="002F7058" w:rsidRPr="00217865" w:rsidRDefault="002F7058" w:rsidP="001A0C19">
      <w:pPr>
        <w:pStyle w:val="FigureNote"/>
        <w:rPr>
          <w:rFonts w:cs="Arial"/>
          <w:color w:val="000000" w:themeColor="text1"/>
          <w:sz w:val="18"/>
          <w:szCs w:val="18"/>
          <w:lang w:eastAsia="en-AU"/>
        </w:rPr>
        <w:sectPr w:rsidR="002F7058" w:rsidRPr="00217865" w:rsidSect="00A533FF">
          <w:headerReference w:type="default" r:id="rId31"/>
          <w:footerReference w:type="default" r:id="rId32"/>
          <w:pgSz w:w="11900" w:h="16840"/>
          <w:pgMar w:top="852" w:right="560" w:bottom="994" w:left="710" w:header="397" w:footer="283" w:gutter="0"/>
          <w:cols w:space="708"/>
          <w:docGrid w:linePitch="360"/>
        </w:sectPr>
      </w:pPr>
      <w:r w:rsidRPr="00217865">
        <w:rPr>
          <w:rFonts w:cs="Arial"/>
          <w:color w:val="000000" w:themeColor="text1"/>
          <w:sz w:val="18"/>
          <w:szCs w:val="18"/>
        </w:rPr>
        <w:t xml:space="preserve">Note that the dotted lines between 2022 and 2023 indicate the change in underlying items of the Peer Engagement and Student Support and Services focus areas. </w:t>
      </w:r>
      <w:r w:rsidRPr="00217865">
        <w:rPr>
          <w:rStyle w:val="ui-provider"/>
          <w:rFonts w:cs="Arial"/>
          <w:color w:val="000000" w:themeColor="text1"/>
          <w:sz w:val="18"/>
          <w:szCs w:val="18"/>
        </w:rPr>
        <w:t>When comparing year-on-year changes, it is recommended that modifications to underlying questionnaire items be taken into consideration when interpreting results.</w:t>
      </w:r>
      <w:r w:rsidRPr="00217865">
        <w:rPr>
          <w:rFonts w:cs="Arial"/>
          <w:color w:val="000000" w:themeColor="text1"/>
          <w:sz w:val="18"/>
          <w:szCs w:val="18"/>
        </w:rPr>
        <w:t xml:space="preserve"> For more information about these changes, refer to </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\w \h </w:instrText>
      </w:r>
      <w:r w:rsidR="001A0C19"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Pr>
          <w:rFonts w:cs="Arial"/>
          <w:color w:val="000000" w:themeColor="text1"/>
          <w:sz w:val="18"/>
          <w:szCs w:val="18"/>
        </w:rPr>
        <w:t>Appendix 2</w:t>
      </w:r>
      <w:r w:rsidRPr="00217865">
        <w:rPr>
          <w:rFonts w:cs="Arial"/>
          <w:color w:val="000000" w:themeColor="text1"/>
          <w:sz w:val="18"/>
          <w:szCs w:val="18"/>
        </w:rPr>
        <w:fldChar w:fldCharType="end"/>
      </w:r>
      <w:r w:rsidRPr="00217865">
        <w:rPr>
          <w:rFonts w:cs="Arial"/>
          <w:color w:val="000000" w:themeColor="text1"/>
          <w:sz w:val="18"/>
          <w:szCs w:val="18"/>
        </w:rPr>
        <w:t xml:space="preserve"> </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\h </w:instrText>
      </w:r>
      <w:r w:rsidR="001A0C19"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sidRPr="005D5678">
        <w:rPr>
          <w:rFonts w:cs="Arial"/>
          <w:color w:val="000000" w:themeColor="text1"/>
          <w:sz w:val="18"/>
          <w:szCs w:val="18"/>
        </w:rPr>
        <w:t>Review of the SES</w:t>
      </w:r>
      <w:r w:rsidRPr="00217865">
        <w:rPr>
          <w:rFonts w:cs="Arial"/>
          <w:color w:val="000000" w:themeColor="text1"/>
          <w:sz w:val="18"/>
          <w:szCs w:val="18"/>
        </w:rPr>
        <w:fldChar w:fldCharType="end"/>
      </w:r>
    </w:p>
    <w:p w14:paraId="22042654" w14:textId="30A9A5B5" w:rsidR="00332258" w:rsidRPr="00217865" w:rsidRDefault="00332258" w:rsidP="00332258">
      <w:pPr>
        <w:pStyle w:val="Caption"/>
        <w:rPr>
          <w:color w:val="000000" w:themeColor="text1"/>
        </w:rPr>
      </w:pPr>
      <w:bookmarkStart w:id="23" w:name="_Toc208242361"/>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4</w:t>
      </w:r>
      <w:r w:rsidR="001706E8" w:rsidRPr="00217865">
        <w:rPr>
          <w:noProof/>
          <w:color w:val="000000" w:themeColor="text1"/>
        </w:rPr>
        <w:fldChar w:fldCharType="end"/>
      </w:r>
      <w:r w:rsidR="007624C4">
        <w:rPr>
          <w:color w:val="000000" w:themeColor="text1"/>
        </w:rPr>
        <w:tab/>
      </w:r>
      <w:r w:rsidRPr="00217865">
        <w:rPr>
          <w:color w:val="000000" w:themeColor="text1"/>
        </w:rPr>
        <w:t xml:space="preserve">Postgraduate coursework student experience </w:t>
      </w:r>
      <w:r w:rsidR="00AD7AFE" w:rsidRPr="00217865">
        <w:rPr>
          <w:color w:val="000000" w:themeColor="text1"/>
        </w:rPr>
        <w:t xml:space="preserve">by </w:t>
      </w:r>
      <w:r w:rsidRPr="00217865">
        <w:rPr>
          <w:color w:val="000000" w:themeColor="text1"/>
        </w:rPr>
        <w:t>citizenship status, 2019-2023 (% positive rating)</w:t>
      </w:r>
      <w:bookmarkEnd w:id="23"/>
    </w:p>
    <w:p w14:paraId="317CF71C" w14:textId="0187CB2E" w:rsidR="00BB750D" w:rsidRPr="00217865" w:rsidRDefault="00A833D3" w:rsidP="00821227">
      <w:pPr>
        <w:rPr>
          <w:rFonts w:cs="Arial"/>
          <w:color w:val="000000" w:themeColor="text1"/>
          <w:highlight w:val="yellow"/>
        </w:rPr>
      </w:pPr>
      <w:r w:rsidRPr="00217865">
        <w:rPr>
          <w:rFonts w:cs="Arial"/>
          <w:noProof/>
          <w:color w:val="000000" w:themeColor="text1"/>
        </w:rPr>
        <w:drawing>
          <wp:inline distT="0" distB="0" distL="0" distR="0" wp14:anchorId="518A4A4C" wp14:editId="609E6629">
            <wp:extent cx="2274571" cy="382905"/>
            <wp:effectExtent l="0" t="0" r="0" b="0"/>
            <wp:docPr id="15" name="Picture 14">
              <a:extLst xmlns:a="http://schemas.openxmlformats.org/drawingml/2006/main">
                <a:ext uri="{FF2B5EF4-FFF2-40B4-BE49-F238E27FC236}">
                  <a16:creationId xmlns:a16="http://schemas.microsoft.com/office/drawing/2014/main" id="{77D0ED05-9A69-3C8E-9EE0-A40A28A406C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77D0ED05-9A69-3C8E-9EE0-A40A28A406C7}"/>
                        </a:ext>
                        <a:ext uri="{C183D7F6-B498-43B3-948B-1728B52AA6E4}">
                          <adec:decorative xmlns:adec="http://schemas.microsoft.com/office/drawing/2017/decorative" val="1"/>
                        </a:ext>
                      </a:extLs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31581" t="357" r="31346" b="85150"/>
                    <a:stretch/>
                  </pic:blipFill>
                  <pic:spPr bwMode="auto">
                    <a:xfrm>
                      <a:off x="0" y="0"/>
                      <a:ext cx="2274571" cy="3829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7F93F5A" w14:textId="77777777" w:rsidR="00332258" w:rsidRPr="00217865" w:rsidRDefault="00A833D3" w:rsidP="00A833D3">
      <w:pPr>
        <w:rPr>
          <w:rFonts w:cs="Arial"/>
          <w:color w:val="000000" w:themeColor="text1"/>
        </w:rPr>
      </w:pPr>
      <w:r w:rsidRPr="00217865">
        <w:rPr>
          <w:rFonts w:cs="Arial"/>
          <w:noProof/>
          <w:color w:val="000000" w:themeColor="text1"/>
        </w:rPr>
        <w:drawing>
          <wp:inline distT="0" distB="0" distL="0" distR="0" wp14:anchorId="5BBE7C13" wp14:editId="5A7A4428">
            <wp:extent cx="3179928" cy="2429301"/>
            <wp:effectExtent l="0" t="0" r="1905" b="0"/>
            <wp:docPr id="961109382" name="Chart 1">
              <a:extLst xmlns:a="http://schemas.openxmlformats.org/drawingml/2006/main">
                <a:ext uri="{FF2B5EF4-FFF2-40B4-BE49-F238E27FC236}">
                  <a16:creationId xmlns:a16="http://schemas.microsoft.com/office/drawing/2014/main" id="{0FF626BB-9B97-90CF-E44C-FD0A628D6F7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217865">
        <w:rPr>
          <w:rFonts w:cs="Arial"/>
          <w:noProof/>
          <w:color w:val="000000" w:themeColor="text1"/>
        </w:rPr>
        <w:drawing>
          <wp:inline distT="0" distB="0" distL="0" distR="0" wp14:anchorId="751631A7" wp14:editId="034325FD">
            <wp:extent cx="3214048" cy="2388358"/>
            <wp:effectExtent l="0" t="0" r="5715" b="0"/>
            <wp:docPr id="741376145" name="Chart 2">
              <a:extLst xmlns:a="http://schemas.openxmlformats.org/drawingml/2006/main">
                <a:ext uri="{FF2B5EF4-FFF2-40B4-BE49-F238E27FC236}">
                  <a16:creationId xmlns:a16="http://schemas.microsoft.com/office/drawing/2014/main" id="{8B539551-EC4A-BF99-AE38-92FF115832D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6EAC912" w14:textId="77777777" w:rsidR="00332258" w:rsidRPr="00217865" w:rsidRDefault="00332258" w:rsidP="00A833D3">
      <w:pPr>
        <w:rPr>
          <w:rFonts w:cs="Arial"/>
          <w:color w:val="000000" w:themeColor="text1"/>
        </w:rPr>
      </w:pPr>
    </w:p>
    <w:p w14:paraId="7432EDDF" w14:textId="77777777" w:rsidR="00332258" w:rsidRPr="00217865" w:rsidRDefault="00A833D3" w:rsidP="00A833D3">
      <w:pPr>
        <w:rPr>
          <w:rFonts w:cs="Arial"/>
          <w:color w:val="000000" w:themeColor="text1"/>
        </w:rPr>
      </w:pPr>
      <w:r w:rsidRPr="00217865">
        <w:rPr>
          <w:rFonts w:cs="Arial"/>
          <w:noProof/>
          <w:color w:val="000000" w:themeColor="text1"/>
        </w:rPr>
        <w:drawing>
          <wp:inline distT="0" distB="0" distL="0" distR="0" wp14:anchorId="7DAC960C" wp14:editId="7D811566">
            <wp:extent cx="3179928" cy="2408830"/>
            <wp:effectExtent l="0" t="0" r="1905" b="0"/>
            <wp:docPr id="831660952" name="Chart 3">
              <a:extLst xmlns:a="http://schemas.openxmlformats.org/drawingml/2006/main">
                <a:ext uri="{FF2B5EF4-FFF2-40B4-BE49-F238E27FC236}">
                  <a16:creationId xmlns:a16="http://schemas.microsoft.com/office/drawing/2014/main" id="{2CA32A76-6123-937D-0AA0-5D20A581899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17865">
        <w:rPr>
          <w:rFonts w:cs="Arial"/>
          <w:noProof/>
          <w:color w:val="000000" w:themeColor="text1"/>
        </w:rPr>
        <w:drawing>
          <wp:inline distT="0" distB="0" distL="0" distR="0" wp14:anchorId="21CE164A" wp14:editId="3BDF5B7A">
            <wp:extent cx="3248168" cy="2401561"/>
            <wp:effectExtent l="0" t="0" r="0" b="0"/>
            <wp:docPr id="380798753" name="Chart 4">
              <a:extLst xmlns:a="http://schemas.openxmlformats.org/drawingml/2006/main">
                <a:ext uri="{FF2B5EF4-FFF2-40B4-BE49-F238E27FC236}">
                  <a16:creationId xmlns:a16="http://schemas.microsoft.com/office/drawing/2014/main" id="{10EB4524-7D7E-7427-4BCB-3BA9AC0A41F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7643CBF" w14:textId="77777777" w:rsidR="00332258" w:rsidRPr="00217865" w:rsidRDefault="00332258" w:rsidP="00A833D3">
      <w:pPr>
        <w:rPr>
          <w:rFonts w:cs="Arial"/>
          <w:color w:val="000000" w:themeColor="text1"/>
        </w:rPr>
      </w:pPr>
    </w:p>
    <w:p w14:paraId="74673222" w14:textId="783068D7" w:rsidR="00821227" w:rsidRPr="00217865" w:rsidRDefault="00A833D3" w:rsidP="00A833D3">
      <w:pPr>
        <w:rPr>
          <w:rFonts w:cs="Arial"/>
          <w:color w:val="000000" w:themeColor="text1"/>
          <w:highlight w:val="yellow"/>
        </w:rPr>
      </w:pPr>
      <w:r w:rsidRPr="00217865">
        <w:rPr>
          <w:rFonts w:cs="Arial"/>
          <w:noProof/>
          <w:color w:val="000000" w:themeColor="text1"/>
        </w:rPr>
        <w:drawing>
          <wp:inline distT="0" distB="0" distL="0" distR="0" wp14:anchorId="15B42400" wp14:editId="1AFF5105">
            <wp:extent cx="3104866" cy="2347415"/>
            <wp:effectExtent l="0" t="0" r="635" b="0"/>
            <wp:docPr id="1130925218" name="Chart 5">
              <a:extLst xmlns:a="http://schemas.openxmlformats.org/drawingml/2006/main">
                <a:ext uri="{FF2B5EF4-FFF2-40B4-BE49-F238E27FC236}">
                  <a16:creationId xmlns:a16="http://schemas.microsoft.com/office/drawing/2014/main" id="{28E48D53-E884-9A8A-B53E-4A36D8FC05B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217865">
        <w:rPr>
          <w:rFonts w:cs="Arial"/>
          <w:noProof/>
          <w:color w:val="000000" w:themeColor="text1"/>
        </w:rPr>
        <w:drawing>
          <wp:inline distT="0" distB="0" distL="0" distR="0" wp14:anchorId="3A96B3D9" wp14:editId="21A51F8C">
            <wp:extent cx="3288797" cy="2381534"/>
            <wp:effectExtent l="0" t="0" r="6985" b="0"/>
            <wp:docPr id="1152684504" name="Chart 6">
              <a:extLst xmlns:a="http://schemas.openxmlformats.org/drawingml/2006/main">
                <a:ext uri="{FF2B5EF4-FFF2-40B4-BE49-F238E27FC236}">
                  <a16:creationId xmlns:a16="http://schemas.microsoft.com/office/drawing/2014/main" id="{7D0E1C38-E4CF-EB33-974C-59C6C06CD34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A3DC8E6" w14:textId="13608A6F" w:rsidR="00332258" w:rsidRPr="00217865" w:rsidRDefault="00332258" w:rsidP="00332258">
      <w:pPr>
        <w:pStyle w:val="FigureNote"/>
        <w:rPr>
          <w:rFonts w:cs="Arial"/>
          <w:color w:val="000000" w:themeColor="text1"/>
          <w:sz w:val="18"/>
          <w:szCs w:val="18"/>
        </w:rPr>
      </w:pPr>
      <w:r w:rsidRPr="00217865">
        <w:rPr>
          <w:rFonts w:cs="Arial"/>
          <w:color w:val="000000" w:themeColor="text1"/>
          <w:sz w:val="18"/>
          <w:szCs w:val="18"/>
        </w:rPr>
        <w:t xml:space="preserve">Source: The </w:t>
      </w:r>
      <w:r w:rsidRPr="00217865">
        <w:rPr>
          <w:rStyle w:val="cf01"/>
          <w:rFonts w:ascii="Arial" w:hAnsi="Arial" w:cs="Arial"/>
          <w:color w:val="000000" w:themeColor="text1"/>
        </w:rPr>
        <w:t xml:space="preserve">FOCUS_PGC_ALL_6Y_E942 </w:t>
      </w:r>
      <w:r w:rsidRPr="00217865">
        <w:rPr>
          <w:rFonts w:cs="Arial"/>
          <w:color w:val="000000" w:themeColor="text1"/>
          <w:sz w:val="18"/>
          <w:szCs w:val="18"/>
        </w:rPr>
        <w:t>worksheet in the 2023 SES International Report Tables available on the QILT website.</w:t>
      </w:r>
    </w:p>
    <w:p w14:paraId="2A8F2826" w14:textId="23DA5903" w:rsidR="00332258" w:rsidRPr="00217865" w:rsidRDefault="00332258" w:rsidP="00332258">
      <w:pPr>
        <w:pStyle w:val="FigureNote"/>
        <w:rPr>
          <w:rFonts w:cs="Arial"/>
          <w:color w:val="000000" w:themeColor="text1"/>
          <w:sz w:val="14"/>
          <w:szCs w:val="20"/>
        </w:rPr>
        <w:sectPr w:rsidR="00332258" w:rsidRPr="00217865" w:rsidSect="004F5328">
          <w:pgSz w:w="11900" w:h="16840"/>
          <w:pgMar w:top="852" w:right="560" w:bottom="994" w:left="710" w:header="397" w:footer="283" w:gutter="0"/>
          <w:cols w:space="708"/>
          <w:docGrid w:linePitch="360"/>
        </w:sectPr>
      </w:pPr>
      <w:r w:rsidRPr="00217865">
        <w:rPr>
          <w:rFonts w:cs="Arial"/>
          <w:color w:val="000000" w:themeColor="text1"/>
          <w:sz w:val="18"/>
          <w:szCs w:val="18"/>
        </w:rPr>
        <w:t xml:space="preserve">Note that the dotted lines between 2022 and 2023 indicate the change in underlying items of the Peer Engagement and Student Support and Services focus areas. </w:t>
      </w:r>
      <w:r w:rsidRPr="00217865">
        <w:rPr>
          <w:rStyle w:val="ui-provider"/>
          <w:rFonts w:cs="Arial"/>
          <w:color w:val="000000" w:themeColor="text1"/>
          <w:sz w:val="18"/>
          <w:szCs w:val="18"/>
        </w:rPr>
        <w:t>When comparing year-on-year changes, it is recommended that modifications to underlying questionnaire items be taken into consideration when interpreting results.</w:t>
      </w:r>
      <w:r w:rsidRPr="00217865">
        <w:rPr>
          <w:rFonts w:cs="Arial"/>
          <w:color w:val="000000" w:themeColor="text1"/>
          <w:sz w:val="18"/>
          <w:szCs w:val="18"/>
        </w:rPr>
        <w:t xml:space="preserve"> For more information about these changes, refer to </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\w \h </w:instrText>
      </w:r>
      <w:r w:rsidR="00A6216F"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Pr>
          <w:rFonts w:cs="Arial"/>
          <w:color w:val="000000" w:themeColor="text1"/>
          <w:sz w:val="18"/>
          <w:szCs w:val="18"/>
        </w:rPr>
        <w:t>Appendix 2</w:t>
      </w:r>
      <w:r w:rsidRPr="00217865">
        <w:rPr>
          <w:rFonts w:cs="Arial"/>
          <w:color w:val="000000" w:themeColor="text1"/>
          <w:sz w:val="18"/>
          <w:szCs w:val="18"/>
        </w:rPr>
        <w:fldChar w:fldCharType="end"/>
      </w:r>
      <w:r w:rsidRPr="00217865">
        <w:rPr>
          <w:rFonts w:cs="Arial"/>
          <w:color w:val="000000" w:themeColor="text1"/>
          <w:sz w:val="18"/>
          <w:szCs w:val="18"/>
        </w:rPr>
        <w:t xml:space="preserve"> </w:t>
      </w:r>
      <w:r w:rsidRPr="00217865">
        <w:rPr>
          <w:rFonts w:cs="Arial"/>
          <w:color w:val="000000" w:themeColor="text1"/>
          <w:sz w:val="18"/>
          <w:szCs w:val="18"/>
        </w:rPr>
        <w:fldChar w:fldCharType="begin"/>
      </w:r>
      <w:r w:rsidRPr="00217865">
        <w:rPr>
          <w:rFonts w:cs="Arial"/>
          <w:color w:val="000000" w:themeColor="text1"/>
          <w:sz w:val="18"/>
          <w:szCs w:val="18"/>
        </w:rPr>
        <w:instrText xml:space="preserve"> REF _Ref167179143 \h </w:instrText>
      </w:r>
      <w:r w:rsidR="00A6216F" w:rsidRPr="00217865">
        <w:rPr>
          <w:rFonts w:cs="Arial"/>
          <w:color w:val="000000" w:themeColor="text1"/>
          <w:sz w:val="18"/>
          <w:szCs w:val="18"/>
        </w:rPr>
        <w:instrText xml:space="preserve"> \* MERGEFORMAT </w:instrText>
      </w:r>
      <w:r w:rsidRPr="00217865">
        <w:rPr>
          <w:rFonts w:cs="Arial"/>
          <w:color w:val="000000" w:themeColor="text1"/>
          <w:sz w:val="18"/>
          <w:szCs w:val="18"/>
        </w:rPr>
      </w:r>
      <w:r w:rsidRPr="00217865">
        <w:rPr>
          <w:rFonts w:cs="Arial"/>
          <w:color w:val="000000" w:themeColor="text1"/>
          <w:sz w:val="18"/>
          <w:szCs w:val="18"/>
        </w:rPr>
        <w:fldChar w:fldCharType="separate"/>
      </w:r>
      <w:r w:rsidR="005D5678" w:rsidRPr="005D5678">
        <w:rPr>
          <w:rFonts w:cs="Arial"/>
          <w:color w:val="000000" w:themeColor="text1"/>
          <w:sz w:val="18"/>
          <w:szCs w:val="18"/>
        </w:rPr>
        <w:t>Review of the SES</w:t>
      </w:r>
      <w:r w:rsidRPr="00217865">
        <w:rPr>
          <w:rFonts w:cs="Arial"/>
          <w:color w:val="000000" w:themeColor="text1"/>
          <w:sz w:val="18"/>
          <w:szCs w:val="18"/>
        </w:rPr>
        <w:fldChar w:fldCharType="end"/>
      </w:r>
      <w:r w:rsidRPr="00217865">
        <w:rPr>
          <w:rFonts w:cs="Arial"/>
          <w:color w:val="000000" w:themeColor="text1"/>
          <w:sz w:val="14"/>
          <w:szCs w:val="20"/>
        </w:rPr>
        <w:t>.</w:t>
      </w:r>
    </w:p>
    <w:p w14:paraId="57218FD9" w14:textId="45283D30" w:rsidR="00821227" w:rsidRPr="00217865" w:rsidRDefault="00890892" w:rsidP="00E06AED">
      <w:pPr>
        <w:pStyle w:val="Heading2"/>
      </w:pPr>
      <w:bookmarkStart w:id="24" w:name="_Toc178599283"/>
      <w:bookmarkStart w:id="25" w:name="_Hlk47683264"/>
      <w:r w:rsidRPr="00217865">
        <w:lastRenderedPageBreak/>
        <w:t>L</w:t>
      </w:r>
      <w:r w:rsidR="00821227" w:rsidRPr="00217865">
        <w:t>ocation</w:t>
      </w:r>
      <w:bookmarkEnd w:id="24"/>
    </w:p>
    <w:p w14:paraId="3AC97AE3" w14:textId="48CE248A" w:rsidR="008E3597" w:rsidRPr="00217865" w:rsidRDefault="008E3597" w:rsidP="008E3597">
      <w:pPr>
        <w:pStyle w:val="Body"/>
        <w:rPr>
          <w:rFonts w:cs="Arial"/>
          <w:color w:val="000000" w:themeColor="text1"/>
        </w:rPr>
      </w:pPr>
      <w:bookmarkStart w:id="26" w:name="_Hlk156312511"/>
      <w:r w:rsidRPr="00217865">
        <w:rPr>
          <w:rFonts w:cs="Arial"/>
          <w:color w:val="000000" w:themeColor="text1"/>
        </w:rPr>
        <w:t xml:space="preserve">This item was introduced into the SES in 2020 to align with the GOS and GOS-L surveys which ask graduates their current location at the time of survey. The proportion of international students located </w:t>
      </w:r>
      <w:r w:rsidR="00CD1409" w:rsidRPr="00217865">
        <w:rPr>
          <w:rFonts w:cs="Arial"/>
          <w:color w:val="000000" w:themeColor="text1"/>
        </w:rPr>
        <w:t>offshore</w:t>
      </w:r>
      <w:r w:rsidRPr="00217865">
        <w:rPr>
          <w:rFonts w:cs="Arial"/>
          <w:color w:val="000000" w:themeColor="text1"/>
        </w:rPr>
        <w:t xml:space="preserve"> increased markedly in 2021 as travel restrictions were enforced in response to the COVID-19 pandemic. In 2020</w:t>
      </w:r>
      <w:r w:rsidR="00BF6E00" w:rsidRPr="00217865">
        <w:rPr>
          <w:rFonts w:cs="Arial"/>
          <w:color w:val="000000" w:themeColor="text1"/>
        </w:rPr>
        <w:t>,</w:t>
      </w:r>
      <w:r w:rsidRPr="00217865">
        <w:rPr>
          <w:rFonts w:cs="Arial"/>
          <w:color w:val="000000" w:themeColor="text1"/>
        </w:rPr>
        <w:t xml:space="preserve"> around 12.1 per cent of international undergraduates were located overseas, compared with 33.9 per cent in 2021, but then contracting to 8.9 per cent in 2022 when travel restrictions were being lifted and 3.3 per cent in 2023. Note, this is different to students enrolled at </w:t>
      </w:r>
      <w:r w:rsidR="00CD1409" w:rsidRPr="00217865">
        <w:rPr>
          <w:rFonts w:cs="Arial"/>
          <w:color w:val="000000" w:themeColor="text1"/>
        </w:rPr>
        <w:t>offshore</w:t>
      </w:r>
      <w:r w:rsidRPr="00217865">
        <w:rPr>
          <w:rFonts w:cs="Arial"/>
          <w:color w:val="000000" w:themeColor="text1"/>
        </w:rPr>
        <w:t xml:space="preserve"> campuses of Australian institutions who are not in scope for the SES.</w:t>
      </w:r>
    </w:p>
    <w:p w14:paraId="57BDB8D1" w14:textId="0D4495A5" w:rsidR="00072B54" w:rsidRPr="00217865" w:rsidRDefault="00821227" w:rsidP="00821227">
      <w:pPr>
        <w:pStyle w:val="Body"/>
        <w:rPr>
          <w:rFonts w:cs="Arial"/>
          <w:color w:val="000000" w:themeColor="text1"/>
        </w:rPr>
      </w:pPr>
      <w:r w:rsidRPr="00217865">
        <w:rPr>
          <w:rFonts w:cs="Arial"/>
          <w:color w:val="000000" w:themeColor="text1"/>
        </w:rPr>
        <w:t xml:space="preserve">There were substantial differences in the educational experience of international students located in Australia at the time of the survey compared with those who would normally have studied in Australia but were located overseas as shown by </w:t>
      </w:r>
      <w:r w:rsidRPr="00217865">
        <w:rPr>
          <w:rFonts w:cs="Arial"/>
          <w:b/>
          <w:color w:val="000000" w:themeColor="text1"/>
        </w:rPr>
        <w:fldChar w:fldCharType="begin"/>
      </w:r>
      <w:r w:rsidRPr="00217865">
        <w:rPr>
          <w:rFonts w:cs="Arial"/>
          <w:b/>
          <w:color w:val="000000" w:themeColor="text1"/>
        </w:rPr>
        <w:instrText xml:space="preserve"> REF _Ref128079444 \h  \* MERGEFORMAT </w:instrText>
      </w:r>
      <w:r w:rsidRPr="00217865">
        <w:rPr>
          <w:rFonts w:cs="Arial"/>
          <w:b/>
          <w:color w:val="000000" w:themeColor="text1"/>
        </w:rPr>
      </w:r>
      <w:r w:rsidRPr="00217865">
        <w:rPr>
          <w:rFonts w:cs="Arial"/>
          <w:b/>
          <w:color w:val="000000" w:themeColor="text1"/>
        </w:rPr>
        <w:fldChar w:fldCharType="separate"/>
      </w:r>
      <w:r w:rsidR="005D5678" w:rsidRPr="005D5678">
        <w:rPr>
          <w:rFonts w:cs="Arial"/>
          <w:b/>
          <w:color w:val="000000" w:themeColor="text1"/>
        </w:rPr>
        <w:t>Table 1</w:t>
      </w:r>
      <w:r w:rsidRPr="00217865">
        <w:rPr>
          <w:rFonts w:cs="Arial"/>
          <w:b/>
          <w:color w:val="000000" w:themeColor="text1"/>
        </w:rPr>
        <w:fldChar w:fldCharType="end"/>
      </w:r>
      <w:r w:rsidRPr="00217865">
        <w:rPr>
          <w:rFonts w:cs="Arial"/>
          <w:color w:val="000000" w:themeColor="text1"/>
        </w:rPr>
        <w:t xml:space="preserve">. </w:t>
      </w:r>
    </w:p>
    <w:p w14:paraId="17BB8293" w14:textId="79CBE5B3" w:rsidR="00821227" w:rsidRPr="00217865" w:rsidRDefault="00072B54" w:rsidP="00821227">
      <w:pPr>
        <w:pStyle w:val="Body"/>
        <w:rPr>
          <w:rFonts w:cs="Arial"/>
          <w:color w:val="000000" w:themeColor="text1"/>
        </w:rPr>
      </w:pPr>
      <w:r w:rsidRPr="00217865">
        <w:rPr>
          <w:rFonts w:cs="Arial"/>
          <w:color w:val="000000" w:themeColor="text1"/>
        </w:rPr>
        <w:t>R</w:t>
      </w:r>
      <w:r w:rsidR="00821227" w:rsidRPr="00217865">
        <w:rPr>
          <w:rFonts w:cs="Arial"/>
          <w:color w:val="000000" w:themeColor="text1"/>
        </w:rPr>
        <w:t xml:space="preserve">atings for all focus areas increased noticeably in 2023 compared with </w:t>
      </w:r>
      <w:r w:rsidRPr="00217865">
        <w:rPr>
          <w:rFonts w:cs="Arial"/>
          <w:color w:val="000000" w:themeColor="text1"/>
        </w:rPr>
        <w:t>the two</w:t>
      </w:r>
      <w:r w:rsidR="00821227" w:rsidRPr="00217865">
        <w:rPr>
          <w:rFonts w:cs="Arial"/>
          <w:color w:val="000000" w:themeColor="text1"/>
        </w:rPr>
        <w:t xml:space="preserve"> years prior, with students located outside Australia at the time of the survey rating Learning Resources and </w:t>
      </w:r>
      <w:r w:rsidRPr="00217865">
        <w:rPr>
          <w:rFonts w:cs="Arial"/>
          <w:color w:val="000000" w:themeColor="text1"/>
        </w:rPr>
        <w:t xml:space="preserve">the </w:t>
      </w:r>
      <w:r w:rsidR="00821227" w:rsidRPr="00217865">
        <w:rPr>
          <w:rFonts w:cs="Arial"/>
          <w:color w:val="000000" w:themeColor="text1"/>
        </w:rPr>
        <w:t>Quality of entire educational experience more positively than those located in Australia.</w:t>
      </w:r>
    </w:p>
    <w:p w14:paraId="0F8CEEBD" w14:textId="4AF33F69" w:rsidR="00821227" w:rsidRPr="00217865" w:rsidRDefault="00821227" w:rsidP="00821227">
      <w:pPr>
        <w:pStyle w:val="Body"/>
        <w:rPr>
          <w:rFonts w:cs="Arial"/>
          <w:color w:val="000000" w:themeColor="text1"/>
        </w:rPr>
      </w:pPr>
      <w:r w:rsidRPr="00217865">
        <w:rPr>
          <w:rFonts w:cs="Arial"/>
          <w:color w:val="000000" w:themeColor="text1"/>
        </w:rPr>
        <w:t>International students located in Australia rated the Quality of entire educational experience more highly than international students who were located overseas in 2021 by 3.3 percentage points</w:t>
      </w:r>
      <w:r w:rsidR="00072B54" w:rsidRPr="00217865">
        <w:rPr>
          <w:rFonts w:cs="Arial"/>
          <w:color w:val="000000" w:themeColor="text1"/>
        </w:rPr>
        <w:t>.</w:t>
      </w:r>
      <w:r w:rsidRPr="00217865">
        <w:rPr>
          <w:rFonts w:cs="Arial"/>
          <w:color w:val="000000" w:themeColor="text1"/>
        </w:rPr>
        <w:t xml:space="preserve"> </w:t>
      </w:r>
      <w:r w:rsidR="00072B54" w:rsidRPr="00217865">
        <w:rPr>
          <w:rFonts w:cs="Arial"/>
          <w:color w:val="000000" w:themeColor="text1"/>
        </w:rPr>
        <w:t>H</w:t>
      </w:r>
      <w:r w:rsidRPr="00217865">
        <w:rPr>
          <w:rFonts w:cs="Arial"/>
          <w:color w:val="000000" w:themeColor="text1"/>
        </w:rPr>
        <w:t>owever</w:t>
      </w:r>
      <w:r w:rsidR="00072B54" w:rsidRPr="00217865">
        <w:rPr>
          <w:rFonts w:cs="Arial"/>
          <w:color w:val="000000" w:themeColor="text1"/>
        </w:rPr>
        <w:t>,</w:t>
      </w:r>
      <w:r w:rsidRPr="00217865">
        <w:rPr>
          <w:rFonts w:cs="Arial"/>
          <w:color w:val="000000" w:themeColor="text1"/>
        </w:rPr>
        <w:t xml:space="preserve"> this reversed in</w:t>
      </w:r>
      <w:r w:rsidR="00633EBD" w:rsidRPr="00217865">
        <w:rPr>
          <w:rFonts w:cs="Arial"/>
          <w:color w:val="000000" w:themeColor="text1"/>
        </w:rPr>
        <w:t xml:space="preserve"> subsequent years, </w:t>
      </w:r>
      <w:r w:rsidRPr="00217865">
        <w:rPr>
          <w:rFonts w:cs="Arial"/>
          <w:color w:val="000000" w:themeColor="text1"/>
        </w:rPr>
        <w:t xml:space="preserve">with those located overseas at the time of survey rating their overall experience </w:t>
      </w:r>
      <w:r w:rsidR="00633EBD" w:rsidRPr="00217865">
        <w:rPr>
          <w:rFonts w:cs="Arial"/>
          <w:color w:val="000000" w:themeColor="text1"/>
        </w:rPr>
        <w:t xml:space="preserve">slightly </w:t>
      </w:r>
      <w:r w:rsidRPr="00217865">
        <w:rPr>
          <w:rFonts w:cs="Arial"/>
          <w:color w:val="000000" w:themeColor="text1"/>
        </w:rPr>
        <w:t xml:space="preserve">higher </w:t>
      </w:r>
      <w:r w:rsidR="00633EBD" w:rsidRPr="00217865">
        <w:rPr>
          <w:rFonts w:cs="Arial"/>
          <w:color w:val="000000" w:themeColor="text1"/>
        </w:rPr>
        <w:t>in 2022 and similarly in 2023 compared to those located in Australia</w:t>
      </w:r>
      <w:r w:rsidRPr="00217865">
        <w:rPr>
          <w:rFonts w:cs="Arial"/>
          <w:color w:val="000000" w:themeColor="text1"/>
        </w:rPr>
        <w:t>. This may reflect the return to Australia of international students who wished to study on-</w:t>
      </w:r>
      <w:proofErr w:type="gramStart"/>
      <w:r w:rsidRPr="00217865">
        <w:rPr>
          <w:rFonts w:cs="Arial"/>
          <w:color w:val="000000" w:themeColor="text1"/>
        </w:rPr>
        <w:t>campus</w:t>
      </w:r>
      <w:proofErr w:type="gramEnd"/>
      <w:r w:rsidRPr="00217865">
        <w:rPr>
          <w:rFonts w:cs="Arial"/>
          <w:color w:val="000000" w:themeColor="text1"/>
        </w:rPr>
        <w:t xml:space="preserve"> and the much smaller proportion of international students located overseas who may have deliberately chosen to study externally.</w:t>
      </w:r>
    </w:p>
    <w:p w14:paraId="2CAF7804" w14:textId="77777777" w:rsidR="00821227" w:rsidRPr="00217865" w:rsidRDefault="00821227" w:rsidP="00821227">
      <w:pPr>
        <w:pStyle w:val="Body"/>
        <w:rPr>
          <w:rFonts w:cs="Arial"/>
          <w:color w:val="000000" w:themeColor="text1"/>
        </w:rPr>
      </w:pPr>
      <w:r w:rsidRPr="00217865">
        <w:rPr>
          <w:rFonts w:cs="Arial"/>
          <w:color w:val="000000" w:themeColor="text1"/>
        </w:rPr>
        <w:t xml:space="preserve">However, differences in the student experience between these two groups of students was most keenly felt </w:t>
      </w:r>
      <w:proofErr w:type="gramStart"/>
      <w:r w:rsidRPr="00217865">
        <w:rPr>
          <w:rFonts w:cs="Arial"/>
          <w:color w:val="000000" w:themeColor="text1"/>
        </w:rPr>
        <w:t>in the area of</w:t>
      </w:r>
      <w:proofErr w:type="gramEnd"/>
      <w:r w:rsidRPr="00217865">
        <w:rPr>
          <w:rFonts w:cs="Arial"/>
          <w:color w:val="000000" w:themeColor="text1"/>
        </w:rPr>
        <w:t xml:space="preserve"> Peer Engagement, with 54.6 per cent of international students located in Australia rating this aspect positively in 2021 compared with 37.4 per cent of international students who were located overseas, a gap of 17.2 percentage points. This continued to trend in 2022 with 62.4 per cent of international students located in Australia rating this focus area positively compared with 58.2 per cent of those located overseas which is likely related to fewer opportunities to engage with other students either inside or outside study and is consistent with ratings of students studying fully or mainly online. Although both ratings increased in 2023, this gap widened further to four percentage points.</w:t>
      </w:r>
    </w:p>
    <w:p w14:paraId="629C037F" w14:textId="7DC6E49A" w:rsidR="00821227" w:rsidRPr="00217865" w:rsidRDefault="00821227" w:rsidP="00821227">
      <w:pPr>
        <w:pStyle w:val="Caption"/>
        <w:rPr>
          <w:color w:val="000000" w:themeColor="text1"/>
        </w:rPr>
      </w:pPr>
      <w:bookmarkStart w:id="27" w:name="_Ref128079444"/>
      <w:bookmarkStart w:id="28" w:name="_Toc178599366"/>
      <w:bookmarkEnd w:id="26"/>
      <w:r w:rsidRPr="00217865">
        <w:rPr>
          <w:color w:val="000000" w:themeColor="text1"/>
        </w:rPr>
        <w:t xml:space="preserve">Table </w:t>
      </w:r>
      <w:r w:rsidRPr="00217865">
        <w:rPr>
          <w:color w:val="000000" w:themeColor="text1"/>
        </w:rPr>
        <w:fldChar w:fldCharType="begin"/>
      </w:r>
      <w:r w:rsidRPr="00217865">
        <w:rPr>
          <w:color w:val="000000" w:themeColor="text1"/>
        </w:rPr>
        <w:instrText>SEQ Table \* ARABIC</w:instrText>
      </w:r>
      <w:r w:rsidRPr="00217865">
        <w:rPr>
          <w:color w:val="000000" w:themeColor="text1"/>
        </w:rPr>
        <w:fldChar w:fldCharType="separate"/>
      </w:r>
      <w:r w:rsidR="005D5678">
        <w:rPr>
          <w:noProof/>
          <w:color w:val="000000" w:themeColor="text1"/>
        </w:rPr>
        <w:t>1</w:t>
      </w:r>
      <w:r w:rsidRPr="00217865">
        <w:rPr>
          <w:color w:val="000000" w:themeColor="text1"/>
        </w:rPr>
        <w:fldChar w:fldCharType="end"/>
      </w:r>
      <w:bookmarkEnd w:id="27"/>
      <w:r w:rsidR="007624C4">
        <w:rPr>
          <w:color w:val="000000" w:themeColor="text1"/>
        </w:rPr>
        <w:tab/>
      </w:r>
      <w:r w:rsidRPr="00217865">
        <w:rPr>
          <w:color w:val="000000" w:themeColor="text1"/>
        </w:rPr>
        <w:t>International undergraduate student experience by location, 2021-2023 (% positive rating)</w:t>
      </w:r>
      <w:bookmarkEnd w:id="28"/>
    </w:p>
    <w:tbl>
      <w:tblPr>
        <w:tblStyle w:val="TableGrid"/>
        <w:tblW w:w="15026" w:type="dxa"/>
        <w:tblInd w:w="-5" w:type="dxa"/>
        <w:shd w:val="clear" w:color="auto" w:fill="FFFF00"/>
        <w:tblLayout w:type="fixed"/>
        <w:tblLook w:val="04A0" w:firstRow="1" w:lastRow="0" w:firstColumn="1" w:lastColumn="0" w:noHBand="0" w:noVBand="1"/>
      </w:tblPr>
      <w:tblGrid>
        <w:gridCol w:w="1394"/>
        <w:gridCol w:w="757"/>
        <w:gridCol w:w="757"/>
        <w:gridCol w:w="758"/>
        <w:gridCol w:w="757"/>
        <w:gridCol w:w="757"/>
        <w:gridCol w:w="758"/>
        <w:gridCol w:w="757"/>
        <w:gridCol w:w="757"/>
        <w:gridCol w:w="758"/>
        <w:gridCol w:w="757"/>
        <w:gridCol w:w="757"/>
        <w:gridCol w:w="758"/>
        <w:gridCol w:w="757"/>
        <w:gridCol w:w="757"/>
        <w:gridCol w:w="758"/>
        <w:gridCol w:w="757"/>
        <w:gridCol w:w="757"/>
        <w:gridCol w:w="758"/>
      </w:tblGrid>
      <w:tr w:rsidR="00583FFB" w:rsidRPr="00217865" w14:paraId="336C9ADF" w14:textId="77777777" w:rsidTr="00583FFB">
        <w:trPr>
          <w:cnfStyle w:val="100000000000" w:firstRow="1" w:lastRow="0" w:firstColumn="0" w:lastColumn="0" w:oddVBand="0" w:evenVBand="0" w:oddHBand="0" w:evenHBand="0" w:firstRowFirstColumn="0" w:firstRowLastColumn="0" w:lastRowFirstColumn="0" w:lastRowLastColumn="0"/>
          <w:cantSplit/>
          <w:trHeight w:val="615"/>
          <w:tblHeader/>
        </w:trPr>
        <w:tc>
          <w:tcPr>
            <w:tcW w:w="1394" w:type="dxa"/>
            <w:hideMark/>
          </w:tcPr>
          <w:p w14:paraId="11324EDB" w14:textId="258D2AA0" w:rsidR="00583FFB" w:rsidRPr="00583FFB" w:rsidRDefault="00583FFB" w:rsidP="00583FFB">
            <w:pPr>
              <w:pStyle w:val="Footertable"/>
              <w:spacing w:before="60" w:after="60"/>
              <w:rPr>
                <w:rFonts w:ascii="Arial" w:hAnsi="Arial" w:cs="Arial"/>
                <w:b w:val="0"/>
                <w:bCs/>
                <w:color w:val="000000" w:themeColor="text1"/>
                <w:sz w:val="18"/>
                <w:szCs w:val="18"/>
                <w:highlight w:val="yellow"/>
              </w:rPr>
            </w:pPr>
            <w:r w:rsidRPr="00583FFB">
              <w:rPr>
                <w:rFonts w:ascii="Arial" w:hAnsi="Arial" w:cs="Arial"/>
                <w:bCs/>
                <w:color w:val="000000" w:themeColor="text1"/>
                <w:sz w:val="18"/>
                <w:szCs w:val="18"/>
              </w:rPr>
              <w:t>International student l</w:t>
            </w:r>
            <w:bookmarkStart w:id="29" w:name="Title_1"/>
            <w:bookmarkEnd w:id="29"/>
            <w:r w:rsidRPr="00583FFB">
              <w:rPr>
                <w:rFonts w:ascii="Arial" w:hAnsi="Arial" w:cs="Arial"/>
                <w:bCs/>
                <w:color w:val="000000" w:themeColor="text1"/>
                <w:sz w:val="18"/>
                <w:szCs w:val="18"/>
              </w:rPr>
              <w:t>ocation</w:t>
            </w:r>
          </w:p>
        </w:tc>
        <w:tc>
          <w:tcPr>
            <w:tcW w:w="757" w:type="dxa"/>
            <w:hideMark/>
          </w:tcPr>
          <w:p w14:paraId="5207F4F5" w14:textId="3E7B1369"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2021</w:t>
            </w:r>
          </w:p>
        </w:tc>
        <w:tc>
          <w:tcPr>
            <w:tcW w:w="757" w:type="dxa"/>
            <w:hideMark/>
          </w:tcPr>
          <w:p w14:paraId="164D4D33" w14:textId="4D4FCAB7"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2022</w:t>
            </w:r>
          </w:p>
        </w:tc>
        <w:tc>
          <w:tcPr>
            <w:tcW w:w="758" w:type="dxa"/>
          </w:tcPr>
          <w:p w14:paraId="2E974A1C" w14:textId="469B0FCE"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2023</w:t>
            </w:r>
          </w:p>
        </w:tc>
        <w:tc>
          <w:tcPr>
            <w:tcW w:w="757" w:type="dxa"/>
            <w:hideMark/>
          </w:tcPr>
          <w:p w14:paraId="7D02F0EE" w14:textId="10363407"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2021</w:t>
            </w:r>
          </w:p>
        </w:tc>
        <w:tc>
          <w:tcPr>
            <w:tcW w:w="757" w:type="dxa"/>
            <w:hideMark/>
          </w:tcPr>
          <w:p w14:paraId="74E1D5B7" w14:textId="02A7BAB4"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2022</w:t>
            </w:r>
          </w:p>
        </w:tc>
        <w:tc>
          <w:tcPr>
            <w:tcW w:w="758" w:type="dxa"/>
          </w:tcPr>
          <w:p w14:paraId="16D0C60B" w14:textId="09DDF673" w:rsidR="00583FFB" w:rsidRPr="00583FFB" w:rsidRDefault="00583FFB" w:rsidP="00583FFB">
            <w:pPr>
              <w:pStyle w:val="zz"/>
              <w:framePr w:wrap="around"/>
              <w:spacing w:before="60" w:after="60"/>
              <w:rPr>
                <w:rFonts w:ascii="Arial" w:hAnsi="Arial" w:cs="Arial"/>
                <w:b/>
                <w:bCs w:val="0"/>
                <w:color w:val="000000" w:themeColor="text1"/>
                <w:highlight w:val="yellow"/>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2023</w:t>
            </w:r>
          </w:p>
        </w:tc>
        <w:tc>
          <w:tcPr>
            <w:tcW w:w="757" w:type="dxa"/>
            <w:hideMark/>
          </w:tcPr>
          <w:p w14:paraId="624A5183" w14:textId="0FF83568"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2021</w:t>
            </w:r>
          </w:p>
        </w:tc>
        <w:tc>
          <w:tcPr>
            <w:tcW w:w="757" w:type="dxa"/>
            <w:hideMark/>
          </w:tcPr>
          <w:p w14:paraId="5825ED4C" w14:textId="7CF64378"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2022</w:t>
            </w:r>
          </w:p>
        </w:tc>
        <w:tc>
          <w:tcPr>
            <w:tcW w:w="758" w:type="dxa"/>
          </w:tcPr>
          <w:p w14:paraId="420D6D3A" w14:textId="79D35E98" w:rsidR="00583FFB" w:rsidRPr="00583FFB" w:rsidRDefault="00583FFB" w:rsidP="00583FFB">
            <w:pPr>
              <w:pStyle w:val="zz"/>
              <w:framePr w:wrap="around"/>
              <w:spacing w:before="60" w:after="60"/>
              <w:rPr>
                <w:rFonts w:ascii="Arial" w:hAnsi="Arial" w:cs="Arial"/>
                <w:b/>
                <w:bCs w:val="0"/>
                <w:color w:val="000000" w:themeColor="text1"/>
                <w:highlight w:val="yellow"/>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2023</w:t>
            </w:r>
          </w:p>
        </w:tc>
        <w:tc>
          <w:tcPr>
            <w:tcW w:w="757" w:type="dxa"/>
            <w:hideMark/>
          </w:tcPr>
          <w:p w14:paraId="18242423" w14:textId="19189B68"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2021</w:t>
            </w:r>
          </w:p>
        </w:tc>
        <w:tc>
          <w:tcPr>
            <w:tcW w:w="757" w:type="dxa"/>
            <w:hideMark/>
          </w:tcPr>
          <w:p w14:paraId="3D8B12EE" w14:textId="29DD1A32"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2022</w:t>
            </w:r>
          </w:p>
        </w:tc>
        <w:tc>
          <w:tcPr>
            <w:tcW w:w="758" w:type="dxa"/>
          </w:tcPr>
          <w:p w14:paraId="1B62017D" w14:textId="73E56138" w:rsidR="00583FFB" w:rsidRPr="00583FFB" w:rsidRDefault="00583FFB" w:rsidP="00583FFB">
            <w:pPr>
              <w:pStyle w:val="zz"/>
              <w:framePr w:wrap="around"/>
              <w:spacing w:before="60" w:after="60"/>
              <w:rPr>
                <w:rFonts w:ascii="Arial" w:hAnsi="Arial" w:cs="Arial"/>
                <w:b/>
                <w:bCs w:val="0"/>
                <w:color w:val="000000" w:themeColor="text1"/>
                <w:highlight w:val="yellow"/>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2023</w:t>
            </w:r>
          </w:p>
        </w:tc>
        <w:tc>
          <w:tcPr>
            <w:tcW w:w="757" w:type="dxa"/>
            <w:hideMark/>
          </w:tcPr>
          <w:p w14:paraId="19DFE7C3" w14:textId="52CC082E"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2021</w:t>
            </w:r>
          </w:p>
        </w:tc>
        <w:tc>
          <w:tcPr>
            <w:tcW w:w="757" w:type="dxa"/>
            <w:hideMark/>
          </w:tcPr>
          <w:p w14:paraId="3DCAE507" w14:textId="7E2E8347"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2022</w:t>
            </w:r>
          </w:p>
        </w:tc>
        <w:tc>
          <w:tcPr>
            <w:tcW w:w="758" w:type="dxa"/>
            <w:hideMark/>
          </w:tcPr>
          <w:p w14:paraId="2BC1186F" w14:textId="17B642BC" w:rsidR="00583FFB" w:rsidRPr="00583FFB" w:rsidRDefault="00583FFB" w:rsidP="00583FFB">
            <w:pPr>
              <w:pStyle w:val="zz"/>
              <w:framePr w:wrap="around"/>
              <w:spacing w:before="60" w:after="60"/>
              <w:rPr>
                <w:rFonts w:ascii="Arial" w:hAnsi="Arial" w:cs="Arial"/>
                <w:b/>
                <w:bCs w:val="0"/>
                <w:color w:val="000000" w:themeColor="text1"/>
                <w:highlight w:val="yellow"/>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2023</w:t>
            </w:r>
          </w:p>
        </w:tc>
        <w:tc>
          <w:tcPr>
            <w:tcW w:w="757" w:type="dxa"/>
            <w:hideMark/>
          </w:tcPr>
          <w:p w14:paraId="29D31A77" w14:textId="78E24534"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2021</w:t>
            </w:r>
          </w:p>
        </w:tc>
        <w:tc>
          <w:tcPr>
            <w:tcW w:w="757" w:type="dxa"/>
          </w:tcPr>
          <w:p w14:paraId="22AB0D4A" w14:textId="7AFA23A3" w:rsidR="00583FFB" w:rsidRPr="00583FFB" w:rsidRDefault="00583FFB" w:rsidP="00583FFB">
            <w:pPr>
              <w:pStyle w:val="zz"/>
              <w:framePr w:wrap="around"/>
              <w:spacing w:before="60" w:after="60"/>
              <w:rPr>
                <w:rFonts w:ascii="Arial" w:hAnsi="Arial" w:cs="Arial"/>
                <w:b/>
                <w:bCs w:val="0"/>
                <w:color w:val="000000" w:themeColor="text1"/>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2022</w:t>
            </w:r>
          </w:p>
        </w:tc>
        <w:tc>
          <w:tcPr>
            <w:tcW w:w="758" w:type="dxa"/>
          </w:tcPr>
          <w:p w14:paraId="1729A35B" w14:textId="59BEB578" w:rsidR="00583FFB" w:rsidRPr="00583FFB" w:rsidRDefault="00583FFB" w:rsidP="00583FFB">
            <w:pPr>
              <w:pStyle w:val="zz"/>
              <w:framePr w:wrap="around"/>
              <w:spacing w:before="60" w:after="60"/>
              <w:rPr>
                <w:rFonts w:ascii="Arial" w:hAnsi="Arial" w:cs="Arial"/>
                <w:b/>
                <w:bCs w:val="0"/>
                <w:color w:val="000000" w:themeColor="text1"/>
                <w:highlight w:val="yellow"/>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2023</w:t>
            </w:r>
          </w:p>
        </w:tc>
      </w:tr>
      <w:tr w:rsidR="00217865" w:rsidRPr="00217865" w14:paraId="036BB305" w14:textId="77777777" w:rsidTr="00D753F4">
        <w:trPr>
          <w:trHeight w:val="508"/>
        </w:trPr>
        <w:tc>
          <w:tcPr>
            <w:tcW w:w="1394" w:type="dxa"/>
            <w:noWrap/>
            <w:vAlign w:val="center"/>
            <w:hideMark/>
          </w:tcPr>
          <w:p w14:paraId="687E3B6B" w14:textId="77777777" w:rsidR="00821227" w:rsidRPr="00217865" w:rsidRDefault="00821227" w:rsidP="00D753F4">
            <w:pPr>
              <w:pStyle w:val="Z"/>
              <w:spacing w:before="60" w:after="60"/>
              <w:rPr>
                <w:color w:val="000000" w:themeColor="text1"/>
                <w:szCs w:val="18"/>
              </w:rPr>
            </w:pPr>
            <w:r w:rsidRPr="00217865">
              <w:rPr>
                <w:color w:val="000000" w:themeColor="text1"/>
                <w:szCs w:val="18"/>
              </w:rPr>
              <w:t>Australia</w:t>
            </w:r>
          </w:p>
        </w:tc>
        <w:tc>
          <w:tcPr>
            <w:tcW w:w="757" w:type="dxa"/>
            <w:noWrap/>
            <w:vAlign w:val="center"/>
          </w:tcPr>
          <w:p w14:paraId="4DBA72F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78.8</w:t>
            </w:r>
          </w:p>
        </w:tc>
        <w:tc>
          <w:tcPr>
            <w:tcW w:w="757" w:type="dxa"/>
            <w:noWrap/>
            <w:vAlign w:val="center"/>
          </w:tcPr>
          <w:p w14:paraId="04D9CB5F"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82.2</w:t>
            </w:r>
          </w:p>
        </w:tc>
        <w:tc>
          <w:tcPr>
            <w:tcW w:w="758" w:type="dxa"/>
            <w:vAlign w:val="center"/>
          </w:tcPr>
          <w:p w14:paraId="325BBA3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83.7</w:t>
            </w:r>
          </w:p>
        </w:tc>
        <w:tc>
          <w:tcPr>
            <w:tcW w:w="757" w:type="dxa"/>
            <w:noWrap/>
            <w:vAlign w:val="center"/>
          </w:tcPr>
          <w:p w14:paraId="04041E30"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54.6</w:t>
            </w:r>
          </w:p>
        </w:tc>
        <w:tc>
          <w:tcPr>
            <w:tcW w:w="757" w:type="dxa"/>
            <w:noWrap/>
            <w:vAlign w:val="center"/>
          </w:tcPr>
          <w:p w14:paraId="2D06C61F"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62.4</w:t>
            </w:r>
          </w:p>
        </w:tc>
        <w:tc>
          <w:tcPr>
            <w:tcW w:w="758" w:type="dxa"/>
            <w:vAlign w:val="center"/>
          </w:tcPr>
          <w:p w14:paraId="77EB4CF4"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69.7</w:t>
            </w:r>
          </w:p>
        </w:tc>
        <w:tc>
          <w:tcPr>
            <w:tcW w:w="757" w:type="dxa"/>
            <w:noWrap/>
            <w:vAlign w:val="center"/>
          </w:tcPr>
          <w:p w14:paraId="18F4279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75.8</w:t>
            </w:r>
          </w:p>
        </w:tc>
        <w:tc>
          <w:tcPr>
            <w:tcW w:w="757" w:type="dxa"/>
            <w:noWrap/>
            <w:vAlign w:val="center"/>
          </w:tcPr>
          <w:p w14:paraId="699FF544"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80.5</w:t>
            </w:r>
          </w:p>
        </w:tc>
        <w:tc>
          <w:tcPr>
            <w:tcW w:w="758" w:type="dxa"/>
            <w:vAlign w:val="center"/>
          </w:tcPr>
          <w:p w14:paraId="389125FE"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82.8</w:t>
            </w:r>
          </w:p>
        </w:tc>
        <w:tc>
          <w:tcPr>
            <w:tcW w:w="757" w:type="dxa"/>
            <w:noWrap/>
            <w:vAlign w:val="center"/>
          </w:tcPr>
          <w:p w14:paraId="336B5784"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71.0</w:t>
            </w:r>
          </w:p>
        </w:tc>
        <w:tc>
          <w:tcPr>
            <w:tcW w:w="757" w:type="dxa"/>
            <w:noWrap/>
            <w:vAlign w:val="center"/>
          </w:tcPr>
          <w:p w14:paraId="38093F6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75.0</w:t>
            </w:r>
          </w:p>
        </w:tc>
        <w:tc>
          <w:tcPr>
            <w:tcW w:w="758" w:type="dxa"/>
            <w:vAlign w:val="center"/>
          </w:tcPr>
          <w:p w14:paraId="55D2A4E4"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78.0</w:t>
            </w:r>
          </w:p>
        </w:tc>
        <w:tc>
          <w:tcPr>
            <w:tcW w:w="757" w:type="dxa"/>
            <w:noWrap/>
            <w:vAlign w:val="center"/>
          </w:tcPr>
          <w:p w14:paraId="0D0CA170"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75.7</w:t>
            </w:r>
          </w:p>
        </w:tc>
        <w:tc>
          <w:tcPr>
            <w:tcW w:w="757" w:type="dxa"/>
            <w:noWrap/>
            <w:vAlign w:val="center"/>
          </w:tcPr>
          <w:p w14:paraId="3899FAA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83.8</w:t>
            </w:r>
          </w:p>
        </w:tc>
        <w:tc>
          <w:tcPr>
            <w:tcW w:w="758" w:type="dxa"/>
            <w:noWrap/>
            <w:vAlign w:val="center"/>
          </w:tcPr>
          <w:p w14:paraId="06320F59"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84.7</w:t>
            </w:r>
          </w:p>
        </w:tc>
        <w:tc>
          <w:tcPr>
            <w:tcW w:w="757" w:type="dxa"/>
            <w:noWrap/>
            <w:vAlign w:val="center"/>
          </w:tcPr>
          <w:p w14:paraId="498376A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68.8</w:t>
            </w:r>
          </w:p>
        </w:tc>
        <w:tc>
          <w:tcPr>
            <w:tcW w:w="757" w:type="dxa"/>
            <w:vAlign w:val="center"/>
          </w:tcPr>
          <w:p w14:paraId="536C2D7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74.5</w:t>
            </w:r>
          </w:p>
        </w:tc>
        <w:tc>
          <w:tcPr>
            <w:tcW w:w="758" w:type="dxa"/>
            <w:vAlign w:val="center"/>
          </w:tcPr>
          <w:p w14:paraId="7819735D"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75.9</w:t>
            </w:r>
          </w:p>
        </w:tc>
      </w:tr>
      <w:tr w:rsidR="00217865" w:rsidRPr="00217865" w14:paraId="7A2FADF5" w14:textId="77777777" w:rsidTr="00D753F4">
        <w:trPr>
          <w:trHeight w:val="426"/>
        </w:trPr>
        <w:tc>
          <w:tcPr>
            <w:tcW w:w="1394" w:type="dxa"/>
            <w:noWrap/>
            <w:vAlign w:val="center"/>
            <w:hideMark/>
          </w:tcPr>
          <w:p w14:paraId="55BF8096" w14:textId="77777777" w:rsidR="00821227" w:rsidRPr="00217865" w:rsidRDefault="00821227" w:rsidP="00D753F4">
            <w:pPr>
              <w:pStyle w:val="Z"/>
              <w:spacing w:before="60" w:after="60"/>
              <w:rPr>
                <w:color w:val="000000" w:themeColor="text1"/>
                <w:szCs w:val="18"/>
              </w:rPr>
            </w:pPr>
            <w:r w:rsidRPr="00217865">
              <w:rPr>
                <w:color w:val="000000" w:themeColor="text1"/>
                <w:szCs w:val="18"/>
              </w:rPr>
              <w:t>Overseas</w:t>
            </w:r>
          </w:p>
        </w:tc>
        <w:tc>
          <w:tcPr>
            <w:tcW w:w="757" w:type="dxa"/>
            <w:noWrap/>
            <w:vAlign w:val="center"/>
          </w:tcPr>
          <w:p w14:paraId="2EB4D60E"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74.7</w:t>
            </w:r>
          </w:p>
        </w:tc>
        <w:tc>
          <w:tcPr>
            <w:tcW w:w="757" w:type="dxa"/>
            <w:noWrap/>
            <w:vAlign w:val="center"/>
          </w:tcPr>
          <w:p w14:paraId="6A84AF93"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82.1</w:t>
            </w:r>
          </w:p>
        </w:tc>
        <w:tc>
          <w:tcPr>
            <w:tcW w:w="758" w:type="dxa"/>
            <w:vAlign w:val="center"/>
          </w:tcPr>
          <w:p w14:paraId="7F508818"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79.6</w:t>
            </w:r>
          </w:p>
        </w:tc>
        <w:tc>
          <w:tcPr>
            <w:tcW w:w="757" w:type="dxa"/>
            <w:noWrap/>
            <w:vAlign w:val="center"/>
          </w:tcPr>
          <w:p w14:paraId="4F81FDEC"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37.4</w:t>
            </w:r>
          </w:p>
        </w:tc>
        <w:tc>
          <w:tcPr>
            <w:tcW w:w="757" w:type="dxa"/>
            <w:noWrap/>
            <w:vAlign w:val="center"/>
          </w:tcPr>
          <w:p w14:paraId="48F734A7"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58.2</w:t>
            </w:r>
          </w:p>
        </w:tc>
        <w:tc>
          <w:tcPr>
            <w:tcW w:w="758" w:type="dxa"/>
            <w:vAlign w:val="center"/>
          </w:tcPr>
          <w:p w14:paraId="4EABD66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65.7</w:t>
            </w:r>
          </w:p>
        </w:tc>
        <w:tc>
          <w:tcPr>
            <w:tcW w:w="757" w:type="dxa"/>
            <w:noWrap/>
            <w:vAlign w:val="center"/>
          </w:tcPr>
          <w:p w14:paraId="314D81FE"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77.5</w:t>
            </w:r>
          </w:p>
        </w:tc>
        <w:tc>
          <w:tcPr>
            <w:tcW w:w="757" w:type="dxa"/>
            <w:noWrap/>
            <w:vAlign w:val="center"/>
          </w:tcPr>
          <w:p w14:paraId="0580ACD1"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82.3</w:t>
            </w:r>
          </w:p>
        </w:tc>
        <w:tc>
          <w:tcPr>
            <w:tcW w:w="758" w:type="dxa"/>
            <w:vAlign w:val="center"/>
          </w:tcPr>
          <w:p w14:paraId="3472829A"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80.4</w:t>
            </w:r>
          </w:p>
        </w:tc>
        <w:tc>
          <w:tcPr>
            <w:tcW w:w="757" w:type="dxa"/>
            <w:noWrap/>
            <w:vAlign w:val="center"/>
          </w:tcPr>
          <w:p w14:paraId="28091C06"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70.5</w:t>
            </w:r>
          </w:p>
        </w:tc>
        <w:tc>
          <w:tcPr>
            <w:tcW w:w="757" w:type="dxa"/>
            <w:noWrap/>
            <w:vAlign w:val="center"/>
          </w:tcPr>
          <w:p w14:paraId="0084D000"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75.7</w:t>
            </w:r>
          </w:p>
        </w:tc>
        <w:tc>
          <w:tcPr>
            <w:tcW w:w="758" w:type="dxa"/>
            <w:vAlign w:val="center"/>
          </w:tcPr>
          <w:p w14:paraId="022C3DDC"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77.2</w:t>
            </w:r>
          </w:p>
        </w:tc>
        <w:tc>
          <w:tcPr>
            <w:tcW w:w="757" w:type="dxa"/>
            <w:noWrap/>
            <w:vAlign w:val="center"/>
          </w:tcPr>
          <w:p w14:paraId="764DDAB1"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69.6</w:t>
            </w:r>
          </w:p>
        </w:tc>
        <w:tc>
          <w:tcPr>
            <w:tcW w:w="757" w:type="dxa"/>
            <w:noWrap/>
            <w:vAlign w:val="center"/>
          </w:tcPr>
          <w:p w14:paraId="23CB9F5D"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86.3</w:t>
            </w:r>
          </w:p>
        </w:tc>
        <w:tc>
          <w:tcPr>
            <w:tcW w:w="758" w:type="dxa"/>
            <w:noWrap/>
            <w:vAlign w:val="center"/>
          </w:tcPr>
          <w:p w14:paraId="55AD8308"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85.1</w:t>
            </w:r>
          </w:p>
        </w:tc>
        <w:tc>
          <w:tcPr>
            <w:tcW w:w="757" w:type="dxa"/>
            <w:noWrap/>
            <w:vAlign w:val="center"/>
          </w:tcPr>
          <w:p w14:paraId="7C88B859"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65.5</w:t>
            </w:r>
          </w:p>
        </w:tc>
        <w:tc>
          <w:tcPr>
            <w:tcW w:w="757" w:type="dxa"/>
            <w:vAlign w:val="center"/>
          </w:tcPr>
          <w:p w14:paraId="2415247F"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77.0</w:t>
            </w:r>
          </w:p>
        </w:tc>
        <w:tc>
          <w:tcPr>
            <w:tcW w:w="758" w:type="dxa"/>
            <w:vAlign w:val="center"/>
          </w:tcPr>
          <w:p w14:paraId="5A25E0D8" w14:textId="77777777" w:rsidR="00821227" w:rsidRPr="00217865" w:rsidRDefault="00821227" w:rsidP="00D753F4">
            <w:pPr>
              <w:pStyle w:val="Z"/>
              <w:spacing w:before="60" w:after="60"/>
              <w:jc w:val="center"/>
              <w:rPr>
                <w:color w:val="000000" w:themeColor="text1"/>
                <w:szCs w:val="18"/>
              </w:rPr>
            </w:pPr>
            <w:r w:rsidRPr="00217865">
              <w:rPr>
                <w:color w:val="000000" w:themeColor="text1"/>
                <w:szCs w:val="18"/>
              </w:rPr>
              <w:t>77.9</w:t>
            </w:r>
          </w:p>
        </w:tc>
      </w:tr>
    </w:tbl>
    <w:p w14:paraId="12319B00" w14:textId="7EBE6CBA" w:rsidR="00821227" w:rsidRPr="00217865" w:rsidRDefault="00D1119F" w:rsidP="00A533FF">
      <w:pPr>
        <w:pStyle w:val="Z"/>
        <w:spacing w:before="120"/>
        <w:rPr>
          <w:color w:val="000000" w:themeColor="text1"/>
          <w:szCs w:val="18"/>
        </w:rPr>
      </w:pPr>
      <w:bookmarkStart w:id="30" w:name="_Ref124425672"/>
      <w:bookmarkEnd w:id="25"/>
      <w:r w:rsidRPr="00217865">
        <w:rPr>
          <w:color w:val="000000" w:themeColor="text1"/>
          <w:szCs w:val="18"/>
        </w:rPr>
        <w:t>Note that prior to 2023, the Peer Engagement focus area was named Learner Engagement and Student Support and Services, was previously the Student Support focus area. This table should be used to compare the cohort responses but year on year comparisons between 2022 and 2023 treated with caution.</w:t>
      </w:r>
    </w:p>
    <w:p w14:paraId="17E22AC1" w14:textId="35071069" w:rsidR="00E75C13" w:rsidRPr="00217865" w:rsidRDefault="00E75C13" w:rsidP="00E75C13">
      <w:pPr>
        <w:pStyle w:val="Caption"/>
        <w:rPr>
          <w:color w:val="000000" w:themeColor="text1"/>
        </w:rPr>
      </w:pPr>
      <w:bookmarkStart w:id="31" w:name="_Toc178599367"/>
      <w:r w:rsidRPr="00217865">
        <w:rPr>
          <w:color w:val="000000" w:themeColor="text1"/>
        </w:rPr>
        <w:lastRenderedPageBreak/>
        <w:t xml:space="preserve">Table </w:t>
      </w:r>
      <w:r w:rsidR="001706E8" w:rsidRPr="00217865">
        <w:rPr>
          <w:color w:val="000000" w:themeColor="text1"/>
        </w:rPr>
        <w:fldChar w:fldCharType="begin"/>
      </w:r>
      <w:r w:rsidR="001706E8" w:rsidRPr="00217865">
        <w:rPr>
          <w:color w:val="000000" w:themeColor="text1"/>
        </w:rPr>
        <w:instrText xml:space="preserve"> SEQ Table \* ARABIC </w:instrText>
      </w:r>
      <w:r w:rsidR="001706E8" w:rsidRPr="00217865">
        <w:rPr>
          <w:color w:val="000000" w:themeColor="text1"/>
        </w:rPr>
        <w:fldChar w:fldCharType="separate"/>
      </w:r>
      <w:r w:rsidR="005D5678">
        <w:rPr>
          <w:noProof/>
          <w:color w:val="000000" w:themeColor="text1"/>
        </w:rPr>
        <w:t>2</w:t>
      </w:r>
      <w:r w:rsidR="001706E8" w:rsidRPr="00217865">
        <w:rPr>
          <w:noProof/>
          <w:color w:val="000000" w:themeColor="text1"/>
        </w:rPr>
        <w:fldChar w:fldCharType="end"/>
      </w:r>
      <w:r w:rsidR="007624C4">
        <w:rPr>
          <w:color w:val="000000" w:themeColor="text1"/>
        </w:rPr>
        <w:tab/>
      </w:r>
      <w:r w:rsidRPr="00217865">
        <w:rPr>
          <w:color w:val="000000" w:themeColor="text1"/>
        </w:rPr>
        <w:t>International postgraduate coursework student experience by location, 2021-2023 (% positive rating)</w:t>
      </w:r>
      <w:bookmarkEnd w:id="31"/>
    </w:p>
    <w:tbl>
      <w:tblPr>
        <w:tblStyle w:val="TableGrid"/>
        <w:tblW w:w="15026" w:type="dxa"/>
        <w:tblInd w:w="-5" w:type="dxa"/>
        <w:shd w:val="clear" w:color="auto" w:fill="FFFF00"/>
        <w:tblLayout w:type="fixed"/>
        <w:tblLook w:val="04A0" w:firstRow="1" w:lastRow="0" w:firstColumn="1" w:lastColumn="0" w:noHBand="0" w:noVBand="1"/>
      </w:tblPr>
      <w:tblGrid>
        <w:gridCol w:w="1394"/>
        <w:gridCol w:w="757"/>
        <w:gridCol w:w="757"/>
        <w:gridCol w:w="758"/>
        <w:gridCol w:w="757"/>
        <w:gridCol w:w="757"/>
        <w:gridCol w:w="758"/>
        <w:gridCol w:w="757"/>
        <w:gridCol w:w="757"/>
        <w:gridCol w:w="758"/>
        <w:gridCol w:w="757"/>
        <w:gridCol w:w="757"/>
        <w:gridCol w:w="758"/>
        <w:gridCol w:w="757"/>
        <w:gridCol w:w="757"/>
        <w:gridCol w:w="758"/>
        <w:gridCol w:w="757"/>
        <w:gridCol w:w="757"/>
        <w:gridCol w:w="758"/>
      </w:tblGrid>
      <w:tr w:rsidR="00583FFB" w:rsidRPr="00217865" w14:paraId="4A6821B9" w14:textId="77777777" w:rsidTr="00583FFB">
        <w:trPr>
          <w:cnfStyle w:val="100000000000" w:firstRow="1" w:lastRow="0" w:firstColumn="0" w:lastColumn="0" w:oddVBand="0" w:evenVBand="0" w:oddHBand="0" w:evenHBand="0" w:firstRowFirstColumn="0" w:firstRowLastColumn="0" w:lastRowFirstColumn="0" w:lastRowLastColumn="0"/>
          <w:cantSplit/>
          <w:trHeight w:val="615"/>
          <w:tblHeader/>
        </w:trPr>
        <w:tc>
          <w:tcPr>
            <w:tcW w:w="1394" w:type="dxa"/>
            <w:hideMark/>
          </w:tcPr>
          <w:p w14:paraId="76F00267" w14:textId="543E6FF4" w:rsidR="00583FFB" w:rsidRPr="00583FFB" w:rsidRDefault="00583FFB" w:rsidP="00583FFB">
            <w:pPr>
              <w:pStyle w:val="Footertable"/>
              <w:spacing w:before="60" w:after="60"/>
              <w:rPr>
                <w:rFonts w:ascii="Arial" w:hAnsi="Arial" w:cs="Arial"/>
                <w:bCs/>
                <w:color w:val="000000" w:themeColor="text1"/>
                <w:sz w:val="18"/>
                <w:szCs w:val="18"/>
                <w:highlight w:val="yellow"/>
              </w:rPr>
            </w:pPr>
            <w:r w:rsidRPr="00583FFB">
              <w:rPr>
                <w:rFonts w:ascii="Arial" w:hAnsi="Arial" w:cs="Arial"/>
                <w:bCs/>
                <w:color w:val="000000" w:themeColor="text1"/>
                <w:sz w:val="18"/>
                <w:szCs w:val="18"/>
              </w:rPr>
              <w:t>Intern</w:t>
            </w:r>
            <w:bookmarkStart w:id="32" w:name="Title_2"/>
            <w:bookmarkEnd w:id="32"/>
            <w:r w:rsidRPr="00583FFB">
              <w:rPr>
                <w:rFonts w:ascii="Arial" w:hAnsi="Arial" w:cs="Arial"/>
                <w:bCs/>
                <w:color w:val="000000" w:themeColor="text1"/>
                <w:sz w:val="18"/>
                <w:szCs w:val="18"/>
              </w:rPr>
              <w:t>ational student location</w:t>
            </w:r>
          </w:p>
        </w:tc>
        <w:tc>
          <w:tcPr>
            <w:tcW w:w="757" w:type="dxa"/>
            <w:hideMark/>
          </w:tcPr>
          <w:p w14:paraId="70991E87" w14:textId="26666722"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2021</w:t>
            </w:r>
          </w:p>
        </w:tc>
        <w:tc>
          <w:tcPr>
            <w:tcW w:w="757" w:type="dxa"/>
            <w:hideMark/>
          </w:tcPr>
          <w:p w14:paraId="3D351DA6" w14:textId="335BB975"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2022</w:t>
            </w:r>
          </w:p>
        </w:tc>
        <w:tc>
          <w:tcPr>
            <w:tcW w:w="758" w:type="dxa"/>
          </w:tcPr>
          <w:p w14:paraId="39BF45D8" w14:textId="08126A9D"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Skills Development </w:t>
            </w:r>
            <w:r w:rsidRPr="00583FFB">
              <w:rPr>
                <w:rFonts w:ascii="Arial" w:hAnsi="Arial" w:cs="Arial"/>
                <w:color w:val="000000" w:themeColor="text1"/>
              </w:rPr>
              <w:t>2023</w:t>
            </w:r>
          </w:p>
        </w:tc>
        <w:tc>
          <w:tcPr>
            <w:tcW w:w="757" w:type="dxa"/>
            <w:hideMark/>
          </w:tcPr>
          <w:p w14:paraId="79E72F74" w14:textId="5A411A6B"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2021</w:t>
            </w:r>
          </w:p>
        </w:tc>
        <w:tc>
          <w:tcPr>
            <w:tcW w:w="757" w:type="dxa"/>
            <w:hideMark/>
          </w:tcPr>
          <w:p w14:paraId="351479FD" w14:textId="14A67795" w:rsidR="00583FFB" w:rsidRPr="00583FFB" w:rsidRDefault="00583FFB" w:rsidP="00583FFB">
            <w:pPr>
              <w:pStyle w:val="zz"/>
              <w:framePr w:wrap="auto"/>
              <w:spacing w:before="60" w:after="60"/>
              <w:rPr>
                <w:rFonts w:ascii="Arial" w:hAnsi="Arial" w:cs="Arial"/>
                <w:color w:val="000000" w:themeColor="text1"/>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2022</w:t>
            </w:r>
          </w:p>
        </w:tc>
        <w:tc>
          <w:tcPr>
            <w:tcW w:w="758" w:type="dxa"/>
          </w:tcPr>
          <w:p w14:paraId="6D98BAB2" w14:textId="0EF1CBEF" w:rsidR="00583FFB" w:rsidRPr="00583FFB" w:rsidRDefault="00583FFB" w:rsidP="00583FFB">
            <w:pPr>
              <w:pStyle w:val="zz"/>
              <w:framePr w:wrap="auto"/>
              <w:spacing w:before="60" w:after="60"/>
              <w:rPr>
                <w:rFonts w:ascii="Arial" w:hAnsi="Arial" w:cs="Arial"/>
                <w:b/>
                <w:color w:val="000000" w:themeColor="text1"/>
                <w:highlight w:val="yellow"/>
              </w:rPr>
            </w:pPr>
            <w:r w:rsidRPr="00583FFB">
              <w:rPr>
                <w:rFonts w:ascii="Arial" w:hAnsi="Arial" w:cs="Arial"/>
                <w:b/>
                <w:bCs w:val="0"/>
                <w:color w:val="000000" w:themeColor="text1"/>
              </w:rPr>
              <w:t xml:space="preserve">Peer Engagement* </w:t>
            </w:r>
            <w:r w:rsidRPr="00583FFB">
              <w:rPr>
                <w:rFonts w:ascii="Arial" w:hAnsi="Arial" w:cs="Arial"/>
                <w:color w:val="000000" w:themeColor="text1"/>
              </w:rPr>
              <w:t>2023</w:t>
            </w:r>
          </w:p>
        </w:tc>
        <w:tc>
          <w:tcPr>
            <w:tcW w:w="757" w:type="dxa"/>
            <w:hideMark/>
          </w:tcPr>
          <w:p w14:paraId="173F2C10" w14:textId="62A0374C"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2021</w:t>
            </w:r>
          </w:p>
        </w:tc>
        <w:tc>
          <w:tcPr>
            <w:tcW w:w="757" w:type="dxa"/>
            <w:hideMark/>
          </w:tcPr>
          <w:p w14:paraId="6D8A1CC7" w14:textId="524B6CCE"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2022</w:t>
            </w:r>
          </w:p>
        </w:tc>
        <w:tc>
          <w:tcPr>
            <w:tcW w:w="758" w:type="dxa"/>
          </w:tcPr>
          <w:p w14:paraId="667EFC9F" w14:textId="56F066A8" w:rsidR="00583FFB" w:rsidRPr="00583FFB" w:rsidRDefault="00583FFB" w:rsidP="00583FFB">
            <w:pPr>
              <w:pStyle w:val="zz"/>
              <w:framePr w:wrap="auto"/>
              <w:spacing w:before="60" w:after="60"/>
              <w:rPr>
                <w:rFonts w:ascii="Arial" w:hAnsi="Arial" w:cs="Arial"/>
                <w:b/>
                <w:color w:val="000000" w:themeColor="text1"/>
                <w:highlight w:val="yellow"/>
              </w:rPr>
            </w:pPr>
            <w:r w:rsidRPr="00583FFB">
              <w:rPr>
                <w:rFonts w:ascii="Arial" w:hAnsi="Arial" w:cs="Arial"/>
                <w:b/>
                <w:bCs w:val="0"/>
                <w:color w:val="000000" w:themeColor="text1"/>
              </w:rPr>
              <w:t xml:space="preserve">Teaching Quality and Engagement </w:t>
            </w:r>
            <w:r w:rsidRPr="00583FFB">
              <w:rPr>
                <w:rFonts w:ascii="Arial" w:hAnsi="Arial" w:cs="Arial"/>
                <w:color w:val="000000" w:themeColor="text1"/>
              </w:rPr>
              <w:t>2023</w:t>
            </w:r>
          </w:p>
        </w:tc>
        <w:tc>
          <w:tcPr>
            <w:tcW w:w="757" w:type="dxa"/>
            <w:hideMark/>
          </w:tcPr>
          <w:p w14:paraId="30AE4331" w14:textId="7763247D"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2021</w:t>
            </w:r>
          </w:p>
        </w:tc>
        <w:tc>
          <w:tcPr>
            <w:tcW w:w="757" w:type="dxa"/>
            <w:hideMark/>
          </w:tcPr>
          <w:p w14:paraId="28548A11" w14:textId="7360283B"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2022</w:t>
            </w:r>
          </w:p>
        </w:tc>
        <w:tc>
          <w:tcPr>
            <w:tcW w:w="758" w:type="dxa"/>
          </w:tcPr>
          <w:p w14:paraId="4E416ACB" w14:textId="1AE36EF4" w:rsidR="00583FFB" w:rsidRPr="00583FFB" w:rsidRDefault="00583FFB" w:rsidP="00583FFB">
            <w:pPr>
              <w:pStyle w:val="zz"/>
              <w:framePr w:wrap="auto"/>
              <w:spacing w:before="60" w:after="60"/>
              <w:rPr>
                <w:rFonts w:ascii="Arial" w:hAnsi="Arial" w:cs="Arial"/>
                <w:b/>
                <w:color w:val="000000" w:themeColor="text1"/>
                <w:highlight w:val="yellow"/>
              </w:rPr>
            </w:pPr>
            <w:r w:rsidRPr="00583FFB">
              <w:rPr>
                <w:rFonts w:ascii="Arial" w:hAnsi="Arial" w:cs="Arial"/>
                <w:b/>
                <w:bCs w:val="0"/>
                <w:color w:val="000000" w:themeColor="text1"/>
              </w:rPr>
              <w:t xml:space="preserve">Student Support and Services* </w:t>
            </w:r>
            <w:r w:rsidRPr="00583FFB">
              <w:rPr>
                <w:rFonts w:ascii="Arial" w:hAnsi="Arial" w:cs="Arial"/>
                <w:color w:val="000000" w:themeColor="text1"/>
              </w:rPr>
              <w:t>2023</w:t>
            </w:r>
          </w:p>
        </w:tc>
        <w:tc>
          <w:tcPr>
            <w:tcW w:w="757" w:type="dxa"/>
            <w:hideMark/>
          </w:tcPr>
          <w:p w14:paraId="3EAAC590" w14:textId="61E7CD4D"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2021</w:t>
            </w:r>
          </w:p>
        </w:tc>
        <w:tc>
          <w:tcPr>
            <w:tcW w:w="757" w:type="dxa"/>
            <w:hideMark/>
          </w:tcPr>
          <w:p w14:paraId="3869FAA8" w14:textId="0B45CD5C"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2022</w:t>
            </w:r>
          </w:p>
        </w:tc>
        <w:tc>
          <w:tcPr>
            <w:tcW w:w="758" w:type="dxa"/>
            <w:hideMark/>
          </w:tcPr>
          <w:p w14:paraId="54C1D499" w14:textId="38D0198B" w:rsidR="00583FFB" w:rsidRPr="00583FFB" w:rsidRDefault="00583FFB" w:rsidP="00583FFB">
            <w:pPr>
              <w:pStyle w:val="zz"/>
              <w:framePr w:wrap="auto"/>
              <w:spacing w:before="60" w:after="60"/>
              <w:rPr>
                <w:rFonts w:ascii="Arial" w:hAnsi="Arial" w:cs="Arial"/>
                <w:b/>
                <w:color w:val="000000" w:themeColor="text1"/>
                <w:highlight w:val="yellow"/>
              </w:rPr>
            </w:pPr>
            <w:r w:rsidRPr="00583FFB">
              <w:rPr>
                <w:rFonts w:ascii="Arial" w:hAnsi="Arial" w:cs="Arial"/>
                <w:b/>
                <w:bCs w:val="0"/>
                <w:color w:val="000000" w:themeColor="text1"/>
              </w:rPr>
              <w:t xml:space="preserve">Learning Resources </w:t>
            </w:r>
            <w:r w:rsidRPr="00583FFB">
              <w:rPr>
                <w:rFonts w:ascii="Arial" w:hAnsi="Arial" w:cs="Arial"/>
                <w:color w:val="000000" w:themeColor="text1"/>
              </w:rPr>
              <w:t>2023</w:t>
            </w:r>
          </w:p>
        </w:tc>
        <w:tc>
          <w:tcPr>
            <w:tcW w:w="757" w:type="dxa"/>
            <w:hideMark/>
          </w:tcPr>
          <w:p w14:paraId="2B05DC0F" w14:textId="5BC3233F"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2021</w:t>
            </w:r>
          </w:p>
        </w:tc>
        <w:tc>
          <w:tcPr>
            <w:tcW w:w="757" w:type="dxa"/>
          </w:tcPr>
          <w:p w14:paraId="1AD7E333" w14:textId="7FD739DD" w:rsidR="00583FFB" w:rsidRPr="00583FFB" w:rsidRDefault="00583FFB" w:rsidP="00583FFB">
            <w:pPr>
              <w:pStyle w:val="zz"/>
              <w:framePr w:wrap="auto"/>
              <w:spacing w:before="60" w:after="60"/>
              <w:rPr>
                <w:rFonts w:ascii="Arial" w:hAnsi="Arial" w:cs="Arial"/>
                <w:b/>
                <w:color w:val="000000" w:themeColor="text1"/>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2022</w:t>
            </w:r>
          </w:p>
        </w:tc>
        <w:tc>
          <w:tcPr>
            <w:tcW w:w="758" w:type="dxa"/>
          </w:tcPr>
          <w:p w14:paraId="6733D465" w14:textId="1C6B765B" w:rsidR="00583FFB" w:rsidRPr="00583FFB" w:rsidRDefault="00583FFB" w:rsidP="00583FFB">
            <w:pPr>
              <w:pStyle w:val="zz"/>
              <w:framePr w:wrap="auto"/>
              <w:spacing w:before="60" w:after="60"/>
              <w:rPr>
                <w:rFonts w:ascii="Arial" w:hAnsi="Arial" w:cs="Arial"/>
                <w:b/>
                <w:color w:val="000000" w:themeColor="text1"/>
                <w:highlight w:val="yellow"/>
              </w:rPr>
            </w:pPr>
            <w:r w:rsidRPr="00583FFB">
              <w:rPr>
                <w:rFonts w:ascii="Arial" w:hAnsi="Arial" w:cs="Arial"/>
                <w:b/>
                <w:bCs w:val="0"/>
                <w:color w:val="000000" w:themeColor="text1"/>
              </w:rPr>
              <w:t xml:space="preserve">Quality of entire educational experience </w:t>
            </w:r>
            <w:r w:rsidRPr="00583FFB">
              <w:rPr>
                <w:rFonts w:ascii="Arial" w:hAnsi="Arial" w:cs="Arial"/>
                <w:color w:val="000000" w:themeColor="text1"/>
              </w:rPr>
              <w:t>2023</w:t>
            </w:r>
          </w:p>
        </w:tc>
      </w:tr>
      <w:tr w:rsidR="00217865" w:rsidRPr="00217865" w14:paraId="2218A8A9" w14:textId="77777777" w:rsidTr="00D753F4">
        <w:trPr>
          <w:trHeight w:val="508"/>
        </w:trPr>
        <w:tc>
          <w:tcPr>
            <w:tcW w:w="1394" w:type="dxa"/>
            <w:noWrap/>
            <w:vAlign w:val="center"/>
            <w:hideMark/>
          </w:tcPr>
          <w:p w14:paraId="17E299CA" w14:textId="77777777" w:rsidR="00E75C13" w:rsidRPr="00217865" w:rsidRDefault="00E75C13" w:rsidP="00D753F4">
            <w:pPr>
              <w:pStyle w:val="Z"/>
              <w:spacing w:before="60" w:after="60"/>
              <w:rPr>
                <w:color w:val="000000" w:themeColor="text1"/>
                <w:sz w:val="16"/>
                <w:szCs w:val="16"/>
              </w:rPr>
            </w:pPr>
            <w:r w:rsidRPr="00217865">
              <w:rPr>
                <w:color w:val="000000" w:themeColor="text1"/>
                <w:sz w:val="16"/>
                <w:szCs w:val="16"/>
              </w:rPr>
              <w:t>Australia</w:t>
            </w:r>
          </w:p>
        </w:tc>
        <w:tc>
          <w:tcPr>
            <w:tcW w:w="757" w:type="dxa"/>
            <w:noWrap/>
            <w:vAlign w:val="center"/>
          </w:tcPr>
          <w:p w14:paraId="6B329D37" w14:textId="7A1A04DB"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80.9</w:t>
            </w:r>
          </w:p>
        </w:tc>
        <w:tc>
          <w:tcPr>
            <w:tcW w:w="757" w:type="dxa"/>
            <w:noWrap/>
            <w:vAlign w:val="center"/>
          </w:tcPr>
          <w:p w14:paraId="0FC64816" w14:textId="58752D4E"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84.2</w:t>
            </w:r>
          </w:p>
        </w:tc>
        <w:tc>
          <w:tcPr>
            <w:tcW w:w="758" w:type="dxa"/>
            <w:vAlign w:val="center"/>
          </w:tcPr>
          <w:p w14:paraId="44C82645" w14:textId="23288AB3"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85.7</w:t>
            </w:r>
          </w:p>
        </w:tc>
        <w:tc>
          <w:tcPr>
            <w:tcW w:w="757" w:type="dxa"/>
            <w:noWrap/>
            <w:vAlign w:val="center"/>
          </w:tcPr>
          <w:p w14:paraId="4D70FA56" w14:textId="57BF6FE2"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54.7</w:t>
            </w:r>
          </w:p>
        </w:tc>
        <w:tc>
          <w:tcPr>
            <w:tcW w:w="757" w:type="dxa"/>
            <w:noWrap/>
            <w:vAlign w:val="center"/>
          </w:tcPr>
          <w:p w14:paraId="024083D9" w14:textId="789F8E2C"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63.1</w:t>
            </w:r>
          </w:p>
        </w:tc>
        <w:tc>
          <w:tcPr>
            <w:tcW w:w="758" w:type="dxa"/>
            <w:vAlign w:val="center"/>
          </w:tcPr>
          <w:p w14:paraId="000EBDB4" w14:textId="4C29A142"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74.8</w:t>
            </w:r>
          </w:p>
        </w:tc>
        <w:tc>
          <w:tcPr>
            <w:tcW w:w="757" w:type="dxa"/>
            <w:noWrap/>
            <w:vAlign w:val="center"/>
          </w:tcPr>
          <w:p w14:paraId="509059C4" w14:textId="62F11BAC"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78.0</w:t>
            </w:r>
          </w:p>
        </w:tc>
        <w:tc>
          <w:tcPr>
            <w:tcW w:w="757" w:type="dxa"/>
            <w:noWrap/>
            <w:vAlign w:val="center"/>
          </w:tcPr>
          <w:p w14:paraId="4CD08798" w14:textId="52B06048"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82.6</w:t>
            </w:r>
          </w:p>
        </w:tc>
        <w:tc>
          <w:tcPr>
            <w:tcW w:w="758" w:type="dxa"/>
            <w:vAlign w:val="center"/>
          </w:tcPr>
          <w:p w14:paraId="76EEA17D" w14:textId="3964D327"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84.3</w:t>
            </w:r>
          </w:p>
        </w:tc>
        <w:tc>
          <w:tcPr>
            <w:tcW w:w="757" w:type="dxa"/>
            <w:noWrap/>
            <w:vAlign w:val="center"/>
          </w:tcPr>
          <w:p w14:paraId="3BB63F5B" w14:textId="23937AA5"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73.7</w:t>
            </w:r>
          </w:p>
        </w:tc>
        <w:tc>
          <w:tcPr>
            <w:tcW w:w="757" w:type="dxa"/>
            <w:noWrap/>
            <w:vAlign w:val="center"/>
          </w:tcPr>
          <w:p w14:paraId="59A96524" w14:textId="5BCBBD06"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76.8</w:t>
            </w:r>
          </w:p>
        </w:tc>
        <w:tc>
          <w:tcPr>
            <w:tcW w:w="758" w:type="dxa"/>
            <w:vAlign w:val="center"/>
          </w:tcPr>
          <w:p w14:paraId="529A032C" w14:textId="7D48913D"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80.3</w:t>
            </w:r>
          </w:p>
        </w:tc>
        <w:tc>
          <w:tcPr>
            <w:tcW w:w="757" w:type="dxa"/>
            <w:noWrap/>
            <w:vAlign w:val="center"/>
          </w:tcPr>
          <w:p w14:paraId="79789ACE" w14:textId="5BCF6B2B"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78.2</w:t>
            </w:r>
          </w:p>
        </w:tc>
        <w:tc>
          <w:tcPr>
            <w:tcW w:w="757" w:type="dxa"/>
            <w:noWrap/>
            <w:vAlign w:val="center"/>
          </w:tcPr>
          <w:p w14:paraId="22D7B94A" w14:textId="5D478994"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86.4</w:t>
            </w:r>
          </w:p>
        </w:tc>
        <w:tc>
          <w:tcPr>
            <w:tcW w:w="758" w:type="dxa"/>
            <w:noWrap/>
            <w:vAlign w:val="center"/>
          </w:tcPr>
          <w:p w14:paraId="48EC0773" w14:textId="6FAFB709"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87.8</w:t>
            </w:r>
          </w:p>
        </w:tc>
        <w:tc>
          <w:tcPr>
            <w:tcW w:w="757" w:type="dxa"/>
            <w:noWrap/>
            <w:vAlign w:val="center"/>
          </w:tcPr>
          <w:p w14:paraId="21E6B021" w14:textId="04215D32"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70.9</w:t>
            </w:r>
          </w:p>
        </w:tc>
        <w:tc>
          <w:tcPr>
            <w:tcW w:w="757" w:type="dxa"/>
            <w:vAlign w:val="center"/>
          </w:tcPr>
          <w:p w14:paraId="29FFA44D" w14:textId="315A713F"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76.8</w:t>
            </w:r>
          </w:p>
        </w:tc>
        <w:tc>
          <w:tcPr>
            <w:tcW w:w="758" w:type="dxa"/>
            <w:vAlign w:val="center"/>
          </w:tcPr>
          <w:p w14:paraId="4F4EEE4C" w14:textId="6D6EE30D"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77.0</w:t>
            </w:r>
          </w:p>
        </w:tc>
      </w:tr>
      <w:tr w:rsidR="00217865" w:rsidRPr="00217865" w14:paraId="7AA0474B" w14:textId="77777777" w:rsidTr="00D753F4">
        <w:trPr>
          <w:trHeight w:val="426"/>
        </w:trPr>
        <w:tc>
          <w:tcPr>
            <w:tcW w:w="1394" w:type="dxa"/>
            <w:noWrap/>
            <w:vAlign w:val="center"/>
            <w:hideMark/>
          </w:tcPr>
          <w:p w14:paraId="270B2713" w14:textId="77777777" w:rsidR="00E75C13" w:rsidRPr="00217865" w:rsidRDefault="00E75C13" w:rsidP="00D753F4">
            <w:pPr>
              <w:pStyle w:val="Z"/>
              <w:spacing w:before="60" w:after="60"/>
              <w:rPr>
                <w:color w:val="000000" w:themeColor="text1"/>
                <w:sz w:val="16"/>
                <w:szCs w:val="16"/>
              </w:rPr>
            </w:pPr>
            <w:r w:rsidRPr="00217865">
              <w:rPr>
                <w:color w:val="000000" w:themeColor="text1"/>
                <w:sz w:val="16"/>
                <w:szCs w:val="16"/>
              </w:rPr>
              <w:t>Overseas</w:t>
            </w:r>
          </w:p>
        </w:tc>
        <w:tc>
          <w:tcPr>
            <w:tcW w:w="757" w:type="dxa"/>
            <w:noWrap/>
            <w:vAlign w:val="center"/>
          </w:tcPr>
          <w:p w14:paraId="71E6C8E9" w14:textId="2084C683"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77.9</w:t>
            </w:r>
          </w:p>
        </w:tc>
        <w:tc>
          <w:tcPr>
            <w:tcW w:w="757" w:type="dxa"/>
            <w:noWrap/>
            <w:vAlign w:val="center"/>
          </w:tcPr>
          <w:p w14:paraId="3DB677A6" w14:textId="0C5AE385"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85.5</w:t>
            </w:r>
          </w:p>
        </w:tc>
        <w:tc>
          <w:tcPr>
            <w:tcW w:w="758" w:type="dxa"/>
            <w:vAlign w:val="center"/>
          </w:tcPr>
          <w:p w14:paraId="1C18EF74" w14:textId="7B48CE19"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84.6</w:t>
            </w:r>
          </w:p>
        </w:tc>
        <w:tc>
          <w:tcPr>
            <w:tcW w:w="757" w:type="dxa"/>
            <w:noWrap/>
            <w:vAlign w:val="center"/>
          </w:tcPr>
          <w:p w14:paraId="03A6E7F2" w14:textId="2CAF8D48"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36.7</w:t>
            </w:r>
          </w:p>
        </w:tc>
        <w:tc>
          <w:tcPr>
            <w:tcW w:w="757" w:type="dxa"/>
            <w:noWrap/>
            <w:vAlign w:val="center"/>
          </w:tcPr>
          <w:p w14:paraId="351CE83C" w14:textId="5862DA63"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59.3</w:t>
            </w:r>
          </w:p>
        </w:tc>
        <w:tc>
          <w:tcPr>
            <w:tcW w:w="758" w:type="dxa"/>
            <w:vAlign w:val="center"/>
          </w:tcPr>
          <w:p w14:paraId="31061DEA" w14:textId="16FA0B0E"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65.6</w:t>
            </w:r>
          </w:p>
        </w:tc>
        <w:tc>
          <w:tcPr>
            <w:tcW w:w="757" w:type="dxa"/>
            <w:noWrap/>
            <w:vAlign w:val="center"/>
          </w:tcPr>
          <w:p w14:paraId="52B664DC" w14:textId="7AEE8879"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78.5</w:t>
            </w:r>
          </w:p>
        </w:tc>
        <w:tc>
          <w:tcPr>
            <w:tcW w:w="757" w:type="dxa"/>
            <w:noWrap/>
            <w:vAlign w:val="center"/>
          </w:tcPr>
          <w:p w14:paraId="3A48375F" w14:textId="2BBB1E37"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86.0</w:t>
            </w:r>
          </w:p>
        </w:tc>
        <w:tc>
          <w:tcPr>
            <w:tcW w:w="758" w:type="dxa"/>
            <w:vAlign w:val="center"/>
          </w:tcPr>
          <w:p w14:paraId="7F80FD1E" w14:textId="3A47EEA0"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84.3</w:t>
            </w:r>
          </w:p>
        </w:tc>
        <w:tc>
          <w:tcPr>
            <w:tcW w:w="757" w:type="dxa"/>
            <w:noWrap/>
            <w:vAlign w:val="center"/>
          </w:tcPr>
          <w:p w14:paraId="127B5E4A" w14:textId="5D6AC208"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70.4</w:t>
            </w:r>
          </w:p>
        </w:tc>
        <w:tc>
          <w:tcPr>
            <w:tcW w:w="757" w:type="dxa"/>
            <w:noWrap/>
            <w:vAlign w:val="center"/>
          </w:tcPr>
          <w:p w14:paraId="21DCF010" w14:textId="39E1DC85"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78.0</w:t>
            </w:r>
          </w:p>
        </w:tc>
        <w:tc>
          <w:tcPr>
            <w:tcW w:w="758" w:type="dxa"/>
            <w:vAlign w:val="center"/>
          </w:tcPr>
          <w:p w14:paraId="33F24B9D" w14:textId="6F20B778"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81.5</w:t>
            </w:r>
          </w:p>
        </w:tc>
        <w:tc>
          <w:tcPr>
            <w:tcW w:w="757" w:type="dxa"/>
            <w:noWrap/>
            <w:vAlign w:val="center"/>
          </w:tcPr>
          <w:p w14:paraId="714B898B" w14:textId="7BFB4A00"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69.5</w:t>
            </w:r>
          </w:p>
        </w:tc>
        <w:tc>
          <w:tcPr>
            <w:tcW w:w="757" w:type="dxa"/>
            <w:noWrap/>
            <w:vAlign w:val="center"/>
          </w:tcPr>
          <w:p w14:paraId="79E88C95" w14:textId="6D447EAC"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88.3</w:t>
            </w:r>
          </w:p>
        </w:tc>
        <w:tc>
          <w:tcPr>
            <w:tcW w:w="758" w:type="dxa"/>
            <w:noWrap/>
            <w:vAlign w:val="center"/>
          </w:tcPr>
          <w:p w14:paraId="69663054" w14:textId="14D32BB1"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89.4</w:t>
            </w:r>
          </w:p>
        </w:tc>
        <w:tc>
          <w:tcPr>
            <w:tcW w:w="757" w:type="dxa"/>
            <w:noWrap/>
            <w:vAlign w:val="center"/>
          </w:tcPr>
          <w:p w14:paraId="1058FEA1" w14:textId="482FA3C6"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66.0</w:t>
            </w:r>
          </w:p>
        </w:tc>
        <w:tc>
          <w:tcPr>
            <w:tcW w:w="757" w:type="dxa"/>
            <w:vAlign w:val="center"/>
          </w:tcPr>
          <w:p w14:paraId="412D207C" w14:textId="6B1BF938"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81.8</w:t>
            </w:r>
          </w:p>
        </w:tc>
        <w:tc>
          <w:tcPr>
            <w:tcW w:w="758" w:type="dxa"/>
            <w:vAlign w:val="center"/>
          </w:tcPr>
          <w:p w14:paraId="7B43FF26" w14:textId="36457A86" w:rsidR="00E75C13" w:rsidRPr="00217865" w:rsidRDefault="00E75C13" w:rsidP="00D753F4">
            <w:pPr>
              <w:pStyle w:val="Z"/>
              <w:spacing w:before="60" w:after="60"/>
              <w:jc w:val="center"/>
              <w:rPr>
                <w:color w:val="000000" w:themeColor="text1"/>
                <w:sz w:val="16"/>
                <w:szCs w:val="16"/>
              </w:rPr>
            </w:pPr>
            <w:r w:rsidRPr="00217865">
              <w:rPr>
                <w:color w:val="000000" w:themeColor="text1"/>
                <w:sz w:val="16"/>
                <w:szCs w:val="16"/>
              </w:rPr>
              <w:t>82.0</w:t>
            </w:r>
          </w:p>
        </w:tc>
      </w:tr>
    </w:tbl>
    <w:p w14:paraId="51DDC68A" w14:textId="39A2F026" w:rsidR="008E3597" w:rsidRPr="00217865" w:rsidRDefault="008E3597" w:rsidP="00A533FF">
      <w:pPr>
        <w:pStyle w:val="Z"/>
        <w:spacing w:before="120"/>
        <w:rPr>
          <w:color w:val="000000" w:themeColor="text1"/>
          <w:szCs w:val="18"/>
        </w:rPr>
      </w:pPr>
      <w:r w:rsidRPr="00217865">
        <w:rPr>
          <w:color w:val="000000" w:themeColor="text1"/>
          <w:szCs w:val="18"/>
        </w:rPr>
        <w:t>Note that prior to 2023, the Peer Engagement focus area was named Learner Engagement and Student Support and Services, was previously the Student Support focus area. This table should be used to compare the cohort responses but year on year comparisons between 2022 and 2023 treated with caution.</w:t>
      </w:r>
    </w:p>
    <w:p w14:paraId="14140061" w14:textId="446F7566" w:rsidR="00821227" w:rsidRPr="00217865" w:rsidRDefault="00890892" w:rsidP="00E06AED">
      <w:pPr>
        <w:pStyle w:val="Heading2"/>
      </w:pPr>
      <w:bookmarkStart w:id="33" w:name="_Toc178599284"/>
      <w:r w:rsidRPr="00217865">
        <w:t>S</w:t>
      </w:r>
      <w:r w:rsidR="00821227" w:rsidRPr="00217865">
        <w:t>ource country</w:t>
      </w:r>
      <w:bookmarkEnd w:id="30"/>
      <w:bookmarkEnd w:id="33"/>
    </w:p>
    <w:p w14:paraId="0D0F9592" w14:textId="4DF535AB" w:rsidR="00D74788" w:rsidRPr="00217865" w:rsidRDefault="00D74788" w:rsidP="00D74788">
      <w:pPr>
        <w:pStyle w:val="Body"/>
        <w:rPr>
          <w:rFonts w:cs="Arial"/>
          <w:color w:val="000000" w:themeColor="text1"/>
        </w:rPr>
      </w:pPr>
      <w:r w:rsidRPr="00217865">
        <w:rPr>
          <w:rFonts w:cs="Arial"/>
          <w:color w:val="000000" w:themeColor="text1"/>
        </w:rPr>
        <w:t>The following section presents</w:t>
      </w:r>
      <w:r w:rsidR="004C2A0D" w:rsidRPr="00217865">
        <w:rPr>
          <w:rFonts w:cs="Arial"/>
          <w:color w:val="000000" w:themeColor="text1"/>
        </w:rPr>
        <w:t xml:space="preserve"> results of the</w:t>
      </w:r>
      <w:r w:rsidRPr="00217865">
        <w:rPr>
          <w:rFonts w:cs="Arial"/>
          <w:color w:val="000000" w:themeColor="text1"/>
        </w:rPr>
        <w:t xml:space="preserve"> international student education experience disaggregated by the student’s source country and course level. The countries are ordered based on the total number of survey responses at that </w:t>
      </w:r>
      <w:r w:rsidR="004C2A0D" w:rsidRPr="00217865">
        <w:rPr>
          <w:rFonts w:cs="Arial"/>
          <w:color w:val="000000" w:themeColor="text1"/>
        </w:rPr>
        <w:t>course</w:t>
      </w:r>
      <w:r w:rsidRPr="00217865">
        <w:rPr>
          <w:rFonts w:cs="Arial"/>
          <w:color w:val="000000" w:themeColor="text1"/>
        </w:rPr>
        <w:t xml:space="preserve"> level. Note that </w:t>
      </w:r>
      <w:r w:rsidR="004C2A0D" w:rsidRPr="00217865">
        <w:rPr>
          <w:rFonts w:cs="Arial"/>
          <w:color w:val="000000" w:themeColor="text1"/>
        </w:rPr>
        <w:t>‘</w:t>
      </w:r>
      <w:r w:rsidRPr="00217865">
        <w:rPr>
          <w:rFonts w:cs="Arial"/>
          <w:color w:val="000000" w:themeColor="text1"/>
        </w:rPr>
        <w:t>source country</w:t>
      </w:r>
      <w:r w:rsidR="004C2A0D" w:rsidRPr="00217865">
        <w:rPr>
          <w:rFonts w:cs="Arial"/>
          <w:color w:val="000000" w:themeColor="text1"/>
        </w:rPr>
        <w:t>’</w:t>
      </w:r>
      <w:r w:rsidRPr="00217865">
        <w:rPr>
          <w:rFonts w:cs="Arial"/>
          <w:color w:val="000000" w:themeColor="text1"/>
        </w:rPr>
        <w:t xml:space="preserve"> is derived from TCSI E346 Country of Birth code.</w:t>
      </w:r>
    </w:p>
    <w:p w14:paraId="5E5F579D" w14:textId="1647E5F9" w:rsidR="00821227" w:rsidRDefault="00821227" w:rsidP="00821227">
      <w:pPr>
        <w:pStyle w:val="Body"/>
        <w:rPr>
          <w:rFonts w:cs="Arial"/>
          <w:color w:val="000000" w:themeColor="text1"/>
        </w:rPr>
      </w:pPr>
      <w:r w:rsidRPr="00217865">
        <w:rPr>
          <w:rFonts w:cs="Arial"/>
          <w:color w:val="000000" w:themeColor="text1"/>
        </w:rPr>
        <w:t xml:space="preserve">In 2023, the largest source countries </w:t>
      </w:r>
      <w:r w:rsidR="00E622CB" w:rsidRPr="00217865">
        <w:rPr>
          <w:rFonts w:cs="Arial"/>
          <w:color w:val="000000" w:themeColor="text1"/>
        </w:rPr>
        <w:t xml:space="preserve">of </w:t>
      </w:r>
      <w:r w:rsidRPr="00217865">
        <w:rPr>
          <w:rFonts w:cs="Arial"/>
          <w:color w:val="000000" w:themeColor="text1"/>
        </w:rPr>
        <w:t>international undergraduate student</w:t>
      </w:r>
      <w:r w:rsidR="00E622CB" w:rsidRPr="00217865">
        <w:rPr>
          <w:rFonts w:cs="Arial"/>
          <w:color w:val="000000" w:themeColor="text1"/>
        </w:rPr>
        <w:t xml:space="preserve">s </w:t>
      </w:r>
      <w:r w:rsidRPr="00217865">
        <w:rPr>
          <w:rFonts w:cs="Arial"/>
          <w:color w:val="000000" w:themeColor="text1"/>
        </w:rPr>
        <w:t xml:space="preserve">included </w:t>
      </w:r>
      <w:r w:rsidR="003A0943">
        <w:rPr>
          <w:rFonts w:cs="Arial"/>
          <w:color w:val="000000" w:themeColor="text1"/>
        </w:rPr>
        <w:t>China (excludes SARs and Taiwan)</w:t>
      </w:r>
      <w:r w:rsidRPr="00217865">
        <w:rPr>
          <w:rFonts w:cs="Arial"/>
          <w:color w:val="000000" w:themeColor="text1"/>
        </w:rPr>
        <w:t xml:space="preserve">, with 18.9 per cent of SES international student responses, followed by Nepal, India, Vietnam and Malaysia, which together </w:t>
      </w:r>
      <w:r w:rsidR="00E622CB" w:rsidRPr="00217865">
        <w:rPr>
          <w:rFonts w:cs="Arial"/>
          <w:color w:val="000000" w:themeColor="text1"/>
        </w:rPr>
        <w:t>accounted</w:t>
      </w:r>
      <w:r w:rsidRPr="00217865">
        <w:rPr>
          <w:rFonts w:cs="Arial"/>
          <w:color w:val="000000" w:themeColor="text1"/>
        </w:rPr>
        <w:t xml:space="preserve"> </w:t>
      </w:r>
      <w:r w:rsidR="00E622CB" w:rsidRPr="00217865">
        <w:rPr>
          <w:rFonts w:cs="Arial"/>
          <w:color w:val="000000" w:themeColor="text1"/>
        </w:rPr>
        <w:t xml:space="preserve">for </w:t>
      </w:r>
      <w:r w:rsidR="008354EC" w:rsidRPr="00217865">
        <w:rPr>
          <w:rFonts w:cs="Arial"/>
          <w:color w:val="000000" w:themeColor="text1"/>
        </w:rPr>
        <w:t>57</w:t>
      </w:r>
      <w:r w:rsidR="00431850" w:rsidRPr="00217865">
        <w:rPr>
          <w:rFonts w:cs="Arial"/>
          <w:color w:val="000000" w:themeColor="text1"/>
        </w:rPr>
        <w:t>.3</w:t>
      </w:r>
      <w:r w:rsidRPr="00217865">
        <w:rPr>
          <w:rFonts w:cs="Arial"/>
          <w:color w:val="000000" w:themeColor="text1"/>
        </w:rPr>
        <w:t xml:space="preserve"> per cent of total undergraduate international student responses. </w:t>
      </w:r>
      <w:r w:rsidR="00E622CB" w:rsidRPr="00217865">
        <w:rPr>
          <w:rFonts w:cs="Arial"/>
          <w:color w:val="000000" w:themeColor="text1"/>
        </w:rPr>
        <w:t>At the</w:t>
      </w:r>
      <w:r w:rsidR="008354EC" w:rsidRPr="00217865">
        <w:rPr>
          <w:rFonts w:cs="Arial"/>
          <w:color w:val="000000" w:themeColor="text1"/>
        </w:rPr>
        <w:t xml:space="preserve"> postgraduate coursework </w:t>
      </w:r>
      <w:r w:rsidR="00E622CB" w:rsidRPr="00217865">
        <w:rPr>
          <w:rFonts w:cs="Arial"/>
          <w:color w:val="000000" w:themeColor="text1"/>
        </w:rPr>
        <w:t>level</w:t>
      </w:r>
      <w:r w:rsidR="008354EC" w:rsidRPr="00217865">
        <w:rPr>
          <w:rFonts w:cs="Arial"/>
          <w:color w:val="000000" w:themeColor="text1"/>
        </w:rPr>
        <w:t xml:space="preserve">, </w:t>
      </w:r>
      <w:r w:rsidR="003A0943">
        <w:rPr>
          <w:rFonts w:cs="Arial"/>
          <w:color w:val="000000" w:themeColor="text1"/>
        </w:rPr>
        <w:t>China (excludes SARs and Taiwan)</w:t>
      </w:r>
      <w:r w:rsidR="008354EC" w:rsidRPr="00217865">
        <w:rPr>
          <w:rFonts w:cs="Arial"/>
          <w:color w:val="000000" w:themeColor="text1"/>
        </w:rPr>
        <w:t>, India, Nepal</w:t>
      </w:r>
      <w:r w:rsidR="00431850" w:rsidRPr="00217865">
        <w:rPr>
          <w:rFonts w:cs="Arial"/>
          <w:color w:val="000000" w:themeColor="text1"/>
        </w:rPr>
        <w:t xml:space="preserve">, </w:t>
      </w:r>
      <w:r w:rsidR="008354EC" w:rsidRPr="00217865">
        <w:rPr>
          <w:rFonts w:cs="Arial"/>
          <w:color w:val="000000" w:themeColor="text1"/>
        </w:rPr>
        <w:t>Bhutan</w:t>
      </w:r>
      <w:r w:rsidR="00431850" w:rsidRPr="00217865">
        <w:rPr>
          <w:rFonts w:cs="Arial"/>
          <w:color w:val="000000" w:themeColor="text1"/>
        </w:rPr>
        <w:t xml:space="preserve"> and the Philippines</w:t>
      </w:r>
      <w:r w:rsidR="008354EC" w:rsidRPr="00217865">
        <w:rPr>
          <w:rFonts w:cs="Arial"/>
          <w:color w:val="000000" w:themeColor="text1"/>
        </w:rPr>
        <w:t xml:space="preserve"> ma</w:t>
      </w:r>
      <w:r w:rsidR="00E622CB" w:rsidRPr="00217865">
        <w:rPr>
          <w:rFonts w:cs="Arial"/>
          <w:color w:val="000000" w:themeColor="text1"/>
        </w:rPr>
        <w:t>de</w:t>
      </w:r>
      <w:r w:rsidR="008354EC" w:rsidRPr="00217865">
        <w:rPr>
          <w:rFonts w:cs="Arial"/>
          <w:color w:val="000000" w:themeColor="text1"/>
        </w:rPr>
        <w:t xml:space="preserve"> up </w:t>
      </w:r>
      <w:r w:rsidR="00E622CB" w:rsidRPr="00217865">
        <w:rPr>
          <w:rFonts w:cs="Arial"/>
          <w:color w:val="000000" w:themeColor="text1"/>
        </w:rPr>
        <w:t xml:space="preserve">the top five source countries, accounting for </w:t>
      </w:r>
      <w:r w:rsidR="008354EC" w:rsidRPr="00217865">
        <w:rPr>
          <w:rFonts w:cs="Arial"/>
          <w:color w:val="000000" w:themeColor="text1"/>
        </w:rPr>
        <w:t>6</w:t>
      </w:r>
      <w:r w:rsidR="00431850" w:rsidRPr="00217865">
        <w:rPr>
          <w:rFonts w:cs="Arial"/>
          <w:color w:val="000000" w:themeColor="text1"/>
        </w:rPr>
        <w:t>3.6</w:t>
      </w:r>
      <w:r w:rsidR="008354EC" w:rsidRPr="00217865">
        <w:rPr>
          <w:rFonts w:cs="Arial"/>
          <w:color w:val="000000" w:themeColor="text1"/>
        </w:rPr>
        <w:t xml:space="preserve"> per cent of respondents. </w:t>
      </w:r>
    </w:p>
    <w:p w14:paraId="081C1C70" w14:textId="77777777" w:rsidR="00CC5B52" w:rsidRDefault="00CC5B52" w:rsidP="00821227">
      <w:pPr>
        <w:pStyle w:val="Body"/>
        <w:rPr>
          <w:rFonts w:cs="Arial"/>
          <w:color w:val="000000" w:themeColor="text1"/>
        </w:rPr>
      </w:pPr>
    </w:p>
    <w:p w14:paraId="1A4B7B7F" w14:textId="77777777" w:rsidR="00CC5B52" w:rsidRDefault="00CC5B52" w:rsidP="00821227">
      <w:pPr>
        <w:pStyle w:val="Body"/>
        <w:rPr>
          <w:rFonts w:cs="Arial"/>
          <w:color w:val="000000" w:themeColor="text1"/>
        </w:rPr>
      </w:pPr>
    </w:p>
    <w:p w14:paraId="518DB50D" w14:textId="77777777" w:rsidR="00CC5B52" w:rsidRDefault="00CC5B52" w:rsidP="00821227">
      <w:pPr>
        <w:pStyle w:val="Body"/>
        <w:rPr>
          <w:rFonts w:cs="Arial"/>
          <w:color w:val="000000" w:themeColor="text1"/>
        </w:rPr>
      </w:pPr>
    </w:p>
    <w:p w14:paraId="571E3769" w14:textId="77777777" w:rsidR="00CC5B52" w:rsidRDefault="00CC5B52" w:rsidP="00821227">
      <w:pPr>
        <w:pStyle w:val="Body"/>
        <w:rPr>
          <w:rFonts w:cs="Arial"/>
          <w:color w:val="000000" w:themeColor="text1"/>
        </w:rPr>
      </w:pPr>
    </w:p>
    <w:p w14:paraId="71B35D75" w14:textId="77777777" w:rsidR="00CC5B52" w:rsidRDefault="00CC5B52" w:rsidP="00821227">
      <w:pPr>
        <w:pStyle w:val="Body"/>
        <w:rPr>
          <w:rFonts w:cs="Arial"/>
          <w:color w:val="000000" w:themeColor="text1"/>
        </w:rPr>
      </w:pPr>
    </w:p>
    <w:p w14:paraId="0F4BBCC4" w14:textId="77777777" w:rsidR="00CC5B52" w:rsidRDefault="00CC5B52" w:rsidP="00821227">
      <w:pPr>
        <w:pStyle w:val="Body"/>
        <w:rPr>
          <w:rFonts w:cs="Arial"/>
          <w:color w:val="000000" w:themeColor="text1"/>
        </w:rPr>
      </w:pPr>
    </w:p>
    <w:p w14:paraId="6A215694" w14:textId="77777777" w:rsidR="00CC5B52" w:rsidRDefault="00CC5B52" w:rsidP="00821227">
      <w:pPr>
        <w:pStyle w:val="Body"/>
        <w:rPr>
          <w:rFonts w:cs="Arial"/>
          <w:color w:val="000000" w:themeColor="text1"/>
        </w:rPr>
      </w:pPr>
    </w:p>
    <w:p w14:paraId="454734D5" w14:textId="77777777" w:rsidR="00CC5B52" w:rsidRDefault="00CC5B52" w:rsidP="00821227">
      <w:pPr>
        <w:pStyle w:val="Body"/>
        <w:rPr>
          <w:rFonts w:cs="Arial"/>
          <w:color w:val="000000" w:themeColor="text1"/>
        </w:rPr>
      </w:pPr>
    </w:p>
    <w:p w14:paraId="63276C66" w14:textId="77777777" w:rsidR="00CC5B52" w:rsidRDefault="00CC5B52" w:rsidP="00821227">
      <w:pPr>
        <w:pStyle w:val="Body"/>
        <w:rPr>
          <w:rFonts w:cs="Arial"/>
          <w:color w:val="000000" w:themeColor="text1"/>
        </w:rPr>
      </w:pPr>
    </w:p>
    <w:p w14:paraId="2F05B09C" w14:textId="77777777" w:rsidR="00CC5B52" w:rsidRDefault="00CC5B52" w:rsidP="00821227">
      <w:pPr>
        <w:pStyle w:val="Body"/>
        <w:rPr>
          <w:rFonts w:cs="Arial"/>
          <w:color w:val="000000" w:themeColor="text1"/>
        </w:rPr>
      </w:pPr>
    </w:p>
    <w:p w14:paraId="420E2626" w14:textId="77777777" w:rsidR="00CC5B52" w:rsidRPr="00217865" w:rsidRDefault="00CC5B52" w:rsidP="00821227">
      <w:pPr>
        <w:pStyle w:val="Body"/>
        <w:rPr>
          <w:rFonts w:cs="Arial"/>
          <w:color w:val="000000" w:themeColor="text1"/>
        </w:rPr>
      </w:pPr>
    </w:p>
    <w:p w14:paraId="43CCE9FD" w14:textId="725E781F" w:rsidR="00920821" w:rsidRPr="00217865" w:rsidRDefault="00920821" w:rsidP="00535E2A">
      <w:pPr>
        <w:pStyle w:val="Body"/>
        <w:rPr>
          <w:rFonts w:cs="Arial"/>
          <w:b/>
          <w:bCs/>
          <w:color w:val="000000" w:themeColor="text1"/>
          <w:sz w:val="22"/>
          <w:szCs w:val="22"/>
          <w:lang w:eastAsia="en-AU"/>
        </w:rPr>
      </w:pPr>
      <w:r w:rsidRPr="00217865">
        <w:rPr>
          <w:rFonts w:cs="Arial"/>
          <w:b/>
          <w:bCs/>
          <w:color w:val="000000" w:themeColor="text1"/>
          <w:lang w:val="en-GB"/>
        </w:rPr>
        <w:t>Callout:</w:t>
      </w:r>
      <w:r w:rsidRPr="00217865">
        <w:rPr>
          <w:rFonts w:cs="Arial"/>
          <w:color w:val="000000" w:themeColor="text1"/>
          <w:lang w:val="en-GB"/>
        </w:rPr>
        <w:t xml:space="preserve"> </w:t>
      </w:r>
      <w:r w:rsidRPr="00217865">
        <w:rPr>
          <w:rFonts w:cs="Arial"/>
          <w:color w:val="000000" w:themeColor="text1"/>
          <w:sz w:val="22"/>
          <w:szCs w:val="22"/>
          <w:lang w:eastAsia="en-AU"/>
        </w:rPr>
        <w:t>Top 5 source countries by course level (proportions based on responses to the 2023 SES)</w:t>
      </w:r>
    </w:p>
    <w:p w14:paraId="27396CB9" w14:textId="158EB5F9" w:rsidR="00920821" w:rsidRPr="00217865" w:rsidRDefault="002166C4" w:rsidP="00920821">
      <w:pPr>
        <w:rPr>
          <w:rFonts w:cs="Arial"/>
          <w:color w:val="000000" w:themeColor="text1"/>
          <w:highlight w:val="yellow"/>
        </w:rPr>
      </w:pPr>
      <w:r>
        <w:rPr>
          <w:noProof/>
        </w:rPr>
        <w:drawing>
          <wp:inline distT="0" distB="0" distL="0" distR="0" wp14:anchorId="3C4171D5" wp14:editId="4B3ED62B">
            <wp:extent cx="3344400" cy="3049200"/>
            <wp:effectExtent l="0" t="0" r="0" b="0"/>
            <wp:docPr id="1308313106" name="Chart 1" descr="Pie chart depicting Top 5 source countries by course level (proportions based on responses to the 2023 SES) - undergraduate.&#10;Results are as follows:&#10;China (exluding SARs and Taiwan), 18.9%&#10;Other, 42.7%, Malaysia, 4.2%, Vietnam, 6.6%, India 11.8% and Nepal 15.8%">
              <a:extLst xmlns:a="http://schemas.openxmlformats.org/drawingml/2006/main">
                <a:ext uri="{FF2B5EF4-FFF2-40B4-BE49-F238E27FC236}">
                  <a16:creationId xmlns:a16="http://schemas.microsoft.com/office/drawing/2014/main" id="{F1ECA518-B4A4-E6BE-1E5D-AB38D1C8F538}"/>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581B9F" w:rsidRPr="00217865">
        <w:rPr>
          <w:rFonts w:cs="Arial"/>
          <w:noProof/>
          <w:color w:val="000000" w:themeColor="text1"/>
        </w:rPr>
        <w:t xml:space="preserve"> </w:t>
      </w:r>
      <w:r>
        <w:rPr>
          <w:noProof/>
        </w:rPr>
        <w:drawing>
          <wp:inline distT="0" distB="0" distL="0" distR="0" wp14:anchorId="1EE7C323" wp14:editId="57274393">
            <wp:extent cx="3344400" cy="3049200"/>
            <wp:effectExtent l="0" t="0" r="0" b="0"/>
            <wp:docPr id="222082616" name="Chart 1" descr="Pie chart depicting Top 5 source countries by course level (proportions based on responses to the 2023 SES) - Postgraduate coursework.&#10;Results are as follows:&#10;China (exluding SARs and Taiwan), 23.7%&#10;Other, 36.4%, Phillipines, 3.8%, Bhutan, 5.5%, Nepal, 8.9% and India, 21.6%.">
              <a:extLst xmlns:a="http://schemas.openxmlformats.org/drawingml/2006/main">
                <a:ext uri="{FF2B5EF4-FFF2-40B4-BE49-F238E27FC236}">
                  <a16:creationId xmlns:a16="http://schemas.microsoft.com/office/drawing/2014/main" id="{50A27944-1EB8-4419-842B-269CE7774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451DBF7" w14:textId="0F17A7D5" w:rsidR="00821227" w:rsidRPr="00217865" w:rsidRDefault="00821227" w:rsidP="00821227">
      <w:pPr>
        <w:pStyle w:val="Body"/>
        <w:rPr>
          <w:rFonts w:cs="Arial"/>
          <w:color w:val="000000" w:themeColor="text1"/>
        </w:rPr>
      </w:pPr>
      <w:r w:rsidRPr="00217865">
        <w:rPr>
          <w:rFonts w:cs="Arial"/>
          <w:b/>
          <w:color w:val="000000" w:themeColor="text1"/>
        </w:rPr>
        <w:fldChar w:fldCharType="begin"/>
      </w:r>
      <w:r w:rsidRPr="00217865">
        <w:rPr>
          <w:rFonts w:cs="Arial"/>
          <w:b/>
          <w:color w:val="000000" w:themeColor="text1"/>
        </w:rPr>
        <w:instrText xml:space="preserve"> REF _Ref64968195 \h  \* MERGEFORMAT </w:instrText>
      </w:r>
      <w:r w:rsidRPr="00217865">
        <w:rPr>
          <w:rFonts w:cs="Arial"/>
          <w:b/>
          <w:color w:val="000000" w:themeColor="text1"/>
        </w:rPr>
      </w:r>
      <w:r w:rsidRPr="00217865">
        <w:rPr>
          <w:rFonts w:cs="Arial"/>
          <w:b/>
          <w:color w:val="000000" w:themeColor="text1"/>
        </w:rPr>
        <w:fldChar w:fldCharType="separate"/>
      </w:r>
      <w:r w:rsidR="005D5678" w:rsidRPr="005D5678">
        <w:rPr>
          <w:rFonts w:cs="Arial"/>
          <w:b/>
          <w:color w:val="000000" w:themeColor="text1"/>
        </w:rPr>
        <w:t>Table 3</w:t>
      </w:r>
      <w:r w:rsidRPr="00217865">
        <w:rPr>
          <w:rFonts w:cs="Arial"/>
          <w:b/>
          <w:color w:val="000000" w:themeColor="text1"/>
        </w:rPr>
        <w:fldChar w:fldCharType="end"/>
      </w:r>
      <w:r w:rsidRPr="00217865">
        <w:rPr>
          <w:rFonts w:cs="Arial"/>
          <w:color w:val="000000" w:themeColor="text1"/>
        </w:rPr>
        <w:t xml:space="preserve"> shows that international undergraduates’ education experience continued to trend upwards in 2023, </w:t>
      </w:r>
      <w:r w:rsidR="008354EC" w:rsidRPr="00217865">
        <w:rPr>
          <w:rFonts w:cs="Arial"/>
          <w:color w:val="000000" w:themeColor="text1"/>
        </w:rPr>
        <w:t xml:space="preserve">likely due to a return to more in-person course attendance modes but also possibly </w:t>
      </w:r>
      <w:r w:rsidRPr="00217865">
        <w:rPr>
          <w:rFonts w:cs="Arial"/>
          <w:color w:val="000000" w:themeColor="text1"/>
        </w:rPr>
        <w:t xml:space="preserve">as changes in teaching and learning brought on by the COVID-19 pandemic have become more established. In general, the largest changes in student ratings among international students were in </w:t>
      </w:r>
      <w:r w:rsidR="008354EC" w:rsidRPr="00217865">
        <w:rPr>
          <w:rFonts w:cs="Arial"/>
          <w:color w:val="000000" w:themeColor="text1"/>
        </w:rPr>
        <w:t xml:space="preserve">Learner Engagement and later </w:t>
      </w:r>
      <w:r w:rsidRPr="00217865">
        <w:rPr>
          <w:rFonts w:cs="Arial"/>
          <w:color w:val="000000" w:themeColor="text1"/>
        </w:rPr>
        <w:t>Peer Engagement, Learning Resources and the Quality of entire educational experience.</w:t>
      </w:r>
    </w:p>
    <w:p w14:paraId="63708691" w14:textId="583D1061" w:rsidR="00821227" w:rsidRPr="00217865" w:rsidRDefault="00821227" w:rsidP="00821227">
      <w:pPr>
        <w:pStyle w:val="Body"/>
        <w:rPr>
          <w:rFonts w:cs="Arial"/>
          <w:color w:val="000000" w:themeColor="text1"/>
        </w:rPr>
      </w:pPr>
      <w:r w:rsidRPr="00217865">
        <w:rPr>
          <w:rFonts w:cs="Arial"/>
          <w:color w:val="000000" w:themeColor="text1"/>
        </w:rPr>
        <w:t xml:space="preserve">For example, student ratings of </w:t>
      </w:r>
      <w:r w:rsidR="008354EC" w:rsidRPr="00217865">
        <w:rPr>
          <w:rFonts w:cs="Arial"/>
          <w:color w:val="000000" w:themeColor="text1"/>
        </w:rPr>
        <w:t xml:space="preserve">Learner </w:t>
      </w:r>
      <w:r w:rsidRPr="00217865">
        <w:rPr>
          <w:rFonts w:cs="Arial"/>
          <w:color w:val="000000" w:themeColor="text1"/>
        </w:rPr>
        <w:t xml:space="preserve">Engagement among students from Malaysia increased by </w:t>
      </w:r>
      <w:r w:rsidR="008354EC" w:rsidRPr="00217865">
        <w:rPr>
          <w:rFonts w:cs="Arial"/>
          <w:color w:val="000000" w:themeColor="text1"/>
        </w:rPr>
        <w:t>17.1</w:t>
      </w:r>
      <w:r w:rsidRPr="00217865">
        <w:rPr>
          <w:rFonts w:cs="Arial"/>
          <w:color w:val="000000" w:themeColor="text1"/>
        </w:rPr>
        <w:t xml:space="preserve"> percentage points from 2021 to </w:t>
      </w:r>
      <w:r w:rsidR="008354EC" w:rsidRPr="00217865">
        <w:rPr>
          <w:rFonts w:cs="Arial"/>
          <w:color w:val="000000" w:themeColor="text1"/>
        </w:rPr>
        <w:t>2022</w:t>
      </w:r>
      <w:r w:rsidRPr="00217865">
        <w:rPr>
          <w:rFonts w:cs="Arial"/>
          <w:color w:val="000000" w:themeColor="text1"/>
        </w:rPr>
        <w:t>.</w:t>
      </w:r>
      <w:r w:rsidR="008354EC" w:rsidRPr="00217865">
        <w:rPr>
          <w:rFonts w:cs="Arial"/>
          <w:color w:val="000000" w:themeColor="text1"/>
        </w:rPr>
        <w:t xml:space="preserve"> This trend continued with the new Peer Engagement focus area which was 9.3 percentage points higher again</w:t>
      </w:r>
      <w:r w:rsidRPr="00217865">
        <w:rPr>
          <w:rFonts w:cs="Arial"/>
          <w:color w:val="000000" w:themeColor="text1"/>
        </w:rPr>
        <w:t xml:space="preserve"> This was the biggest increase in student ratings of </w:t>
      </w:r>
      <w:r w:rsidR="008354EC" w:rsidRPr="00217865">
        <w:rPr>
          <w:rFonts w:cs="Arial"/>
          <w:color w:val="000000" w:themeColor="text1"/>
        </w:rPr>
        <w:t>this theme</w:t>
      </w:r>
      <w:r w:rsidRPr="00217865">
        <w:rPr>
          <w:rFonts w:cs="Arial"/>
          <w:color w:val="000000" w:themeColor="text1"/>
        </w:rPr>
        <w:t xml:space="preserve"> amongst all source countries. </w:t>
      </w:r>
      <w:r w:rsidR="00D73532" w:rsidRPr="00217865">
        <w:rPr>
          <w:rFonts w:cs="Arial"/>
          <w:color w:val="000000" w:themeColor="text1"/>
        </w:rPr>
        <w:t>While all of the main source country scores saw an increase in 2022 and again with the revised focus area in 2023</w:t>
      </w:r>
      <w:r w:rsidR="008354EC" w:rsidRPr="00217865">
        <w:rPr>
          <w:rFonts w:cs="Arial"/>
          <w:color w:val="000000" w:themeColor="text1"/>
        </w:rPr>
        <w:t>,</w:t>
      </w:r>
      <w:r w:rsidR="00D73532" w:rsidRPr="00217865">
        <w:rPr>
          <w:rFonts w:cs="Arial"/>
          <w:color w:val="000000" w:themeColor="text1"/>
        </w:rPr>
        <w:t xml:space="preserve"> there were differences with</w:t>
      </w:r>
      <w:r w:rsidR="008354EC" w:rsidRPr="00217865">
        <w:rPr>
          <w:rFonts w:cs="Arial"/>
          <w:color w:val="000000" w:themeColor="text1"/>
        </w:rPr>
        <w:t xml:space="preserve"> undergraduates from India and Nepal had the highest ratings of Peer Engagement in 2023 with 77.6 per cent</w:t>
      </w:r>
      <w:r w:rsidR="00D73532" w:rsidRPr="00217865">
        <w:rPr>
          <w:rFonts w:cs="Arial"/>
          <w:color w:val="000000" w:themeColor="text1"/>
        </w:rPr>
        <w:t xml:space="preserve">, compared with the lowest with students whose source country was </w:t>
      </w:r>
      <w:r w:rsidR="003A0943">
        <w:rPr>
          <w:rFonts w:cs="Arial"/>
          <w:color w:val="000000" w:themeColor="text1"/>
        </w:rPr>
        <w:t>China (excludes SARs and Taiwan)</w:t>
      </w:r>
      <w:r w:rsidR="00D73532" w:rsidRPr="00217865">
        <w:rPr>
          <w:rFonts w:cs="Arial"/>
          <w:color w:val="000000" w:themeColor="text1"/>
        </w:rPr>
        <w:t xml:space="preserve"> 13 percentage points lower with 64.6 per cent.</w:t>
      </w:r>
      <w:r w:rsidRPr="00217865">
        <w:rPr>
          <w:rFonts w:cs="Arial"/>
          <w:color w:val="000000" w:themeColor="text1"/>
        </w:rPr>
        <w:t xml:space="preserve"> </w:t>
      </w:r>
    </w:p>
    <w:p w14:paraId="6EE761D5" w14:textId="5ADFD250" w:rsidR="00821227" w:rsidRPr="00217865" w:rsidRDefault="00821227" w:rsidP="00821227">
      <w:pPr>
        <w:pStyle w:val="Body"/>
        <w:rPr>
          <w:rFonts w:cs="Arial"/>
          <w:color w:val="000000" w:themeColor="text1"/>
        </w:rPr>
      </w:pPr>
      <w:r w:rsidRPr="00217865">
        <w:rPr>
          <w:rFonts w:cs="Arial"/>
          <w:color w:val="000000" w:themeColor="text1"/>
        </w:rPr>
        <w:t xml:space="preserve">Similarly, the biggest increase in student ratings of Learning Resources was also seen amongst </w:t>
      </w:r>
      <w:r w:rsidR="008423BD" w:rsidRPr="00217865">
        <w:rPr>
          <w:rFonts w:cs="Arial"/>
          <w:color w:val="000000" w:themeColor="text1"/>
        </w:rPr>
        <w:t xml:space="preserve">undergraduate international </w:t>
      </w:r>
      <w:r w:rsidRPr="00217865">
        <w:rPr>
          <w:rFonts w:cs="Arial"/>
          <w:color w:val="000000" w:themeColor="text1"/>
        </w:rPr>
        <w:t xml:space="preserve">students from Malaysia with a 15.2 percentage point increase between 2021 and 2023. Malaysian student ratings of the Quality of entire educational experience also increased substantially by 15.9 percentage points from 2021 to 2023. </w:t>
      </w:r>
    </w:p>
    <w:p w14:paraId="352E0539" w14:textId="77777777" w:rsidR="008423BD" w:rsidRPr="00217865" w:rsidRDefault="008423BD" w:rsidP="00821227">
      <w:pPr>
        <w:pStyle w:val="Body"/>
        <w:rPr>
          <w:rFonts w:cs="Arial"/>
          <w:color w:val="000000" w:themeColor="text1"/>
          <w:highlight w:val="yellow"/>
        </w:rPr>
      </w:pPr>
    </w:p>
    <w:p w14:paraId="3DA11D91" w14:textId="63CB8116" w:rsidR="008423BD" w:rsidRPr="00217865" w:rsidRDefault="008423BD" w:rsidP="00821227">
      <w:pPr>
        <w:pStyle w:val="Body"/>
        <w:rPr>
          <w:rFonts w:cs="Arial"/>
          <w:color w:val="000000" w:themeColor="text1"/>
          <w:highlight w:val="yellow"/>
        </w:rPr>
        <w:sectPr w:rsidR="008423BD" w:rsidRPr="00217865" w:rsidSect="00094E4B">
          <w:headerReference w:type="default" r:id="rId41"/>
          <w:footerReference w:type="default" r:id="rId42"/>
          <w:pgSz w:w="16840" w:h="11900" w:orient="landscape"/>
          <w:pgMar w:top="709" w:right="851" w:bottom="561" w:left="992" w:header="397" w:footer="283" w:gutter="0"/>
          <w:cols w:space="708"/>
          <w:docGrid w:linePitch="360"/>
        </w:sectPr>
      </w:pPr>
    </w:p>
    <w:p w14:paraId="120F9CF0" w14:textId="380B8144" w:rsidR="00821227" w:rsidRPr="00217865" w:rsidRDefault="00821227" w:rsidP="0081215D">
      <w:pPr>
        <w:pStyle w:val="Body"/>
        <w:ind w:left="1134" w:hanging="1134"/>
        <w:rPr>
          <w:rFonts w:cs="Arial"/>
          <w:b/>
          <w:bCs/>
          <w:color w:val="000000" w:themeColor="text1"/>
        </w:rPr>
      </w:pPr>
      <w:bookmarkStart w:id="34" w:name="_Ref64968195"/>
      <w:bookmarkStart w:id="35" w:name="_Toc178599368"/>
      <w:r w:rsidRPr="00217865">
        <w:rPr>
          <w:rFonts w:cs="Arial"/>
          <w:b/>
          <w:bCs/>
          <w:color w:val="000000" w:themeColor="text1"/>
        </w:rPr>
        <w:lastRenderedPageBreak/>
        <w:t xml:space="preserve">Table </w:t>
      </w:r>
      <w:r w:rsidRPr="00217865">
        <w:rPr>
          <w:rFonts w:cs="Arial"/>
          <w:b/>
          <w:bCs/>
          <w:color w:val="000000" w:themeColor="text1"/>
        </w:rPr>
        <w:fldChar w:fldCharType="begin"/>
      </w:r>
      <w:r w:rsidRPr="00217865">
        <w:rPr>
          <w:rFonts w:cs="Arial"/>
          <w:b/>
          <w:bCs/>
          <w:color w:val="000000" w:themeColor="text1"/>
        </w:rPr>
        <w:instrText xml:space="preserve"> SEQ Table \* ARABIC </w:instrText>
      </w:r>
      <w:r w:rsidRPr="00217865">
        <w:rPr>
          <w:rFonts w:cs="Arial"/>
          <w:b/>
          <w:bCs/>
          <w:color w:val="000000" w:themeColor="text1"/>
        </w:rPr>
        <w:fldChar w:fldCharType="separate"/>
      </w:r>
      <w:r w:rsidR="005D5678">
        <w:rPr>
          <w:rFonts w:cs="Arial"/>
          <w:b/>
          <w:bCs/>
          <w:noProof/>
          <w:color w:val="000000" w:themeColor="text1"/>
        </w:rPr>
        <w:t>3</w:t>
      </w:r>
      <w:r w:rsidRPr="00217865">
        <w:rPr>
          <w:rFonts w:cs="Arial"/>
          <w:b/>
          <w:bCs/>
          <w:color w:val="000000" w:themeColor="text1"/>
        </w:rPr>
        <w:fldChar w:fldCharType="end"/>
      </w:r>
      <w:bookmarkEnd w:id="34"/>
      <w:r w:rsidR="0081215D">
        <w:rPr>
          <w:rFonts w:cs="Arial"/>
          <w:b/>
          <w:bCs/>
          <w:color w:val="000000" w:themeColor="text1"/>
        </w:rPr>
        <w:tab/>
      </w:r>
      <w:r w:rsidRPr="00217865">
        <w:rPr>
          <w:rFonts w:cs="Arial"/>
          <w:b/>
          <w:bCs/>
          <w:color w:val="000000" w:themeColor="text1"/>
        </w:rPr>
        <w:t>International undergraduate student education experience by source country, 2021-2023 (% positive rating)</w:t>
      </w:r>
      <w:bookmarkEnd w:id="35"/>
    </w:p>
    <w:tbl>
      <w:tblPr>
        <w:tblStyle w:val="TableGrid"/>
        <w:tblW w:w="14879" w:type="dxa"/>
        <w:tblLayout w:type="fixed"/>
        <w:tblLook w:val="04A0" w:firstRow="1" w:lastRow="0" w:firstColumn="1" w:lastColumn="0" w:noHBand="0" w:noVBand="1"/>
      </w:tblPr>
      <w:tblGrid>
        <w:gridCol w:w="1395"/>
        <w:gridCol w:w="749"/>
        <w:gridCol w:w="749"/>
        <w:gridCol w:w="749"/>
        <w:gridCol w:w="749"/>
        <w:gridCol w:w="749"/>
        <w:gridCol w:w="749"/>
        <w:gridCol w:w="749"/>
        <w:gridCol w:w="749"/>
        <w:gridCol w:w="750"/>
        <w:gridCol w:w="749"/>
        <w:gridCol w:w="749"/>
        <w:gridCol w:w="749"/>
        <w:gridCol w:w="749"/>
        <w:gridCol w:w="749"/>
        <w:gridCol w:w="749"/>
        <w:gridCol w:w="749"/>
        <w:gridCol w:w="749"/>
        <w:gridCol w:w="750"/>
      </w:tblGrid>
      <w:tr w:rsidR="00217865" w:rsidRPr="00217865" w14:paraId="00C79E40" w14:textId="77777777" w:rsidTr="007A503F">
        <w:trPr>
          <w:cnfStyle w:val="100000000000" w:firstRow="1" w:lastRow="0" w:firstColumn="0" w:lastColumn="0" w:oddVBand="0" w:evenVBand="0" w:oddHBand="0" w:evenHBand="0" w:firstRowFirstColumn="0" w:firstRowLastColumn="0" w:lastRowFirstColumn="0" w:lastRowLastColumn="0"/>
          <w:trHeight w:val="302"/>
          <w:tblHeader/>
        </w:trPr>
        <w:tc>
          <w:tcPr>
            <w:tcW w:w="1395" w:type="dxa"/>
            <w:noWrap/>
            <w:hideMark/>
          </w:tcPr>
          <w:p w14:paraId="0D9EFE40" w14:textId="58BCB8F4" w:rsidR="00821227" w:rsidRPr="00217865" w:rsidRDefault="00094E4B" w:rsidP="007301B9">
            <w:pPr>
              <w:pStyle w:val="Footertable"/>
              <w:spacing w:before="60" w:after="60"/>
              <w:rPr>
                <w:rFonts w:ascii="Arial" w:hAnsi="Arial" w:cs="Arial"/>
                <w:b w:val="0"/>
                <w:bCs/>
                <w:color w:val="000000" w:themeColor="text1"/>
                <w:sz w:val="18"/>
                <w:szCs w:val="18"/>
              </w:rPr>
            </w:pPr>
            <w:r w:rsidRPr="00217865">
              <w:rPr>
                <w:rFonts w:ascii="Arial" w:hAnsi="Arial" w:cs="Arial"/>
                <w:bCs/>
                <w:color w:val="000000" w:themeColor="text1"/>
                <w:sz w:val="18"/>
                <w:szCs w:val="18"/>
              </w:rPr>
              <w:t>So</w:t>
            </w:r>
            <w:bookmarkStart w:id="36" w:name="Title_3"/>
            <w:bookmarkEnd w:id="36"/>
            <w:r w:rsidRPr="00217865">
              <w:rPr>
                <w:rFonts w:ascii="Arial" w:hAnsi="Arial" w:cs="Arial"/>
                <w:bCs/>
                <w:color w:val="000000" w:themeColor="text1"/>
                <w:sz w:val="18"/>
                <w:szCs w:val="18"/>
              </w:rPr>
              <w:t>urce country</w:t>
            </w:r>
          </w:p>
        </w:tc>
        <w:tc>
          <w:tcPr>
            <w:tcW w:w="749" w:type="dxa"/>
            <w:noWrap/>
            <w:hideMark/>
          </w:tcPr>
          <w:p w14:paraId="278C9D64" w14:textId="79EB533C"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Skills Development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587ECB63" w14:textId="15BB65ED"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Skills Development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49" w:type="dxa"/>
            <w:noWrap/>
            <w:hideMark/>
          </w:tcPr>
          <w:p w14:paraId="134D6870" w14:textId="6A273D5F"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Skills Development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c>
          <w:tcPr>
            <w:tcW w:w="749" w:type="dxa"/>
            <w:noWrap/>
            <w:hideMark/>
          </w:tcPr>
          <w:p w14:paraId="1BAC5181" w14:textId="2FC96660"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Peer Engagement*</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3CBF79E9" w14:textId="54C54A8A"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Peer Engagement*</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49" w:type="dxa"/>
            <w:noWrap/>
            <w:hideMark/>
          </w:tcPr>
          <w:p w14:paraId="18B4B464" w14:textId="5C8AD2C9"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Peer Engagement*</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c>
          <w:tcPr>
            <w:tcW w:w="749" w:type="dxa"/>
            <w:noWrap/>
            <w:hideMark/>
          </w:tcPr>
          <w:p w14:paraId="67792483" w14:textId="02DEA046"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Teaching Quality and Engagement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2D7A9AAB" w14:textId="6311AA26"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Teaching Quality and Engagement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50" w:type="dxa"/>
            <w:noWrap/>
            <w:hideMark/>
          </w:tcPr>
          <w:p w14:paraId="538C6D3C" w14:textId="5DB8E406" w:rsidR="00821227" w:rsidRPr="00217865" w:rsidRDefault="00CF411A" w:rsidP="007301B9">
            <w:pPr>
              <w:pStyle w:val="Footertable"/>
              <w:spacing w:before="60" w:after="60"/>
              <w:jc w:val="center"/>
              <w:rPr>
                <w:rFonts w:ascii="Arial" w:hAnsi="Arial" w:cs="Arial"/>
                <w:b w:val="0"/>
                <w:bCs/>
                <w:color w:val="000000" w:themeColor="text1"/>
                <w:sz w:val="18"/>
                <w:szCs w:val="18"/>
                <w:highlight w:val="yellow"/>
              </w:rPr>
            </w:pPr>
            <w:r w:rsidRPr="00217865">
              <w:rPr>
                <w:rFonts w:ascii="Arial" w:hAnsi="Arial" w:cs="Arial"/>
                <w:bCs/>
                <w:color w:val="000000" w:themeColor="text1"/>
                <w:sz w:val="18"/>
                <w:szCs w:val="18"/>
              </w:rPr>
              <w:t>Teaching Quality and Engagement</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c>
          <w:tcPr>
            <w:tcW w:w="749" w:type="dxa"/>
            <w:noWrap/>
            <w:hideMark/>
          </w:tcPr>
          <w:p w14:paraId="4D476BD7" w14:textId="47E9E61E" w:rsidR="00821227" w:rsidRPr="00217865" w:rsidRDefault="00CF411A" w:rsidP="00CF411A">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Student Support and Services*</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4800F72A" w14:textId="4327B043"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Student Support and Services*</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49" w:type="dxa"/>
            <w:noWrap/>
            <w:hideMark/>
          </w:tcPr>
          <w:p w14:paraId="6816DADA" w14:textId="30E26889" w:rsidR="00821227" w:rsidRPr="00217865" w:rsidRDefault="00CF411A" w:rsidP="007301B9">
            <w:pPr>
              <w:pStyle w:val="Footertable"/>
              <w:spacing w:before="60" w:after="60"/>
              <w:jc w:val="center"/>
              <w:rPr>
                <w:rFonts w:ascii="Arial" w:hAnsi="Arial" w:cs="Arial"/>
                <w:b w:val="0"/>
                <w:bCs/>
                <w:color w:val="000000" w:themeColor="text1"/>
                <w:sz w:val="18"/>
                <w:szCs w:val="18"/>
                <w:highlight w:val="yellow"/>
              </w:rPr>
            </w:pPr>
            <w:r w:rsidRPr="00217865">
              <w:rPr>
                <w:rFonts w:ascii="Arial" w:hAnsi="Arial" w:cs="Arial"/>
                <w:bCs/>
                <w:color w:val="000000" w:themeColor="text1"/>
                <w:sz w:val="18"/>
                <w:szCs w:val="18"/>
              </w:rPr>
              <w:t>Student Support and Services*</w:t>
            </w:r>
            <w:r>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c>
          <w:tcPr>
            <w:tcW w:w="749" w:type="dxa"/>
            <w:noWrap/>
            <w:hideMark/>
          </w:tcPr>
          <w:p w14:paraId="4FD6B9CE" w14:textId="4B633CAE"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Learning Resources</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7BA30127" w14:textId="3A1478D2"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Learning Resources</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49" w:type="dxa"/>
            <w:noWrap/>
            <w:hideMark/>
          </w:tcPr>
          <w:p w14:paraId="377035E5" w14:textId="7723FE91" w:rsidR="00821227" w:rsidRPr="00217865" w:rsidRDefault="00CF411A" w:rsidP="007301B9">
            <w:pPr>
              <w:pStyle w:val="Footertable"/>
              <w:spacing w:before="60" w:after="60"/>
              <w:jc w:val="center"/>
              <w:rPr>
                <w:rFonts w:ascii="Arial" w:hAnsi="Arial" w:cs="Arial"/>
                <w:b w:val="0"/>
                <w:bCs/>
                <w:color w:val="000000" w:themeColor="text1"/>
                <w:sz w:val="18"/>
                <w:szCs w:val="18"/>
                <w:highlight w:val="yellow"/>
              </w:rPr>
            </w:pPr>
            <w:r w:rsidRPr="00217865">
              <w:rPr>
                <w:rFonts w:ascii="Arial" w:hAnsi="Arial" w:cs="Arial"/>
                <w:bCs/>
                <w:color w:val="000000" w:themeColor="text1"/>
                <w:sz w:val="18"/>
                <w:szCs w:val="18"/>
              </w:rPr>
              <w:t>Learning Resources</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c>
          <w:tcPr>
            <w:tcW w:w="749" w:type="dxa"/>
            <w:noWrap/>
            <w:hideMark/>
          </w:tcPr>
          <w:p w14:paraId="66D06E6D" w14:textId="026FEA57"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Quality of entire educational experience</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2021</w:t>
            </w:r>
          </w:p>
        </w:tc>
        <w:tc>
          <w:tcPr>
            <w:tcW w:w="749" w:type="dxa"/>
            <w:noWrap/>
            <w:hideMark/>
          </w:tcPr>
          <w:p w14:paraId="65293C70" w14:textId="0993352A" w:rsidR="00821227" w:rsidRPr="00217865" w:rsidRDefault="00CF411A" w:rsidP="007301B9">
            <w:pPr>
              <w:pStyle w:val="Footertable"/>
              <w:spacing w:before="60" w:after="60"/>
              <w:jc w:val="center"/>
              <w:rPr>
                <w:rFonts w:ascii="Arial" w:hAnsi="Arial" w:cs="Arial"/>
                <w:b w:val="0"/>
                <w:bCs/>
                <w:color w:val="000000" w:themeColor="text1"/>
                <w:sz w:val="18"/>
                <w:szCs w:val="18"/>
              </w:rPr>
            </w:pPr>
            <w:r w:rsidRPr="00217865">
              <w:rPr>
                <w:rFonts w:ascii="Arial" w:hAnsi="Arial" w:cs="Arial"/>
                <w:bCs/>
                <w:color w:val="000000" w:themeColor="text1"/>
                <w:sz w:val="18"/>
                <w:szCs w:val="18"/>
              </w:rPr>
              <w:t>Quality of entire educational experience</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2022</w:t>
            </w:r>
          </w:p>
        </w:tc>
        <w:tc>
          <w:tcPr>
            <w:tcW w:w="750" w:type="dxa"/>
            <w:noWrap/>
            <w:hideMark/>
          </w:tcPr>
          <w:p w14:paraId="7A0083A7" w14:textId="7EFF30EA" w:rsidR="00821227" w:rsidRPr="00217865" w:rsidRDefault="00CF411A" w:rsidP="007301B9">
            <w:pPr>
              <w:pStyle w:val="Footertable"/>
              <w:spacing w:before="60" w:after="60"/>
              <w:jc w:val="center"/>
              <w:rPr>
                <w:rFonts w:ascii="Arial" w:hAnsi="Arial" w:cs="Arial"/>
                <w:b w:val="0"/>
                <w:bCs/>
                <w:color w:val="000000" w:themeColor="text1"/>
                <w:sz w:val="18"/>
                <w:szCs w:val="18"/>
                <w:highlight w:val="yellow"/>
              </w:rPr>
            </w:pPr>
            <w:r w:rsidRPr="00217865">
              <w:rPr>
                <w:rFonts w:ascii="Arial" w:hAnsi="Arial" w:cs="Arial"/>
                <w:bCs/>
                <w:color w:val="000000" w:themeColor="text1"/>
                <w:sz w:val="18"/>
                <w:szCs w:val="18"/>
              </w:rPr>
              <w:t>Quality of entire educational experience</w:t>
            </w:r>
            <w:r w:rsidRPr="00217865">
              <w:rPr>
                <w:rFonts w:ascii="Arial" w:hAnsi="Arial" w:cs="Arial"/>
                <w:b w:val="0"/>
                <w:bCs/>
                <w:color w:val="000000" w:themeColor="text1"/>
                <w:sz w:val="18"/>
                <w:szCs w:val="18"/>
              </w:rPr>
              <w:t xml:space="preserve"> </w:t>
            </w:r>
            <w:r w:rsidR="00821227" w:rsidRPr="00CF411A">
              <w:rPr>
                <w:rFonts w:ascii="Arial" w:hAnsi="Arial" w:cs="Arial"/>
                <w:b w:val="0"/>
                <w:color w:val="000000" w:themeColor="text1"/>
                <w:sz w:val="18"/>
                <w:szCs w:val="18"/>
              </w:rPr>
              <w:t>2023</w:t>
            </w:r>
          </w:p>
        </w:tc>
      </w:tr>
      <w:tr w:rsidR="00217865" w:rsidRPr="00217865" w14:paraId="568ADAD0" w14:textId="77777777" w:rsidTr="00CF411A">
        <w:trPr>
          <w:trHeight w:val="302"/>
        </w:trPr>
        <w:tc>
          <w:tcPr>
            <w:tcW w:w="1395" w:type="dxa"/>
            <w:noWrap/>
            <w:hideMark/>
          </w:tcPr>
          <w:p w14:paraId="050EA50A" w14:textId="55058EF1" w:rsidR="0026555C" w:rsidRPr="00217865" w:rsidRDefault="003A0943" w:rsidP="007301B9">
            <w:pPr>
              <w:pStyle w:val="Footertable"/>
              <w:spacing w:before="60" w:after="60"/>
              <w:rPr>
                <w:rFonts w:ascii="Arial" w:hAnsi="Arial" w:cs="Arial"/>
                <w:color w:val="000000" w:themeColor="text1"/>
                <w:sz w:val="18"/>
                <w:szCs w:val="18"/>
              </w:rPr>
            </w:pPr>
            <w:r>
              <w:rPr>
                <w:rFonts w:ascii="Arial" w:hAnsi="Arial" w:cs="Arial"/>
                <w:color w:val="000000" w:themeColor="text1"/>
                <w:sz w:val="18"/>
                <w:szCs w:val="18"/>
              </w:rPr>
              <w:t>China (excludes SARs and Taiwan)</w:t>
            </w:r>
          </w:p>
        </w:tc>
        <w:tc>
          <w:tcPr>
            <w:tcW w:w="749" w:type="dxa"/>
            <w:noWrap/>
            <w:vAlign w:val="center"/>
          </w:tcPr>
          <w:p w14:paraId="1DDE356C" w14:textId="725B48D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71.3</w:t>
            </w:r>
          </w:p>
        </w:tc>
        <w:tc>
          <w:tcPr>
            <w:tcW w:w="749" w:type="dxa"/>
            <w:noWrap/>
            <w:vAlign w:val="center"/>
          </w:tcPr>
          <w:p w14:paraId="70B42577" w14:textId="3307644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78.4</w:t>
            </w:r>
          </w:p>
        </w:tc>
        <w:tc>
          <w:tcPr>
            <w:tcW w:w="749" w:type="dxa"/>
            <w:noWrap/>
            <w:vAlign w:val="center"/>
          </w:tcPr>
          <w:p w14:paraId="4A0E2DBE" w14:textId="3DA007B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78.7</w:t>
            </w:r>
          </w:p>
        </w:tc>
        <w:tc>
          <w:tcPr>
            <w:tcW w:w="749" w:type="dxa"/>
            <w:noWrap/>
            <w:vAlign w:val="center"/>
          </w:tcPr>
          <w:p w14:paraId="1CFDBCA6" w14:textId="3F53AE6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43.9</w:t>
            </w:r>
          </w:p>
        </w:tc>
        <w:tc>
          <w:tcPr>
            <w:tcW w:w="749" w:type="dxa"/>
            <w:noWrap/>
            <w:vAlign w:val="center"/>
          </w:tcPr>
          <w:p w14:paraId="4D3AF1FD" w14:textId="08555EA3"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58.6</w:t>
            </w:r>
          </w:p>
        </w:tc>
        <w:tc>
          <w:tcPr>
            <w:tcW w:w="749" w:type="dxa"/>
            <w:noWrap/>
            <w:vAlign w:val="center"/>
          </w:tcPr>
          <w:p w14:paraId="69624DE6" w14:textId="4E1C4AD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64.6</w:t>
            </w:r>
          </w:p>
        </w:tc>
        <w:tc>
          <w:tcPr>
            <w:tcW w:w="749" w:type="dxa"/>
            <w:noWrap/>
            <w:vAlign w:val="center"/>
          </w:tcPr>
          <w:p w14:paraId="7B536C55" w14:textId="2E6EDED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72.7</w:t>
            </w:r>
          </w:p>
        </w:tc>
        <w:tc>
          <w:tcPr>
            <w:tcW w:w="749" w:type="dxa"/>
            <w:noWrap/>
            <w:vAlign w:val="center"/>
          </w:tcPr>
          <w:p w14:paraId="4A6FFBC7" w14:textId="6E687AD5"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79.0</w:t>
            </w:r>
          </w:p>
        </w:tc>
        <w:tc>
          <w:tcPr>
            <w:tcW w:w="750" w:type="dxa"/>
            <w:noWrap/>
            <w:vAlign w:val="center"/>
          </w:tcPr>
          <w:p w14:paraId="451AE7B8" w14:textId="393D203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79.5</w:t>
            </w:r>
          </w:p>
        </w:tc>
        <w:tc>
          <w:tcPr>
            <w:tcW w:w="749" w:type="dxa"/>
            <w:noWrap/>
            <w:vAlign w:val="center"/>
          </w:tcPr>
          <w:p w14:paraId="3438634C" w14:textId="7909819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66.5</w:t>
            </w:r>
          </w:p>
        </w:tc>
        <w:tc>
          <w:tcPr>
            <w:tcW w:w="749" w:type="dxa"/>
            <w:noWrap/>
            <w:vAlign w:val="center"/>
          </w:tcPr>
          <w:p w14:paraId="72463233" w14:textId="7CBCA29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71.6</w:t>
            </w:r>
          </w:p>
        </w:tc>
        <w:tc>
          <w:tcPr>
            <w:tcW w:w="749" w:type="dxa"/>
            <w:noWrap/>
            <w:vAlign w:val="center"/>
          </w:tcPr>
          <w:p w14:paraId="0A00B555" w14:textId="6BB6721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74.5</w:t>
            </w:r>
          </w:p>
        </w:tc>
        <w:tc>
          <w:tcPr>
            <w:tcW w:w="749" w:type="dxa"/>
            <w:noWrap/>
            <w:vAlign w:val="center"/>
          </w:tcPr>
          <w:p w14:paraId="58393972" w14:textId="5142CFB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77.2</w:t>
            </w:r>
          </w:p>
        </w:tc>
        <w:tc>
          <w:tcPr>
            <w:tcW w:w="749" w:type="dxa"/>
            <w:noWrap/>
            <w:vAlign w:val="center"/>
          </w:tcPr>
          <w:p w14:paraId="265DB3C4" w14:textId="0B277BB9"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87.7</w:t>
            </w:r>
          </w:p>
        </w:tc>
        <w:tc>
          <w:tcPr>
            <w:tcW w:w="749" w:type="dxa"/>
            <w:noWrap/>
            <w:vAlign w:val="center"/>
          </w:tcPr>
          <w:p w14:paraId="73C62883" w14:textId="04C20C5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87.7</w:t>
            </w:r>
          </w:p>
        </w:tc>
        <w:tc>
          <w:tcPr>
            <w:tcW w:w="749" w:type="dxa"/>
            <w:noWrap/>
            <w:vAlign w:val="center"/>
          </w:tcPr>
          <w:p w14:paraId="140D2047" w14:textId="235F94C3"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66.8</w:t>
            </w:r>
          </w:p>
        </w:tc>
        <w:tc>
          <w:tcPr>
            <w:tcW w:w="749" w:type="dxa"/>
            <w:noWrap/>
            <w:vAlign w:val="center"/>
          </w:tcPr>
          <w:p w14:paraId="569C12D7" w14:textId="24DAB0B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74.1</w:t>
            </w:r>
          </w:p>
        </w:tc>
        <w:tc>
          <w:tcPr>
            <w:tcW w:w="750" w:type="dxa"/>
            <w:noWrap/>
            <w:vAlign w:val="center"/>
          </w:tcPr>
          <w:p w14:paraId="3C8BB426" w14:textId="74B94473"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72.9</w:t>
            </w:r>
          </w:p>
        </w:tc>
      </w:tr>
      <w:tr w:rsidR="00217865" w:rsidRPr="00217865" w14:paraId="25A256E9" w14:textId="77777777" w:rsidTr="00CF411A">
        <w:trPr>
          <w:trHeight w:val="302"/>
        </w:trPr>
        <w:tc>
          <w:tcPr>
            <w:tcW w:w="1395" w:type="dxa"/>
            <w:noWrap/>
            <w:hideMark/>
          </w:tcPr>
          <w:p w14:paraId="27F94291" w14:textId="77777777" w:rsidR="0026555C" w:rsidRPr="00217865" w:rsidRDefault="0026555C"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Nepal</w:t>
            </w:r>
          </w:p>
        </w:tc>
        <w:tc>
          <w:tcPr>
            <w:tcW w:w="749" w:type="dxa"/>
            <w:noWrap/>
            <w:vAlign w:val="center"/>
          </w:tcPr>
          <w:p w14:paraId="207B88D3" w14:textId="0283DAE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82.1</w:t>
            </w:r>
          </w:p>
        </w:tc>
        <w:tc>
          <w:tcPr>
            <w:tcW w:w="749" w:type="dxa"/>
            <w:noWrap/>
            <w:vAlign w:val="center"/>
          </w:tcPr>
          <w:p w14:paraId="3E3CB974" w14:textId="17728659"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84.3</w:t>
            </w:r>
          </w:p>
        </w:tc>
        <w:tc>
          <w:tcPr>
            <w:tcW w:w="749" w:type="dxa"/>
            <w:noWrap/>
            <w:vAlign w:val="center"/>
          </w:tcPr>
          <w:p w14:paraId="3AA376D3" w14:textId="1F98CC6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84.9</w:t>
            </w:r>
          </w:p>
        </w:tc>
        <w:tc>
          <w:tcPr>
            <w:tcW w:w="749" w:type="dxa"/>
            <w:noWrap/>
            <w:vAlign w:val="center"/>
          </w:tcPr>
          <w:p w14:paraId="2C1254C5" w14:textId="43E6E54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60.4</w:t>
            </w:r>
          </w:p>
        </w:tc>
        <w:tc>
          <w:tcPr>
            <w:tcW w:w="749" w:type="dxa"/>
            <w:noWrap/>
            <w:vAlign w:val="center"/>
          </w:tcPr>
          <w:p w14:paraId="564AD46B" w14:textId="0BF7E9A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65.9</w:t>
            </w:r>
          </w:p>
        </w:tc>
        <w:tc>
          <w:tcPr>
            <w:tcW w:w="749" w:type="dxa"/>
            <w:noWrap/>
            <w:vAlign w:val="center"/>
          </w:tcPr>
          <w:p w14:paraId="0FC3F852" w14:textId="40CAAED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77.6</w:t>
            </w:r>
          </w:p>
        </w:tc>
        <w:tc>
          <w:tcPr>
            <w:tcW w:w="749" w:type="dxa"/>
            <w:noWrap/>
            <w:vAlign w:val="center"/>
          </w:tcPr>
          <w:p w14:paraId="6C1A2765" w14:textId="3AA2306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78.1</w:t>
            </w:r>
          </w:p>
        </w:tc>
        <w:tc>
          <w:tcPr>
            <w:tcW w:w="749" w:type="dxa"/>
            <w:noWrap/>
            <w:vAlign w:val="center"/>
          </w:tcPr>
          <w:p w14:paraId="42664414" w14:textId="7B28493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81.7</w:t>
            </w:r>
          </w:p>
        </w:tc>
        <w:tc>
          <w:tcPr>
            <w:tcW w:w="750" w:type="dxa"/>
            <w:noWrap/>
            <w:vAlign w:val="center"/>
          </w:tcPr>
          <w:p w14:paraId="684E8CCE" w14:textId="538CD23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83.9</w:t>
            </w:r>
          </w:p>
        </w:tc>
        <w:tc>
          <w:tcPr>
            <w:tcW w:w="749" w:type="dxa"/>
            <w:noWrap/>
            <w:vAlign w:val="center"/>
          </w:tcPr>
          <w:p w14:paraId="287C9700" w14:textId="5C6953B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74.2</w:t>
            </w:r>
          </w:p>
        </w:tc>
        <w:tc>
          <w:tcPr>
            <w:tcW w:w="749" w:type="dxa"/>
            <w:noWrap/>
            <w:vAlign w:val="center"/>
          </w:tcPr>
          <w:p w14:paraId="4EB99E83" w14:textId="4FBE1F4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79.5</w:t>
            </w:r>
          </w:p>
        </w:tc>
        <w:tc>
          <w:tcPr>
            <w:tcW w:w="749" w:type="dxa"/>
            <w:noWrap/>
            <w:vAlign w:val="center"/>
          </w:tcPr>
          <w:p w14:paraId="4202D451" w14:textId="4BC2A15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79.7</w:t>
            </w:r>
          </w:p>
        </w:tc>
        <w:tc>
          <w:tcPr>
            <w:tcW w:w="749" w:type="dxa"/>
            <w:noWrap/>
            <w:vAlign w:val="center"/>
          </w:tcPr>
          <w:p w14:paraId="01980145" w14:textId="04B34E9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72.0</w:t>
            </w:r>
          </w:p>
        </w:tc>
        <w:tc>
          <w:tcPr>
            <w:tcW w:w="749" w:type="dxa"/>
            <w:noWrap/>
            <w:vAlign w:val="center"/>
          </w:tcPr>
          <w:p w14:paraId="3F755F60" w14:textId="6DDA7FC5"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80.0</w:t>
            </w:r>
          </w:p>
        </w:tc>
        <w:tc>
          <w:tcPr>
            <w:tcW w:w="749" w:type="dxa"/>
            <w:noWrap/>
            <w:vAlign w:val="center"/>
          </w:tcPr>
          <w:p w14:paraId="14D8BF45" w14:textId="72649A0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78.3</w:t>
            </w:r>
          </w:p>
        </w:tc>
        <w:tc>
          <w:tcPr>
            <w:tcW w:w="749" w:type="dxa"/>
            <w:noWrap/>
            <w:vAlign w:val="center"/>
          </w:tcPr>
          <w:p w14:paraId="5A2E6D64" w14:textId="187518D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69.2</w:t>
            </w:r>
          </w:p>
        </w:tc>
        <w:tc>
          <w:tcPr>
            <w:tcW w:w="749" w:type="dxa"/>
            <w:noWrap/>
            <w:vAlign w:val="center"/>
          </w:tcPr>
          <w:p w14:paraId="42277F6D" w14:textId="5F47C3E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76.1</w:t>
            </w:r>
          </w:p>
        </w:tc>
        <w:tc>
          <w:tcPr>
            <w:tcW w:w="750" w:type="dxa"/>
            <w:noWrap/>
            <w:vAlign w:val="center"/>
          </w:tcPr>
          <w:p w14:paraId="00505A3C" w14:textId="5F336B2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78.1</w:t>
            </w:r>
          </w:p>
        </w:tc>
      </w:tr>
      <w:tr w:rsidR="00217865" w:rsidRPr="00217865" w14:paraId="64A1EF68" w14:textId="77777777" w:rsidTr="00CF411A">
        <w:trPr>
          <w:trHeight w:val="302"/>
        </w:trPr>
        <w:tc>
          <w:tcPr>
            <w:tcW w:w="1395" w:type="dxa"/>
            <w:noWrap/>
            <w:hideMark/>
          </w:tcPr>
          <w:p w14:paraId="5FECFB71" w14:textId="77777777" w:rsidR="0026555C" w:rsidRPr="00217865" w:rsidRDefault="0026555C"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India</w:t>
            </w:r>
          </w:p>
        </w:tc>
        <w:tc>
          <w:tcPr>
            <w:tcW w:w="749" w:type="dxa"/>
            <w:noWrap/>
            <w:vAlign w:val="center"/>
          </w:tcPr>
          <w:p w14:paraId="2176FB44" w14:textId="52A2A92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82.2</w:t>
            </w:r>
          </w:p>
        </w:tc>
        <w:tc>
          <w:tcPr>
            <w:tcW w:w="749" w:type="dxa"/>
            <w:noWrap/>
            <w:vAlign w:val="center"/>
          </w:tcPr>
          <w:p w14:paraId="6C9211AE" w14:textId="453F61C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87.6</w:t>
            </w:r>
          </w:p>
        </w:tc>
        <w:tc>
          <w:tcPr>
            <w:tcW w:w="749" w:type="dxa"/>
            <w:noWrap/>
            <w:vAlign w:val="center"/>
          </w:tcPr>
          <w:p w14:paraId="3ABD1FF8" w14:textId="2B96123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88.4</w:t>
            </w:r>
          </w:p>
        </w:tc>
        <w:tc>
          <w:tcPr>
            <w:tcW w:w="749" w:type="dxa"/>
            <w:noWrap/>
            <w:vAlign w:val="center"/>
          </w:tcPr>
          <w:p w14:paraId="04804C55" w14:textId="374681E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56.3</w:t>
            </w:r>
          </w:p>
        </w:tc>
        <w:tc>
          <w:tcPr>
            <w:tcW w:w="749" w:type="dxa"/>
            <w:noWrap/>
            <w:vAlign w:val="center"/>
          </w:tcPr>
          <w:p w14:paraId="48FD072F" w14:textId="26F3642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71.6</w:t>
            </w:r>
          </w:p>
        </w:tc>
        <w:tc>
          <w:tcPr>
            <w:tcW w:w="749" w:type="dxa"/>
            <w:noWrap/>
            <w:vAlign w:val="center"/>
          </w:tcPr>
          <w:p w14:paraId="2E0979A8" w14:textId="6255D3B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77.6</w:t>
            </w:r>
          </w:p>
        </w:tc>
        <w:tc>
          <w:tcPr>
            <w:tcW w:w="749" w:type="dxa"/>
            <w:noWrap/>
            <w:vAlign w:val="center"/>
          </w:tcPr>
          <w:p w14:paraId="3C8CE4DE" w14:textId="11A8832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78.8</w:t>
            </w:r>
          </w:p>
        </w:tc>
        <w:tc>
          <w:tcPr>
            <w:tcW w:w="749" w:type="dxa"/>
            <w:noWrap/>
            <w:vAlign w:val="center"/>
          </w:tcPr>
          <w:p w14:paraId="0434F364" w14:textId="08BD31D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83.8</w:t>
            </w:r>
          </w:p>
        </w:tc>
        <w:tc>
          <w:tcPr>
            <w:tcW w:w="750" w:type="dxa"/>
            <w:noWrap/>
            <w:vAlign w:val="center"/>
          </w:tcPr>
          <w:p w14:paraId="7E69F587" w14:textId="5D2CB195"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85.6</w:t>
            </w:r>
          </w:p>
        </w:tc>
        <w:tc>
          <w:tcPr>
            <w:tcW w:w="749" w:type="dxa"/>
            <w:noWrap/>
            <w:vAlign w:val="center"/>
          </w:tcPr>
          <w:p w14:paraId="41FD30B5" w14:textId="16A583B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78.7</w:t>
            </w:r>
          </w:p>
        </w:tc>
        <w:tc>
          <w:tcPr>
            <w:tcW w:w="749" w:type="dxa"/>
            <w:noWrap/>
            <w:vAlign w:val="center"/>
          </w:tcPr>
          <w:p w14:paraId="2942628D" w14:textId="66BB9EA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83.2</w:t>
            </w:r>
          </w:p>
        </w:tc>
        <w:tc>
          <w:tcPr>
            <w:tcW w:w="749" w:type="dxa"/>
            <w:noWrap/>
            <w:vAlign w:val="center"/>
          </w:tcPr>
          <w:p w14:paraId="72CB8A0B" w14:textId="46C196C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83.9</w:t>
            </w:r>
          </w:p>
        </w:tc>
        <w:tc>
          <w:tcPr>
            <w:tcW w:w="749" w:type="dxa"/>
            <w:noWrap/>
            <w:vAlign w:val="center"/>
          </w:tcPr>
          <w:p w14:paraId="057BCB80" w14:textId="0BC30A2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75.8</w:t>
            </w:r>
          </w:p>
        </w:tc>
        <w:tc>
          <w:tcPr>
            <w:tcW w:w="749" w:type="dxa"/>
            <w:noWrap/>
            <w:vAlign w:val="center"/>
          </w:tcPr>
          <w:p w14:paraId="793A9895" w14:textId="5469E95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87.7</w:t>
            </w:r>
          </w:p>
        </w:tc>
        <w:tc>
          <w:tcPr>
            <w:tcW w:w="749" w:type="dxa"/>
            <w:noWrap/>
            <w:vAlign w:val="center"/>
          </w:tcPr>
          <w:p w14:paraId="57FC76FA" w14:textId="7E2980A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88.3</w:t>
            </w:r>
          </w:p>
        </w:tc>
        <w:tc>
          <w:tcPr>
            <w:tcW w:w="749" w:type="dxa"/>
            <w:noWrap/>
            <w:vAlign w:val="center"/>
          </w:tcPr>
          <w:p w14:paraId="0B6D2F90" w14:textId="19395C8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70.6</w:t>
            </w:r>
          </w:p>
        </w:tc>
        <w:tc>
          <w:tcPr>
            <w:tcW w:w="749" w:type="dxa"/>
            <w:noWrap/>
            <w:vAlign w:val="center"/>
          </w:tcPr>
          <w:p w14:paraId="76C65983" w14:textId="489FD3E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77.8</w:t>
            </w:r>
          </w:p>
        </w:tc>
        <w:tc>
          <w:tcPr>
            <w:tcW w:w="750" w:type="dxa"/>
            <w:noWrap/>
            <w:vAlign w:val="center"/>
          </w:tcPr>
          <w:p w14:paraId="3264EB41" w14:textId="3691207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80.5</w:t>
            </w:r>
          </w:p>
        </w:tc>
      </w:tr>
      <w:tr w:rsidR="00217865" w:rsidRPr="00217865" w14:paraId="53A4C15A" w14:textId="77777777" w:rsidTr="00CF411A">
        <w:trPr>
          <w:trHeight w:val="302"/>
        </w:trPr>
        <w:tc>
          <w:tcPr>
            <w:tcW w:w="1395" w:type="dxa"/>
            <w:noWrap/>
            <w:hideMark/>
          </w:tcPr>
          <w:p w14:paraId="336A5DF8" w14:textId="77777777" w:rsidR="0026555C" w:rsidRPr="00217865" w:rsidRDefault="0026555C"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Malaysia</w:t>
            </w:r>
          </w:p>
        </w:tc>
        <w:tc>
          <w:tcPr>
            <w:tcW w:w="749" w:type="dxa"/>
            <w:noWrap/>
            <w:vAlign w:val="center"/>
          </w:tcPr>
          <w:p w14:paraId="12A3D03C" w14:textId="7897E72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77.2</w:t>
            </w:r>
          </w:p>
        </w:tc>
        <w:tc>
          <w:tcPr>
            <w:tcW w:w="749" w:type="dxa"/>
            <w:noWrap/>
            <w:vAlign w:val="center"/>
          </w:tcPr>
          <w:p w14:paraId="317838CF" w14:textId="768C70A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81.5</w:t>
            </w:r>
          </w:p>
        </w:tc>
        <w:tc>
          <w:tcPr>
            <w:tcW w:w="749" w:type="dxa"/>
            <w:noWrap/>
            <w:vAlign w:val="center"/>
          </w:tcPr>
          <w:p w14:paraId="6C281AB7" w14:textId="04CB9A0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w:t>
            </w:r>
            <w:r w:rsidRPr="00217865" w:rsidDel="00D935A2">
              <w:rPr>
                <w:rFonts w:ascii="Arial" w:hAnsi="Arial" w:cs="Arial"/>
                <w:color w:val="000000" w:themeColor="text1"/>
                <w:sz w:val="18"/>
                <w:szCs w:val="18"/>
              </w:rPr>
              <w:t>5</w:t>
            </w:r>
          </w:p>
        </w:tc>
        <w:tc>
          <w:tcPr>
            <w:tcW w:w="749" w:type="dxa"/>
            <w:noWrap/>
            <w:vAlign w:val="center"/>
          </w:tcPr>
          <w:p w14:paraId="5995BD30" w14:textId="11E1D2A5"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40.1</w:t>
            </w:r>
          </w:p>
        </w:tc>
        <w:tc>
          <w:tcPr>
            <w:tcW w:w="749" w:type="dxa"/>
            <w:noWrap/>
            <w:vAlign w:val="center"/>
          </w:tcPr>
          <w:p w14:paraId="6087CB0E" w14:textId="1F5AC95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57.2</w:t>
            </w:r>
          </w:p>
        </w:tc>
        <w:tc>
          <w:tcPr>
            <w:tcW w:w="749" w:type="dxa"/>
            <w:noWrap/>
            <w:vAlign w:val="center"/>
          </w:tcPr>
          <w:p w14:paraId="5485B226" w14:textId="78EA56A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66.5</w:t>
            </w:r>
          </w:p>
        </w:tc>
        <w:tc>
          <w:tcPr>
            <w:tcW w:w="749" w:type="dxa"/>
            <w:noWrap/>
            <w:vAlign w:val="center"/>
          </w:tcPr>
          <w:p w14:paraId="28104262" w14:textId="510A6AC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73.6</w:t>
            </w:r>
          </w:p>
        </w:tc>
        <w:tc>
          <w:tcPr>
            <w:tcW w:w="749" w:type="dxa"/>
            <w:noWrap/>
            <w:vAlign w:val="center"/>
          </w:tcPr>
          <w:p w14:paraId="12CF76A2" w14:textId="17AE4927"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79.2</w:t>
            </w:r>
          </w:p>
        </w:tc>
        <w:tc>
          <w:tcPr>
            <w:tcW w:w="750" w:type="dxa"/>
            <w:noWrap/>
            <w:vAlign w:val="center"/>
          </w:tcPr>
          <w:p w14:paraId="3C06CDD7" w14:textId="14392B3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84.0</w:t>
            </w:r>
          </w:p>
        </w:tc>
        <w:tc>
          <w:tcPr>
            <w:tcW w:w="749" w:type="dxa"/>
            <w:noWrap/>
            <w:vAlign w:val="center"/>
          </w:tcPr>
          <w:p w14:paraId="6C13724A" w14:textId="703CCDB3"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67.4</w:t>
            </w:r>
          </w:p>
        </w:tc>
        <w:tc>
          <w:tcPr>
            <w:tcW w:w="749" w:type="dxa"/>
            <w:noWrap/>
            <w:vAlign w:val="center"/>
          </w:tcPr>
          <w:p w14:paraId="41148222" w14:textId="67AC469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72.5</w:t>
            </w:r>
          </w:p>
        </w:tc>
        <w:tc>
          <w:tcPr>
            <w:tcW w:w="749" w:type="dxa"/>
            <w:noWrap/>
            <w:vAlign w:val="center"/>
          </w:tcPr>
          <w:p w14:paraId="4AD138EE" w14:textId="571DAEC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80.1</w:t>
            </w:r>
          </w:p>
        </w:tc>
        <w:tc>
          <w:tcPr>
            <w:tcW w:w="749" w:type="dxa"/>
            <w:noWrap/>
            <w:vAlign w:val="center"/>
          </w:tcPr>
          <w:p w14:paraId="5781CF7C" w14:textId="28C7F06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69.7</w:t>
            </w:r>
          </w:p>
        </w:tc>
        <w:tc>
          <w:tcPr>
            <w:tcW w:w="749" w:type="dxa"/>
            <w:noWrap/>
            <w:vAlign w:val="center"/>
          </w:tcPr>
          <w:p w14:paraId="2A01BDC3" w14:textId="195E518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81.1</w:t>
            </w:r>
          </w:p>
        </w:tc>
        <w:tc>
          <w:tcPr>
            <w:tcW w:w="749" w:type="dxa"/>
            <w:noWrap/>
            <w:vAlign w:val="center"/>
          </w:tcPr>
          <w:p w14:paraId="1FD9A308" w14:textId="526B2F3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84.9</w:t>
            </w:r>
          </w:p>
        </w:tc>
        <w:tc>
          <w:tcPr>
            <w:tcW w:w="749" w:type="dxa"/>
            <w:noWrap/>
            <w:vAlign w:val="center"/>
          </w:tcPr>
          <w:p w14:paraId="7B501E6D" w14:textId="74FE41A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59.0</w:t>
            </w:r>
          </w:p>
        </w:tc>
        <w:tc>
          <w:tcPr>
            <w:tcW w:w="749" w:type="dxa"/>
            <w:noWrap/>
            <w:vAlign w:val="center"/>
          </w:tcPr>
          <w:p w14:paraId="4BAC4876" w14:textId="59291E6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70.0</w:t>
            </w:r>
          </w:p>
        </w:tc>
        <w:tc>
          <w:tcPr>
            <w:tcW w:w="750" w:type="dxa"/>
            <w:noWrap/>
            <w:vAlign w:val="center"/>
          </w:tcPr>
          <w:p w14:paraId="2B64C34A" w14:textId="1980FA2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74.9</w:t>
            </w:r>
          </w:p>
        </w:tc>
      </w:tr>
      <w:tr w:rsidR="00217865" w:rsidRPr="00217865" w14:paraId="0D778241" w14:textId="77777777" w:rsidTr="00CF411A">
        <w:trPr>
          <w:trHeight w:val="302"/>
        </w:trPr>
        <w:tc>
          <w:tcPr>
            <w:tcW w:w="1395" w:type="dxa"/>
            <w:noWrap/>
            <w:hideMark/>
          </w:tcPr>
          <w:p w14:paraId="729A80DE" w14:textId="77777777" w:rsidR="0026555C" w:rsidRPr="00217865" w:rsidRDefault="0026555C"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Vietnam</w:t>
            </w:r>
          </w:p>
        </w:tc>
        <w:tc>
          <w:tcPr>
            <w:tcW w:w="749" w:type="dxa"/>
            <w:noWrap/>
            <w:vAlign w:val="center"/>
          </w:tcPr>
          <w:p w14:paraId="2C4EC96C" w14:textId="0409EA7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76.4</w:t>
            </w:r>
          </w:p>
        </w:tc>
        <w:tc>
          <w:tcPr>
            <w:tcW w:w="749" w:type="dxa"/>
            <w:noWrap/>
            <w:vAlign w:val="center"/>
          </w:tcPr>
          <w:p w14:paraId="659208FA" w14:textId="0B73819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79.7</w:t>
            </w:r>
          </w:p>
        </w:tc>
        <w:tc>
          <w:tcPr>
            <w:tcW w:w="749" w:type="dxa"/>
            <w:noWrap/>
            <w:vAlign w:val="center"/>
          </w:tcPr>
          <w:p w14:paraId="2E6F495F" w14:textId="69401CF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81.6</w:t>
            </w:r>
          </w:p>
        </w:tc>
        <w:tc>
          <w:tcPr>
            <w:tcW w:w="749" w:type="dxa"/>
            <w:noWrap/>
            <w:vAlign w:val="center"/>
          </w:tcPr>
          <w:p w14:paraId="7E5E8039" w14:textId="5BA4A4D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49.3</w:t>
            </w:r>
          </w:p>
        </w:tc>
        <w:tc>
          <w:tcPr>
            <w:tcW w:w="749" w:type="dxa"/>
            <w:noWrap/>
            <w:vAlign w:val="center"/>
          </w:tcPr>
          <w:p w14:paraId="0A6A0C30" w14:textId="5653EBB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60.4</w:t>
            </w:r>
          </w:p>
        </w:tc>
        <w:tc>
          <w:tcPr>
            <w:tcW w:w="749" w:type="dxa"/>
            <w:noWrap/>
            <w:vAlign w:val="center"/>
          </w:tcPr>
          <w:p w14:paraId="21623C1F" w14:textId="6C87E7F5"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67.2</w:t>
            </w:r>
          </w:p>
        </w:tc>
        <w:tc>
          <w:tcPr>
            <w:tcW w:w="749" w:type="dxa"/>
            <w:noWrap/>
            <w:vAlign w:val="center"/>
          </w:tcPr>
          <w:p w14:paraId="50A92AF5" w14:textId="34DA9F9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76.7</w:t>
            </w:r>
          </w:p>
        </w:tc>
        <w:tc>
          <w:tcPr>
            <w:tcW w:w="749" w:type="dxa"/>
            <w:noWrap/>
            <w:vAlign w:val="center"/>
          </w:tcPr>
          <w:p w14:paraId="04E1CD9A" w14:textId="4229017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77.9</w:t>
            </w:r>
          </w:p>
        </w:tc>
        <w:tc>
          <w:tcPr>
            <w:tcW w:w="750" w:type="dxa"/>
            <w:noWrap/>
            <w:vAlign w:val="center"/>
          </w:tcPr>
          <w:p w14:paraId="65994331" w14:textId="3A298F5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81.4</w:t>
            </w:r>
          </w:p>
        </w:tc>
        <w:tc>
          <w:tcPr>
            <w:tcW w:w="749" w:type="dxa"/>
            <w:noWrap/>
            <w:vAlign w:val="center"/>
          </w:tcPr>
          <w:p w14:paraId="43B39C1F" w14:textId="676BD789"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69.2</w:t>
            </w:r>
          </w:p>
        </w:tc>
        <w:tc>
          <w:tcPr>
            <w:tcW w:w="749" w:type="dxa"/>
            <w:noWrap/>
            <w:vAlign w:val="center"/>
          </w:tcPr>
          <w:p w14:paraId="5C792BA0" w14:textId="2F389D0E"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73.5</w:t>
            </w:r>
          </w:p>
        </w:tc>
        <w:tc>
          <w:tcPr>
            <w:tcW w:w="749" w:type="dxa"/>
            <w:noWrap/>
            <w:vAlign w:val="center"/>
          </w:tcPr>
          <w:p w14:paraId="2F8B7537" w14:textId="29EDE659"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78.5</w:t>
            </w:r>
          </w:p>
        </w:tc>
        <w:tc>
          <w:tcPr>
            <w:tcW w:w="749" w:type="dxa"/>
            <w:noWrap/>
            <w:vAlign w:val="center"/>
          </w:tcPr>
          <w:p w14:paraId="141C7B87" w14:textId="26AAAA0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73.4</w:t>
            </w:r>
          </w:p>
        </w:tc>
        <w:tc>
          <w:tcPr>
            <w:tcW w:w="749" w:type="dxa"/>
            <w:noWrap/>
            <w:vAlign w:val="center"/>
          </w:tcPr>
          <w:p w14:paraId="23BB9488" w14:textId="7C493271"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80.1</w:t>
            </w:r>
          </w:p>
        </w:tc>
        <w:tc>
          <w:tcPr>
            <w:tcW w:w="749" w:type="dxa"/>
            <w:noWrap/>
            <w:vAlign w:val="center"/>
          </w:tcPr>
          <w:p w14:paraId="6E3DD881" w14:textId="1F2114D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83.7</w:t>
            </w:r>
          </w:p>
        </w:tc>
        <w:tc>
          <w:tcPr>
            <w:tcW w:w="749" w:type="dxa"/>
            <w:noWrap/>
            <w:vAlign w:val="center"/>
          </w:tcPr>
          <w:p w14:paraId="55A7C86B" w14:textId="53290BE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66.5</w:t>
            </w:r>
          </w:p>
        </w:tc>
        <w:tc>
          <w:tcPr>
            <w:tcW w:w="749" w:type="dxa"/>
            <w:noWrap/>
            <w:vAlign w:val="center"/>
          </w:tcPr>
          <w:p w14:paraId="20C09EF1" w14:textId="68BAF65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70.0</w:t>
            </w:r>
          </w:p>
        </w:tc>
        <w:tc>
          <w:tcPr>
            <w:tcW w:w="750" w:type="dxa"/>
            <w:noWrap/>
            <w:vAlign w:val="center"/>
          </w:tcPr>
          <w:p w14:paraId="189E56E0" w14:textId="678A05E8"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72.1</w:t>
            </w:r>
          </w:p>
        </w:tc>
      </w:tr>
      <w:tr w:rsidR="00217865" w:rsidRPr="00217865" w14:paraId="5B7AA247" w14:textId="77777777" w:rsidTr="00CF411A">
        <w:trPr>
          <w:trHeight w:val="494"/>
        </w:trPr>
        <w:tc>
          <w:tcPr>
            <w:tcW w:w="1395" w:type="dxa"/>
            <w:noWrap/>
            <w:hideMark/>
          </w:tcPr>
          <w:p w14:paraId="3CCCB7E7" w14:textId="77777777" w:rsidR="0026555C" w:rsidRPr="00217865" w:rsidRDefault="0026555C"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Total international</w:t>
            </w:r>
          </w:p>
        </w:tc>
        <w:tc>
          <w:tcPr>
            <w:tcW w:w="749" w:type="dxa"/>
            <w:noWrap/>
            <w:vAlign w:val="center"/>
          </w:tcPr>
          <w:p w14:paraId="14B7ECEA" w14:textId="351170FF"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77.1</w:t>
            </w:r>
          </w:p>
        </w:tc>
        <w:tc>
          <w:tcPr>
            <w:tcW w:w="749" w:type="dxa"/>
            <w:noWrap/>
            <w:vAlign w:val="center"/>
          </w:tcPr>
          <w:p w14:paraId="6F08983C" w14:textId="7928A6B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81.8</w:t>
            </w:r>
          </w:p>
        </w:tc>
        <w:tc>
          <w:tcPr>
            <w:tcW w:w="749" w:type="dxa"/>
            <w:noWrap/>
            <w:vAlign w:val="center"/>
          </w:tcPr>
          <w:p w14:paraId="37C51DB9" w14:textId="2790067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83.4</w:t>
            </w:r>
          </w:p>
        </w:tc>
        <w:tc>
          <w:tcPr>
            <w:tcW w:w="749" w:type="dxa"/>
            <w:noWrap/>
            <w:vAlign w:val="center"/>
          </w:tcPr>
          <w:p w14:paraId="201219A7" w14:textId="5B55746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48.4</w:t>
            </w:r>
          </w:p>
        </w:tc>
        <w:tc>
          <w:tcPr>
            <w:tcW w:w="749" w:type="dxa"/>
            <w:noWrap/>
            <w:vAlign w:val="center"/>
          </w:tcPr>
          <w:p w14:paraId="716ECE2B" w14:textId="786047F8"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61.5</w:t>
            </w:r>
          </w:p>
        </w:tc>
        <w:tc>
          <w:tcPr>
            <w:tcW w:w="749" w:type="dxa"/>
            <w:noWrap/>
            <w:vAlign w:val="center"/>
          </w:tcPr>
          <w:p w14:paraId="42E831CB" w14:textId="20B5F52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69.5</w:t>
            </w:r>
          </w:p>
        </w:tc>
        <w:tc>
          <w:tcPr>
            <w:tcW w:w="749" w:type="dxa"/>
            <w:noWrap/>
            <w:vAlign w:val="center"/>
          </w:tcPr>
          <w:p w14:paraId="60CB216B" w14:textId="7F8A769C"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75.9</w:t>
            </w:r>
          </w:p>
        </w:tc>
        <w:tc>
          <w:tcPr>
            <w:tcW w:w="749" w:type="dxa"/>
            <w:noWrap/>
            <w:vAlign w:val="center"/>
          </w:tcPr>
          <w:p w14:paraId="6BCDFC8E" w14:textId="7DF54DA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80.2</w:t>
            </w:r>
          </w:p>
        </w:tc>
        <w:tc>
          <w:tcPr>
            <w:tcW w:w="750" w:type="dxa"/>
            <w:noWrap/>
            <w:vAlign w:val="center"/>
          </w:tcPr>
          <w:p w14:paraId="585EC8FF" w14:textId="46B02F92"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82.5</w:t>
            </w:r>
          </w:p>
        </w:tc>
        <w:tc>
          <w:tcPr>
            <w:tcW w:w="749" w:type="dxa"/>
            <w:noWrap/>
            <w:vAlign w:val="center"/>
          </w:tcPr>
          <w:p w14:paraId="4751D0C1" w14:textId="701DC748"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70.6</w:t>
            </w:r>
          </w:p>
        </w:tc>
        <w:tc>
          <w:tcPr>
            <w:tcW w:w="749" w:type="dxa"/>
            <w:noWrap/>
            <w:vAlign w:val="center"/>
          </w:tcPr>
          <w:p w14:paraId="28C24818" w14:textId="41730DCB"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75.0</w:t>
            </w:r>
          </w:p>
        </w:tc>
        <w:tc>
          <w:tcPr>
            <w:tcW w:w="749" w:type="dxa"/>
            <w:noWrap/>
            <w:vAlign w:val="center"/>
          </w:tcPr>
          <w:p w14:paraId="40547B3D" w14:textId="75E4E94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78.1</w:t>
            </w:r>
          </w:p>
        </w:tc>
        <w:tc>
          <w:tcPr>
            <w:tcW w:w="749" w:type="dxa"/>
            <w:noWrap/>
            <w:vAlign w:val="center"/>
          </w:tcPr>
          <w:p w14:paraId="0408A7AF" w14:textId="69D736E4"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73.9</w:t>
            </w:r>
          </w:p>
        </w:tc>
        <w:tc>
          <w:tcPr>
            <w:tcW w:w="749" w:type="dxa"/>
            <w:noWrap/>
            <w:vAlign w:val="center"/>
          </w:tcPr>
          <w:p w14:paraId="5B1593DA" w14:textId="0061B5DA"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83.8</w:t>
            </w:r>
          </w:p>
        </w:tc>
        <w:tc>
          <w:tcPr>
            <w:tcW w:w="749" w:type="dxa"/>
            <w:noWrap/>
            <w:vAlign w:val="center"/>
          </w:tcPr>
          <w:p w14:paraId="65D603A2" w14:textId="3F8A2AB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84.5</w:t>
            </w:r>
          </w:p>
        </w:tc>
        <w:tc>
          <w:tcPr>
            <w:tcW w:w="749" w:type="dxa"/>
            <w:noWrap/>
            <w:vAlign w:val="center"/>
          </w:tcPr>
          <w:p w14:paraId="5E565E34" w14:textId="32946826"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D935A2">
              <w:rPr>
                <w:rFonts w:ascii="Arial" w:hAnsi="Arial" w:cs="Arial"/>
                <w:color w:val="000000" w:themeColor="text1"/>
                <w:sz w:val="18"/>
                <w:szCs w:val="18"/>
              </w:rPr>
              <w:t>67.2</w:t>
            </w:r>
          </w:p>
        </w:tc>
        <w:tc>
          <w:tcPr>
            <w:tcW w:w="749" w:type="dxa"/>
            <w:noWrap/>
            <w:vAlign w:val="center"/>
          </w:tcPr>
          <w:p w14:paraId="3268D080" w14:textId="026C433D"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74.4</w:t>
            </w:r>
          </w:p>
        </w:tc>
        <w:tc>
          <w:tcPr>
            <w:tcW w:w="750" w:type="dxa"/>
            <w:noWrap/>
            <w:vAlign w:val="center"/>
          </w:tcPr>
          <w:p w14:paraId="7A138FA5" w14:textId="0E5C2EF0" w:rsidR="0026555C" w:rsidRPr="00217865" w:rsidRDefault="0026555C" w:rsidP="00CF411A">
            <w:pPr>
              <w:pStyle w:val="Footertable"/>
              <w:spacing w:before="60" w:after="60"/>
              <w:jc w:val="center"/>
              <w:rPr>
                <w:rFonts w:ascii="Arial" w:hAnsi="Arial" w:cs="Arial"/>
                <w:color w:val="000000" w:themeColor="text1"/>
                <w:sz w:val="18"/>
                <w:szCs w:val="18"/>
              </w:rPr>
            </w:pPr>
            <w:r w:rsidRPr="00217865" w:rsidDel="00FA3C0B">
              <w:rPr>
                <w:rFonts w:ascii="Arial" w:hAnsi="Arial" w:cs="Arial"/>
                <w:color w:val="000000" w:themeColor="text1"/>
                <w:sz w:val="18"/>
                <w:szCs w:val="18"/>
              </w:rPr>
              <w:t>75.8</w:t>
            </w:r>
          </w:p>
        </w:tc>
      </w:tr>
    </w:tbl>
    <w:p w14:paraId="48A55F84" w14:textId="506D9AC0" w:rsidR="00D73532" w:rsidRPr="00217865" w:rsidRDefault="00D73532" w:rsidP="00D753F4">
      <w:pPr>
        <w:pStyle w:val="Z"/>
        <w:spacing w:before="120"/>
        <w:rPr>
          <w:color w:val="000000" w:themeColor="text1"/>
          <w:szCs w:val="18"/>
        </w:rPr>
      </w:pPr>
      <w:r w:rsidRPr="00217865">
        <w:rPr>
          <w:color w:val="000000" w:themeColor="text1"/>
          <w:szCs w:val="18"/>
        </w:rPr>
        <w:t>Note that prior to 2023, the Peer Engagement focus area was named Learner Engagement and Student Support and Services, was previously the Student Support focus area. This table should be used to compare the cohort responses but year on year comparisons between 2022 and 2023 treated with caution.</w:t>
      </w:r>
    </w:p>
    <w:p w14:paraId="0AB06905" w14:textId="07004E9E" w:rsidR="00821227" w:rsidRPr="00217865" w:rsidRDefault="00D73532" w:rsidP="00452008">
      <w:pPr>
        <w:spacing w:before="120"/>
        <w:rPr>
          <w:rFonts w:cs="Arial"/>
          <w:color w:val="000000" w:themeColor="text1"/>
          <w:sz w:val="18"/>
          <w:szCs w:val="16"/>
        </w:rPr>
      </w:pPr>
      <w:r w:rsidRPr="00217865">
        <w:rPr>
          <w:rFonts w:cs="Arial"/>
          <w:color w:val="000000" w:themeColor="text1"/>
          <w:sz w:val="18"/>
          <w:szCs w:val="16"/>
        </w:rPr>
        <w:t>Table</w:t>
      </w:r>
      <w:r w:rsidR="00094E4B" w:rsidRPr="00217865">
        <w:rPr>
          <w:rFonts w:cs="Arial"/>
          <w:color w:val="000000" w:themeColor="text1"/>
          <w:sz w:val="18"/>
          <w:szCs w:val="16"/>
        </w:rPr>
        <w:t xml:space="preserve"> </w:t>
      </w:r>
      <w:r w:rsidRPr="00217865">
        <w:rPr>
          <w:rFonts w:cs="Arial"/>
          <w:color w:val="000000" w:themeColor="text1"/>
          <w:sz w:val="18"/>
          <w:szCs w:val="16"/>
        </w:rPr>
        <w:t xml:space="preserve">includes top five source countries in 2023, in order of highest to lowest numbers of responses. Total includes all </w:t>
      </w:r>
      <w:r w:rsidR="00145D49" w:rsidRPr="00217865">
        <w:rPr>
          <w:rFonts w:cs="Arial"/>
          <w:color w:val="000000" w:themeColor="text1"/>
          <w:sz w:val="18"/>
          <w:szCs w:val="16"/>
        </w:rPr>
        <w:t xml:space="preserve">source </w:t>
      </w:r>
      <w:r w:rsidRPr="00217865">
        <w:rPr>
          <w:rFonts w:cs="Arial"/>
          <w:color w:val="000000" w:themeColor="text1"/>
          <w:sz w:val="18"/>
          <w:szCs w:val="16"/>
        </w:rPr>
        <w:t>countries.</w:t>
      </w:r>
    </w:p>
    <w:p w14:paraId="647154A9" w14:textId="36526E30" w:rsidR="00D73532" w:rsidRPr="00217865" w:rsidRDefault="00D73532" w:rsidP="0081215D">
      <w:pPr>
        <w:pStyle w:val="TableHead-L1-LEFTalign"/>
      </w:pPr>
      <w:bookmarkStart w:id="37" w:name="_Toc178599369"/>
      <w:r w:rsidRPr="00217865">
        <w:t xml:space="preserve">Table </w:t>
      </w:r>
      <w:r w:rsidR="005D5678">
        <w:fldChar w:fldCharType="begin"/>
      </w:r>
      <w:r w:rsidR="005D5678">
        <w:instrText xml:space="preserve"> SEQ Table \* ARABIC </w:instrText>
      </w:r>
      <w:r w:rsidR="005D5678">
        <w:fldChar w:fldCharType="separate"/>
      </w:r>
      <w:r w:rsidR="005D5678">
        <w:rPr>
          <w:noProof/>
        </w:rPr>
        <w:t>4</w:t>
      </w:r>
      <w:r w:rsidR="005D5678">
        <w:rPr>
          <w:noProof/>
        </w:rPr>
        <w:fldChar w:fldCharType="end"/>
      </w:r>
      <w:r w:rsidR="0081215D">
        <w:tab/>
      </w:r>
      <w:r w:rsidRPr="00217865">
        <w:t>International postgraduate coursework student education experience by source country, 2021-2023 (% positive rating)</w:t>
      </w:r>
      <w:bookmarkEnd w:id="37"/>
    </w:p>
    <w:tbl>
      <w:tblPr>
        <w:tblW w:w="14879" w:type="dxa"/>
        <w:tblLayout w:type="fixed"/>
        <w:tblLook w:val="04A0" w:firstRow="1" w:lastRow="0" w:firstColumn="1" w:lastColumn="0" w:noHBand="0" w:noVBand="1"/>
      </w:tblPr>
      <w:tblGrid>
        <w:gridCol w:w="1395"/>
        <w:gridCol w:w="749"/>
        <w:gridCol w:w="749"/>
        <w:gridCol w:w="749"/>
        <w:gridCol w:w="749"/>
        <w:gridCol w:w="749"/>
        <w:gridCol w:w="749"/>
        <w:gridCol w:w="749"/>
        <w:gridCol w:w="749"/>
        <w:gridCol w:w="750"/>
        <w:gridCol w:w="749"/>
        <w:gridCol w:w="749"/>
        <w:gridCol w:w="749"/>
        <w:gridCol w:w="749"/>
        <w:gridCol w:w="749"/>
        <w:gridCol w:w="749"/>
        <w:gridCol w:w="749"/>
        <w:gridCol w:w="749"/>
        <w:gridCol w:w="750"/>
      </w:tblGrid>
      <w:tr w:rsidR="00586F7D" w:rsidRPr="00217865" w14:paraId="5E7E4C71" w14:textId="77777777" w:rsidTr="007A503F">
        <w:trPr>
          <w:trHeight w:val="302"/>
          <w:tblHeader/>
        </w:trPr>
        <w:tc>
          <w:tcPr>
            <w:tcW w:w="1395" w:type="dxa"/>
            <w:tcBorders>
              <w:top w:val="single" w:sz="4" w:space="0" w:color="auto"/>
              <w:left w:val="single" w:sz="4" w:space="0" w:color="auto"/>
              <w:bottom w:val="single" w:sz="4" w:space="0" w:color="auto"/>
              <w:right w:val="single" w:sz="4" w:space="0" w:color="auto"/>
            </w:tcBorders>
            <w:noWrap/>
            <w:vAlign w:val="bottom"/>
            <w:hideMark/>
          </w:tcPr>
          <w:p w14:paraId="0F2E5E05" w14:textId="7E362C28" w:rsidR="00586F7D" w:rsidRPr="00217865" w:rsidRDefault="00586F7D" w:rsidP="00586F7D">
            <w:pPr>
              <w:pStyle w:val="Footertable"/>
              <w:spacing w:before="60" w:after="60"/>
              <w:rPr>
                <w:rFonts w:ascii="Arial" w:hAnsi="Arial" w:cs="Arial"/>
                <w:b/>
                <w:bCs/>
                <w:color w:val="000000" w:themeColor="text1"/>
                <w:sz w:val="18"/>
                <w:szCs w:val="18"/>
              </w:rPr>
            </w:pPr>
            <w:r w:rsidRPr="00217865">
              <w:rPr>
                <w:rFonts w:ascii="Arial" w:hAnsi="Arial" w:cs="Arial"/>
                <w:b/>
                <w:bCs/>
                <w:color w:val="000000" w:themeColor="text1"/>
                <w:sz w:val="18"/>
                <w:szCs w:val="18"/>
              </w:rPr>
              <w:t>Source</w:t>
            </w:r>
            <w:bookmarkStart w:id="38" w:name="Title_4"/>
            <w:bookmarkEnd w:id="38"/>
            <w:r w:rsidRPr="00217865">
              <w:rPr>
                <w:rFonts w:ascii="Arial" w:hAnsi="Arial" w:cs="Arial"/>
                <w:b/>
                <w:bCs/>
                <w:color w:val="000000" w:themeColor="text1"/>
                <w:sz w:val="18"/>
                <w:szCs w:val="18"/>
              </w:rPr>
              <w:t xml:space="preserve"> country</w:t>
            </w:r>
          </w:p>
        </w:tc>
        <w:tc>
          <w:tcPr>
            <w:tcW w:w="749" w:type="dxa"/>
            <w:tcBorders>
              <w:top w:val="single" w:sz="4" w:space="0" w:color="auto"/>
              <w:left w:val="nil"/>
              <w:bottom w:val="single" w:sz="4" w:space="0" w:color="auto"/>
              <w:right w:val="single" w:sz="4" w:space="0" w:color="auto"/>
            </w:tcBorders>
            <w:noWrap/>
            <w:vAlign w:val="bottom"/>
            <w:hideMark/>
          </w:tcPr>
          <w:p w14:paraId="00D9976C" w14:textId="07F76AC4"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Skills Development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3692C727" w14:textId="37D0B232"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Skills Development </w:t>
            </w:r>
            <w:r w:rsidRPr="00CF411A">
              <w:rPr>
                <w:rFonts w:ascii="Arial" w:hAnsi="Arial" w:cs="Arial"/>
                <w:b/>
                <w:color w:val="000000" w:themeColor="text1"/>
                <w:sz w:val="18"/>
                <w:szCs w:val="18"/>
              </w:rPr>
              <w:t>2022</w:t>
            </w:r>
          </w:p>
        </w:tc>
        <w:tc>
          <w:tcPr>
            <w:tcW w:w="749" w:type="dxa"/>
            <w:tcBorders>
              <w:top w:val="single" w:sz="4" w:space="0" w:color="auto"/>
              <w:left w:val="nil"/>
              <w:bottom w:val="single" w:sz="4" w:space="0" w:color="auto"/>
              <w:right w:val="single" w:sz="4" w:space="0" w:color="auto"/>
            </w:tcBorders>
            <w:noWrap/>
            <w:vAlign w:val="bottom"/>
            <w:hideMark/>
          </w:tcPr>
          <w:p w14:paraId="37EEF07F" w14:textId="292E8467"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Skills Development </w:t>
            </w:r>
            <w:r w:rsidRPr="00CF411A">
              <w:rPr>
                <w:rFonts w:ascii="Arial" w:hAnsi="Arial" w:cs="Arial"/>
                <w:b/>
                <w:color w:val="000000" w:themeColor="text1"/>
                <w:sz w:val="18"/>
                <w:szCs w:val="18"/>
              </w:rPr>
              <w:t>2023</w:t>
            </w:r>
          </w:p>
        </w:tc>
        <w:tc>
          <w:tcPr>
            <w:tcW w:w="749" w:type="dxa"/>
            <w:tcBorders>
              <w:top w:val="single" w:sz="4" w:space="0" w:color="auto"/>
              <w:left w:val="nil"/>
              <w:bottom w:val="single" w:sz="4" w:space="0" w:color="auto"/>
              <w:right w:val="single" w:sz="4" w:space="0" w:color="auto"/>
            </w:tcBorders>
            <w:noWrap/>
            <w:vAlign w:val="bottom"/>
            <w:hideMark/>
          </w:tcPr>
          <w:p w14:paraId="648D0875" w14:textId="4BD190D4"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Peer Engagement*</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118A65EB" w14:textId="46C86F37"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Peer Engagement*</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2022</w:t>
            </w:r>
          </w:p>
        </w:tc>
        <w:tc>
          <w:tcPr>
            <w:tcW w:w="749" w:type="dxa"/>
            <w:tcBorders>
              <w:top w:val="single" w:sz="4" w:space="0" w:color="auto"/>
              <w:left w:val="nil"/>
              <w:bottom w:val="single" w:sz="4" w:space="0" w:color="auto"/>
              <w:right w:val="single" w:sz="4" w:space="0" w:color="auto"/>
            </w:tcBorders>
            <w:noWrap/>
            <w:vAlign w:val="bottom"/>
            <w:hideMark/>
          </w:tcPr>
          <w:p w14:paraId="0574B40D" w14:textId="7301BB68"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Peer Engagement*</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2023</w:t>
            </w:r>
          </w:p>
        </w:tc>
        <w:tc>
          <w:tcPr>
            <w:tcW w:w="749" w:type="dxa"/>
            <w:tcBorders>
              <w:top w:val="single" w:sz="4" w:space="0" w:color="auto"/>
              <w:left w:val="nil"/>
              <w:bottom w:val="single" w:sz="4" w:space="0" w:color="auto"/>
              <w:right w:val="single" w:sz="4" w:space="0" w:color="auto"/>
            </w:tcBorders>
            <w:noWrap/>
            <w:vAlign w:val="bottom"/>
            <w:hideMark/>
          </w:tcPr>
          <w:p w14:paraId="692C1BBB" w14:textId="46BC7BBB"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Teaching Quality and Engagement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5C30B9EF" w14:textId="0047EF57"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Teaching Quality and Engagement </w:t>
            </w:r>
            <w:r w:rsidRPr="00CF411A">
              <w:rPr>
                <w:rFonts w:ascii="Arial" w:hAnsi="Arial" w:cs="Arial"/>
                <w:b/>
                <w:color w:val="000000" w:themeColor="text1"/>
                <w:sz w:val="18"/>
                <w:szCs w:val="18"/>
              </w:rPr>
              <w:t>2022</w:t>
            </w:r>
          </w:p>
        </w:tc>
        <w:tc>
          <w:tcPr>
            <w:tcW w:w="750" w:type="dxa"/>
            <w:tcBorders>
              <w:top w:val="single" w:sz="4" w:space="0" w:color="auto"/>
              <w:left w:val="nil"/>
              <w:bottom w:val="single" w:sz="4" w:space="0" w:color="auto"/>
              <w:right w:val="single" w:sz="4" w:space="0" w:color="auto"/>
            </w:tcBorders>
            <w:noWrap/>
            <w:vAlign w:val="bottom"/>
            <w:hideMark/>
          </w:tcPr>
          <w:p w14:paraId="545A0055" w14:textId="67320C28" w:rsidR="00586F7D" w:rsidRPr="00217865" w:rsidRDefault="00586F7D" w:rsidP="00586F7D">
            <w:pPr>
              <w:pStyle w:val="Footertable"/>
              <w:spacing w:before="60" w:after="60"/>
              <w:jc w:val="center"/>
              <w:rPr>
                <w:rFonts w:ascii="Arial" w:hAnsi="Arial" w:cs="Arial"/>
                <w:b/>
                <w:bCs/>
                <w:color w:val="000000" w:themeColor="text1"/>
                <w:sz w:val="18"/>
                <w:szCs w:val="18"/>
                <w:highlight w:val="yellow"/>
              </w:rPr>
            </w:pPr>
            <w:r w:rsidRPr="00217865">
              <w:rPr>
                <w:rFonts w:ascii="Arial" w:hAnsi="Arial" w:cs="Arial"/>
                <w:b/>
                <w:bCs/>
                <w:color w:val="000000" w:themeColor="text1"/>
                <w:sz w:val="18"/>
                <w:szCs w:val="18"/>
              </w:rPr>
              <w:t xml:space="preserve">Teaching Quality and Engagement </w:t>
            </w:r>
            <w:r w:rsidRPr="00CF411A">
              <w:rPr>
                <w:rFonts w:ascii="Arial" w:hAnsi="Arial" w:cs="Arial"/>
                <w:b/>
                <w:color w:val="000000" w:themeColor="text1"/>
                <w:sz w:val="18"/>
                <w:szCs w:val="18"/>
              </w:rPr>
              <w:t>2023</w:t>
            </w:r>
          </w:p>
        </w:tc>
        <w:tc>
          <w:tcPr>
            <w:tcW w:w="749" w:type="dxa"/>
            <w:tcBorders>
              <w:top w:val="single" w:sz="4" w:space="0" w:color="auto"/>
              <w:left w:val="nil"/>
              <w:bottom w:val="single" w:sz="4" w:space="0" w:color="auto"/>
              <w:right w:val="single" w:sz="4" w:space="0" w:color="auto"/>
            </w:tcBorders>
            <w:noWrap/>
            <w:vAlign w:val="bottom"/>
            <w:hideMark/>
          </w:tcPr>
          <w:p w14:paraId="1BCB960C" w14:textId="2FCB1165"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Student Support and Services*</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6C4803AD" w14:textId="37EB6F0B"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Student Support and Services*</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2022</w:t>
            </w:r>
          </w:p>
        </w:tc>
        <w:tc>
          <w:tcPr>
            <w:tcW w:w="749" w:type="dxa"/>
            <w:tcBorders>
              <w:top w:val="single" w:sz="4" w:space="0" w:color="auto"/>
              <w:left w:val="nil"/>
              <w:bottom w:val="single" w:sz="4" w:space="0" w:color="auto"/>
              <w:right w:val="single" w:sz="4" w:space="0" w:color="auto"/>
            </w:tcBorders>
            <w:noWrap/>
            <w:vAlign w:val="bottom"/>
            <w:hideMark/>
          </w:tcPr>
          <w:p w14:paraId="21C20254" w14:textId="1E0A2515" w:rsidR="00586F7D" w:rsidRPr="00217865" w:rsidRDefault="00586F7D" w:rsidP="00586F7D">
            <w:pPr>
              <w:pStyle w:val="Footertable"/>
              <w:spacing w:before="60" w:after="60"/>
              <w:jc w:val="center"/>
              <w:rPr>
                <w:rFonts w:ascii="Arial" w:hAnsi="Arial" w:cs="Arial"/>
                <w:b/>
                <w:bCs/>
                <w:color w:val="000000" w:themeColor="text1"/>
                <w:sz w:val="18"/>
                <w:szCs w:val="18"/>
                <w:highlight w:val="yellow"/>
              </w:rPr>
            </w:pPr>
            <w:r w:rsidRPr="00217865">
              <w:rPr>
                <w:rFonts w:ascii="Arial" w:hAnsi="Arial" w:cs="Arial"/>
                <w:b/>
                <w:bCs/>
                <w:color w:val="000000" w:themeColor="text1"/>
                <w:sz w:val="18"/>
                <w:szCs w:val="18"/>
              </w:rPr>
              <w:t>Student Support and Services*</w:t>
            </w:r>
            <w:r>
              <w:rPr>
                <w:rFonts w:ascii="Arial" w:hAnsi="Arial" w:cs="Arial"/>
                <w:b/>
                <w:bCs/>
                <w:color w:val="000000" w:themeColor="text1"/>
                <w:sz w:val="18"/>
                <w:szCs w:val="18"/>
              </w:rPr>
              <w:t xml:space="preserve"> </w:t>
            </w:r>
            <w:r w:rsidRPr="00CF411A">
              <w:rPr>
                <w:rFonts w:ascii="Arial" w:hAnsi="Arial" w:cs="Arial"/>
                <w:b/>
                <w:color w:val="000000" w:themeColor="text1"/>
                <w:sz w:val="18"/>
                <w:szCs w:val="18"/>
              </w:rPr>
              <w:t>2023</w:t>
            </w:r>
          </w:p>
        </w:tc>
        <w:tc>
          <w:tcPr>
            <w:tcW w:w="749" w:type="dxa"/>
            <w:tcBorders>
              <w:top w:val="single" w:sz="4" w:space="0" w:color="auto"/>
              <w:left w:val="nil"/>
              <w:bottom w:val="single" w:sz="4" w:space="0" w:color="auto"/>
              <w:right w:val="single" w:sz="4" w:space="0" w:color="auto"/>
            </w:tcBorders>
            <w:noWrap/>
            <w:vAlign w:val="bottom"/>
            <w:hideMark/>
          </w:tcPr>
          <w:p w14:paraId="2AE01B5F" w14:textId="7C0834AC"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Learning Resources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7286D098" w14:textId="7331793E"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Learning Resources </w:t>
            </w:r>
            <w:r w:rsidRPr="00CF411A">
              <w:rPr>
                <w:rFonts w:ascii="Arial" w:hAnsi="Arial" w:cs="Arial"/>
                <w:b/>
                <w:color w:val="000000" w:themeColor="text1"/>
                <w:sz w:val="18"/>
                <w:szCs w:val="18"/>
              </w:rPr>
              <w:t>2022</w:t>
            </w:r>
          </w:p>
        </w:tc>
        <w:tc>
          <w:tcPr>
            <w:tcW w:w="749" w:type="dxa"/>
            <w:tcBorders>
              <w:top w:val="single" w:sz="4" w:space="0" w:color="auto"/>
              <w:left w:val="nil"/>
              <w:bottom w:val="single" w:sz="4" w:space="0" w:color="auto"/>
              <w:right w:val="single" w:sz="4" w:space="0" w:color="auto"/>
            </w:tcBorders>
            <w:noWrap/>
            <w:vAlign w:val="bottom"/>
            <w:hideMark/>
          </w:tcPr>
          <w:p w14:paraId="38FD4331" w14:textId="7C17E607" w:rsidR="00586F7D" w:rsidRPr="00217865" w:rsidRDefault="00586F7D" w:rsidP="00586F7D">
            <w:pPr>
              <w:pStyle w:val="Footertable"/>
              <w:spacing w:before="60" w:after="60"/>
              <w:jc w:val="center"/>
              <w:rPr>
                <w:rFonts w:ascii="Arial" w:hAnsi="Arial" w:cs="Arial"/>
                <w:b/>
                <w:bCs/>
                <w:color w:val="000000" w:themeColor="text1"/>
                <w:sz w:val="18"/>
                <w:szCs w:val="18"/>
                <w:highlight w:val="yellow"/>
              </w:rPr>
            </w:pPr>
            <w:r w:rsidRPr="00217865">
              <w:rPr>
                <w:rFonts w:ascii="Arial" w:hAnsi="Arial" w:cs="Arial"/>
                <w:b/>
                <w:bCs/>
                <w:color w:val="000000" w:themeColor="text1"/>
                <w:sz w:val="18"/>
                <w:szCs w:val="18"/>
              </w:rPr>
              <w:t xml:space="preserve">Learning Resources </w:t>
            </w:r>
            <w:r w:rsidRPr="00CF411A">
              <w:rPr>
                <w:rFonts w:ascii="Arial" w:hAnsi="Arial" w:cs="Arial"/>
                <w:b/>
                <w:color w:val="000000" w:themeColor="text1"/>
                <w:sz w:val="18"/>
                <w:szCs w:val="18"/>
              </w:rPr>
              <w:t>2023</w:t>
            </w:r>
          </w:p>
        </w:tc>
        <w:tc>
          <w:tcPr>
            <w:tcW w:w="749" w:type="dxa"/>
            <w:tcBorders>
              <w:top w:val="single" w:sz="4" w:space="0" w:color="auto"/>
              <w:left w:val="nil"/>
              <w:bottom w:val="single" w:sz="4" w:space="0" w:color="auto"/>
              <w:right w:val="single" w:sz="4" w:space="0" w:color="auto"/>
            </w:tcBorders>
            <w:noWrap/>
            <w:vAlign w:val="bottom"/>
            <w:hideMark/>
          </w:tcPr>
          <w:p w14:paraId="67077EE6" w14:textId="349A2C2B"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Quality of entire educational experience </w:t>
            </w:r>
            <w:r w:rsidRPr="00CF411A">
              <w:rPr>
                <w:rFonts w:ascii="Arial" w:hAnsi="Arial" w:cs="Arial"/>
                <w:b/>
                <w:color w:val="000000" w:themeColor="text1"/>
                <w:sz w:val="18"/>
                <w:szCs w:val="18"/>
              </w:rPr>
              <w:t>2021</w:t>
            </w:r>
          </w:p>
        </w:tc>
        <w:tc>
          <w:tcPr>
            <w:tcW w:w="749" w:type="dxa"/>
            <w:tcBorders>
              <w:top w:val="single" w:sz="4" w:space="0" w:color="auto"/>
              <w:left w:val="nil"/>
              <w:bottom w:val="single" w:sz="4" w:space="0" w:color="auto"/>
              <w:right w:val="single" w:sz="4" w:space="0" w:color="auto"/>
            </w:tcBorders>
            <w:noWrap/>
            <w:vAlign w:val="bottom"/>
            <w:hideMark/>
          </w:tcPr>
          <w:p w14:paraId="259C1E10" w14:textId="41A5ED38" w:rsidR="00586F7D" w:rsidRPr="00217865" w:rsidRDefault="00586F7D" w:rsidP="00586F7D">
            <w:pPr>
              <w:pStyle w:val="Footertable"/>
              <w:spacing w:before="60" w:after="60"/>
              <w:jc w:val="center"/>
              <w:rPr>
                <w:rFonts w:ascii="Arial" w:hAnsi="Arial" w:cs="Arial"/>
                <w:b/>
                <w:bCs/>
                <w:color w:val="000000" w:themeColor="text1"/>
                <w:sz w:val="18"/>
                <w:szCs w:val="18"/>
              </w:rPr>
            </w:pPr>
            <w:r w:rsidRPr="00217865">
              <w:rPr>
                <w:rFonts w:ascii="Arial" w:hAnsi="Arial" w:cs="Arial"/>
                <w:b/>
                <w:bCs/>
                <w:color w:val="000000" w:themeColor="text1"/>
                <w:sz w:val="18"/>
                <w:szCs w:val="18"/>
              </w:rPr>
              <w:t xml:space="preserve">Quality of entire educational experience </w:t>
            </w:r>
            <w:r w:rsidRPr="00CF411A">
              <w:rPr>
                <w:rFonts w:ascii="Arial" w:hAnsi="Arial" w:cs="Arial"/>
                <w:b/>
                <w:color w:val="000000" w:themeColor="text1"/>
                <w:sz w:val="18"/>
                <w:szCs w:val="18"/>
              </w:rPr>
              <w:t>2022</w:t>
            </w:r>
          </w:p>
        </w:tc>
        <w:tc>
          <w:tcPr>
            <w:tcW w:w="750" w:type="dxa"/>
            <w:tcBorders>
              <w:top w:val="single" w:sz="4" w:space="0" w:color="auto"/>
              <w:left w:val="nil"/>
              <w:bottom w:val="single" w:sz="4" w:space="0" w:color="auto"/>
              <w:right w:val="single" w:sz="4" w:space="0" w:color="auto"/>
            </w:tcBorders>
            <w:noWrap/>
            <w:vAlign w:val="bottom"/>
            <w:hideMark/>
          </w:tcPr>
          <w:p w14:paraId="713A23DA" w14:textId="7975BE44" w:rsidR="00586F7D" w:rsidRPr="00217865" w:rsidRDefault="00586F7D" w:rsidP="00586F7D">
            <w:pPr>
              <w:pStyle w:val="Footertable"/>
              <w:spacing w:before="60" w:after="60"/>
              <w:jc w:val="center"/>
              <w:rPr>
                <w:rFonts w:ascii="Arial" w:hAnsi="Arial" w:cs="Arial"/>
                <w:b/>
                <w:bCs/>
                <w:color w:val="000000" w:themeColor="text1"/>
                <w:sz w:val="18"/>
                <w:szCs w:val="18"/>
                <w:highlight w:val="yellow"/>
              </w:rPr>
            </w:pPr>
            <w:r w:rsidRPr="00217865">
              <w:rPr>
                <w:rFonts w:ascii="Arial" w:hAnsi="Arial" w:cs="Arial"/>
                <w:b/>
                <w:bCs/>
                <w:color w:val="000000" w:themeColor="text1"/>
                <w:sz w:val="18"/>
                <w:szCs w:val="18"/>
              </w:rPr>
              <w:t xml:space="preserve">Quality of entire educational experience </w:t>
            </w:r>
            <w:r w:rsidRPr="00CF411A">
              <w:rPr>
                <w:rFonts w:ascii="Arial" w:hAnsi="Arial" w:cs="Arial"/>
                <w:b/>
                <w:color w:val="000000" w:themeColor="text1"/>
                <w:sz w:val="18"/>
                <w:szCs w:val="18"/>
              </w:rPr>
              <w:t>2023</w:t>
            </w:r>
          </w:p>
        </w:tc>
      </w:tr>
      <w:tr w:rsidR="00217865" w:rsidRPr="00217865" w14:paraId="16B7E8C8" w14:textId="77777777" w:rsidTr="007A503F">
        <w:trPr>
          <w:trHeight w:val="302"/>
        </w:trPr>
        <w:tc>
          <w:tcPr>
            <w:tcW w:w="1395" w:type="dxa"/>
            <w:tcBorders>
              <w:top w:val="nil"/>
              <w:left w:val="single" w:sz="4" w:space="0" w:color="auto"/>
              <w:bottom w:val="single" w:sz="4" w:space="0" w:color="auto"/>
              <w:right w:val="single" w:sz="4" w:space="0" w:color="auto"/>
            </w:tcBorders>
            <w:noWrap/>
            <w:vAlign w:val="center"/>
            <w:hideMark/>
          </w:tcPr>
          <w:p w14:paraId="2E477AC5" w14:textId="0D632B45" w:rsidR="00145D49" w:rsidRPr="00217865" w:rsidRDefault="003A0943" w:rsidP="007301B9">
            <w:pPr>
              <w:pStyle w:val="Footertable"/>
              <w:spacing w:before="60" w:after="60"/>
              <w:rPr>
                <w:rFonts w:ascii="Arial" w:hAnsi="Arial" w:cs="Arial"/>
                <w:color w:val="000000" w:themeColor="text1"/>
                <w:sz w:val="18"/>
                <w:szCs w:val="18"/>
              </w:rPr>
            </w:pPr>
            <w:r>
              <w:rPr>
                <w:rFonts w:ascii="Arial" w:hAnsi="Arial" w:cs="Arial"/>
                <w:color w:val="000000" w:themeColor="text1"/>
                <w:sz w:val="18"/>
                <w:szCs w:val="18"/>
              </w:rPr>
              <w:t>China (excludes SARs and Taiwan)</w:t>
            </w:r>
          </w:p>
        </w:tc>
        <w:tc>
          <w:tcPr>
            <w:tcW w:w="749" w:type="dxa"/>
            <w:tcBorders>
              <w:top w:val="nil"/>
              <w:left w:val="nil"/>
              <w:bottom w:val="single" w:sz="4" w:space="0" w:color="auto"/>
              <w:right w:val="single" w:sz="4" w:space="0" w:color="auto"/>
            </w:tcBorders>
            <w:noWrap/>
            <w:vAlign w:val="center"/>
          </w:tcPr>
          <w:p w14:paraId="073DAABE" w14:textId="42F3365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75.4</w:t>
            </w:r>
          </w:p>
        </w:tc>
        <w:tc>
          <w:tcPr>
            <w:tcW w:w="749" w:type="dxa"/>
            <w:tcBorders>
              <w:top w:val="nil"/>
              <w:left w:val="nil"/>
              <w:bottom w:val="single" w:sz="4" w:space="0" w:color="auto"/>
              <w:right w:val="single" w:sz="4" w:space="0" w:color="auto"/>
            </w:tcBorders>
            <w:noWrap/>
            <w:vAlign w:val="center"/>
          </w:tcPr>
          <w:p w14:paraId="63CBDFF6" w14:textId="72C66A1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81.5</w:t>
            </w:r>
          </w:p>
        </w:tc>
        <w:tc>
          <w:tcPr>
            <w:tcW w:w="749" w:type="dxa"/>
            <w:tcBorders>
              <w:top w:val="nil"/>
              <w:left w:val="nil"/>
              <w:bottom w:val="single" w:sz="4" w:space="0" w:color="auto"/>
              <w:right w:val="single" w:sz="4" w:space="0" w:color="auto"/>
            </w:tcBorders>
            <w:noWrap/>
            <w:vAlign w:val="center"/>
          </w:tcPr>
          <w:p w14:paraId="1F5BCF43" w14:textId="1E888C8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80.7</w:t>
            </w:r>
          </w:p>
        </w:tc>
        <w:tc>
          <w:tcPr>
            <w:tcW w:w="749" w:type="dxa"/>
            <w:tcBorders>
              <w:top w:val="nil"/>
              <w:left w:val="nil"/>
              <w:bottom w:val="single" w:sz="4" w:space="0" w:color="auto"/>
              <w:right w:val="single" w:sz="4" w:space="0" w:color="auto"/>
            </w:tcBorders>
            <w:noWrap/>
            <w:vAlign w:val="center"/>
          </w:tcPr>
          <w:p w14:paraId="202B1096" w14:textId="05E4AC2B"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41.4</w:t>
            </w:r>
          </w:p>
        </w:tc>
        <w:tc>
          <w:tcPr>
            <w:tcW w:w="749" w:type="dxa"/>
            <w:tcBorders>
              <w:top w:val="nil"/>
              <w:left w:val="nil"/>
              <w:bottom w:val="single" w:sz="4" w:space="0" w:color="auto"/>
              <w:right w:val="single" w:sz="4" w:space="0" w:color="auto"/>
            </w:tcBorders>
            <w:noWrap/>
            <w:vAlign w:val="center"/>
          </w:tcPr>
          <w:p w14:paraId="2F281CC4" w14:textId="30AD963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58.7</w:t>
            </w:r>
          </w:p>
        </w:tc>
        <w:tc>
          <w:tcPr>
            <w:tcW w:w="749" w:type="dxa"/>
            <w:tcBorders>
              <w:top w:val="nil"/>
              <w:left w:val="nil"/>
              <w:bottom w:val="single" w:sz="4" w:space="0" w:color="auto"/>
              <w:right w:val="single" w:sz="4" w:space="0" w:color="auto"/>
            </w:tcBorders>
            <w:noWrap/>
            <w:vAlign w:val="center"/>
          </w:tcPr>
          <w:p w14:paraId="30E44F9D" w14:textId="0E69408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67.6</w:t>
            </w:r>
          </w:p>
        </w:tc>
        <w:tc>
          <w:tcPr>
            <w:tcW w:w="749" w:type="dxa"/>
            <w:tcBorders>
              <w:top w:val="nil"/>
              <w:left w:val="nil"/>
              <w:bottom w:val="single" w:sz="4" w:space="0" w:color="auto"/>
              <w:right w:val="single" w:sz="4" w:space="0" w:color="auto"/>
            </w:tcBorders>
            <w:noWrap/>
            <w:vAlign w:val="center"/>
          </w:tcPr>
          <w:p w14:paraId="41CF0DA8" w14:textId="76DC845B"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74.9</w:t>
            </w:r>
          </w:p>
        </w:tc>
        <w:tc>
          <w:tcPr>
            <w:tcW w:w="749" w:type="dxa"/>
            <w:tcBorders>
              <w:top w:val="nil"/>
              <w:left w:val="nil"/>
              <w:bottom w:val="single" w:sz="4" w:space="0" w:color="auto"/>
              <w:right w:val="single" w:sz="4" w:space="0" w:color="auto"/>
            </w:tcBorders>
            <w:noWrap/>
            <w:vAlign w:val="center"/>
          </w:tcPr>
          <w:p w14:paraId="3F4BB4C8" w14:textId="04CE7BB1"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81.9</w:t>
            </w:r>
          </w:p>
        </w:tc>
        <w:tc>
          <w:tcPr>
            <w:tcW w:w="750" w:type="dxa"/>
            <w:tcBorders>
              <w:top w:val="nil"/>
              <w:left w:val="nil"/>
              <w:bottom w:val="single" w:sz="4" w:space="0" w:color="auto"/>
              <w:right w:val="single" w:sz="4" w:space="0" w:color="auto"/>
            </w:tcBorders>
            <w:noWrap/>
            <w:vAlign w:val="center"/>
          </w:tcPr>
          <w:p w14:paraId="566332D3" w14:textId="006BE6A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79.8</w:t>
            </w:r>
          </w:p>
        </w:tc>
        <w:tc>
          <w:tcPr>
            <w:tcW w:w="749" w:type="dxa"/>
            <w:tcBorders>
              <w:top w:val="nil"/>
              <w:left w:val="nil"/>
              <w:bottom w:val="single" w:sz="4" w:space="0" w:color="auto"/>
              <w:right w:val="single" w:sz="4" w:space="0" w:color="auto"/>
            </w:tcBorders>
            <w:noWrap/>
            <w:vAlign w:val="center"/>
          </w:tcPr>
          <w:p w14:paraId="36A19E25" w14:textId="467D6F96"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66.6</w:t>
            </w:r>
          </w:p>
        </w:tc>
        <w:tc>
          <w:tcPr>
            <w:tcW w:w="749" w:type="dxa"/>
            <w:tcBorders>
              <w:top w:val="nil"/>
              <w:left w:val="nil"/>
              <w:bottom w:val="single" w:sz="4" w:space="0" w:color="auto"/>
              <w:right w:val="single" w:sz="4" w:space="0" w:color="auto"/>
            </w:tcBorders>
            <w:noWrap/>
            <w:vAlign w:val="center"/>
          </w:tcPr>
          <w:p w14:paraId="713CD4F2" w14:textId="552EA72E"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74.7</w:t>
            </w:r>
          </w:p>
        </w:tc>
        <w:tc>
          <w:tcPr>
            <w:tcW w:w="749" w:type="dxa"/>
            <w:tcBorders>
              <w:top w:val="nil"/>
              <w:left w:val="nil"/>
              <w:bottom w:val="single" w:sz="4" w:space="0" w:color="auto"/>
              <w:right w:val="single" w:sz="4" w:space="0" w:color="auto"/>
            </w:tcBorders>
            <w:noWrap/>
            <w:vAlign w:val="center"/>
          </w:tcPr>
          <w:p w14:paraId="45C22A25" w14:textId="79D08545"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75.0</w:t>
            </w:r>
          </w:p>
        </w:tc>
        <w:tc>
          <w:tcPr>
            <w:tcW w:w="749" w:type="dxa"/>
            <w:tcBorders>
              <w:top w:val="nil"/>
              <w:left w:val="nil"/>
              <w:bottom w:val="single" w:sz="4" w:space="0" w:color="auto"/>
              <w:right w:val="single" w:sz="4" w:space="0" w:color="auto"/>
            </w:tcBorders>
            <w:noWrap/>
            <w:vAlign w:val="center"/>
          </w:tcPr>
          <w:p w14:paraId="44D7AC60" w14:textId="4F95A80B"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75.3</w:t>
            </w:r>
          </w:p>
        </w:tc>
        <w:tc>
          <w:tcPr>
            <w:tcW w:w="749" w:type="dxa"/>
            <w:tcBorders>
              <w:top w:val="nil"/>
              <w:left w:val="nil"/>
              <w:bottom w:val="single" w:sz="4" w:space="0" w:color="auto"/>
              <w:right w:val="single" w:sz="4" w:space="0" w:color="auto"/>
            </w:tcBorders>
            <w:noWrap/>
            <w:vAlign w:val="center"/>
          </w:tcPr>
          <w:p w14:paraId="20FCBE09" w14:textId="3B5C9120"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88.6</w:t>
            </w:r>
          </w:p>
        </w:tc>
        <w:tc>
          <w:tcPr>
            <w:tcW w:w="749" w:type="dxa"/>
            <w:tcBorders>
              <w:top w:val="nil"/>
              <w:left w:val="nil"/>
              <w:bottom w:val="single" w:sz="4" w:space="0" w:color="auto"/>
              <w:right w:val="single" w:sz="4" w:space="0" w:color="auto"/>
            </w:tcBorders>
            <w:noWrap/>
            <w:vAlign w:val="center"/>
          </w:tcPr>
          <w:p w14:paraId="1B132CF9" w14:textId="69385E60"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88.1</w:t>
            </w:r>
          </w:p>
        </w:tc>
        <w:tc>
          <w:tcPr>
            <w:tcW w:w="749" w:type="dxa"/>
            <w:tcBorders>
              <w:top w:val="nil"/>
              <w:left w:val="nil"/>
              <w:bottom w:val="single" w:sz="4" w:space="0" w:color="auto"/>
              <w:right w:val="single" w:sz="4" w:space="0" w:color="auto"/>
            </w:tcBorders>
            <w:noWrap/>
            <w:vAlign w:val="center"/>
          </w:tcPr>
          <w:p w14:paraId="49B10DCB" w14:textId="32897C57"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65.9</w:t>
            </w:r>
          </w:p>
        </w:tc>
        <w:tc>
          <w:tcPr>
            <w:tcW w:w="749" w:type="dxa"/>
            <w:tcBorders>
              <w:top w:val="nil"/>
              <w:left w:val="nil"/>
              <w:bottom w:val="single" w:sz="4" w:space="0" w:color="auto"/>
              <w:right w:val="single" w:sz="4" w:space="0" w:color="auto"/>
            </w:tcBorders>
            <w:noWrap/>
            <w:vAlign w:val="center"/>
          </w:tcPr>
          <w:p w14:paraId="286B0D93" w14:textId="5F73EBE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77.7</w:t>
            </w:r>
          </w:p>
        </w:tc>
        <w:tc>
          <w:tcPr>
            <w:tcW w:w="750" w:type="dxa"/>
            <w:tcBorders>
              <w:top w:val="nil"/>
              <w:left w:val="nil"/>
              <w:bottom w:val="single" w:sz="4" w:space="0" w:color="auto"/>
              <w:right w:val="single" w:sz="4" w:space="0" w:color="auto"/>
            </w:tcBorders>
            <w:noWrap/>
            <w:vAlign w:val="center"/>
          </w:tcPr>
          <w:p w14:paraId="2DF4784D" w14:textId="7D2EA029"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72.6</w:t>
            </w:r>
          </w:p>
        </w:tc>
      </w:tr>
      <w:tr w:rsidR="00217865" w:rsidRPr="00217865" w14:paraId="1E523023" w14:textId="77777777" w:rsidTr="007A503F">
        <w:trPr>
          <w:trHeight w:val="302"/>
        </w:trPr>
        <w:tc>
          <w:tcPr>
            <w:tcW w:w="1395" w:type="dxa"/>
            <w:tcBorders>
              <w:top w:val="nil"/>
              <w:left w:val="single" w:sz="4" w:space="0" w:color="auto"/>
              <w:bottom w:val="single" w:sz="4" w:space="0" w:color="auto"/>
              <w:right w:val="single" w:sz="4" w:space="0" w:color="auto"/>
            </w:tcBorders>
            <w:noWrap/>
            <w:vAlign w:val="center"/>
            <w:hideMark/>
          </w:tcPr>
          <w:p w14:paraId="286A0D16" w14:textId="3C95CCD6" w:rsidR="00145D49" w:rsidRPr="00217865" w:rsidRDefault="00145D49"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India</w:t>
            </w:r>
          </w:p>
        </w:tc>
        <w:tc>
          <w:tcPr>
            <w:tcW w:w="749" w:type="dxa"/>
            <w:tcBorders>
              <w:top w:val="nil"/>
              <w:left w:val="nil"/>
              <w:bottom w:val="single" w:sz="4" w:space="0" w:color="auto"/>
              <w:right w:val="single" w:sz="4" w:space="0" w:color="auto"/>
            </w:tcBorders>
            <w:noWrap/>
            <w:vAlign w:val="center"/>
          </w:tcPr>
          <w:p w14:paraId="0784C2F6" w14:textId="00C34686"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82.5</w:t>
            </w:r>
          </w:p>
        </w:tc>
        <w:tc>
          <w:tcPr>
            <w:tcW w:w="749" w:type="dxa"/>
            <w:tcBorders>
              <w:top w:val="nil"/>
              <w:left w:val="nil"/>
              <w:bottom w:val="single" w:sz="4" w:space="0" w:color="auto"/>
              <w:right w:val="single" w:sz="4" w:space="0" w:color="auto"/>
            </w:tcBorders>
            <w:noWrap/>
            <w:vAlign w:val="center"/>
          </w:tcPr>
          <w:p w14:paraId="0B38132A" w14:textId="5E753F7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88.0</w:t>
            </w:r>
          </w:p>
        </w:tc>
        <w:tc>
          <w:tcPr>
            <w:tcW w:w="749" w:type="dxa"/>
            <w:tcBorders>
              <w:top w:val="nil"/>
              <w:left w:val="nil"/>
              <w:bottom w:val="single" w:sz="4" w:space="0" w:color="auto"/>
              <w:right w:val="single" w:sz="4" w:space="0" w:color="auto"/>
            </w:tcBorders>
            <w:noWrap/>
            <w:vAlign w:val="center"/>
          </w:tcPr>
          <w:p w14:paraId="0143E3CA" w14:textId="530FDE2B"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88.6</w:t>
            </w:r>
          </w:p>
        </w:tc>
        <w:tc>
          <w:tcPr>
            <w:tcW w:w="749" w:type="dxa"/>
            <w:tcBorders>
              <w:top w:val="nil"/>
              <w:left w:val="nil"/>
              <w:bottom w:val="single" w:sz="4" w:space="0" w:color="auto"/>
              <w:right w:val="single" w:sz="4" w:space="0" w:color="auto"/>
            </w:tcBorders>
            <w:noWrap/>
            <w:vAlign w:val="center"/>
          </w:tcPr>
          <w:p w14:paraId="24867255" w14:textId="22CAF030"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57.1</w:t>
            </w:r>
          </w:p>
        </w:tc>
        <w:tc>
          <w:tcPr>
            <w:tcW w:w="749" w:type="dxa"/>
            <w:tcBorders>
              <w:top w:val="nil"/>
              <w:left w:val="nil"/>
              <w:bottom w:val="single" w:sz="4" w:space="0" w:color="auto"/>
              <w:right w:val="single" w:sz="4" w:space="0" w:color="auto"/>
            </w:tcBorders>
            <w:noWrap/>
            <w:vAlign w:val="center"/>
          </w:tcPr>
          <w:p w14:paraId="54DCF854" w14:textId="5E6D2FB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70.6</w:t>
            </w:r>
          </w:p>
        </w:tc>
        <w:tc>
          <w:tcPr>
            <w:tcW w:w="749" w:type="dxa"/>
            <w:tcBorders>
              <w:top w:val="nil"/>
              <w:left w:val="nil"/>
              <w:bottom w:val="single" w:sz="4" w:space="0" w:color="auto"/>
              <w:right w:val="single" w:sz="4" w:space="0" w:color="auto"/>
            </w:tcBorders>
            <w:noWrap/>
            <w:vAlign w:val="center"/>
          </w:tcPr>
          <w:p w14:paraId="3C2F7E81" w14:textId="1DCD386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81.0</w:t>
            </w:r>
          </w:p>
        </w:tc>
        <w:tc>
          <w:tcPr>
            <w:tcW w:w="749" w:type="dxa"/>
            <w:tcBorders>
              <w:top w:val="nil"/>
              <w:left w:val="nil"/>
              <w:bottom w:val="single" w:sz="4" w:space="0" w:color="auto"/>
              <w:right w:val="single" w:sz="4" w:space="0" w:color="auto"/>
            </w:tcBorders>
            <w:noWrap/>
            <w:vAlign w:val="center"/>
          </w:tcPr>
          <w:p w14:paraId="0514DDB4" w14:textId="64F8CF75"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80.1</w:t>
            </w:r>
          </w:p>
        </w:tc>
        <w:tc>
          <w:tcPr>
            <w:tcW w:w="749" w:type="dxa"/>
            <w:tcBorders>
              <w:top w:val="nil"/>
              <w:left w:val="nil"/>
              <w:bottom w:val="single" w:sz="4" w:space="0" w:color="auto"/>
              <w:right w:val="single" w:sz="4" w:space="0" w:color="auto"/>
            </w:tcBorders>
            <w:noWrap/>
            <w:vAlign w:val="center"/>
          </w:tcPr>
          <w:p w14:paraId="0C89F6C5" w14:textId="383B9CC3"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84.8</w:t>
            </w:r>
          </w:p>
        </w:tc>
        <w:tc>
          <w:tcPr>
            <w:tcW w:w="750" w:type="dxa"/>
            <w:tcBorders>
              <w:top w:val="nil"/>
              <w:left w:val="nil"/>
              <w:bottom w:val="single" w:sz="4" w:space="0" w:color="auto"/>
              <w:right w:val="single" w:sz="4" w:space="0" w:color="auto"/>
            </w:tcBorders>
            <w:noWrap/>
            <w:vAlign w:val="center"/>
          </w:tcPr>
          <w:p w14:paraId="23CC95C5" w14:textId="61F9B5D6"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86.3</w:t>
            </w:r>
          </w:p>
        </w:tc>
        <w:tc>
          <w:tcPr>
            <w:tcW w:w="749" w:type="dxa"/>
            <w:tcBorders>
              <w:top w:val="nil"/>
              <w:left w:val="nil"/>
              <w:bottom w:val="single" w:sz="4" w:space="0" w:color="auto"/>
              <w:right w:val="single" w:sz="4" w:space="0" w:color="auto"/>
            </w:tcBorders>
            <w:noWrap/>
            <w:vAlign w:val="center"/>
          </w:tcPr>
          <w:p w14:paraId="7A9A74DD" w14:textId="43C1BA25"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78.8</w:t>
            </w:r>
          </w:p>
        </w:tc>
        <w:tc>
          <w:tcPr>
            <w:tcW w:w="749" w:type="dxa"/>
            <w:tcBorders>
              <w:top w:val="nil"/>
              <w:left w:val="nil"/>
              <w:bottom w:val="single" w:sz="4" w:space="0" w:color="auto"/>
              <w:right w:val="single" w:sz="4" w:space="0" w:color="auto"/>
            </w:tcBorders>
            <w:noWrap/>
            <w:vAlign w:val="center"/>
          </w:tcPr>
          <w:p w14:paraId="12823B5F" w14:textId="7A0EEA64"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83.4</w:t>
            </w:r>
          </w:p>
        </w:tc>
        <w:tc>
          <w:tcPr>
            <w:tcW w:w="749" w:type="dxa"/>
            <w:tcBorders>
              <w:top w:val="nil"/>
              <w:left w:val="nil"/>
              <w:bottom w:val="single" w:sz="4" w:space="0" w:color="auto"/>
              <w:right w:val="single" w:sz="4" w:space="0" w:color="auto"/>
            </w:tcBorders>
            <w:noWrap/>
            <w:vAlign w:val="center"/>
          </w:tcPr>
          <w:p w14:paraId="292C735F" w14:textId="2942ED13"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85.9</w:t>
            </w:r>
          </w:p>
        </w:tc>
        <w:tc>
          <w:tcPr>
            <w:tcW w:w="749" w:type="dxa"/>
            <w:tcBorders>
              <w:top w:val="nil"/>
              <w:left w:val="nil"/>
              <w:bottom w:val="single" w:sz="4" w:space="0" w:color="auto"/>
              <w:right w:val="single" w:sz="4" w:space="0" w:color="auto"/>
            </w:tcBorders>
            <w:noWrap/>
            <w:vAlign w:val="center"/>
          </w:tcPr>
          <w:p w14:paraId="2952BE68" w14:textId="078DB75D"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77.2</w:t>
            </w:r>
          </w:p>
        </w:tc>
        <w:tc>
          <w:tcPr>
            <w:tcW w:w="749" w:type="dxa"/>
            <w:tcBorders>
              <w:top w:val="nil"/>
              <w:left w:val="nil"/>
              <w:bottom w:val="single" w:sz="4" w:space="0" w:color="auto"/>
              <w:right w:val="single" w:sz="4" w:space="0" w:color="auto"/>
            </w:tcBorders>
            <w:noWrap/>
            <w:vAlign w:val="center"/>
          </w:tcPr>
          <w:p w14:paraId="665F6CC7" w14:textId="62C02CD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88.8</w:t>
            </w:r>
          </w:p>
        </w:tc>
        <w:tc>
          <w:tcPr>
            <w:tcW w:w="749" w:type="dxa"/>
            <w:tcBorders>
              <w:top w:val="nil"/>
              <w:left w:val="nil"/>
              <w:bottom w:val="single" w:sz="4" w:space="0" w:color="auto"/>
              <w:right w:val="single" w:sz="4" w:space="0" w:color="auto"/>
            </w:tcBorders>
            <w:noWrap/>
            <w:vAlign w:val="center"/>
          </w:tcPr>
          <w:p w14:paraId="75DCF5B1" w14:textId="018648C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90.1</w:t>
            </w:r>
          </w:p>
        </w:tc>
        <w:tc>
          <w:tcPr>
            <w:tcW w:w="749" w:type="dxa"/>
            <w:tcBorders>
              <w:top w:val="nil"/>
              <w:left w:val="nil"/>
              <w:bottom w:val="single" w:sz="4" w:space="0" w:color="auto"/>
              <w:right w:val="single" w:sz="4" w:space="0" w:color="auto"/>
            </w:tcBorders>
            <w:noWrap/>
            <w:vAlign w:val="center"/>
          </w:tcPr>
          <w:p w14:paraId="38CA7A9E" w14:textId="17A36F29"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72.3</w:t>
            </w:r>
          </w:p>
        </w:tc>
        <w:tc>
          <w:tcPr>
            <w:tcW w:w="749" w:type="dxa"/>
            <w:tcBorders>
              <w:top w:val="nil"/>
              <w:left w:val="nil"/>
              <w:bottom w:val="single" w:sz="4" w:space="0" w:color="auto"/>
              <w:right w:val="single" w:sz="4" w:space="0" w:color="auto"/>
            </w:tcBorders>
            <w:noWrap/>
            <w:vAlign w:val="center"/>
          </w:tcPr>
          <w:p w14:paraId="4ACEC7DB" w14:textId="73EC427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79.5</w:t>
            </w:r>
          </w:p>
        </w:tc>
        <w:tc>
          <w:tcPr>
            <w:tcW w:w="750" w:type="dxa"/>
            <w:tcBorders>
              <w:top w:val="nil"/>
              <w:left w:val="nil"/>
              <w:bottom w:val="single" w:sz="4" w:space="0" w:color="auto"/>
              <w:right w:val="single" w:sz="4" w:space="0" w:color="auto"/>
            </w:tcBorders>
            <w:noWrap/>
            <w:vAlign w:val="center"/>
          </w:tcPr>
          <w:p w14:paraId="79D5E8D5" w14:textId="49BE10DA"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79.3</w:t>
            </w:r>
          </w:p>
        </w:tc>
      </w:tr>
      <w:tr w:rsidR="00217865" w:rsidRPr="00217865" w14:paraId="408567F3" w14:textId="77777777" w:rsidTr="007A503F">
        <w:trPr>
          <w:trHeight w:val="302"/>
        </w:trPr>
        <w:tc>
          <w:tcPr>
            <w:tcW w:w="1395" w:type="dxa"/>
            <w:tcBorders>
              <w:top w:val="nil"/>
              <w:left w:val="single" w:sz="4" w:space="0" w:color="auto"/>
              <w:bottom w:val="single" w:sz="4" w:space="0" w:color="auto"/>
              <w:right w:val="single" w:sz="4" w:space="0" w:color="auto"/>
            </w:tcBorders>
            <w:noWrap/>
            <w:vAlign w:val="center"/>
            <w:hideMark/>
          </w:tcPr>
          <w:p w14:paraId="520D72D3" w14:textId="615EBF82" w:rsidR="00145D49" w:rsidRPr="00217865" w:rsidRDefault="00145D49"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Nepal</w:t>
            </w:r>
          </w:p>
        </w:tc>
        <w:tc>
          <w:tcPr>
            <w:tcW w:w="749" w:type="dxa"/>
            <w:tcBorders>
              <w:top w:val="nil"/>
              <w:left w:val="nil"/>
              <w:bottom w:val="single" w:sz="4" w:space="0" w:color="auto"/>
              <w:right w:val="single" w:sz="4" w:space="0" w:color="auto"/>
            </w:tcBorders>
            <w:noWrap/>
            <w:vAlign w:val="center"/>
          </w:tcPr>
          <w:p w14:paraId="68FAE6C3" w14:textId="1B995FFA"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81.7</w:t>
            </w:r>
          </w:p>
        </w:tc>
        <w:tc>
          <w:tcPr>
            <w:tcW w:w="749" w:type="dxa"/>
            <w:tcBorders>
              <w:top w:val="nil"/>
              <w:left w:val="nil"/>
              <w:bottom w:val="single" w:sz="4" w:space="0" w:color="auto"/>
              <w:right w:val="single" w:sz="4" w:space="0" w:color="auto"/>
            </w:tcBorders>
            <w:noWrap/>
            <w:vAlign w:val="center"/>
          </w:tcPr>
          <w:p w14:paraId="7C73A612" w14:textId="6603B90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84.2</w:t>
            </w:r>
          </w:p>
        </w:tc>
        <w:tc>
          <w:tcPr>
            <w:tcW w:w="749" w:type="dxa"/>
            <w:tcBorders>
              <w:top w:val="nil"/>
              <w:left w:val="nil"/>
              <w:bottom w:val="single" w:sz="4" w:space="0" w:color="auto"/>
              <w:right w:val="single" w:sz="4" w:space="0" w:color="auto"/>
            </w:tcBorders>
            <w:noWrap/>
            <w:vAlign w:val="center"/>
          </w:tcPr>
          <w:p w14:paraId="7BB6FB91" w14:textId="37DF59FA"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85.5</w:t>
            </w:r>
          </w:p>
        </w:tc>
        <w:tc>
          <w:tcPr>
            <w:tcW w:w="749" w:type="dxa"/>
            <w:tcBorders>
              <w:top w:val="nil"/>
              <w:left w:val="nil"/>
              <w:bottom w:val="single" w:sz="4" w:space="0" w:color="auto"/>
              <w:right w:val="single" w:sz="4" w:space="0" w:color="auto"/>
            </w:tcBorders>
            <w:noWrap/>
            <w:vAlign w:val="center"/>
          </w:tcPr>
          <w:p w14:paraId="35DDF3C5" w14:textId="0E8BAA6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58.4</w:t>
            </w:r>
          </w:p>
        </w:tc>
        <w:tc>
          <w:tcPr>
            <w:tcW w:w="749" w:type="dxa"/>
            <w:tcBorders>
              <w:top w:val="nil"/>
              <w:left w:val="nil"/>
              <w:bottom w:val="single" w:sz="4" w:space="0" w:color="auto"/>
              <w:right w:val="single" w:sz="4" w:space="0" w:color="auto"/>
            </w:tcBorders>
            <w:noWrap/>
            <w:vAlign w:val="center"/>
          </w:tcPr>
          <w:p w14:paraId="1EDD9D6B" w14:textId="1F142DE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63.8</w:t>
            </w:r>
          </w:p>
        </w:tc>
        <w:tc>
          <w:tcPr>
            <w:tcW w:w="749" w:type="dxa"/>
            <w:tcBorders>
              <w:top w:val="nil"/>
              <w:left w:val="nil"/>
              <w:bottom w:val="single" w:sz="4" w:space="0" w:color="auto"/>
              <w:right w:val="single" w:sz="4" w:space="0" w:color="auto"/>
            </w:tcBorders>
            <w:noWrap/>
            <w:vAlign w:val="center"/>
          </w:tcPr>
          <w:p w14:paraId="36ECC4F9" w14:textId="643272AD"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80.3</w:t>
            </w:r>
          </w:p>
        </w:tc>
        <w:tc>
          <w:tcPr>
            <w:tcW w:w="749" w:type="dxa"/>
            <w:tcBorders>
              <w:top w:val="nil"/>
              <w:left w:val="nil"/>
              <w:bottom w:val="single" w:sz="4" w:space="0" w:color="auto"/>
              <w:right w:val="single" w:sz="4" w:space="0" w:color="auto"/>
            </w:tcBorders>
            <w:noWrap/>
            <w:vAlign w:val="center"/>
          </w:tcPr>
          <w:p w14:paraId="344D59A7" w14:textId="7E663CAC"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80.5</w:t>
            </w:r>
          </w:p>
        </w:tc>
        <w:tc>
          <w:tcPr>
            <w:tcW w:w="749" w:type="dxa"/>
            <w:tcBorders>
              <w:top w:val="nil"/>
              <w:left w:val="nil"/>
              <w:bottom w:val="single" w:sz="4" w:space="0" w:color="auto"/>
              <w:right w:val="single" w:sz="4" w:space="0" w:color="auto"/>
            </w:tcBorders>
            <w:noWrap/>
            <w:vAlign w:val="center"/>
          </w:tcPr>
          <w:p w14:paraId="1675234D" w14:textId="33328CEB"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83.6</w:t>
            </w:r>
          </w:p>
        </w:tc>
        <w:tc>
          <w:tcPr>
            <w:tcW w:w="750" w:type="dxa"/>
            <w:tcBorders>
              <w:top w:val="nil"/>
              <w:left w:val="nil"/>
              <w:bottom w:val="single" w:sz="4" w:space="0" w:color="auto"/>
              <w:right w:val="single" w:sz="4" w:space="0" w:color="auto"/>
            </w:tcBorders>
            <w:noWrap/>
            <w:vAlign w:val="center"/>
          </w:tcPr>
          <w:p w14:paraId="26D80D54" w14:textId="3554E5B8"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85.2</w:t>
            </w:r>
          </w:p>
        </w:tc>
        <w:tc>
          <w:tcPr>
            <w:tcW w:w="749" w:type="dxa"/>
            <w:tcBorders>
              <w:top w:val="nil"/>
              <w:left w:val="nil"/>
              <w:bottom w:val="single" w:sz="4" w:space="0" w:color="auto"/>
              <w:right w:val="single" w:sz="4" w:space="0" w:color="auto"/>
            </w:tcBorders>
            <w:noWrap/>
            <w:vAlign w:val="center"/>
          </w:tcPr>
          <w:p w14:paraId="49840683" w14:textId="14FD8F39"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76.5</w:t>
            </w:r>
          </w:p>
        </w:tc>
        <w:tc>
          <w:tcPr>
            <w:tcW w:w="749" w:type="dxa"/>
            <w:tcBorders>
              <w:top w:val="nil"/>
              <w:left w:val="nil"/>
              <w:bottom w:val="single" w:sz="4" w:space="0" w:color="auto"/>
              <w:right w:val="single" w:sz="4" w:space="0" w:color="auto"/>
            </w:tcBorders>
            <w:noWrap/>
            <w:vAlign w:val="center"/>
          </w:tcPr>
          <w:p w14:paraId="68FAB5DD" w14:textId="5E6C4D34"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78.5</w:t>
            </w:r>
          </w:p>
        </w:tc>
        <w:tc>
          <w:tcPr>
            <w:tcW w:w="749" w:type="dxa"/>
            <w:tcBorders>
              <w:top w:val="nil"/>
              <w:left w:val="nil"/>
              <w:bottom w:val="single" w:sz="4" w:space="0" w:color="auto"/>
              <w:right w:val="single" w:sz="4" w:space="0" w:color="auto"/>
            </w:tcBorders>
            <w:noWrap/>
            <w:vAlign w:val="center"/>
          </w:tcPr>
          <w:p w14:paraId="751FDD29" w14:textId="7BDAB960"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80.3</w:t>
            </w:r>
          </w:p>
        </w:tc>
        <w:tc>
          <w:tcPr>
            <w:tcW w:w="749" w:type="dxa"/>
            <w:tcBorders>
              <w:top w:val="nil"/>
              <w:left w:val="nil"/>
              <w:bottom w:val="single" w:sz="4" w:space="0" w:color="auto"/>
              <w:right w:val="single" w:sz="4" w:space="0" w:color="auto"/>
            </w:tcBorders>
            <w:noWrap/>
            <w:vAlign w:val="center"/>
          </w:tcPr>
          <w:p w14:paraId="62747417" w14:textId="110690E3"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73.4</w:t>
            </w:r>
          </w:p>
        </w:tc>
        <w:tc>
          <w:tcPr>
            <w:tcW w:w="749" w:type="dxa"/>
            <w:tcBorders>
              <w:top w:val="nil"/>
              <w:left w:val="nil"/>
              <w:bottom w:val="single" w:sz="4" w:space="0" w:color="auto"/>
              <w:right w:val="single" w:sz="4" w:space="0" w:color="auto"/>
            </w:tcBorders>
            <w:noWrap/>
            <w:vAlign w:val="center"/>
          </w:tcPr>
          <w:p w14:paraId="28967C7C" w14:textId="43F1156E"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80.2</w:t>
            </w:r>
          </w:p>
        </w:tc>
        <w:tc>
          <w:tcPr>
            <w:tcW w:w="749" w:type="dxa"/>
            <w:tcBorders>
              <w:top w:val="nil"/>
              <w:left w:val="nil"/>
              <w:bottom w:val="single" w:sz="4" w:space="0" w:color="auto"/>
              <w:right w:val="single" w:sz="4" w:space="0" w:color="auto"/>
            </w:tcBorders>
            <w:noWrap/>
            <w:vAlign w:val="center"/>
          </w:tcPr>
          <w:p w14:paraId="30326AA1" w14:textId="12CFE2F2"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80.4</w:t>
            </w:r>
          </w:p>
        </w:tc>
        <w:tc>
          <w:tcPr>
            <w:tcW w:w="749" w:type="dxa"/>
            <w:tcBorders>
              <w:top w:val="nil"/>
              <w:left w:val="nil"/>
              <w:bottom w:val="single" w:sz="4" w:space="0" w:color="auto"/>
              <w:right w:val="single" w:sz="4" w:space="0" w:color="auto"/>
            </w:tcBorders>
            <w:noWrap/>
            <w:vAlign w:val="center"/>
          </w:tcPr>
          <w:p w14:paraId="19316434" w14:textId="4C422A6A"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70.5</w:t>
            </w:r>
          </w:p>
        </w:tc>
        <w:tc>
          <w:tcPr>
            <w:tcW w:w="749" w:type="dxa"/>
            <w:tcBorders>
              <w:top w:val="nil"/>
              <w:left w:val="nil"/>
              <w:bottom w:val="single" w:sz="4" w:space="0" w:color="auto"/>
              <w:right w:val="single" w:sz="4" w:space="0" w:color="auto"/>
            </w:tcBorders>
            <w:noWrap/>
            <w:vAlign w:val="center"/>
          </w:tcPr>
          <w:p w14:paraId="16DDDDD5" w14:textId="21620FC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74.7</w:t>
            </w:r>
          </w:p>
        </w:tc>
        <w:tc>
          <w:tcPr>
            <w:tcW w:w="750" w:type="dxa"/>
            <w:tcBorders>
              <w:top w:val="nil"/>
              <w:left w:val="nil"/>
              <w:bottom w:val="single" w:sz="4" w:space="0" w:color="auto"/>
              <w:right w:val="single" w:sz="4" w:space="0" w:color="auto"/>
            </w:tcBorders>
            <w:noWrap/>
            <w:vAlign w:val="center"/>
          </w:tcPr>
          <w:p w14:paraId="5893FE08" w14:textId="4A052FDF" w:rsidR="00145D49"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77.1</w:t>
            </w:r>
          </w:p>
        </w:tc>
      </w:tr>
      <w:tr w:rsidR="00217865" w:rsidRPr="00217865" w14:paraId="1B71CD75" w14:textId="77777777" w:rsidTr="007A503F">
        <w:trPr>
          <w:trHeight w:val="302"/>
        </w:trPr>
        <w:tc>
          <w:tcPr>
            <w:tcW w:w="1395" w:type="dxa"/>
            <w:tcBorders>
              <w:top w:val="nil"/>
              <w:left w:val="single" w:sz="4" w:space="0" w:color="auto"/>
              <w:bottom w:val="single" w:sz="4" w:space="0" w:color="auto"/>
              <w:right w:val="single" w:sz="4" w:space="0" w:color="auto"/>
            </w:tcBorders>
            <w:noWrap/>
            <w:vAlign w:val="center"/>
            <w:hideMark/>
          </w:tcPr>
          <w:p w14:paraId="58F1B675" w14:textId="720FB03B" w:rsidR="00530CD1" w:rsidRPr="00217865" w:rsidRDefault="00530CD1"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Bhutan</w:t>
            </w:r>
          </w:p>
        </w:tc>
        <w:tc>
          <w:tcPr>
            <w:tcW w:w="749" w:type="dxa"/>
            <w:tcBorders>
              <w:top w:val="nil"/>
              <w:left w:val="nil"/>
              <w:bottom w:val="single" w:sz="4" w:space="0" w:color="auto"/>
              <w:right w:val="single" w:sz="4" w:space="0" w:color="auto"/>
            </w:tcBorders>
            <w:noWrap/>
            <w:vAlign w:val="center"/>
          </w:tcPr>
          <w:p w14:paraId="4BF196E5" w14:textId="440A5647"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90.9</w:t>
            </w:r>
          </w:p>
        </w:tc>
        <w:tc>
          <w:tcPr>
            <w:tcW w:w="749" w:type="dxa"/>
            <w:tcBorders>
              <w:top w:val="nil"/>
              <w:left w:val="nil"/>
              <w:bottom w:val="single" w:sz="4" w:space="0" w:color="auto"/>
              <w:right w:val="single" w:sz="4" w:space="0" w:color="auto"/>
            </w:tcBorders>
            <w:noWrap/>
            <w:vAlign w:val="center"/>
          </w:tcPr>
          <w:p w14:paraId="0E36BAB8" w14:textId="5B9CBA95"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90.7</w:t>
            </w:r>
          </w:p>
        </w:tc>
        <w:tc>
          <w:tcPr>
            <w:tcW w:w="749" w:type="dxa"/>
            <w:tcBorders>
              <w:top w:val="nil"/>
              <w:left w:val="nil"/>
              <w:bottom w:val="single" w:sz="4" w:space="0" w:color="auto"/>
              <w:right w:val="single" w:sz="4" w:space="0" w:color="auto"/>
            </w:tcBorders>
            <w:noWrap/>
            <w:vAlign w:val="center"/>
          </w:tcPr>
          <w:p w14:paraId="64A5CB0E" w14:textId="26AEC956"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89.1</w:t>
            </w:r>
          </w:p>
        </w:tc>
        <w:tc>
          <w:tcPr>
            <w:tcW w:w="749" w:type="dxa"/>
            <w:tcBorders>
              <w:top w:val="nil"/>
              <w:left w:val="nil"/>
              <w:bottom w:val="single" w:sz="4" w:space="0" w:color="auto"/>
              <w:right w:val="single" w:sz="4" w:space="0" w:color="auto"/>
            </w:tcBorders>
            <w:noWrap/>
            <w:vAlign w:val="center"/>
          </w:tcPr>
          <w:p w14:paraId="476BCA5A" w14:textId="1A6EAE9A"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61.8</w:t>
            </w:r>
          </w:p>
        </w:tc>
        <w:tc>
          <w:tcPr>
            <w:tcW w:w="749" w:type="dxa"/>
            <w:tcBorders>
              <w:top w:val="nil"/>
              <w:left w:val="nil"/>
              <w:bottom w:val="single" w:sz="4" w:space="0" w:color="auto"/>
              <w:right w:val="single" w:sz="4" w:space="0" w:color="auto"/>
            </w:tcBorders>
            <w:noWrap/>
            <w:vAlign w:val="center"/>
          </w:tcPr>
          <w:p w14:paraId="0D3EB89D" w14:textId="232D12ED"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67.8</w:t>
            </w:r>
          </w:p>
        </w:tc>
        <w:tc>
          <w:tcPr>
            <w:tcW w:w="749" w:type="dxa"/>
            <w:tcBorders>
              <w:top w:val="nil"/>
              <w:left w:val="nil"/>
              <w:bottom w:val="single" w:sz="4" w:space="0" w:color="auto"/>
              <w:right w:val="single" w:sz="4" w:space="0" w:color="auto"/>
            </w:tcBorders>
            <w:noWrap/>
            <w:vAlign w:val="center"/>
          </w:tcPr>
          <w:p w14:paraId="3A3D1150" w14:textId="133BE4CB"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77.9</w:t>
            </w:r>
          </w:p>
        </w:tc>
        <w:tc>
          <w:tcPr>
            <w:tcW w:w="749" w:type="dxa"/>
            <w:tcBorders>
              <w:top w:val="nil"/>
              <w:left w:val="nil"/>
              <w:bottom w:val="single" w:sz="4" w:space="0" w:color="auto"/>
              <w:right w:val="single" w:sz="4" w:space="0" w:color="auto"/>
            </w:tcBorders>
            <w:noWrap/>
            <w:vAlign w:val="center"/>
          </w:tcPr>
          <w:p w14:paraId="53CDFF54" w14:textId="7BC4F94A"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87.6</w:t>
            </w:r>
          </w:p>
        </w:tc>
        <w:tc>
          <w:tcPr>
            <w:tcW w:w="749" w:type="dxa"/>
            <w:tcBorders>
              <w:top w:val="nil"/>
              <w:left w:val="nil"/>
              <w:bottom w:val="single" w:sz="4" w:space="0" w:color="auto"/>
              <w:right w:val="single" w:sz="4" w:space="0" w:color="auto"/>
            </w:tcBorders>
            <w:noWrap/>
            <w:vAlign w:val="center"/>
          </w:tcPr>
          <w:p w14:paraId="20C92E7B" w14:textId="4E9C78E7"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90.7</w:t>
            </w:r>
          </w:p>
        </w:tc>
        <w:tc>
          <w:tcPr>
            <w:tcW w:w="750" w:type="dxa"/>
            <w:tcBorders>
              <w:top w:val="nil"/>
              <w:left w:val="nil"/>
              <w:bottom w:val="single" w:sz="4" w:space="0" w:color="auto"/>
              <w:right w:val="single" w:sz="4" w:space="0" w:color="auto"/>
            </w:tcBorders>
            <w:noWrap/>
            <w:vAlign w:val="center"/>
          </w:tcPr>
          <w:p w14:paraId="6108ECEA" w14:textId="63D71AD8"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91.1</w:t>
            </w:r>
          </w:p>
        </w:tc>
        <w:tc>
          <w:tcPr>
            <w:tcW w:w="749" w:type="dxa"/>
            <w:tcBorders>
              <w:top w:val="nil"/>
              <w:left w:val="nil"/>
              <w:bottom w:val="single" w:sz="4" w:space="0" w:color="auto"/>
              <w:right w:val="single" w:sz="4" w:space="0" w:color="auto"/>
            </w:tcBorders>
            <w:noWrap/>
            <w:vAlign w:val="center"/>
          </w:tcPr>
          <w:p w14:paraId="2E75AABF" w14:textId="4E2DC402"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84.2</w:t>
            </w:r>
          </w:p>
        </w:tc>
        <w:tc>
          <w:tcPr>
            <w:tcW w:w="749" w:type="dxa"/>
            <w:tcBorders>
              <w:top w:val="nil"/>
              <w:left w:val="nil"/>
              <w:bottom w:val="single" w:sz="4" w:space="0" w:color="auto"/>
              <w:right w:val="single" w:sz="4" w:space="0" w:color="auto"/>
            </w:tcBorders>
            <w:noWrap/>
            <w:vAlign w:val="center"/>
          </w:tcPr>
          <w:p w14:paraId="73241DC7" w14:textId="4CC55E03"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85.6</w:t>
            </w:r>
          </w:p>
        </w:tc>
        <w:tc>
          <w:tcPr>
            <w:tcW w:w="749" w:type="dxa"/>
            <w:tcBorders>
              <w:top w:val="nil"/>
              <w:left w:val="nil"/>
              <w:bottom w:val="single" w:sz="4" w:space="0" w:color="auto"/>
              <w:right w:val="single" w:sz="4" w:space="0" w:color="auto"/>
            </w:tcBorders>
            <w:noWrap/>
            <w:vAlign w:val="center"/>
          </w:tcPr>
          <w:p w14:paraId="4B974491" w14:textId="4AB47866"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89.2</w:t>
            </w:r>
          </w:p>
        </w:tc>
        <w:tc>
          <w:tcPr>
            <w:tcW w:w="749" w:type="dxa"/>
            <w:tcBorders>
              <w:top w:val="nil"/>
              <w:left w:val="nil"/>
              <w:bottom w:val="single" w:sz="4" w:space="0" w:color="auto"/>
              <w:right w:val="single" w:sz="4" w:space="0" w:color="auto"/>
            </w:tcBorders>
            <w:noWrap/>
            <w:vAlign w:val="center"/>
          </w:tcPr>
          <w:p w14:paraId="052E5076" w14:textId="087BBCB2"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87.9</w:t>
            </w:r>
          </w:p>
        </w:tc>
        <w:tc>
          <w:tcPr>
            <w:tcW w:w="749" w:type="dxa"/>
            <w:tcBorders>
              <w:top w:val="nil"/>
              <w:left w:val="nil"/>
              <w:bottom w:val="single" w:sz="4" w:space="0" w:color="auto"/>
              <w:right w:val="single" w:sz="4" w:space="0" w:color="auto"/>
            </w:tcBorders>
            <w:noWrap/>
            <w:vAlign w:val="center"/>
          </w:tcPr>
          <w:p w14:paraId="5CD173EA" w14:textId="0E02B1C3"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88.0</w:t>
            </w:r>
          </w:p>
        </w:tc>
        <w:tc>
          <w:tcPr>
            <w:tcW w:w="749" w:type="dxa"/>
            <w:tcBorders>
              <w:top w:val="nil"/>
              <w:left w:val="nil"/>
              <w:bottom w:val="single" w:sz="4" w:space="0" w:color="auto"/>
              <w:right w:val="single" w:sz="4" w:space="0" w:color="auto"/>
            </w:tcBorders>
            <w:noWrap/>
            <w:vAlign w:val="center"/>
          </w:tcPr>
          <w:p w14:paraId="6A58C8EC" w14:textId="186A490E"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92.9</w:t>
            </w:r>
          </w:p>
        </w:tc>
        <w:tc>
          <w:tcPr>
            <w:tcW w:w="749" w:type="dxa"/>
            <w:tcBorders>
              <w:top w:val="nil"/>
              <w:left w:val="nil"/>
              <w:bottom w:val="single" w:sz="4" w:space="0" w:color="auto"/>
              <w:right w:val="single" w:sz="4" w:space="0" w:color="auto"/>
            </w:tcBorders>
            <w:noWrap/>
            <w:vAlign w:val="center"/>
          </w:tcPr>
          <w:p w14:paraId="6B20FBAB" w14:textId="40814EF1"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81.6</w:t>
            </w:r>
          </w:p>
        </w:tc>
        <w:tc>
          <w:tcPr>
            <w:tcW w:w="749" w:type="dxa"/>
            <w:tcBorders>
              <w:top w:val="nil"/>
              <w:left w:val="nil"/>
              <w:bottom w:val="single" w:sz="4" w:space="0" w:color="auto"/>
              <w:right w:val="single" w:sz="4" w:space="0" w:color="auto"/>
            </w:tcBorders>
            <w:noWrap/>
            <w:vAlign w:val="center"/>
          </w:tcPr>
          <w:p w14:paraId="6B63CB93" w14:textId="3BBE3783"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86.1</w:t>
            </w:r>
          </w:p>
        </w:tc>
        <w:tc>
          <w:tcPr>
            <w:tcW w:w="750" w:type="dxa"/>
            <w:tcBorders>
              <w:top w:val="nil"/>
              <w:left w:val="nil"/>
              <w:bottom w:val="single" w:sz="4" w:space="0" w:color="auto"/>
              <w:right w:val="single" w:sz="4" w:space="0" w:color="auto"/>
            </w:tcBorders>
            <w:noWrap/>
            <w:vAlign w:val="center"/>
          </w:tcPr>
          <w:p w14:paraId="6E85BB5D" w14:textId="0B646CC4" w:rsidR="00530CD1" w:rsidRPr="00217865" w:rsidRDefault="00530CD1"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84.4</w:t>
            </w:r>
          </w:p>
        </w:tc>
      </w:tr>
      <w:tr w:rsidR="00217865" w:rsidRPr="00217865" w14:paraId="722C8B44" w14:textId="77777777" w:rsidTr="007A503F">
        <w:trPr>
          <w:trHeight w:val="302"/>
        </w:trPr>
        <w:tc>
          <w:tcPr>
            <w:tcW w:w="1395" w:type="dxa"/>
            <w:tcBorders>
              <w:top w:val="nil"/>
              <w:left w:val="single" w:sz="4" w:space="0" w:color="auto"/>
              <w:bottom w:val="single" w:sz="4" w:space="0" w:color="auto"/>
              <w:right w:val="single" w:sz="4" w:space="0" w:color="auto"/>
            </w:tcBorders>
            <w:noWrap/>
            <w:vAlign w:val="center"/>
            <w:hideMark/>
          </w:tcPr>
          <w:p w14:paraId="77E3BFEB" w14:textId="14F6D194" w:rsidR="00DC1F5A" w:rsidRPr="00217865" w:rsidRDefault="00DC1F5A"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lastRenderedPageBreak/>
              <w:t>Philippines</w:t>
            </w:r>
          </w:p>
        </w:tc>
        <w:tc>
          <w:tcPr>
            <w:tcW w:w="749" w:type="dxa"/>
            <w:tcBorders>
              <w:top w:val="nil"/>
              <w:left w:val="nil"/>
              <w:bottom w:val="single" w:sz="4" w:space="0" w:color="auto"/>
              <w:right w:val="single" w:sz="4" w:space="0" w:color="auto"/>
            </w:tcBorders>
            <w:noWrap/>
            <w:vAlign w:val="center"/>
          </w:tcPr>
          <w:p w14:paraId="77467FF9" w14:textId="26AD5C51"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86.7</w:t>
            </w:r>
          </w:p>
        </w:tc>
        <w:tc>
          <w:tcPr>
            <w:tcW w:w="749" w:type="dxa"/>
            <w:tcBorders>
              <w:top w:val="nil"/>
              <w:left w:val="nil"/>
              <w:bottom w:val="single" w:sz="4" w:space="0" w:color="auto"/>
              <w:right w:val="single" w:sz="4" w:space="0" w:color="auto"/>
            </w:tcBorders>
            <w:noWrap/>
            <w:vAlign w:val="center"/>
          </w:tcPr>
          <w:p w14:paraId="66A858FC" w14:textId="63BB6358"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93.4</w:t>
            </w:r>
          </w:p>
        </w:tc>
        <w:tc>
          <w:tcPr>
            <w:tcW w:w="749" w:type="dxa"/>
            <w:tcBorders>
              <w:top w:val="nil"/>
              <w:left w:val="nil"/>
              <w:bottom w:val="single" w:sz="4" w:space="0" w:color="auto"/>
              <w:right w:val="single" w:sz="4" w:space="0" w:color="auto"/>
            </w:tcBorders>
            <w:noWrap/>
            <w:vAlign w:val="center"/>
          </w:tcPr>
          <w:p w14:paraId="636A9A2E" w14:textId="26DF1198"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93.6</w:t>
            </w:r>
          </w:p>
        </w:tc>
        <w:tc>
          <w:tcPr>
            <w:tcW w:w="749" w:type="dxa"/>
            <w:tcBorders>
              <w:top w:val="nil"/>
              <w:left w:val="nil"/>
              <w:bottom w:val="single" w:sz="4" w:space="0" w:color="auto"/>
              <w:right w:val="single" w:sz="4" w:space="0" w:color="auto"/>
            </w:tcBorders>
            <w:noWrap/>
            <w:vAlign w:val="center"/>
          </w:tcPr>
          <w:p w14:paraId="0BA9C05D" w14:textId="56B2B9E7"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50.9</w:t>
            </w:r>
          </w:p>
        </w:tc>
        <w:tc>
          <w:tcPr>
            <w:tcW w:w="749" w:type="dxa"/>
            <w:tcBorders>
              <w:top w:val="nil"/>
              <w:left w:val="nil"/>
              <w:bottom w:val="single" w:sz="4" w:space="0" w:color="auto"/>
              <w:right w:val="single" w:sz="4" w:space="0" w:color="auto"/>
            </w:tcBorders>
            <w:noWrap/>
            <w:vAlign w:val="center"/>
          </w:tcPr>
          <w:p w14:paraId="0A45679C" w14:textId="2192A9E9"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69.0</w:t>
            </w:r>
          </w:p>
        </w:tc>
        <w:tc>
          <w:tcPr>
            <w:tcW w:w="749" w:type="dxa"/>
            <w:tcBorders>
              <w:top w:val="nil"/>
              <w:left w:val="nil"/>
              <w:bottom w:val="single" w:sz="4" w:space="0" w:color="auto"/>
              <w:right w:val="single" w:sz="4" w:space="0" w:color="auto"/>
            </w:tcBorders>
            <w:noWrap/>
            <w:vAlign w:val="center"/>
          </w:tcPr>
          <w:p w14:paraId="23A48B83" w14:textId="128D2511"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76.5</w:t>
            </w:r>
          </w:p>
        </w:tc>
        <w:tc>
          <w:tcPr>
            <w:tcW w:w="749" w:type="dxa"/>
            <w:tcBorders>
              <w:top w:val="nil"/>
              <w:left w:val="nil"/>
              <w:bottom w:val="single" w:sz="4" w:space="0" w:color="auto"/>
              <w:right w:val="single" w:sz="4" w:space="0" w:color="auto"/>
            </w:tcBorders>
            <w:noWrap/>
            <w:vAlign w:val="center"/>
          </w:tcPr>
          <w:p w14:paraId="7A88F122" w14:textId="4BD3B359"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83.2</w:t>
            </w:r>
          </w:p>
        </w:tc>
        <w:tc>
          <w:tcPr>
            <w:tcW w:w="749" w:type="dxa"/>
            <w:tcBorders>
              <w:top w:val="nil"/>
              <w:left w:val="nil"/>
              <w:bottom w:val="single" w:sz="4" w:space="0" w:color="auto"/>
              <w:right w:val="single" w:sz="4" w:space="0" w:color="auto"/>
            </w:tcBorders>
            <w:noWrap/>
            <w:vAlign w:val="center"/>
          </w:tcPr>
          <w:p w14:paraId="7297AFAB" w14:textId="139443B0"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91.5</w:t>
            </w:r>
          </w:p>
        </w:tc>
        <w:tc>
          <w:tcPr>
            <w:tcW w:w="750" w:type="dxa"/>
            <w:tcBorders>
              <w:top w:val="nil"/>
              <w:left w:val="nil"/>
              <w:bottom w:val="single" w:sz="4" w:space="0" w:color="auto"/>
              <w:right w:val="single" w:sz="4" w:space="0" w:color="auto"/>
            </w:tcBorders>
            <w:noWrap/>
            <w:vAlign w:val="center"/>
          </w:tcPr>
          <w:p w14:paraId="403B18F3" w14:textId="39F56F0F"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90.9</w:t>
            </w:r>
          </w:p>
        </w:tc>
        <w:tc>
          <w:tcPr>
            <w:tcW w:w="749" w:type="dxa"/>
            <w:tcBorders>
              <w:top w:val="nil"/>
              <w:left w:val="nil"/>
              <w:bottom w:val="single" w:sz="4" w:space="0" w:color="auto"/>
              <w:right w:val="single" w:sz="4" w:space="0" w:color="auto"/>
            </w:tcBorders>
            <w:noWrap/>
            <w:vAlign w:val="center"/>
          </w:tcPr>
          <w:p w14:paraId="3638F66C" w14:textId="17B26E2A"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78.8</w:t>
            </w:r>
          </w:p>
        </w:tc>
        <w:tc>
          <w:tcPr>
            <w:tcW w:w="749" w:type="dxa"/>
            <w:tcBorders>
              <w:top w:val="nil"/>
              <w:left w:val="nil"/>
              <w:bottom w:val="single" w:sz="4" w:space="0" w:color="auto"/>
              <w:right w:val="single" w:sz="4" w:space="0" w:color="auto"/>
            </w:tcBorders>
            <w:noWrap/>
            <w:vAlign w:val="center"/>
          </w:tcPr>
          <w:p w14:paraId="42526666" w14:textId="33390153"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88.4</w:t>
            </w:r>
          </w:p>
        </w:tc>
        <w:tc>
          <w:tcPr>
            <w:tcW w:w="749" w:type="dxa"/>
            <w:tcBorders>
              <w:top w:val="nil"/>
              <w:left w:val="nil"/>
              <w:bottom w:val="single" w:sz="4" w:space="0" w:color="auto"/>
              <w:right w:val="single" w:sz="4" w:space="0" w:color="auto"/>
            </w:tcBorders>
            <w:noWrap/>
            <w:vAlign w:val="center"/>
          </w:tcPr>
          <w:p w14:paraId="6E2F36BC" w14:textId="2CF48C3E"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86.9</w:t>
            </w:r>
          </w:p>
        </w:tc>
        <w:tc>
          <w:tcPr>
            <w:tcW w:w="749" w:type="dxa"/>
            <w:tcBorders>
              <w:top w:val="nil"/>
              <w:left w:val="nil"/>
              <w:bottom w:val="single" w:sz="4" w:space="0" w:color="auto"/>
              <w:right w:val="single" w:sz="4" w:space="0" w:color="auto"/>
            </w:tcBorders>
            <w:noWrap/>
            <w:vAlign w:val="center"/>
          </w:tcPr>
          <w:p w14:paraId="2453C8C7" w14:textId="3CB4FE1D"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79.1</w:t>
            </w:r>
          </w:p>
        </w:tc>
        <w:tc>
          <w:tcPr>
            <w:tcW w:w="749" w:type="dxa"/>
            <w:tcBorders>
              <w:top w:val="nil"/>
              <w:left w:val="nil"/>
              <w:bottom w:val="single" w:sz="4" w:space="0" w:color="auto"/>
              <w:right w:val="single" w:sz="4" w:space="0" w:color="auto"/>
            </w:tcBorders>
            <w:noWrap/>
            <w:vAlign w:val="center"/>
          </w:tcPr>
          <w:p w14:paraId="3D4A4526" w14:textId="06858557"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90.5</w:t>
            </w:r>
          </w:p>
        </w:tc>
        <w:tc>
          <w:tcPr>
            <w:tcW w:w="749" w:type="dxa"/>
            <w:tcBorders>
              <w:top w:val="nil"/>
              <w:left w:val="nil"/>
              <w:bottom w:val="single" w:sz="4" w:space="0" w:color="auto"/>
              <w:right w:val="single" w:sz="4" w:space="0" w:color="auto"/>
            </w:tcBorders>
            <w:noWrap/>
            <w:vAlign w:val="center"/>
          </w:tcPr>
          <w:p w14:paraId="654B87E3" w14:textId="4B59162C"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90.3</w:t>
            </w:r>
          </w:p>
        </w:tc>
        <w:tc>
          <w:tcPr>
            <w:tcW w:w="749" w:type="dxa"/>
            <w:tcBorders>
              <w:top w:val="nil"/>
              <w:left w:val="nil"/>
              <w:bottom w:val="single" w:sz="4" w:space="0" w:color="auto"/>
              <w:right w:val="single" w:sz="4" w:space="0" w:color="auto"/>
            </w:tcBorders>
            <w:noWrap/>
            <w:vAlign w:val="center"/>
          </w:tcPr>
          <w:p w14:paraId="1DA8FB70" w14:textId="33B47F56"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70.4</w:t>
            </w:r>
          </w:p>
        </w:tc>
        <w:tc>
          <w:tcPr>
            <w:tcW w:w="749" w:type="dxa"/>
            <w:tcBorders>
              <w:top w:val="nil"/>
              <w:left w:val="nil"/>
              <w:bottom w:val="single" w:sz="4" w:space="0" w:color="auto"/>
              <w:right w:val="single" w:sz="4" w:space="0" w:color="auto"/>
            </w:tcBorders>
            <w:noWrap/>
            <w:vAlign w:val="center"/>
          </w:tcPr>
          <w:p w14:paraId="76C2C7B5" w14:textId="2E85C88E"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85.0</w:t>
            </w:r>
          </w:p>
        </w:tc>
        <w:tc>
          <w:tcPr>
            <w:tcW w:w="750" w:type="dxa"/>
            <w:tcBorders>
              <w:top w:val="nil"/>
              <w:left w:val="nil"/>
              <w:bottom w:val="single" w:sz="4" w:space="0" w:color="auto"/>
              <w:right w:val="single" w:sz="4" w:space="0" w:color="auto"/>
            </w:tcBorders>
            <w:noWrap/>
            <w:vAlign w:val="center"/>
          </w:tcPr>
          <w:p w14:paraId="29746AA9" w14:textId="5D6BBFE8" w:rsidR="00DC1F5A" w:rsidRPr="00217865" w:rsidRDefault="00DC1F5A"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85.5</w:t>
            </w:r>
          </w:p>
        </w:tc>
      </w:tr>
      <w:tr w:rsidR="00217865" w:rsidRPr="00217865" w14:paraId="16342473" w14:textId="77777777" w:rsidTr="007A503F">
        <w:trPr>
          <w:trHeight w:val="494"/>
        </w:trPr>
        <w:tc>
          <w:tcPr>
            <w:tcW w:w="1395" w:type="dxa"/>
            <w:tcBorders>
              <w:top w:val="nil"/>
              <w:left w:val="single" w:sz="4" w:space="0" w:color="auto"/>
              <w:bottom w:val="single" w:sz="4" w:space="0" w:color="auto"/>
              <w:right w:val="single" w:sz="4" w:space="0" w:color="auto"/>
            </w:tcBorders>
            <w:noWrap/>
            <w:vAlign w:val="center"/>
            <w:hideMark/>
          </w:tcPr>
          <w:p w14:paraId="31E7A08C" w14:textId="77777777" w:rsidR="00D73532" w:rsidRPr="00217865" w:rsidRDefault="00D73532" w:rsidP="007301B9">
            <w:pPr>
              <w:pStyle w:val="Footertable"/>
              <w:spacing w:before="60" w:after="60"/>
              <w:rPr>
                <w:rFonts w:ascii="Arial" w:hAnsi="Arial" w:cs="Arial"/>
                <w:color w:val="000000" w:themeColor="text1"/>
                <w:sz w:val="18"/>
                <w:szCs w:val="18"/>
              </w:rPr>
            </w:pPr>
            <w:r w:rsidRPr="00217865">
              <w:rPr>
                <w:rFonts w:ascii="Arial" w:hAnsi="Arial" w:cs="Arial"/>
                <w:color w:val="000000" w:themeColor="text1"/>
                <w:sz w:val="18"/>
                <w:szCs w:val="18"/>
              </w:rPr>
              <w:t>Total international</w:t>
            </w:r>
          </w:p>
        </w:tc>
        <w:tc>
          <w:tcPr>
            <w:tcW w:w="749" w:type="dxa"/>
            <w:tcBorders>
              <w:top w:val="nil"/>
              <w:left w:val="nil"/>
              <w:bottom w:val="single" w:sz="4" w:space="0" w:color="auto"/>
              <w:right w:val="single" w:sz="4" w:space="0" w:color="auto"/>
            </w:tcBorders>
            <w:noWrap/>
            <w:vAlign w:val="center"/>
          </w:tcPr>
          <w:p w14:paraId="1E06E39E" w14:textId="38004231"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79.6</w:t>
            </w:r>
          </w:p>
        </w:tc>
        <w:tc>
          <w:tcPr>
            <w:tcW w:w="749" w:type="dxa"/>
            <w:tcBorders>
              <w:top w:val="nil"/>
              <w:left w:val="nil"/>
              <w:bottom w:val="single" w:sz="4" w:space="0" w:color="auto"/>
              <w:right w:val="single" w:sz="4" w:space="0" w:color="auto"/>
            </w:tcBorders>
            <w:noWrap/>
            <w:vAlign w:val="center"/>
          </w:tcPr>
          <w:p w14:paraId="0956E630" w14:textId="27A4A8BC"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84.1</w:t>
            </w:r>
          </w:p>
        </w:tc>
        <w:tc>
          <w:tcPr>
            <w:tcW w:w="749" w:type="dxa"/>
            <w:tcBorders>
              <w:top w:val="nil"/>
              <w:left w:val="nil"/>
              <w:bottom w:val="single" w:sz="4" w:space="0" w:color="auto"/>
              <w:right w:val="single" w:sz="4" w:space="0" w:color="auto"/>
            </w:tcBorders>
            <w:noWrap/>
            <w:vAlign w:val="center"/>
          </w:tcPr>
          <w:p w14:paraId="65C98558" w14:textId="4AF83096"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85.5</w:t>
            </w:r>
          </w:p>
        </w:tc>
        <w:tc>
          <w:tcPr>
            <w:tcW w:w="749" w:type="dxa"/>
            <w:tcBorders>
              <w:top w:val="nil"/>
              <w:left w:val="nil"/>
              <w:bottom w:val="single" w:sz="4" w:space="0" w:color="auto"/>
              <w:right w:val="single" w:sz="4" w:space="0" w:color="auto"/>
            </w:tcBorders>
            <w:noWrap/>
            <w:vAlign w:val="center"/>
          </w:tcPr>
          <w:p w14:paraId="7F0D6CDD" w14:textId="4D9FEBA0"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48.8</w:t>
            </w:r>
          </w:p>
        </w:tc>
        <w:tc>
          <w:tcPr>
            <w:tcW w:w="749" w:type="dxa"/>
            <w:tcBorders>
              <w:top w:val="nil"/>
              <w:left w:val="nil"/>
              <w:bottom w:val="single" w:sz="4" w:space="0" w:color="auto"/>
              <w:right w:val="single" w:sz="4" w:space="0" w:color="auto"/>
            </w:tcBorders>
            <w:noWrap/>
            <w:vAlign w:val="center"/>
          </w:tcPr>
          <w:p w14:paraId="411649B4" w14:textId="6809D611"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62.2</w:t>
            </w:r>
          </w:p>
        </w:tc>
        <w:tc>
          <w:tcPr>
            <w:tcW w:w="749" w:type="dxa"/>
            <w:tcBorders>
              <w:top w:val="nil"/>
              <w:left w:val="nil"/>
              <w:bottom w:val="single" w:sz="4" w:space="0" w:color="auto"/>
              <w:right w:val="single" w:sz="4" w:space="0" w:color="auto"/>
            </w:tcBorders>
            <w:noWrap/>
            <w:vAlign w:val="center"/>
          </w:tcPr>
          <w:p w14:paraId="0F165C21" w14:textId="1EF3D677"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74.3</w:t>
            </w:r>
          </w:p>
        </w:tc>
        <w:tc>
          <w:tcPr>
            <w:tcW w:w="749" w:type="dxa"/>
            <w:tcBorders>
              <w:top w:val="nil"/>
              <w:left w:val="nil"/>
              <w:bottom w:val="single" w:sz="4" w:space="0" w:color="auto"/>
              <w:right w:val="single" w:sz="4" w:space="0" w:color="auto"/>
            </w:tcBorders>
            <w:noWrap/>
            <w:vAlign w:val="center"/>
          </w:tcPr>
          <w:p w14:paraId="67D91A61" w14:textId="2340614D"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77.9</w:t>
            </w:r>
          </w:p>
        </w:tc>
        <w:tc>
          <w:tcPr>
            <w:tcW w:w="749" w:type="dxa"/>
            <w:tcBorders>
              <w:top w:val="nil"/>
              <w:left w:val="nil"/>
              <w:bottom w:val="single" w:sz="4" w:space="0" w:color="auto"/>
              <w:right w:val="single" w:sz="4" w:space="0" w:color="auto"/>
            </w:tcBorders>
            <w:noWrap/>
            <w:vAlign w:val="center"/>
          </w:tcPr>
          <w:p w14:paraId="0ED5E484" w14:textId="0A07FF3B"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82.6</w:t>
            </w:r>
          </w:p>
        </w:tc>
        <w:tc>
          <w:tcPr>
            <w:tcW w:w="750" w:type="dxa"/>
            <w:tcBorders>
              <w:top w:val="nil"/>
              <w:left w:val="nil"/>
              <w:bottom w:val="single" w:sz="4" w:space="0" w:color="auto"/>
              <w:right w:val="single" w:sz="4" w:space="0" w:color="auto"/>
            </w:tcBorders>
            <w:noWrap/>
            <w:vAlign w:val="center"/>
          </w:tcPr>
          <w:p w14:paraId="3EAC574C" w14:textId="353BE60E"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84.1</w:t>
            </w:r>
          </w:p>
        </w:tc>
        <w:tc>
          <w:tcPr>
            <w:tcW w:w="749" w:type="dxa"/>
            <w:tcBorders>
              <w:top w:val="nil"/>
              <w:left w:val="nil"/>
              <w:bottom w:val="single" w:sz="4" w:space="0" w:color="auto"/>
              <w:right w:val="single" w:sz="4" w:space="0" w:color="auto"/>
            </w:tcBorders>
            <w:noWrap/>
            <w:vAlign w:val="center"/>
          </w:tcPr>
          <w:p w14:paraId="749DD30D" w14:textId="071BBC31"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72.6</w:t>
            </w:r>
          </w:p>
        </w:tc>
        <w:tc>
          <w:tcPr>
            <w:tcW w:w="749" w:type="dxa"/>
            <w:tcBorders>
              <w:top w:val="nil"/>
              <w:left w:val="nil"/>
              <w:bottom w:val="single" w:sz="4" w:space="0" w:color="auto"/>
              <w:right w:val="single" w:sz="4" w:space="0" w:color="auto"/>
            </w:tcBorders>
            <w:noWrap/>
            <w:vAlign w:val="center"/>
          </w:tcPr>
          <w:p w14:paraId="65B68EC2" w14:textId="736DFE66"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76.9</w:t>
            </w:r>
          </w:p>
        </w:tc>
        <w:tc>
          <w:tcPr>
            <w:tcW w:w="749" w:type="dxa"/>
            <w:tcBorders>
              <w:top w:val="nil"/>
              <w:left w:val="nil"/>
              <w:bottom w:val="single" w:sz="4" w:space="0" w:color="auto"/>
              <w:right w:val="single" w:sz="4" w:space="0" w:color="auto"/>
            </w:tcBorders>
            <w:noWrap/>
            <w:vAlign w:val="center"/>
          </w:tcPr>
          <w:p w14:paraId="278F9E31" w14:textId="5F9F2E27"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80.4</w:t>
            </w:r>
          </w:p>
        </w:tc>
        <w:tc>
          <w:tcPr>
            <w:tcW w:w="749" w:type="dxa"/>
            <w:tcBorders>
              <w:top w:val="nil"/>
              <w:left w:val="nil"/>
              <w:bottom w:val="single" w:sz="4" w:space="0" w:color="auto"/>
              <w:right w:val="single" w:sz="4" w:space="0" w:color="auto"/>
            </w:tcBorders>
            <w:noWrap/>
            <w:vAlign w:val="center"/>
          </w:tcPr>
          <w:p w14:paraId="4BB47EFD" w14:textId="08C082F6"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75.8</w:t>
            </w:r>
          </w:p>
        </w:tc>
        <w:tc>
          <w:tcPr>
            <w:tcW w:w="749" w:type="dxa"/>
            <w:tcBorders>
              <w:top w:val="nil"/>
              <w:left w:val="nil"/>
              <w:bottom w:val="single" w:sz="4" w:space="0" w:color="auto"/>
              <w:right w:val="single" w:sz="4" w:space="0" w:color="auto"/>
            </w:tcBorders>
            <w:noWrap/>
            <w:vAlign w:val="center"/>
          </w:tcPr>
          <w:p w14:paraId="66788ACC" w14:textId="796A699E"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86.4</w:t>
            </w:r>
          </w:p>
        </w:tc>
        <w:tc>
          <w:tcPr>
            <w:tcW w:w="749" w:type="dxa"/>
            <w:tcBorders>
              <w:top w:val="nil"/>
              <w:left w:val="nil"/>
              <w:bottom w:val="single" w:sz="4" w:space="0" w:color="auto"/>
              <w:right w:val="single" w:sz="4" w:space="0" w:color="auto"/>
            </w:tcBorders>
            <w:noWrap/>
            <w:vAlign w:val="center"/>
          </w:tcPr>
          <w:p w14:paraId="39719A9D" w14:textId="232BC862"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87.7</w:t>
            </w:r>
          </w:p>
        </w:tc>
        <w:tc>
          <w:tcPr>
            <w:tcW w:w="749" w:type="dxa"/>
            <w:tcBorders>
              <w:top w:val="nil"/>
              <w:left w:val="nil"/>
              <w:bottom w:val="single" w:sz="4" w:space="0" w:color="auto"/>
              <w:right w:val="single" w:sz="4" w:space="0" w:color="auto"/>
            </w:tcBorders>
            <w:noWrap/>
            <w:vAlign w:val="center"/>
          </w:tcPr>
          <w:p w14:paraId="56453F18" w14:textId="642138F5"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69.1</w:t>
            </w:r>
          </w:p>
        </w:tc>
        <w:tc>
          <w:tcPr>
            <w:tcW w:w="749" w:type="dxa"/>
            <w:tcBorders>
              <w:top w:val="nil"/>
              <w:left w:val="nil"/>
              <w:bottom w:val="single" w:sz="4" w:space="0" w:color="auto"/>
              <w:right w:val="single" w:sz="4" w:space="0" w:color="auto"/>
            </w:tcBorders>
            <w:noWrap/>
            <w:vAlign w:val="center"/>
          </w:tcPr>
          <w:p w14:paraId="39924F31" w14:textId="05ED5D4E"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76.9</w:t>
            </w:r>
          </w:p>
        </w:tc>
        <w:tc>
          <w:tcPr>
            <w:tcW w:w="750" w:type="dxa"/>
            <w:tcBorders>
              <w:top w:val="nil"/>
              <w:left w:val="nil"/>
              <w:bottom w:val="single" w:sz="4" w:space="0" w:color="auto"/>
              <w:right w:val="single" w:sz="4" w:space="0" w:color="auto"/>
            </w:tcBorders>
            <w:noWrap/>
            <w:vAlign w:val="center"/>
          </w:tcPr>
          <w:p w14:paraId="3CF4CB9D" w14:textId="193C75E6" w:rsidR="00D73532" w:rsidRPr="00217865" w:rsidRDefault="00145D49" w:rsidP="007301B9">
            <w:pPr>
              <w:pStyle w:val="Footertable"/>
              <w:spacing w:before="60" w:after="60"/>
              <w:jc w:val="center"/>
              <w:rPr>
                <w:rFonts w:ascii="Arial" w:hAnsi="Arial" w:cs="Arial"/>
                <w:color w:val="000000" w:themeColor="text1"/>
                <w:sz w:val="18"/>
                <w:szCs w:val="18"/>
              </w:rPr>
            </w:pPr>
            <w:r w:rsidRPr="00217865">
              <w:rPr>
                <w:rFonts w:ascii="Arial" w:hAnsi="Arial" w:cs="Arial"/>
                <w:color w:val="000000" w:themeColor="text1"/>
                <w:sz w:val="18"/>
                <w:szCs w:val="18"/>
              </w:rPr>
              <w:t>77.0</w:t>
            </w:r>
          </w:p>
        </w:tc>
      </w:tr>
    </w:tbl>
    <w:p w14:paraId="50D8F0E9" w14:textId="77A7520F" w:rsidR="00D73532" w:rsidRPr="00217865" w:rsidRDefault="00D73532" w:rsidP="00094E4B">
      <w:pPr>
        <w:pStyle w:val="Z"/>
        <w:spacing w:before="120"/>
        <w:rPr>
          <w:color w:val="000000" w:themeColor="text1"/>
          <w:szCs w:val="18"/>
        </w:rPr>
      </w:pPr>
      <w:r w:rsidRPr="00217865">
        <w:rPr>
          <w:color w:val="000000" w:themeColor="text1"/>
          <w:szCs w:val="18"/>
        </w:rPr>
        <w:t>Note that prior to 2023, the Peer Engagement focus area was named Learner Engagement and Student Support and Services, was previously the Student Support focus area. This table should be used to compare the cohort responses but year on year comparisons between 2022 and 2023 treated with caution.</w:t>
      </w:r>
    </w:p>
    <w:p w14:paraId="2D9F0232" w14:textId="465EF93B" w:rsidR="00D73532" w:rsidRPr="00217865" w:rsidRDefault="00D73532" w:rsidP="00094E4B">
      <w:pPr>
        <w:spacing w:before="120"/>
        <w:rPr>
          <w:rFonts w:cs="Arial"/>
          <w:color w:val="000000" w:themeColor="text1"/>
          <w:sz w:val="18"/>
        </w:rPr>
      </w:pPr>
      <w:r w:rsidRPr="00217865">
        <w:rPr>
          <w:rFonts w:cs="Arial"/>
          <w:color w:val="000000" w:themeColor="text1"/>
          <w:sz w:val="18"/>
        </w:rPr>
        <w:t xml:space="preserve">Table includes top five source countries in 2023, in order of highest to lowest numbers of responses. Total includes all </w:t>
      </w:r>
      <w:r w:rsidR="00145D49" w:rsidRPr="00217865">
        <w:rPr>
          <w:rFonts w:cs="Arial"/>
          <w:color w:val="000000" w:themeColor="text1"/>
          <w:sz w:val="18"/>
        </w:rPr>
        <w:t xml:space="preserve">source </w:t>
      </w:r>
      <w:r w:rsidRPr="00217865">
        <w:rPr>
          <w:rFonts w:cs="Arial"/>
          <w:color w:val="000000" w:themeColor="text1"/>
          <w:sz w:val="18"/>
        </w:rPr>
        <w:t>countries.</w:t>
      </w:r>
    </w:p>
    <w:p w14:paraId="66A9EBB3" w14:textId="77777777" w:rsidR="00821227" w:rsidRPr="00217865" w:rsidRDefault="00821227" w:rsidP="00821227">
      <w:pPr>
        <w:rPr>
          <w:rFonts w:cs="Arial"/>
          <w:color w:val="000000" w:themeColor="text1"/>
          <w:highlight w:val="yellow"/>
        </w:rPr>
      </w:pPr>
    </w:p>
    <w:p w14:paraId="1FC430CF" w14:textId="77777777" w:rsidR="00821227" w:rsidRPr="00217865" w:rsidRDefault="00821227" w:rsidP="00821227">
      <w:pPr>
        <w:rPr>
          <w:rFonts w:cs="Arial"/>
          <w:color w:val="000000" w:themeColor="text1"/>
          <w:highlight w:val="yellow"/>
        </w:rPr>
        <w:sectPr w:rsidR="00821227" w:rsidRPr="00217865" w:rsidSect="007624C4">
          <w:pgSz w:w="16840" w:h="11900" w:orient="landscape"/>
          <w:pgMar w:top="710" w:right="852" w:bottom="560" w:left="994" w:header="397" w:footer="283" w:gutter="0"/>
          <w:cols w:space="708"/>
          <w:docGrid w:linePitch="360"/>
        </w:sectPr>
      </w:pPr>
    </w:p>
    <w:p w14:paraId="44913590" w14:textId="732ADA4B" w:rsidR="00821227" w:rsidRPr="00217865" w:rsidRDefault="00890892" w:rsidP="00E06AED">
      <w:pPr>
        <w:pStyle w:val="Heading2"/>
      </w:pPr>
      <w:bookmarkStart w:id="39" w:name="_Toc178599285"/>
      <w:r w:rsidRPr="00217865">
        <w:lastRenderedPageBreak/>
        <w:t xml:space="preserve">Study </w:t>
      </w:r>
      <w:r w:rsidR="00821227" w:rsidRPr="00217865">
        <w:t>area</w:t>
      </w:r>
      <w:bookmarkEnd w:id="39"/>
    </w:p>
    <w:p w14:paraId="28375AE7" w14:textId="31EADB47" w:rsidR="00821227" w:rsidRPr="00217865" w:rsidRDefault="00821227" w:rsidP="0027783D">
      <w:pPr>
        <w:pStyle w:val="Body"/>
        <w:rPr>
          <w:rFonts w:cs="Arial"/>
          <w:color w:val="000000" w:themeColor="text1"/>
        </w:rPr>
      </w:pPr>
      <w:r w:rsidRPr="00217865">
        <w:rPr>
          <w:rFonts w:cs="Arial"/>
          <w:color w:val="000000" w:themeColor="text1"/>
        </w:rPr>
        <w:t xml:space="preserve">The study areas with the largest number of international undergraduate student responses included Business and management, Computing and information systems and Nursing, which accounted for over half of the international responses between them. </w:t>
      </w:r>
      <w:r w:rsidR="0027783D" w:rsidRPr="00217865">
        <w:rPr>
          <w:rFonts w:cs="Arial"/>
          <w:color w:val="000000" w:themeColor="text1"/>
        </w:rPr>
        <w:t>International student responses were even more clustered at the postgraduate coursework level where more than half of responses came from Business and management and Computing and information systems.</w:t>
      </w:r>
    </w:p>
    <w:p w14:paraId="3AD1B7DF" w14:textId="77777777" w:rsidR="00984AB0" w:rsidRPr="00217865" w:rsidRDefault="00984AB0" w:rsidP="007301B9">
      <w:pPr>
        <w:spacing w:after="120"/>
        <w:rPr>
          <w:rFonts w:eastAsia="Times New Roman" w:cs="Arial"/>
          <w:b/>
          <w:bCs/>
          <w:color w:val="000000" w:themeColor="text1"/>
          <w:sz w:val="22"/>
          <w:szCs w:val="22"/>
          <w:lang w:eastAsia="en-AU"/>
        </w:rPr>
      </w:pPr>
      <w:bookmarkStart w:id="40" w:name="_Ref130225542"/>
      <w:r w:rsidRPr="00217865">
        <w:rPr>
          <w:rFonts w:cs="Arial"/>
          <w:b/>
          <w:bCs/>
          <w:color w:val="000000" w:themeColor="text1"/>
          <w:lang w:val="en-GB"/>
        </w:rPr>
        <w:t>Callout:</w:t>
      </w:r>
      <w:r w:rsidRPr="00217865">
        <w:rPr>
          <w:rFonts w:cs="Arial"/>
          <w:color w:val="000000" w:themeColor="text1"/>
          <w:lang w:val="en-GB"/>
        </w:rPr>
        <w:t xml:space="preserve"> </w:t>
      </w:r>
      <w:r w:rsidRPr="00217865">
        <w:rPr>
          <w:rFonts w:eastAsia="Times New Roman" w:cs="Arial"/>
          <w:color w:val="000000" w:themeColor="text1"/>
          <w:sz w:val="22"/>
          <w:szCs w:val="22"/>
          <w:lang w:eastAsia="en-AU"/>
        </w:rPr>
        <w:t>Undergraduate study area profile (proportions based on responses to the 2023 SES)</w:t>
      </w:r>
    </w:p>
    <w:bookmarkEnd w:id="40"/>
    <w:p w14:paraId="1A64D268" w14:textId="0D46296A" w:rsidR="00821227" w:rsidRPr="00217865" w:rsidRDefault="0083563F" w:rsidP="00821227">
      <w:pPr>
        <w:rPr>
          <w:rFonts w:cs="Arial"/>
          <w:color w:val="000000" w:themeColor="text1"/>
          <w:highlight w:val="yellow"/>
        </w:rPr>
      </w:pPr>
      <w:r w:rsidRPr="00217865">
        <w:rPr>
          <w:rFonts w:cs="Arial"/>
          <w:noProof/>
          <w:color w:val="000000" w:themeColor="text1"/>
        </w:rPr>
        <w:drawing>
          <wp:inline distT="0" distB="0" distL="0" distR="0" wp14:anchorId="57AF72D1" wp14:editId="36361F52">
            <wp:extent cx="5868000" cy="3384000"/>
            <wp:effectExtent l="0" t="0" r="0" b="6985"/>
            <wp:docPr id="1237176070" name="Chart 1">
              <a:extLst xmlns:a="http://schemas.openxmlformats.org/drawingml/2006/main">
                <a:ext uri="{FF2B5EF4-FFF2-40B4-BE49-F238E27FC236}">
                  <a16:creationId xmlns:a16="http://schemas.microsoft.com/office/drawing/2014/main" id="{37FFD96A-FFB0-933D-234F-1FF39DCFE67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3F29E7B" w14:textId="1A2C28D6" w:rsidR="00125742" w:rsidRPr="00217865" w:rsidRDefault="00125742" w:rsidP="00125742">
      <w:pPr>
        <w:pStyle w:val="Body"/>
        <w:rPr>
          <w:rFonts w:cs="Arial"/>
          <w:color w:val="000000" w:themeColor="text1"/>
        </w:rPr>
      </w:pPr>
      <w:r w:rsidRPr="00217865">
        <w:rPr>
          <w:rFonts w:cs="Arial"/>
          <w:color w:val="000000" w:themeColor="text1"/>
        </w:rPr>
        <w:t xml:space="preserve">The student experience for international </w:t>
      </w:r>
      <w:r w:rsidR="001469AA" w:rsidRPr="00217865">
        <w:rPr>
          <w:rFonts w:cs="Arial"/>
          <w:color w:val="000000" w:themeColor="text1"/>
        </w:rPr>
        <w:t xml:space="preserve">undergraduate </w:t>
      </w:r>
      <w:r w:rsidRPr="00217865">
        <w:rPr>
          <w:rFonts w:cs="Arial"/>
          <w:color w:val="000000" w:themeColor="text1"/>
        </w:rPr>
        <w:t xml:space="preserve">students disaggregated by study area is shown in </w:t>
      </w:r>
      <w:r w:rsidR="000534C9" w:rsidRPr="001E2723">
        <w:rPr>
          <w:rFonts w:cs="Arial"/>
          <w:b/>
          <w:bCs/>
          <w:color w:val="000000" w:themeColor="text1"/>
        </w:rPr>
        <w:t>Table 5</w:t>
      </w:r>
      <w:r w:rsidRPr="00217865">
        <w:rPr>
          <w:rFonts w:cs="Arial"/>
          <w:color w:val="000000" w:themeColor="text1"/>
        </w:rPr>
        <w:t xml:space="preserve"> </w:t>
      </w:r>
      <w:r w:rsidRPr="00217865">
        <w:rPr>
          <w:rFonts w:cs="Arial"/>
          <w:b/>
          <w:color w:val="000000" w:themeColor="text1"/>
        </w:rPr>
        <w:fldChar w:fldCharType="begin"/>
      </w:r>
      <w:r w:rsidRPr="00217865">
        <w:rPr>
          <w:rFonts w:cs="Arial"/>
          <w:b/>
          <w:color w:val="000000" w:themeColor="text1"/>
        </w:rPr>
        <w:instrText xml:space="preserve"> REF _Ref131594303 \h  \* MERGEFORMAT </w:instrText>
      </w:r>
      <w:r w:rsidRPr="00217865">
        <w:rPr>
          <w:rFonts w:cs="Arial"/>
          <w:b/>
          <w:color w:val="000000" w:themeColor="text1"/>
        </w:rPr>
      </w:r>
      <w:r w:rsidRPr="00217865">
        <w:rPr>
          <w:rFonts w:cs="Arial"/>
          <w:b/>
          <w:color w:val="000000" w:themeColor="text1"/>
        </w:rPr>
        <w:fldChar w:fldCharType="separate"/>
      </w:r>
      <w:r w:rsidRPr="00217865">
        <w:rPr>
          <w:rFonts w:cs="Arial"/>
          <w:b/>
          <w:color w:val="000000" w:themeColor="text1"/>
        </w:rPr>
        <w:fldChar w:fldCharType="end"/>
      </w:r>
      <w:r w:rsidRPr="00217865">
        <w:rPr>
          <w:rFonts w:cs="Arial"/>
          <w:color w:val="000000" w:themeColor="text1"/>
        </w:rPr>
        <w:t xml:space="preserve"> covering the period 2021 to 2023. Note there are a relatively small number of survey responses for international students in some study areas, as shown by </w:t>
      </w:r>
      <w:r w:rsidRPr="00217865">
        <w:rPr>
          <w:rFonts w:cs="Arial"/>
          <w:b/>
          <w:color w:val="000000" w:themeColor="text1"/>
        </w:rPr>
        <w:fldChar w:fldCharType="begin"/>
      </w:r>
      <w:r w:rsidRPr="00217865">
        <w:rPr>
          <w:rFonts w:cs="Arial"/>
          <w:b/>
          <w:color w:val="000000" w:themeColor="text1"/>
        </w:rPr>
        <w:instrText xml:space="preserve"> REF _Ref66261560 \h  \* MERGEFORMAT </w:instrText>
      </w:r>
      <w:r w:rsidRPr="00217865">
        <w:rPr>
          <w:rFonts w:cs="Arial"/>
          <w:b/>
          <w:color w:val="000000" w:themeColor="text1"/>
        </w:rPr>
      </w:r>
      <w:r w:rsidRPr="00217865">
        <w:rPr>
          <w:rFonts w:cs="Arial"/>
          <w:b/>
          <w:color w:val="000000" w:themeColor="text1"/>
        </w:rPr>
        <w:fldChar w:fldCharType="separate"/>
      </w:r>
      <w:r w:rsidR="005D5678" w:rsidRPr="005D5678">
        <w:rPr>
          <w:rFonts w:cs="Arial"/>
          <w:b/>
          <w:color w:val="000000" w:themeColor="text1"/>
        </w:rPr>
        <w:t>Table 15</w:t>
      </w:r>
      <w:r w:rsidRPr="00217865">
        <w:rPr>
          <w:rFonts w:cs="Arial"/>
          <w:b/>
          <w:color w:val="000000" w:themeColor="text1"/>
        </w:rPr>
        <w:fldChar w:fldCharType="end"/>
      </w:r>
      <w:r w:rsidRPr="00217865">
        <w:rPr>
          <w:rFonts w:cs="Arial"/>
          <w:color w:val="000000" w:themeColor="text1"/>
        </w:rPr>
        <w:t xml:space="preserve">, and caution should be exercised in interpreting changes in student ratings for smaller study areas. </w:t>
      </w:r>
    </w:p>
    <w:p w14:paraId="7EE18B93" w14:textId="5D6C4217" w:rsidR="00821227" w:rsidRPr="00217865" w:rsidRDefault="00821227" w:rsidP="00821227">
      <w:pPr>
        <w:pStyle w:val="Body"/>
        <w:rPr>
          <w:rFonts w:cs="Arial"/>
          <w:color w:val="000000" w:themeColor="text1"/>
        </w:rPr>
      </w:pPr>
      <w:bookmarkStart w:id="41" w:name="_Hlk156315704"/>
      <w:r w:rsidRPr="00217865">
        <w:rPr>
          <w:rFonts w:cs="Arial"/>
          <w:color w:val="000000" w:themeColor="text1"/>
        </w:rPr>
        <w:t xml:space="preserve">Most study areas displayed an increase in ratings of </w:t>
      </w:r>
      <w:r w:rsidR="001469AA" w:rsidRPr="00217865">
        <w:rPr>
          <w:rFonts w:cs="Arial"/>
          <w:color w:val="000000" w:themeColor="text1"/>
        </w:rPr>
        <w:t xml:space="preserve">the overall educational </w:t>
      </w:r>
      <w:r w:rsidRPr="00217865">
        <w:rPr>
          <w:rFonts w:cs="Arial"/>
          <w:color w:val="000000" w:themeColor="text1"/>
        </w:rPr>
        <w:t xml:space="preserve">experience in 2023. </w:t>
      </w:r>
      <w:r w:rsidR="007A7AA4" w:rsidRPr="00217865">
        <w:rPr>
          <w:rFonts w:cs="Arial"/>
          <w:color w:val="000000" w:themeColor="text1"/>
        </w:rPr>
        <w:t>Undergraduate s</w:t>
      </w:r>
      <w:r w:rsidRPr="00217865">
        <w:rPr>
          <w:rFonts w:cs="Arial"/>
          <w:color w:val="000000" w:themeColor="text1"/>
        </w:rPr>
        <w:t xml:space="preserve">tudent ratings for Nursing were </w:t>
      </w:r>
      <w:r w:rsidR="001469AA" w:rsidRPr="00217865">
        <w:rPr>
          <w:rFonts w:cs="Arial"/>
          <w:color w:val="000000" w:themeColor="text1"/>
        </w:rPr>
        <w:t xml:space="preserve">markedly </w:t>
      </w:r>
      <w:r w:rsidRPr="00217865">
        <w:rPr>
          <w:rFonts w:cs="Arial"/>
          <w:color w:val="000000" w:themeColor="text1"/>
        </w:rPr>
        <w:t>higher than those recorded in 2022 in all focus areas</w:t>
      </w:r>
      <w:r w:rsidR="000315D6" w:rsidRPr="00217865">
        <w:rPr>
          <w:rFonts w:cs="Arial"/>
          <w:color w:val="000000" w:themeColor="text1"/>
        </w:rPr>
        <w:t>.</w:t>
      </w:r>
      <w:r w:rsidRPr="00217865">
        <w:rPr>
          <w:rFonts w:cs="Arial"/>
          <w:color w:val="000000" w:themeColor="text1"/>
        </w:rPr>
        <w:t xml:space="preserve"> Tourism, hospitality, personal services, sport and recreation </w:t>
      </w:r>
      <w:r w:rsidR="000315D6" w:rsidRPr="00217865">
        <w:rPr>
          <w:rFonts w:cs="Arial"/>
          <w:color w:val="000000" w:themeColor="text1"/>
        </w:rPr>
        <w:t xml:space="preserve">saw increased ratings in 2023 </w:t>
      </w:r>
      <w:r w:rsidRPr="00217865">
        <w:rPr>
          <w:rFonts w:cs="Arial"/>
          <w:color w:val="000000" w:themeColor="text1"/>
        </w:rPr>
        <w:t xml:space="preserve">for </w:t>
      </w:r>
      <w:r w:rsidR="00E55F1F" w:rsidRPr="00217865">
        <w:rPr>
          <w:rFonts w:cs="Arial"/>
          <w:color w:val="000000" w:themeColor="text1"/>
        </w:rPr>
        <w:t>most of the five</w:t>
      </w:r>
      <w:r w:rsidRPr="00217865">
        <w:rPr>
          <w:rFonts w:cs="Arial"/>
          <w:color w:val="000000" w:themeColor="text1"/>
        </w:rPr>
        <w:t xml:space="preserve"> focus areas</w:t>
      </w:r>
      <w:r w:rsidR="0027783D" w:rsidRPr="00217865">
        <w:rPr>
          <w:rFonts w:cs="Arial"/>
          <w:color w:val="000000" w:themeColor="text1"/>
        </w:rPr>
        <w:t>, as well as</w:t>
      </w:r>
      <w:r w:rsidRPr="00217865">
        <w:rPr>
          <w:rFonts w:cs="Arial"/>
          <w:color w:val="000000" w:themeColor="text1"/>
        </w:rPr>
        <w:t xml:space="preserve"> the Quality of entire educational experience. </w:t>
      </w:r>
    </w:p>
    <w:p w14:paraId="2DB47F43" w14:textId="6FCE17C1" w:rsidR="00821227" w:rsidRPr="00217865" w:rsidRDefault="00821227" w:rsidP="00821227">
      <w:pPr>
        <w:pStyle w:val="Body"/>
        <w:rPr>
          <w:rFonts w:cs="Arial"/>
          <w:color w:val="000000" w:themeColor="text1"/>
        </w:rPr>
      </w:pPr>
      <w:r w:rsidRPr="00217865">
        <w:rPr>
          <w:rFonts w:cs="Arial"/>
          <w:color w:val="000000" w:themeColor="text1"/>
        </w:rPr>
        <w:t xml:space="preserve">There </w:t>
      </w:r>
      <w:r w:rsidR="004F7FF0" w:rsidRPr="00217865">
        <w:rPr>
          <w:rFonts w:cs="Arial"/>
          <w:color w:val="000000" w:themeColor="text1"/>
        </w:rPr>
        <w:t>were</w:t>
      </w:r>
      <w:r w:rsidRPr="00217865">
        <w:rPr>
          <w:rFonts w:cs="Arial"/>
          <w:color w:val="000000" w:themeColor="text1"/>
        </w:rPr>
        <w:t xml:space="preserve"> incremental </w:t>
      </w:r>
      <w:r w:rsidR="00296E71" w:rsidRPr="00217865">
        <w:rPr>
          <w:rFonts w:cs="Arial"/>
          <w:color w:val="000000" w:themeColor="text1"/>
        </w:rPr>
        <w:t xml:space="preserve">changes </w:t>
      </w:r>
      <w:r w:rsidRPr="00217865">
        <w:rPr>
          <w:rFonts w:cs="Arial"/>
          <w:color w:val="000000" w:themeColor="text1"/>
        </w:rPr>
        <w:t xml:space="preserve">in ratings of the Quality of entire educational experience across study areas between </w:t>
      </w:r>
      <w:r w:rsidR="004F7FF0" w:rsidRPr="00217865">
        <w:rPr>
          <w:rFonts w:cs="Arial"/>
          <w:color w:val="000000" w:themeColor="text1"/>
        </w:rPr>
        <w:t xml:space="preserve">2022 and </w:t>
      </w:r>
      <w:r w:rsidRPr="00217865">
        <w:rPr>
          <w:rFonts w:cs="Arial"/>
          <w:color w:val="000000" w:themeColor="text1"/>
        </w:rPr>
        <w:t>202</w:t>
      </w:r>
      <w:r w:rsidR="004F7FF0" w:rsidRPr="00217865">
        <w:rPr>
          <w:rFonts w:cs="Arial"/>
          <w:color w:val="000000" w:themeColor="text1"/>
        </w:rPr>
        <w:t>3</w:t>
      </w:r>
      <w:r w:rsidR="00296E71" w:rsidRPr="00217865">
        <w:rPr>
          <w:rFonts w:cs="Arial"/>
          <w:color w:val="000000" w:themeColor="text1"/>
        </w:rPr>
        <w:t>, with some pronounced increases</w:t>
      </w:r>
      <w:r w:rsidRPr="00217865">
        <w:rPr>
          <w:rFonts w:cs="Arial"/>
          <w:color w:val="000000" w:themeColor="text1"/>
        </w:rPr>
        <w:t xml:space="preserve">. </w:t>
      </w:r>
      <w:r w:rsidR="004F7FF0" w:rsidRPr="00217865">
        <w:rPr>
          <w:rFonts w:cs="Arial"/>
          <w:color w:val="000000" w:themeColor="text1"/>
        </w:rPr>
        <w:t xml:space="preserve">For example, </w:t>
      </w:r>
      <w:r w:rsidR="00296E71" w:rsidRPr="00217865">
        <w:rPr>
          <w:rFonts w:cs="Arial"/>
          <w:color w:val="000000" w:themeColor="text1"/>
        </w:rPr>
        <w:t>undergraduate respondents in the area of Nursing rated the Quality of their entire educational experience 7.5 percentage points higher in 2023 than in 2022, and Teaching education respondents rated their experience 7.6 percentage points higher in 2023 than did those responding in 2022.</w:t>
      </w:r>
      <w:r w:rsidRPr="00217865">
        <w:rPr>
          <w:rFonts w:cs="Arial"/>
          <w:color w:val="000000" w:themeColor="text1"/>
        </w:rPr>
        <w:t>Tourism, hospitality, personal services, sport and recreation international undergraduate student ratings of the Quality of entire educational in 2023 exceeded the 2022 rating by 9.2 percentage points.</w:t>
      </w:r>
    </w:p>
    <w:p w14:paraId="008306BC" w14:textId="46D6F1D5" w:rsidR="00821227" w:rsidRPr="00217865" w:rsidRDefault="00821227" w:rsidP="00821227">
      <w:pPr>
        <w:pStyle w:val="Body"/>
        <w:rPr>
          <w:rFonts w:cs="Arial"/>
          <w:color w:val="000000" w:themeColor="text1"/>
          <w:highlight w:val="yellow"/>
        </w:rPr>
      </w:pPr>
      <w:r w:rsidRPr="00217865">
        <w:rPr>
          <w:rFonts w:cs="Arial"/>
          <w:color w:val="000000" w:themeColor="text1"/>
        </w:rPr>
        <w:t>Student ratings for the Peer Engagement focus area were higher in 2023 compared to</w:t>
      </w:r>
      <w:r w:rsidR="007A7AA4" w:rsidRPr="00217865">
        <w:rPr>
          <w:rFonts w:cs="Arial"/>
          <w:color w:val="000000" w:themeColor="text1"/>
        </w:rPr>
        <w:t xml:space="preserve"> the Learner Engagement</w:t>
      </w:r>
      <w:r w:rsidRPr="00217865">
        <w:rPr>
          <w:rFonts w:cs="Arial"/>
          <w:color w:val="000000" w:themeColor="text1"/>
        </w:rPr>
        <w:t xml:space="preserve"> </w:t>
      </w:r>
      <w:r w:rsidR="007A7AA4" w:rsidRPr="00217865">
        <w:rPr>
          <w:rFonts w:cs="Arial"/>
          <w:color w:val="000000" w:themeColor="text1"/>
        </w:rPr>
        <w:t xml:space="preserve">focus area in </w:t>
      </w:r>
      <w:r w:rsidRPr="00217865">
        <w:rPr>
          <w:rFonts w:cs="Arial"/>
          <w:color w:val="000000" w:themeColor="text1"/>
        </w:rPr>
        <w:t xml:space="preserve">2022 for </w:t>
      </w:r>
      <w:r w:rsidR="003C2486" w:rsidRPr="00217865">
        <w:rPr>
          <w:rFonts w:cs="Arial"/>
          <w:color w:val="000000" w:themeColor="text1"/>
        </w:rPr>
        <w:t>m</w:t>
      </w:r>
      <w:r w:rsidR="00084D65" w:rsidRPr="00217865">
        <w:rPr>
          <w:rFonts w:cs="Arial"/>
          <w:color w:val="000000" w:themeColor="text1"/>
        </w:rPr>
        <w:t>ost</w:t>
      </w:r>
      <w:r w:rsidR="003C2486" w:rsidRPr="00217865">
        <w:rPr>
          <w:rFonts w:cs="Arial"/>
          <w:color w:val="000000" w:themeColor="text1"/>
        </w:rPr>
        <w:t xml:space="preserve"> </w:t>
      </w:r>
      <w:r w:rsidRPr="00217865">
        <w:rPr>
          <w:rFonts w:cs="Arial"/>
          <w:color w:val="000000" w:themeColor="text1"/>
        </w:rPr>
        <w:t xml:space="preserve">study areas. These increases </w:t>
      </w:r>
      <w:r w:rsidR="00B40B71" w:rsidRPr="00217865">
        <w:rPr>
          <w:rFonts w:cs="Arial"/>
          <w:color w:val="000000" w:themeColor="text1"/>
        </w:rPr>
        <w:t>were</w:t>
      </w:r>
      <w:r w:rsidRPr="00217865">
        <w:rPr>
          <w:rFonts w:cs="Arial"/>
          <w:color w:val="000000" w:themeColor="text1"/>
        </w:rPr>
        <w:t xml:space="preserve"> likely driven by the higher proportion of international </w:t>
      </w:r>
      <w:r w:rsidR="00B40B71" w:rsidRPr="00217865">
        <w:rPr>
          <w:rFonts w:cs="Arial"/>
          <w:color w:val="000000" w:themeColor="text1"/>
        </w:rPr>
        <w:t>students</w:t>
      </w:r>
      <w:r w:rsidRPr="00217865">
        <w:rPr>
          <w:rFonts w:cs="Arial"/>
          <w:color w:val="000000" w:themeColor="text1"/>
        </w:rPr>
        <w:t xml:space="preserve"> located in Australia at the time of the survey </w:t>
      </w:r>
      <w:r w:rsidR="00B40B71" w:rsidRPr="00217865">
        <w:rPr>
          <w:rFonts w:cs="Arial"/>
          <w:color w:val="000000" w:themeColor="text1"/>
        </w:rPr>
        <w:t xml:space="preserve">in 2023 </w:t>
      </w:r>
      <w:r w:rsidRPr="00217865">
        <w:rPr>
          <w:rFonts w:cs="Arial"/>
          <w:color w:val="000000" w:themeColor="text1"/>
        </w:rPr>
        <w:t>than in 2022</w:t>
      </w:r>
      <w:r w:rsidR="007A7AA4" w:rsidRPr="00217865">
        <w:rPr>
          <w:rFonts w:cs="Arial"/>
          <w:color w:val="000000" w:themeColor="text1"/>
        </w:rPr>
        <w:t xml:space="preserve"> and in 2021</w:t>
      </w:r>
      <w:r w:rsidRPr="00217865">
        <w:rPr>
          <w:rFonts w:cs="Arial"/>
          <w:color w:val="000000" w:themeColor="text1"/>
        </w:rPr>
        <w:t xml:space="preserve">, as indicated previously. Tourism, hospitality, personal services, sport and recreation students </w:t>
      </w:r>
      <w:proofErr w:type="gramStart"/>
      <w:r w:rsidRPr="00217865">
        <w:rPr>
          <w:rFonts w:cs="Arial"/>
          <w:color w:val="000000" w:themeColor="text1"/>
        </w:rPr>
        <w:t>actually rated</w:t>
      </w:r>
      <w:proofErr w:type="gramEnd"/>
      <w:r w:rsidRPr="00217865">
        <w:rPr>
          <w:rFonts w:cs="Arial"/>
          <w:color w:val="000000" w:themeColor="text1"/>
        </w:rPr>
        <w:t xml:space="preserve"> the </w:t>
      </w:r>
      <w:r w:rsidR="007A7AA4" w:rsidRPr="00217865">
        <w:rPr>
          <w:rFonts w:cs="Arial"/>
          <w:color w:val="000000" w:themeColor="text1"/>
        </w:rPr>
        <w:t xml:space="preserve">new </w:t>
      </w:r>
      <w:r w:rsidRPr="00217865">
        <w:rPr>
          <w:rFonts w:cs="Arial"/>
          <w:color w:val="000000" w:themeColor="text1"/>
        </w:rPr>
        <w:t xml:space="preserve">Peer Engagement focus area 15.8 percentage points higher </w:t>
      </w:r>
      <w:r w:rsidR="007A7AA4" w:rsidRPr="00217865">
        <w:rPr>
          <w:rFonts w:cs="Arial"/>
          <w:color w:val="000000" w:themeColor="text1"/>
        </w:rPr>
        <w:t>compared to the Learner Engagement focus area in the previous</w:t>
      </w:r>
      <w:r w:rsidRPr="00217865">
        <w:rPr>
          <w:rFonts w:cs="Arial"/>
          <w:color w:val="000000" w:themeColor="text1"/>
        </w:rPr>
        <w:t xml:space="preserve"> two years.</w:t>
      </w:r>
    </w:p>
    <w:p w14:paraId="3DA60229" w14:textId="4C0B0A72" w:rsidR="00821227" w:rsidRPr="00217865" w:rsidRDefault="00821227" w:rsidP="00821227">
      <w:pPr>
        <w:pStyle w:val="Body"/>
        <w:rPr>
          <w:rFonts w:cs="Arial"/>
          <w:color w:val="000000" w:themeColor="text1"/>
        </w:rPr>
      </w:pPr>
      <w:r w:rsidRPr="00217865">
        <w:rPr>
          <w:rFonts w:cs="Arial"/>
          <w:color w:val="000000" w:themeColor="text1"/>
        </w:rPr>
        <w:t xml:space="preserve">The Learning Resources focus area ratings </w:t>
      </w:r>
      <w:r w:rsidR="003C2486" w:rsidRPr="00217865">
        <w:rPr>
          <w:rFonts w:cs="Arial"/>
          <w:color w:val="000000" w:themeColor="text1"/>
        </w:rPr>
        <w:t xml:space="preserve">were generally steady between 2022 and 2023, </w:t>
      </w:r>
      <w:proofErr w:type="gramStart"/>
      <w:r w:rsidR="003C2486" w:rsidRPr="00217865">
        <w:rPr>
          <w:rFonts w:cs="Arial"/>
          <w:color w:val="000000" w:themeColor="text1"/>
        </w:rPr>
        <w:t>with the exception of</w:t>
      </w:r>
      <w:proofErr w:type="gramEnd"/>
      <w:r w:rsidR="003C2486" w:rsidRPr="00217865">
        <w:rPr>
          <w:rFonts w:cs="Arial"/>
          <w:color w:val="000000" w:themeColor="text1"/>
        </w:rPr>
        <w:t xml:space="preserve"> notable increases in the areas of Health services and support</w:t>
      </w:r>
      <w:r w:rsidR="00A257F2" w:rsidRPr="00217865">
        <w:rPr>
          <w:rFonts w:cs="Arial"/>
          <w:color w:val="000000" w:themeColor="text1"/>
        </w:rPr>
        <w:t xml:space="preserve">, </w:t>
      </w:r>
      <w:r w:rsidR="003C2486" w:rsidRPr="00217865">
        <w:rPr>
          <w:rFonts w:cs="Arial"/>
          <w:color w:val="000000" w:themeColor="text1"/>
        </w:rPr>
        <w:t>Nursing</w:t>
      </w:r>
      <w:r w:rsidR="00A257F2" w:rsidRPr="00217865">
        <w:rPr>
          <w:rFonts w:cs="Arial"/>
          <w:color w:val="000000" w:themeColor="text1"/>
        </w:rPr>
        <w:t xml:space="preserve"> and Humanities, culture and social sciences</w:t>
      </w:r>
      <w:r w:rsidR="003C2486" w:rsidRPr="00217865">
        <w:rPr>
          <w:rFonts w:cs="Arial"/>
          <w:color w:val="000000" w:themeColor="text1"/>
        </w:rPr>
        <w:t xml:space="preserve">, and </w:t>
      </w:r>
      <w:r w:rsidRPr="00217865">
        <w:rPr>
          <w:rFonts w:cs="Arial"/>
          <w:color w:val="000000" w:themeColor="text1"/>
        </w:rPr>
        <w:t xml:space="preserve">Veterinary Science </w:t>
      </w:r>
      <w:r w:rsidR="007A7AA4" w:rsidRPr="00217865">
        <w:rPr>
          <w:rFonts w:cs="Arial"/>
          <w:color w:val="000000" w:themeColor="text1"/>
        </w:rPr>
        <w:t xml:space="preserve">which saw </w:t>
      </w:r>
      <w:r w:rsidRPr="00217865">
        <w:rPr>
          <w:rFonts w:cs="Arial"/>
          <w:color w:val="000000" w:themeColor="text1"/>
        </w:rPr>
        <w:t xml:space="preserve">the largest decrease between 2022 and 2023 </w:t>
      </w:r>
      <w:r w:rsidR="007A7AA4" w:rsidRPr="00217865">
        <w:rPr>
          <w:rFonts w:cs="Arial"/>
          <w:color w:val="000000" w:themeColor="text1"/>
        </w:rPr>
        <w:t xml:space="preserve">of </w:t>
      </w:r>
      <w:r w:rsidRPr="00217865">
        <w:rPr>
          <w:rFonts w:cs="Arial"/>
          <w:color w:val="000000" w:themeColor="text1"/>
        </w:rPr>
        <w:t>13.0 percentage points. Again, this</w:t>
      </w:r>
      <w:r w:rsidR="007A7AA4" w:rsidRPr="00217865">
        <w:rPr>
          <w:rFonts w:cs="Arial"/>
          <w:color w:val="000000" w:themeColor="text1"/>
        </w:rPr>
        <w:t xml:space="preserve"> </w:t>
      </w:r>
      <w:r w:rsidR="007A7AA4" w:rsidRPr="00217865">
        <w:rPr>
          <w:rFonts w:cs="Arial"/>
          <w:color w:val="000000" w:themeColor="text1"/>
        </w:rPr>
        <w:lastRenderedPageBreak/>
        <w:t>general increase</w:t>
      </w:r>
      <w:r w:rsidRPr="00217865">
        <w:rPr>
          <w:rFonts w:cs="Arial"/>
          <w:color w:val="000000" w:themeColor="text1"/>
        </w:rPr>
        <w:t xml:space="preserve"> may reflect the return of </w:t>
      </w:r>
      <w:proofErr w:type="gramStart"/>
      <w:r w:rsidRPr="00217865">
        <w:rPr>
          <w:rFonts w:cs="Arial"/>
          <w:color w:val="000000" w:themeColor="text1"/>
        </w:rPr>
        <w:t>the majority of</w:t>
      </w:r>
      <w:proofErr w:type="gramEnd"/>
      <w:r w:rsidRPr="00217865">
        <w:rPr>
          <w:rFonts w:cs="Arial"/>
          <w:color w:val="000000" w:themeColor="text1"/>
        </w:rPr>
        <w:t xml:space="preserve"> international students to Australia in 2023 and therefore increased on-campus engagement including access to student and teaching spaces, computing and IT equipment, labs and specialist equipment. </w:t>
      </w:r>
    </w:p>
    <w:p w14:paraId="2424A5E2" w14:textId="00CFEEC4" w:rsidR="00DE0DC2" w:rsidRPr="00217865" w:rsidRDefault="00DE0DC2" w:rsidP="00DE0DC2">
      <w:pPr>
        <w:rPr>
          <w:rFonts w:eastAsia="Times New Roman" w:cs="Arial"/>
          <w:b/>
          <w:bCs/>
          <w:color w:val="000000" w:themeColor="text1"/>
          <w:sz w:val="22"/>
          <w:szCs w:val="22"/>
          <w:lang w:eastAsia="en-AU"/>
        </w:rPr>
      </w:pPr>
      <w:r w:rsidRPr="00217865">
        <w:rPr>
          <w:rFonts w:cs="Arial"/>
          <w:b/>
          <w:bCs/>
          <w:color w:val="000000" w:themeColor="text1"/>
          <w:lang w:val="en-GB"/>
        </w:rPr>
        <w:t>Callout:</w:t>
      </w:r>
      <w:r w:rsidRPr="00217865">
        <w:rPr>
          <w:rFonts w:cs="Arial"/>
          <w:color w:val="000000" w:themeColor="text1"/>
          <w:lang w:val="en-GB"/>
        </w:rPr>
        <w:t xml:space="preserve"> </w:t>
      </w:r>
      <w:r w:rsidRPr="00217865">
        <w:rPr>
          <w:rFonts w:eastAsia="Times New Roman" w:cs="Arial"/>
          <w:color w:val="000000" w:themeColor="text1"/>
          <w:sz w:val="22"/>
          <w:szCs w:val="22"/>
          <w:lang w:eastAsia="en-AU"/>
        </w:rPr>
        <w:t>Postgraduate coursework study area profile (proportions based on responses to the 2023 SES)</w:t>
      </w:r>
    </w:p>
    <w:p w14:paraId="06239324" w14:textId="33DD229B" w:rsidR="00DE0DC2" w:rsidRPr="00217865" w:rsidRDefault="00DE0DC2" w:rsidP="00821227">
      <w:pPr>
        <w:pStyle w:val="Body"/>
        <w:rPr>
          <w:rFonts w:cs="Arial"/>
          <w:color w:val="000000" w:themeColor="text1"/>
        </w:rPr>
      </w:pPr>
      <w:r w:rsidRPr="00217865">
        <w:rPr>
          <w:rFonts w:cs="Arial"/>
          <w:noProof/>
          <w:color w:val="000000" w:themeColor="text1"/>
        </w:rPr>
        <w:drawing>
          <wp:inline distT="0" distB="0" distL="0" distR="0" wp14:anchorId="027568EA" wp14:editId="2D828C46">
            <wp:extent cx="5954400" cy="3110400"/>
            <wp:effectExtent l="0" t="0" r="8255" b="0"/>
            <wp:docPr id="1817136748" name="Chart 1">
              <a:extLst xmlns:a="http://schemas.openxmlformats.org/drawingml/2006/main">
                <a:ext uri="{FF2B5EF4-FFF2-40B4-BE49-F238E27FC236}">
                  <a16:creationId xmlns:a16="http://schemas.microsoft.com/office/drawing/2014/main" id="{2E59CF09-6427-8C63-CD39-9192657088F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bookmarkEnd w:id="41"/>
    <w:p w14:paraId="4B3F3402" w14:textId="41B4CB73" w:rsidR="00821227" w:rsidRPr="00217865" w:rsidRDefault="006748C9" w:rsidP="00821227">
      <w:pPr>
        <w:pStyle w:val="Body"/>
        <w:rPr>
          <w:rFonts w:cs="Arial"/>
          <w:color w:val="000000" w:themeColor="text1"/>
        </w:rPr>
      </w:pPr>
      <w:r w:rsidRPr="00217865">
        <w:rPr>
          <w:rFonts w:cs="Arial"/>
          <w:color w:val="000000" w:themeColor="text1"/>
        </w:rPr>
        <w:t xml:space="preserve">A similar pattern can be observed for international </w:t>
      </w:r>
      <w:r w:rsidR="00B40B71" w:rsidRPr="00217865">
        <w:rPr>
          <w:rFonts w:cs="Arial"/>
          <w:color w:val="000000" w:themeColor="text1"/>
        </w:rPr>
        <w:t>p</w:t>
      </w:r>
      <w:r w:rsidRPr="00217865">
        <w:rPr>
          <w:rFonts w:cs="Arial"/>
          <w:color w:val="000000" w:themeColor="text1"/>
        </w:rPr>
        <w:t xml:space="preserve">ostgraduate </w:t>
      </w:r>
      <w:r w:rsidR="00B40B71" w:rsidRPr="00217865">
        <w:rPr>
          <w:rFonts w:cs="Arial"/>
          <w:color w:val="000000" w:themeColor="text1"/>
        </w:rPr>
        <w:t>c</w:t>
      </w:r>
      <w:r w:rsidRPr="00217865">
        <w:rPr>
          <w:rFonts w:cs="Arial"/>
          <w:color w:val="000000" w:themeColor="text1"/>
        </w:rPr>
        <w:t>oursework students where ratings of the overall educational experience dropped markedly in 2020 and while a few study areas saw some recovery</w:t>
      </w:r>
      <w:r w:rsidR="00B40B71" w:rsidRPr="00217865">
        <w:rPr>
          <w:rFonts w:cs="Arial"/>
          <w:color w:val="000000" w:themeColor="text1"/>
        </w:rPr>
        <w:t>,</w:t>
      </w:r>
      <w:r w:rsidRPr="00217865">
        <w:rPr>
          <w:rFonts w:cs="Arial"/>
          <w:color w:val="000000" w:themeColor="text1"/>
        </w:rPr>
        <w:t xml:space="preserve"> the largest increase was in 2022 and for some in 2023. </w:t>
      </w:r>
    </w:p>
    <w:p w14:paraId="7A694B65" w14:textId="514D6D2D" w:rsidR="006748C9" w:rsidRPr="00217865" w:rsidRDefault="006748C9" w:rsidP="00821227">
      <w:pPr>
        <w:pStyle w:val="Body"/>
        <w:rPr>
          <w:rFonts w:cs="Arial"/>
          <w:color w:val="000000" w:themeColor="text1"/>
        </w:rPr>
      </w:pPr>
      <w:r w:rsidRPr="00217865">
        <w:rPr>
          <w:rFonts w:cs="Arial"/>
          <w:color w:val="000000" w:themeColor="text1"/>
        </w:rPr>
        <w:t>The study areas with the highest overall educational experience scores in 2023 include</w:t>
      </w:r>
      <w:r w:rsidR="00B40B71" w:rsidRPr="00217865">
        <w:rPr>
          <w:rFonts w:cs="Arial"/>
          <w:color w:val="000000" w:themeColor="text1"/>
        </w:rPr>
        <w:t>d</w:t>
      </w:r>
      <w:r w:rsidRPr="00217865">
        <w:rPr>
          <w:rFonts w:cs="Arial"/>
          <w:color w:val="000000" w:themeColor="text1"/>
        </w:rPr>
        <w:t xml:space="preserve"> </w:t>
      </w:r>
      <w:r w:rsidR="00625696" w:rsidRPr="00217865">
        <w:rPr>
          <w:rFonts w:cs="Arial"/>
          <w:color w:val="000000" w:themeColor="text1"/>
        </w:rPr>
        <w:t>Humanities, culture and social science which saw a higher score in 2023 than scores prior to 2020 and Tourism, hospitality, personal services, sport and recreation which saw an increase of around 37.8 percentage points compared with a low of 45.3 per cent in 2020.</w:t>
      </w:r>
    </w:p>
    <w:p w14:paraId="01BF252C" w14:textId="4FEDC16F" w:rsidR="006748C9" w:rsidRPr="00217865" w:rsidRDefault="006748C9" w:rsidP="00821227">
      <w:pPr>
        <w:pStyle w:val="Body"/>
        <w:rPr>
          <w:rFonts w:cs="Arial"/>
          <w:color w:val="000000" w:themeColor="text1"/>
        </w:rPr>
      </w:pPr>
      <w:r w:rsidRPr="00217865">
        <w:rPr>
          <w:rFonts w:cs="Arial"/>
          <w:color w:val="000000" w:themeColor="text1"/>
        </w:rPr>
        <w:t>The study area</w:t>
      </w:r>
      <w:r w:rsidR="00625696" w:rsidRPr="00217865">
        <w:rPr>
          <w:rFonts w:cs="Arial"/>
          <w:color w:val="000000" w:themeColor="text1"/>
        </w:rPr>
        <w:t>s</w:t>
      </w:r>
      <w:r w:rsidRPr="00217865">
        <w:rPr>
          <w:rFonts w:cs="Arial"/>
          <w:color w:val="000000" w:themeColor="text1"/>
        </w:rPr>
        <w:t xml:space="preserve"> with the lowest ratings of the overall educational experience in 2023 included Dentistry with only 50.6 per cent</w:t>
      </w:r>
      <w:r w:rsidR="00B40B71" w:rsidRPr="00217865">
        <w:rPr>
          <w:rFonts w:cs="Arial"/>
          <w:color w:val="000000" w:themeColor="text1"/>
        </w:rPr>
        <w:t xml:space="preserve"> positive</w:t>
      </w:r>
      <w:r w:rsidRPr="00217865">
        <w:rPr>
          <w:rFonts w:cs="Arial"/>
          <w:color w:val="000000" w:themeColor="text1"/>
        </w:rPr>
        <w:t xml:space="preserve">, followed by Veterinary science, Rehabilitation, Pharmacy and Medicine. </w:t>
      </w:r>
    </w:p>
    <w:p w14:paraId="079EEC98" w14:textId="6F22A42D" w:rsidR="007A7AA4" w:rsidRPr="00217865" w:rsidRDefault="00147AE8" w:rsidP="00821227">
      <w:pPr>
        <w:pStyle w:val="Body"/>
        <w:rPr>
          <w:rFonts w:cs="Arial"/>
          <w:color w:val="000000" w:themeColor="text1"/>
        </w:rPr>
      </w:pPr>
      <w:r w:rsidRPr="00217865">
        <w:rPr>
          <w:rFonts w:cs="Arial"/>
          <w:color w:val="000000" w:themeColor="text1"/>
        </w:rPr>
        <w:t xml:space="preserve">The Veterinary Science focus area also saw much lower ratings of Teaching Quality and Engagement which </w:t>
      </w:r>
      <w:r w:rsidR="009823D3" w:rsidRPr="00217865">
        <w:rPr>
          <w:rFonts w:cs="Arial"/>
          <w:color w:val="000000" w:themeColor="text1"/>
        </w:rPr>
        <w:t>h</w:t>
      </w:r>
      <w:r w:rsidRPr="00217865">
        <w:rPr>
          <w:rFonts w:cs="Arial"/>
          <w:color w:val="000000" w:themeColor="text1"/>
        </w:rPr>
        <w:t>as fallen below around 60 per cent in all years since 2018. The area of Medicine has also consistently scored lower than many other study areas with scores in the 60s since 2018. This could indicate that there are systemic issues in these study areas around teaching quality over and above the effects of changes in study mode.</w:t>
      </w:r>
    </w:p>
    <w:p w14:paraId="24ADAAA6" w14:textId="77777777" w:rsidR="007A7AA4" w:rsidRPr="00217865" w:rsidRDefault="007A7AA4" w:rsidP="00821227">
      <w:pPr>
        <w:pStyle w:val="Body"/>
        <w:rPr>
          <w:rFonts w:cs="Arial"/>
          <w:color w:val="000000" w:themeColor="text1"/>
          <w:highlight w:val="yellow"/>
        </w:rPr>
        <w:sectPr w:rsidR="007A7AA4" w:rsidRPr="00217865" w:rsidSect="004F5328">
          <w:headerReference w:type="default" r:id="rId45"/>
          <w:footerReference w:type="default" r:id="rId46"/>
          <w:pgSz w:w="11900" w:h="16840"/>
          <w:pgMar w:top="852" w:right="560" w:bottom="994" w:left="710" w:header="397" w:footer="283" w:gutter="0"/>
          <w:cols w:space="708"/>
          <w:docGrid w:linePitch="360"/>
        </w:sectPr>
      </w:pPr>
    </w:p>
    <w:p w14:paraId="54E31A6C" w14:textId="2365B529" w:rsidR="00821227" w:rsidRPr="00217865" w:rsidRDefault="00821227" w:rsidP="0081215D">
      <w:pPr>
        <w:pStyle w:val="TableHead-L1-LEFTalign"/>
      </w:pPr>
      <w:bookmarkStart w:id="42" w:name="_Ref93919321"/>
      <w:bookmarkStart w:id="43" w:name="_Ref131594303"/>
      <w:bookmarkStart w:id="44" w:name="_Toc178599370"/>
      <w:r w:rsidRPr="00217865">
        <w:lastRenderedPageBreak/>
        <w:t xml:space="preserve">Table </w:t>
      </w:r>
      <w:r w:rsidR="005D5678">
        <w:fldChar w:fldCharType="begin"/>
      </w:r>
      <w:r w:rsidR="005D5678">
        <w:instrText xml:space="preserve"> SEQ Table \* ARABIC </w:instrText>
      </w:r>
      <w:r w:rsidR="005D5678">
        <w:fldChar w:fldCharType="separate"/>
      </w:r>
      <w:r w:rsidR="005D5678">
        <w:rPr>
          <w:noProof/>
        </w:rPr>
        <w:t>5</w:t>
      </w:r>
      <w:r w:rsidR="005D5678">
        <w:rPr>
          <w:noProof/>
        </w:rPr>
        <w:fldChar w:fldCharType="end"/>
      </w:r>
      <w:bookmarkStart w:id="45" w:name="_Ref65441968"/>
      <w:bookmarkEnd w:id="42"/>
      <w:bookmarkEnd w:id="43"/>
      <w:r w:rsidR="0081215D">
        <w:tab/>
      </w:r>
      <w:r w:rsidRPr="00217865">
        <w:t>International undergraduate student education</w:t>
      </w:r>
      <w:r w:rsidR="001469AA" w:rsidRPr="00217865">
        <w:t>al</w:t>
      </w:r>
      <w:r w:rsidRPr="00217865">
        <w:t xml:space="preserve"> experience by study area, 2021-2023 (% positive rating)</w:t>
      </w:r>
      <w:bookmarkEnd w:id="44"/>
      <w:bookmarkEnd w:id="45"/>
    </w:p>
    <w:tbl>
      <w:tblPr>
        <w:tblW w:w="15171" w:type="dxa"/>
        <w:tblInd w:w="-155" w:type="dxa"/>
        <w:tblLayout w:type="fixed"/>
        <w:tblLook w:val="04A0" w:firstRow="1" w:lastRow="0" w:firstColumn="1" w:lastColumn="0" w:noHBand="0" w:noVBand="1"/>
      </w:tblPr>
      <w:tblGrid>
        <w:gridCol w:w="2517"/>
        <w:gridCol w:w="703"/>
        <w:gridCol w:w="703"/>
        <w:gridCol w:w="703"/>
        <w:gridCol w:w="703"/>
        <w:gridCol w:w="703"/>
        <w:gridCol w:w="634"/>
        <w:gridCol w:w="772"/>
        <w:gridCol w:w="703"/>
        <w:gridCol w:w="703"/>
        <w:gridCol w:w="703"/>
        <w:gridCol w:w="703"/>
        <w:gridCol w:w="703"/>
        <w:gridCol w:w="703"/>
        <w:gridCol w:w="703"/>
        <w:gridCol w:w="703"/>
        <w:gridCol w:w="703"/>
        <w:gridCol w:w="703"/>
        <w:gridCol w:w="703"/>
      </w:tblGrid>
      <w:tr w:rsidR="00217865" w:rsidRPr="00217865" w14:paraId="57052062" w14:textId="77777777" w:rsidTr="00586F7D">
        <w:trPr>
          <w:trHeight w:val="344"/>
          <w:tblHeader/>
        </w:trPr>
        <w:tc>
          <w:tcPr>
            <w:tcW w:w="2517" w:type="dxa"/>
            <w:tcBorders>
              <w:top w:val="single" w:sz="4" w:space="0" w:color="auto"/>
              <w:left w:val="single" w:sz="8" w:space="0" w:color="000000"/>
              <w:bottom w:val="single" w:sz="8" w:space="0" w:color="000000"/>
              <w:right w:val="nil"/>
            </w:tcBorders>
            <w:vAlign w:val="bottom"/>
            <w:hideMark/>
          </w:tcPr>
          <w:p w14:paraId="282D8F5C" w14:textId="5AEDD6B2" w:rsidR="00821227" w:rsidRPr="007624C4" w:rsidRDefault="007624C4" w:rsidP="00586F7D">
            <w:pPr>
              <w:spacing w:before="60" w:after="60"/>
              <w:rPr>
                <w:rFonts w:eastAsia="Times New Roman" w:cs="Arial"/>
                <w:b/>
                <w:bCs/>
                <w:color w:val="000000" w:themeColor="text1"/>
                <w:sz w:val="18"/>
                <w:lang w:eastAsia="en-AU"/>
              </w:rPr>
            </w:pPr>
            <w:r w:rsidRPr="007624C4">
              <w:rPr>
                <w:rFonts w:eastAsia="Times New Roman" w:cs="Arial"/>
                <w:b/>
                <w:bCs/>
                <w:color w:val="000000" w:themeColor="text1"/>
                <w:sz w:val="18"/>
                <w:lang w:eastAsia="en-AU"/>
              </w:rPr>
              <w:t>Categ</w:t>
            </w:r>
            <w:bookmarkStart w:id="46" w:name="Title_5"/>
            <w:bookmarkEnd w:id="46"/>
            <w:r w:rsidRPr="007624C4">
              <w:rPr>
                <w:rFonts w:eastAsia="Times New Roman" w:cs="Arial"/>
                <w:b/>
                <w:bCs/>
                <w:color w:val="000000" w:themeColor="text1"/>
                <w:sz w:val="18"/>
                <w:lang w:eastAsia="en-AU"/>
              </w:rPr>
              <w:t xml:space="preserve">ory </w:t>
            </w:r>
          </w:p>
        </w:tc>
        <w:tc>
          <w:tcPr>
            <w:tcW w:w="703" w:type="dxa"/>
            <w:tcBorders>
              <w:top w:val="single" w:sz="4" w:space="0" w:color="auto"/>
              <w:left w:val="single" w:sz="8" w:space="0" w:color="auto"/>
              <w:bottom w:val="single" w:sz="8" w:space="0" w:color="auto"/>
              <w:right w:val="single" w:sz="8" w:space="0" w:color="000000"/>
            </w:tcBorders>
            <w:vAlign w:val="bottom"/>
            <w:hideMark/>
          </w:tcPr>
          <w:p w14:paraId="76E18F11" w14:textId="3905434C"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463A666D" w14:textId="75DBA327"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00821227" w:rsidRPr="00586F7D">
              <w:rPr>
                <w:rFonts w:eastAsia="Times New Roman" w:cs="Arial"/>
                <w:color w:val="000000" w:themeColor="text1"/>
                <w:sz w:val="18"/>
                <w:lang w:val="en-GB" w:eastAsia="en-AU"/>
              </w:rPr>
              <w:t>2022</w:t>
            </w:r>
          </w:p>
        </w:tc>
        <w:tc>
          <w:tcPr>
            <w:tcW w:w="703" w:type="dxa"/>
            <w:tcBorders>
              <w:top w:val="single" w:sz="4" w:space="0" w:color="auto"/>
              <w:left w:val="nil"/>
              <w:bottom w:val="single" w:sz="8" w:space="0" w:color="auto"/>
              <w:right w:val="single" w:sz="8" w:space="0" w:color="auto"/>
            </w:tcBorders>
            <w:vAlign w:val="bottom"/>
            <w:hideMark/>
          </w:tcPr>
          <w:p w14:paraId="49784920" w14:textId="3033F5B8"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00821227" w:rsidRPr="00586F7D">
              <w:rPr>
                <w:rFonts w:eastAsia="Times New Roman" w:cs="Arial"/>
                <w:color w:val="000000" w:themeColor="text1"/>
                <w:sz w:val="18"/>
                <w:lang w:val="en-GB" w:eastAsia="en-AU"/>
              </w:rPr>
              <w:t>2023</w:t>
            </w:r>
          </w:p>
        </w:tc>
        <w:tc>
          <w:tcPr>
            <w:tcW w:w="703" w:type="dxa"/>
            <w:tcBorders>
              <w:top w:val="single" w:sz="4" w:space="0" w:color="auto"/>
              <w:left w:val="nil"/>
              <w:bottom w:val="single" w:sz="8" w:space="0" w:color="auto"/>
              <w:right w:val="single" w:sz="8" w:space="0" w:color="000000"/>
            </w:tcBorders>
            <w:vAlign w:val="bottom"/>
            <w:hideMark/>
          </w:tcPr>
          <w:p w14:paraId="269A2F30" w14:textId="6A43E1EF"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041100C2" w14:textId="2D0DD425"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00821227" w:rsidRPr="00586F7D">
              <w:rPr>
                <w:rFonts w:eastAsia="Times New Roman" w:cs="Arial"/>
                <w:color w:val="000000" w:themeColor="text1"/>
                <w:sz w:val="18"/>
                <w:lang w:val="en-GB" w:eastAsia="en-AU"/>
              </w:rPr>
              <w:t>2022</w:t>
            </w:r>
          </w:p>
        </w:tc>
        <w:tc>
          <w:tcPr>
            <w:tcW w:w="634" w:type="dxa"/>
            <w:tcBorders>
              <w:top w:val="single" w:sz="4" w:space="0" w:color="auto"/>
              <w:left w:val="nil"/>
              <w:bottom w:val="single" w:sz="8" w:space="0" w:color="auto"/>
              <w:right w:val="single" w:sz="8" w:space="0" w:color="auto"/>
            </w:tcBorders>
            <w:vAlign w:val="bottom"/>
            <w:hideMark/>
          </w:tcPr>
          <w:p w14:paraId="1B56CE6C" w14:textId="1D358D61"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00821227" w:rsidRPr="00586F7D">
              <w:rPr>
                <w:rFonts w:eastAsia="Times New Roman" w:cs="Arial"/>
                <w:color w:val="000000" w:themeColor="text1"/>
                <w:sz w:val="18"/>
                <w:lang w:val="en-GB" w:eastAsia="en-AU"/>
              </w:rPr>
              <w:t>2023</w:t>
            </w:r>
          </w:p>
        </w:tc>
        <w:tc>
          <w:tcPr>
            <w:tcW w:w="772" w:type="dxa"/>
            <w:tcBorders>
              <w:top w:val="single" w:sz="4" w:space="0" w:color="auto"/>
              <w:left w:val="nil"/>
              <w:bottom w:val="single" w:sz="8" w:space="0" w:color="auto"/>
              <w:right w:val="single" w:sz="8" w:space="0" w:color="000000"/>
            </w:tcBorders>
            <w:vAlign w:val="bottom"/>
            <w:hideMark/>
          </w:tcPr>
          <w:p w14:paraId="6C39C4B2" w14:textId="07E0FF90"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7F3BDB18" w14:textId="10993301"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00821227" w:rsidRPr="00586F7D">
              <w:rPr>
                <w:rFonts w:eastAsia="Times New Roman" w:cs="Arial"/>
                <w:color w:val="000000" w:themeColor="text1"/>
                <w:sz w:val="18"/>
                <w:lang w:val="en-GB" w:eastAsia="en-AU"/>
              </w:rPr>
              <w:t>2022</w:t>
            </w:r>
          </w:p>
        </w:tc>
        <w:tc>
          <w:tcPr>
            <w:tcW w:w="703" w:type="dxa"/>
            <w:tcBorders>
              <w:top w:val="single" w:sz="4" w:space="0" w:color="auto"/>
              <w:left w:val="nil"/>
              <w:bottom w:val="single" w:sz="8" w:space="0" w:color="auto"/>
              <w:right w:val="single" w:sz="8" w:space="0" w:color="auto"/>
            </w:tcBorders>
            <w:vAlign w:val="bottom"/>
            <w:hideMark/>
          </w:tcPr>
          <w:p w14:paraId="3651206E" w14:textId="6F0B649C"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00821227" w:rsidRPr="00586F7D">
              <w:rPr>
                <w:rFonts w:eastAsia="Times New Roman" w:cs="Arial"/>
                <w:color w:val="000000" w:themeColor="text1"/>
                <w:sz w:val="18"/>
                <w:lang w:val="en-GB" w:eastAsia="en-AU"/>
              </w:rPr>
              <w:t>2023</w:t>
            </w:r>
          </w:p>
        </w:tc>
        <w:tc>
          <w:tcPr>
            <w:tcW w:w="703" w:type="dxa"/>
            <w:tcBorders>
              <w:top w:val="single" w:sz="4" w:space="0" w:color="auto"/>
              <w:left w:val="nil"/>
              <w:bottom w:val="single" w:sz="8" w:space="0" w:color="auto"/>
              <w:right w:val="single" w:sz="8" w:space="0" w:color="000000"/>
            </w:tcBorders>
            <w:vAlign w:val="bottom"/>
            <w:hideMark/>
          </w:tcPr>
          <w:p w14:paraId="6155E769" w14:textId="6E5225A7"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379BA3FA" w14:textId="7BEED4F7"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00821227" w:rsidRPr="00586F7D">
              <w:rPr>
                <w:rFonts w:eastAsia="Times New Roman" w:cs="Arial"/>
                <w:color w:val="000000" w:themeColor="text1"/>
                <w:sz w:val="18"/>
                <w:lang w:val="en-GB" w:eastAsia="en-AU"/>
              </w:rPr>
              <w:t>2022</w:t>
            </w:r>
          </w:p>
        </w:tc>
        <w:tc>
          <w:tcPr>
            <w:tcW w:w="703" w:type="dxa"/>
            <w:tcBorders>
              <w:top w:val="single" w:sz="4" w:space="0" w:color="auto"/>
              <w:left w:val="nil"/>
              <w:bottom w:val="single" w:sz="8" w:space="0" w:color="auto"/>
              <w:right w:val="single" w:sz="8" w:space="0" w:color="auto"/>
            </w:tcBorders>
            <w:vAlign w:val="bottom"/>
            <w:hideMark/>
          </w:tcPr>
          <w:p w14:paraId="68EE78D2" w14:textId="344C5F37"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00821227" w:rsidRPr="00586F7D">
              <w:rPr>
                <w:rFonts w:eastAsia="Times New Roman" w:cs="Arial"/>
                <w:color w:val="000000" w:themeColor="text1"/>
                <w:sz w:val="18"/>
                <w:lang w:val="en-GB" w:eastAsia="en-AU"/>
              </w:rPr>
              <w:t>2023</w:t>
            </w:r>
          </w:p>
        </w:tc>
        <w:tc>
          <w:tcPr>
            <w:tcW w:w="703" w:type="dxa"/>
            <w:tcBorders>
              <w:top w:val="single" w:sz="4" w:space="0" w:color="auto"/>
              <w:left w:val="nil"/>
              <w:bottom w:val="single" w:sz="8" w:space="0" w:color="auto"/>
              <w:right w:val="single" w:sz="8" w:space="0" w:color="000000"/>
            </w:tcBorders>
            <w:vAlign w:val="bottom"/>
            <w:hideMark/>
          </w:tcPr>
          <w:p w14:paraId="1F9E09AD" w14:textId="7D5BF226"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0CE5EF38" w14:textId="42BD5AC0"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00821227" w:rsidRPr="00586F7D">
              <w:rPr>
                <w:rFonts w:eastAsia="Times New Roman" w:cs="Arial"/>
                <w:color w:val="000000" w:themeColor="text1"/>
                <w:sz w:val="18"/>
                <w:lang w:val="en-GB" w:eastAsia="en-AU"/>
              </w:rPr>
              <w:t>2022</w:t>
            </w:r>
          </w:p>
        </w:tc>
        <w:tc>
          <w:tcPr>
            <w:tcW w:w="703" w:type="dxa"/>
            <w:tcBorders>
              <w:top w:val="single" w:sz="4" w:space="0" w:color="auto"/>
              <w:left w:val="nil"/>
              <w:bottom w:val="single" w:sz="8" w:space="0" w:color="auto"/>
              <w:right w:val="single" w:sz="8" w:space="0" w:color="auto"/>
            </w:tcBorders>
            <w:vAlign w:val="bottom"/>
            <w:hideMark/>
          </w:tcPr>
          <w:p w14:paraId="6C16E1C0" w14:textId="2CDAE2F5"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00821227" w:rsidRPr="00586F7D">
              <w:rPr>
                <w:rFonts w:eastAsia="Times New Roman" w:cs="Arial"/>
                <w:color w:val="000000" w:themeColor="text1"/>
                <w:sz w:val="18"/>
                <w:lang w:val="en-GB" w:eastAsia="en-AU"/>
              </w:rPr>
              <w:t>2023</w:t>
            </w:r>
          </w:p>
        </w:tc>
        <w:tc>
          <w:tcPr>
            <w:tcW w:w="703" w:type="dxa"/>
            <w:tcBorders>
              <w:top w:val="single" w:sz="4" w:space="0" w:color="auto"/>
              <w:left w:val="nil"/>
              <w:bottom w:val="single" w:sz="8" w:space="0" w:color="auto"/>
              <w:right w:val="single" w:sz="8" w:space="0" w:color="000000"/>
            </w:tcBorders>
            <w:vAlign w:val="bottom"/>
            <w:hideMark/>
          </w:tcPr>
          <w:p w14:paraId="44DF7B9C" w14:textId="2F798F1A"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00821227" w:rsidRPr="00586F7D">
              <w:rPr>
                <w:rFonts w:eastAsia="Times New Roman" w:cs="Arial"/>
                <w:color w:val="000000" w:themeColor="text1"/>
                <w:sz w:val="18"/>
                <w:lang w:val="en-GB" w:eastAsia="en-AU"/>
              </w:rPr>
              <w:t>2021</w:t>
            </w:r>
          </w:p>
        </w:tc>
        <w:tc>
          <w:tcPr>
            <w:tcW w:w="703" w:type="dxa"/>
            <w:tcBorders>
              <w:top w:val="single" w:sz="4" w:space="0" w:color="auto"/>
              <w:left w:val="nil"/>
              <w:bottom w:val="single" w:sz="8" w:space="0" w:color="auto"/>
              <w:right w:val="single" w:sz="8" w:space="0" w:color="auto"/>
            </w:tcBorders>
            <w:vAlign w:val="bottom"/>
            <w:hideMark/>
          </w:tcPr>
          <w:p w14:paraId="4C95E910" w14:textId="3BEF0A3C"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00821227" w:rsidRPr="00586F7D">
              <w:rPr>
                <w:rFonts w:eastAsia="Times New Roman" w:cs="Arial"/>
                <w:color w:val="000000" w:themeColor="text1"/>
                <w:sz w:val="18"/>
                <w:lang w:val="en-GB" w:eastAsia="en-AU"/>
              </w:rPr>
              <w:t>2022</w:t>
            </w:r>
          </w:p>
        </w:tc>
        <w:tc>
          <w:tcPr>
            <w:tcW w:w="703" w:type="dxa"/>
            <w:tcBorders>
              <w:top w:val="single" w:sz="4" w:space="0" w:color="auto"/>
              <w:left w:val="nil"/>
              <w:bottom w:val="single" w:sz="8" w:space="0" w:color="auto"/>
              <w:right w:val="single" w:sz="8" w:space="0" w:color="auto"/>
            </w:tcBorders>
            <w:vAlign w:val="bottom"/>
            <w:hideMark/>
          </w:tcPr>
          <w:p w14:paraId="2E1AD90A" w14:textId="38182929" w:rsidR="00821227" w:rsidRPr="00217865" w:rsidRDefault="00586F7D" w:rsidP="007301B9">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00821227" w:rsidRPr="00586F7D">
              <w:rPr>
                <w:rFonts w:eastAsia="Times New Roman" w:cs="Arial"/>
                <w:color w:val="000000" w:themeColor="text1"/>
                <w:sz w:val="18"/>
                <w:lang w:val="en-GB" w:eastAsia="en-AU"/>
              </w:rPr>
              <w:t>2023</w:t>
            </w:r>
          </w:p>
        </w:tc>
      </w:tr>
      <w:tr w:rsidR="00217865" w:rsidRPr="00217865" w14:paraId="2294BC3B"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7AB841F0" w14:textId="467ABF6E"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Agriculture and environmental studies</w:t>
            </w:r>
          </w:p>
        </w:tc>
        <w:tc>
          <w:tcPr>
            <w:tcW w:w="703" w:type="dxa"/>
            <w:tcBorders>
              <w:top w:val="nil"/>
              <w:left w:val="single" w:sz="8" w:space="0" w:color="auto"/>
              <w:bottom w:val="single" w:sz="8" w:space="0" w:color="auto"/>
              <w:right w:val="single" w:sz="8" w:space="0" w:color="auto"/>
            </w:tcBorders>
            <w:vAlign w:val="center"/>
            <w:hideMark/>
          </w:tcPr>
          <w:p w14:paraId="09C69B70" w14:textId="54EE2D2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75.9</w:t>
            </w:r>
          </w:p>
        </w:tc>
        <w:tc>
          <w:tcPr>
            <w:tcW w:w="703" w:type="dxa"/>
            <w:tcBorders>
              <w:top w:val="nil"/>
              <w:left w:val="nil"/>
              <w:bottom w:val="single" w:sz="8" w:space="0" w:color="auto"/>
              <w:right w:val="single" w:sz="8" w:space="0" w:color="auto"/>
            </w:tcBorders>
            <w:vAlign w:val="center"/>
            <w:hideMark/>
          </w:tcPr>
          <w:p w14:paraId="2345C5EC" w14:textId="504664F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80.5</w:t>
            </w:r>
          </w:p>
        </w:tc>
        <w:tc>
          <w:tcPr>
            <w:tcW w:w="703" w:type="dxa"/>
            <w:tcBorders>
              <w:top w:val="nil"/>
              <w:left w:val="nil"/>
              <w:bottom w:val="single" w:sz="8" w:space="0" w:color="auto"/>
              <w:right w:val="single" w:sz="8" w:space="0" w:color="auto"/>
            </w:tcBorders>
            <w:vAlign w:val="center"/>
            <w:hideMark/>
          </w:tcPr>
          <w:p w14:paraId="46C6A4FB" w14:textId="379C3BF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4DB41E81" w14:textId="7FB60DB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45.5</w:t>
            </w:r>
          </w:p>
        </w:tc>
        <w:tc>
          <w:tcPr>
            <w:tcW w:w="703" w:type="dxa"/>
            <w:tcBorders>
              <w:top w:val="nil"/>
              <w:left w:val="nil"/>
              <w:bottom w:val="single" w:sz="8" w:space="0" w:color="auto"/>
              <w:right w:val="single" w:sz="8" w:space="0" w:color="auto"/>
            </w:tcBorders>
            <w:vAlign w:val="center"/>
            <w:hideMark/>
          </w:tcPr>
          <w:p w14:paraId="1203153B" w14:textId="0639C15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55.7</w:t>
            </w:r>
          </w:p>
        </w:tc>
        <w:tc>
          <w:tcPr>
            <w:tcW w:w="634" w:type="dxa"/>
            <w:tcBorders>
              <w:top w:val="nil"/>
              <w:left w:val="nil"/>
              <w:bottom w:val="single" w:sz="8" w:space="0" w:color="auto"/>
              <w:right w:val="single" w:sz="8" w:space="0" w:color="auto"/>
            </w:tcBorders>
            <w:vAlign w:val="center"/>
            <w:hideMark/>
          </w:tcPr>
          <w:p w14:paraId="1B522E29" w14:textId="70B9CFA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66.1</w:t>
            </w:r>
          </w:p>
        </w:tc>
        <w:tc>
          <w:tcPr>
            <w:tcW w:w="772" w:type="dxa"/>
            <w:tcBorders>
              <w:top w:val="nil"/>
              <w:left w:val="nil"/>
              <w:bottom w:val="single" w:sz="8" w:space="0" w:color="auto"/>
              <w:right w:val="single" w:sz="8" w:space="0" w:color="auto"/>
            </w:tcBorders>
            <w:vAlign w:val="center"/>
            <w:hideMark/>
          </w:tcPr>
          <w:p w14:paraId="3AC19770" w14:textId="235F753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76.2</w:t>
            </w:r>
          </w:p>
        </w:tc>
        <w:tc>
          <w:tcPr>
            <w:tcW w:w="703" w:type="dxa"/>
            <w:tcBorders>
              <w:top w:val="nil"/>
              <w:left w:val="nil"/>
              <w:bottom w:val="single" w:sz="8" w:space="0" w:color="auto"/>
              <w:right w:val="single" w:sz="8" w:space="0" w:color="auto"/>
            </w:tcBorders>
            <w:vAlign w:val="center"/>
            <w:hideMark/>
          </w:tcPr>
          <w:p w14:paraId="2FDB7489" w14:textId="201F655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86.9</w:t>
            </w:r>
          </w:p>
        </w:tc>
        <w:tc>
          <w:tcPr>
            <w:tcW w:w="703" w:type="dxa"/>
            <w:tcBorders>
              <w:top w:val="nil"/>
              <w:left w:val="nil"/>
              <w:bottom w:val="single" w:sz="8" w:space="0" w:color="auto"/>
              <w:right w:val="single" w:sz="8" w:space="0" w:color="auto"/>
            </w:tcBorders>
            <w:vAlign w:val="center"/>
            <w:hideMark/>
          </w:tcPr>
          <w:p w14:paraId="1112853D" w14:textId="6F7E94B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88.0</w:t>
            </w:r>
          </w:p>
        </w:tc>
        <w:tc>
          <w:tcPr>
            <w:tcW w:w="703" w:type="dxa"/>
            <w:tcBorders>
              <w:top w:val="nil"/>
              <w:left w:val="nil"/>
              <w:bottom w:val="single" w:sz="8" w:space="0" w:color="auto"/>
              <w:right w:val="single" w:sz="8" w:space="0" w:color="auto"/>
            </w:tcBorders>
            <w:vAlign w:val="center"/>
            <w:hideMark/>
          </w:tcPr>
          <w:p w14:paraId="0E8E23FE" w14:textId="661C047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70.2</w:t>
            </w:r>
          </w:p>
        </w:tc>
        <w:tc>
          <w:tcPr>
            <w:tcW w:w="703" w:type="dxa"/>
            <w:tcBorders>
              <w:top w:val="nil"/>
              <w:left w:val="nil"/>
              <w:bottom w:val="single" w:sz="8" w:space="0" w:color="auto"/>
              <w:right w:val="single" w:sz="8" w:space="0" w:color="auto"/>
            </w:tcBorders>
            <w:vAlign w:val="center"/>
            <w:hideMark/>
          </w:tcPr>
          <w:p w14:paraId="7E078EE7" w14:textId="5BE4879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w:t>
            </w:r>
            <w:r w:rsidR="00821227" w:rsidRPr="00217865">
              <w:rPr>
                <w:rFonts w:cs="Arial"/>
                <w:color w:val="000000" w:themeColor="text1"/>
                <w:sz w:val="18"/>
              </w:rPr>
              <w:t>4</w:t>
            </w:r>
          </w:p>
        </w:tc>
        <w:tc>
          <w:tcPr>
            <w:tcW w:w="703" w:type="dxa"/>
            <w:tcBorders>
              <w:top w:val="nil"/>
              <w:left w:val="nil"/>
              <w:bottom w:val="single" w:sz="8" w:space="0" w:color="auto"/>
              <w:right w:val="single" w:sz="8" w:space="0" w:color="auto"/>
            </w:tcBorders>
            <w:vAlign w:val="center"/>
            <w:hideMark/>
          </w:tcPr>
          <w:p w14:paraId="030226A3" w14:textId="6933CDA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85.0</w:t>
            </w:r>
          </w:p>
        </w:tc>
        <w:tc>
          <w:tcPr>
            <w:tcW w:w="703" w:type="dxa"/>
            <w:tcBorders>
              <w:top w:val="nil"/>
              <w:left w:val="nil"/>
              <w:bottom w:val="single" w:sz="8" w:space="0" w:color="auto"/>
              <w:right w:val="single" w:sz="8" w:space="0" w:color="auto"/>
            </w:tcBorders>
            <w:vAlign w:val="center"/>
            <w:hideMark/>
          </w:tcPr>
          <w:p w14:paraId="0490F24B" w14:textId="0365794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78.9</w:t>
            </w:r>
          </w:p>
        </w:tc>
        <w:tc>
          <w:tcPr>
            <w:tcW w:w="703" w:type="dxa"/>
            <w:tcBorders>
              <w:top w:val="nil"/>
              <w:left w:val="nil"/>
              <w:bottom w:val="single" w:sz="8" w:space="0" w:color="auto"/>
              <w:right w:val="single" w:sz="8" w:space="0" w:color="auto"/>
            </w:tcBorders>
            <w:vAlign w:val="center"/>
            <w:hideMark/>
          </w:tcPr>
          <w:p w14:paraId="47ABC7C4" w14:textId="66EA6B1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89.7</w:t>
            </w:r>
          </w:p>
        </w:tc>
        <w:tc>
          <w:tcPr>
            <w:tcW w:w="703" w:type="dxa"/>
            <w:tcBorders>
              <w:top w:val="nil"/>
              <w:left w:val="nil"/>
              <w:bottom w:val="single" w:sz="8" w:space="0" w:color="auto"/>
              <w:right w:val="single" w:sz="8" w:space="0" w:color="auto"/>
            </w:tcBorders>
            <w:vAlign w:val="center"/>
            <w:hideMark/>
          </w:tcPr>
          <w:p w14:paraId="241B9498" w14:textId="4A1A2F9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91.</w:t>
            </w:r>
            <w:r w:rsidR="00821227" w:rsidRPr="00217865">
              <w:rPr>
                <w:rFonts w:cs="Arial"/>
                <w:color w:val="000000" w:themeColor="text1"/>
                <w:sz w:val="18"/>
              </w:rPr>
              <w:t>5</w:t>
            </w:r>
          </w:p>
        </w:tc>
        <w:tc>
          <w:tcPr>
            <w:tcW w:w="703" w:type="dxa"/>
            <w:tcBorders>
              <w:top w:val="nil"/>
              <w:left w:val="nil"/>
              <w:bottom w:val="single" w:sz="8" w:space="0" w:color="auto"/>
              <w:right w:val="single" w:sz="8" w:space="0" w:color="auto"/>
            </w:tcBorders>
            <w:vAlign w:val="center"/>
            <w:hideMark/>
          </w:tcPr>
          <w:p w14:paraId="51205313" w14:textId="69A0611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71.7</w:t>
            </w:r>
          </w:p>
        </w:tc>
        <w:tc>
          <w:tcPr>
            <w:tcW w:w="703" w:type="dxa"/>
            <w:tcBorders>
              <w:top w:val="nil"/>
              <w:left w:val="nil"/>
              <w:bottom w:val="single" w:sz="8" w:space="0" w:color="auto"/>
              <w:right w:val="single" w:sz="8" w:space="0" w:color="auto"/>
            </w:tcBorders>
            <w:vAlign w:val="center"/>
            <w:hideMark/>
          </w:tcPr>
          <w:p w14:paraId="601FE128" w14:textId="48BA644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77.9</w:t>
            </w:r>
          </w:p>
        </w:tc>
        <w:tc>
          <w:tcPr>
            <w:tcW w:w="703" w:type="dxa"/>
            <w:tcBorders>
              <w:top w:val="nil"/>
              <w:left w:val="nil"/>
              <w:bottom w:val="single" w:sz="8" w:space="0" w:color="auto"/>
              <w:right w:val="single" w:sz="8" w:space="0" w:color="auto"/>
            </w:tcBorders>
            <w:vAlign w:val="center"/>
            <w:hideMark/>
          </w:tcPr>
          <w:p w14:paraId="420DB2E4" w14:textId="31A61AB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81.4</w:t>
            </w:r>
          </w:p>
        </w:tc>
      </w:tr>
      <w:tr w:rsidR="00217865" w:rsidRPr="00217865" w14:paraId="0B5AD9C8"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3F05F063" w14:textId="4C5AA76E"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Architecture and built environment</w:t>
            </w:r>
          </w:p>
        </w:tc>
        <w:tc>
          <w:tcPr>
            <w:tcW w:w="703" w:type="dxa"/>
            <w:tcBorders>
              <w:top w:val="nil"/>
              <w:left w:val="single" w:sz="8" w:space="0" w:color="auto"/>
              <w:bottom w:val="single" w:sz="8" w:space="0" w:color="auto"/>
              <w:right w:val="single" w:sz="8" w:space="0" w:color="auto"/>
            </w:tcBorders>
            <w:vAlign w:val="center"/>
            <w:hideMark/>
          </w:tcPr>
          <w:p w14:paraId="61E3CE58" w14:textId="4CD60A7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74.5</w:t>
            </w:r>
          </w:p>
        </w:tc>
        <w:tc>
          <w:tcPr>
            <w:tcW w:w="703" w:type="dxa"/>
            <w:tcBorders>
              <w:top w:val="nil"/>
              <w:left w:val="nil"/>
              <w:bottom w:val="single" w:sz="8" w:space="0" w:color="auto"/>
              <w:right w:val="single" w:sz="8" w:space="0" w:color="auto"/>
            </w:tcBorders>
            <w:vAlign w:val="center"/>
            <w:hideMark/>
          </w:tcPr>
          <w:p w14:paraId="7B6FF1A3" w14:textId="4A5C597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79.5</w:t>
            </w:r>
          </w:p>
        </w:tc>
        <w:tc>
          <w:tcPr>
            <w:tcW w:w="703" w:type="dxa"/>
            <w:tcBorders>
              <w:top w:val="nil"/>
              <w:left w:val="nil"/>
              <w:bottom w:val="single" w:sz="8" w:space="0" w:color="auto"/>
              <w:right w:val="single" w:sz="8" w:space="0" w:color="auto"/>
            </w:tcBorders>
            <w:vAlign w:val="center"/>
            <w:hideMark/>
          </w:tcPr>
          <w:p w14:paraId="1095FB18" w14:textId="53E0E2B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w:t>
            </w:r>
            <w:r w:rsidR="00821227" w:rsidRPr="00217865">
              <w:rPr>
                <w:rFonts w:cs="Arial"/>
                <w:color w:val="000000" w:themeColor="text1"/>
                <w:sz w:val="18"/>
              </w:rPr>
              <w:t>5</w:t>
            </w:r>
          </w:p>
        </w:tc>
        <w:tc>
          <w:tcPr>
            <w:tcW w:w="703" w:type="dxa"/>
            <w:tcBorders>
              <w:top w:val="nil"/>
              <w:left w:val="nil"/>
              <w:bottom w:val="single" w:sz="8" w:space="0" w:color="auto"/>
              <w:right w:val="single" w:sz="8" w:space="0" w:color="auto"/>
            </w:tcBorders>
            <w:vAlign w:val="center"/>
            <w:hideMark/>
          </w:tcPr>
          <w:p w14:paraId="64CE8B61" w14:textId="7566D1C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46.2</w:t>
            </w:r>
          </w:p>
        </w:tc>
        <w:tc>
          <w:tcPr>
            <w:tcW w:w="703" w:type="dxa"/>
            <w:tcBorders>
              <w:top w:val="nil"/>
              <w:left w:val="nil"/>
              <w:bottom w:val="single" w:sz="8" w:space="0" w:color="auto"/>
              <w:right w:val="single" w:sz="8" w:space="0" w:color="auto"/>
            </w:tcBorders>
            <w:vAlign w:val="center"/>
            <w:hideMark/>
          </w:tcPr>
          <w:p w14:paraId="62C5E2E6" w14:textId="0489F7A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62.9</w:t>
            </w:r>
          </w:p>
        </w:tc>
        <w:tc>
          <w:tcPr>
            <w:tcW w:w="634" w:type="dxa"/>
            <w:tcBorders>
              <w:top w:val="nil"/>
              <w:left w:val="nil"/>
              <w:bottom w:val="single" w:sz="8" w:space="0" w:color="auto"/>
              <w:right w:val="single" w:sz="8" w:space="0" w:color="auto"/>
            </w:tcBorders>
            <w:vAlign w:val="center"/>
            <w:hideMark/>
          </w:tcPr>
          <w:p w14:paraId="5C9E8983" w14:textId="3BEEF5B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68.3</w:t>
            </w:r>
          </w:p>
        </w:tc>
        <w:tc>
          <w:tcPr>
            <w:tcW w:w="772" w:type="dxa"/>
            <w:tcBorders>
              <w:top w:val="nil"/>
              <w:left w:val="nil"/>
              <w:bottom w:val="single" w:sz="8" w:space="0" w:color="auto"/>
              <w:right w:val="single" w:sz="8" w:space="0" w:color="auto"/>
            </w:tcBorders>
            <w:vAlign w:val="center"/>
            <w:hideMark/>
          </w:tcPr>
          <w:p w14:paraId="490E5F60" w14:textId="5955803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74.1</w:t>
            </w:r>
          </w:p>
        </w:tc>
        <w:tc>
          <w:tcPr>
            <w:tcW w:w="703" w:type="dxa"/>
            <w:tcBorders>
              <w:top w:val="nil"/>
              <w:left w:val="nil"/>
              <w:bottom w:val="single" w:sz="8" w:space="0" w:color="auto"/>
              <w:right w:val="single" w:sz="8" w:space="0" w:color="auto"/>
            </w:tcBorders>
            <w:vAlign w:val="center"/>
            <w:hideMark/>
          </w:tcPr>
          <w:p w14:paraId="476DB839" w14:textId="4023A44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77.8</w:t>
            </w:r>
          </w:p>
        </w:tc>
        <w:tc>
          <w:tcPr>
            <w:tcW w:w="703" w:type="dxa"/>
            <w:tcBorders>
              <w:top w:val="nil"/>
              <w:left w:val="nil"/>
              <w:bottom w:val="single" w:sz="8" w:space="0" w:color="auto"/>
              <w:right w:val="single" w:sz="8" w:space="0" w:color="auto"/>
            </w:tcBorders>
            <w:vAlign w:val="center"/>
            <w:hideMark/>
          </w:tcPr>
          <w:p w14:paraId="57412E15" w14:textId="3263094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80.1</w:t>
            </w:r>
          </w:p>
        </w:tc>
        <w:tc>
          <w:tcPr>
            <w:tcW w:w="703" w:type="dxa"/>
            <w:tcBorders>
              <w:top w:val="nil"/>
              <w:left w:val="nil"/>
              <w:bottom w:val="single" w:sz="8" w:space="0" w:color="auto"/>
              <w:right w:val="single" w:sz="8" w:space="0" w:color="auto"/>
            </w:tcBorders>
            <w:vAlign w:val="center"/>
            <w:hideMark/>
          </w:tcPr>
          <w:p w14:paraId="7A91D17D" w14:textId="1C677A1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64.5</w:t>
            </w:r>
          </w:p>
        </w:tc>
        <w:tc>
          <w:tcPr>
            <w:tcW w:w="703" w:type="dxa"/>
            <w:tcBorders>
              <w:top w:val="nil"/>
              <w:left w:val="nil"/>
              <w:bottom w:val="single" w:sz="8" w:space="0" w:color="auto"/>
              <w:right w:val="single" w:sz="8" w:space="0" w:color="auto"/>
            </w:tcBorders>
            <w:vAlign w:val="center"/>
            <w:hideMark/>
          </w:tcPr>
          <w:p w14:paraId="471E9DE6" w14:textId="48C40FB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70.1</w:t>
            </w:r>
          </w:p>
        </w:tc>
        <w:tc>
          <w:tcPr>
            <w:tcW w:w="703" w:type="dxa"/>
            <w:tcBorders>
              <w:top w:val="nil"/>
              <w:left w:val="nil"/>
              <w:bottom w:val="single" w:sz="8" w:space="0" w:color="auto"/>
              <w:right w:val="single" w:sz="8" w:space="0" w:color="auto"/>
            </w:tcBorders>
            <w:vAlign w:val="center"/>
            <w:hideMark/>
          </w:tcPr>
          <w:p w14:paraId="7C9C5332" w14:textId="249B91E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71.2</w:t>
            </w:r>
          </w:p>
        </w:tc>
        <w:tc>
          <w:tcPr>
            <w:tcW w:w="703" w:type="dxa"/>
            <w:tcBorders>
              <w:top w:val="nil"/>
              <w:left w:val="nil"/>
              <w:bottom w:val="single" w:sz="8" w:space="0" w:color="auto"/>
              <w:right w:val="single" w:sz="8" w:space="0" w:color="auto"/>
            </w:tcBorders>
            <w:vAlign w:val="center"/>
            <w:hideMark/>
          </w:tcPr>
          <w:p w14:paraId="1430B2C8" w14:textId="7F39547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70.5</w:t>
            </w:r>
          </w:p>
        </w:tc>
        <w:tc>
          <w:tcPr>
            <w:tcW w:w="703" w:type="dxa"/>
            <w:tcBorders>
              <w:top w:val="nil"/>
              <w:left w:val="nil"/>
              <w:bottom w:val="single" w:sz="8" w:space="0" w:color="auto"/>
              <w:right w:val="single" w:sz="8" w:space="0" w:color="auto"/>
            </w:tcBorders>
            <w:vAlign w:val="center"/>
            <w:hideMark/>
          </w:tcPr>
          <w:p w14:paraId="2B4761D3" w14:textId="556B05C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82.2</w:t>
            </w:r>
          </w:p>
        </w:tc>
        <w:tc>
          <w:tcPr>
            <w:tcW w:w="703" w:type="dxa"/>
            <w:tcBorders>
              <w:top w:val="nil"/>
              <w:left w:val="nil"/>
              <w:bottom w:val="single" w:sz="8" w:space="0" w:color="auto"/>
              <w:right w:val="single" w:sz="8" w:space="0" w:color="auto"/>
            </w:tcBorders>
            <w:vAlign w:val="center"/>
            <w:hideMark/>
          </w:tcPr>
          <w:p w14:paraId="6C8093D9" w14:textId="05C91FA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81.2</w:t>
            </w:r>
          </w:p>
        </w:tc>
        <w:tc>
          <w:tcPr>
            <w:tcW w:w="703" w:type="dxa"/>
            <w:tcBorders>
              <w:top w:val="nil"/>
              <w:left w:val="nil"/>
              <w:bottom w:val="single" w:sz="8" w:space="0" w:color="auto"/>
              <w:right w:val="single" w:sz="8" w:space="0" w:color="auto"/>
            </w:tcBorders>
            <w:vAlign w:val="center"/>
            <w:hideMark/>
          </w:tcPr>
          <w:p w14:paraId="1BB4CE84" w14:textId="0FCEF46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026359FA" w14:textId="1183AF0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70.2</w:t>
            </w:r>
          </w:p>
        </w:tc>
        <w:tc>
          <w:tcPr>
            <w:tcW w:w="703" w:type="dxa"/>
            <w:tcBorders>
              <w:top w:val="nil"/>
              <w:left w:val="nil"/>
              <w:bottom w:val="single" w:sz="8" w:space="0" w:color="auto"/>
              <w:right w:val="single" w:sz="8" w:space="0" w:color="auto"/>
            </w:tcBorders>
            <w:vAlign w:val="center"/>
            <w:hideMark/>
          </w:tcPr>
          <w:p w14:paraId="387F6BE4" w14:textId="03DE403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71.1</w:t>
            </w:r>
          </w:p>
        </w:tc>
      </w:tr>
      <w:tr w:rsidR="00217865" w:rsidRPr="00217865" w14:paraId="1F71B51A"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376190DE" w14:textId="005238F4"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Business and management</w:t>
            </w:r>
          </w:p>
        </w:tc>
        <w:tc>
          <w:tcPr>
            <w:tcW w:w="703" w:type="dxa"/>
            <w:tcBorders>
              <w:top w:val="nil"/>
              <w:left w:val="single" w:sz="8" w:space="0" w:color="auto"/>
              <w:bottom w:val="single" w:sz="8" w:space="0" w:color="auto"/>
              <w:right w:val="single" w:sz="8" w:space="0" w:color="auto"/>
            </w:tcBorders>
            <w:vAlign w:val="center"/>
            <w:hideMark/>
          </w:tcPr>
          <w:p w14:paraId="34FF6BDE" w14:textId="6D5F9A3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75.6</w:t>
            </w:r>
          </w:p>
        </w:tc>
        <w:tc>
          <w:tcPr>
            <w:tcW w:w="703" w:type="dxa"/>
            <w:tcBorders>
              <w:top w:val="nil"/>
              <w:left w:val="nil"/>
              <w:bottom w:val="single" w:sz="8" w:space="0" w:color="auto"/>
              <w:right w:val="single" w:sz="8" w:space="0" w:color="auto"/>
            </w:tcBorders>
            <w:vAlign w:val="center"/>
            <w:hideMark/>
          </w:tcPr>
          <w:p w14:paraId="45D9E79C" w14:textId="07AD1FC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82.1</w:t>
            </w:r>
          </w:p>
        </w:tc>
        <w:tc>
          <w:tcPr>
            <w:tcW w:w="703" w:type="dxa"/>
            <w:tcBorders>
              <w:top w:val="nil"/>
              <w:left w:val="nil"/>
              <w:bottom w:val="single" w:sz="8" w:space="0" w:color="auto"/>
              <w:right w:val="single" w:sz="8" w:space="0" w:color="auto"/>
            </w:tcBorders>
            <w:vAlign w:val="center"/>
            <w:hideMark/>
          </w:tcPr>
          <w:p w14:paraId="53971BD8" w14:textId="17A9FDA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671414F1" w14:textId="6F73AA2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47.7</w:t>
            </w:r>
          </w:p>
        </w:tc>
        <w:tc>
          <w:tcPr>
            <w:tcW w:w="703" w:type="dxa"/>
            <w:tcBorders>
              <w:top w:val="nil"/>
              <w:left w:val="nil"/>
              <w:bottom w:val="single" w:sz="8" w:space="0" w:color="auto"/>
              <w:right w:val="single" w:sz="8" w:space="0" w:color="auto"/>
            </w:tcBorders>
            <w:vAlign w:val="center"/>
            <w:hideMark/>
          </w:tcPr>
          <w:p w14:paraId="08745BD6" w14:textId="4353A1D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62.6</w:t>
            </w:r>
          </w:p>
        </w:tc>
        <w:tc>
          <w:tcPr>
            <w:tcW w:w="634" w:type="dxa"/>
            <w:tcBorders>
              <w:top w:val="nil"/>
              <w:left w:val="nil"/>
              <w:bottom w:val="single" w:sz="8" w:space="0" w:color="auto"/>
              <w:right w:val="single" w:sz="8" w:space="0" w:color="auto"/>
            </w:tcBorders>
            <w:vAlign w:val="center"/>
            <w:hideMark/>
          </w:tcPr>
          <w:p w14:paraId="72F3E500" w14:textId="7A75735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71.5</w:t>
            </w:r>
          </w:p>
        </w:tc>
        <w:tc>
          <w:tcPr>
            <w:tcW w:w="772" w:type="dxa"/>
            <w:tcBorders>
              <w:top w:val="nil"/>
              <w:left w:val="nil"/>
              <w:bottom w:val="single" w:sz="8" w:space="0" w:color="auto"/>
              <w:right w:val="single" w:sz="8" w:space="0" w:color="auto"/>
            </w:tcBorders>
            <w:vAlign w:val="center"/>
            <w:hideMark/>
          </w:tcPr>
          <w:p w14:paraId="11A51D0D" w14:textId="06D6216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76.0</w:t>
            </w:r>
          </w:p>
        </w:tc>
        <w:tc>
          <w:tcPr>
            <w:tcW w:w="703" w:type="dxa"/>
            <w:tcBorders>
              <w:top w:val="nil"/>
              <w:left w:val="nil"/>
              <w:bottom w:val="single" w:sz="8" w:space="0" w:color="auto"/>
              <w:right w:val="single" w:sz="8" w:space="0" w:color="auto"/>
            </w:tcBorders>
            <w:vAlign w:val="center"/>
            <w:hideMark/>
          </w:tcPr>
          <w:p w14:paraId="06582C81" w14:textId="5FCC35C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81.7</w:t>
            </w:r>
          </w:p>
        </w:tc>
        <w:tc>
          <w:tcPr>
            <w:tcW w:w="703" w:type="dxa"/>
            <w:tcBorders>
              <w:top w:val="nil"/>
              <w:left w:val="nil"/>
              <w:bottom w:val="single" w:sz="8" w:space="0" w:color="auto"/>
              <w:right w:val="single" w:sz="8" w:space="0" w:color="auto"/>
            </w:tcBorders>
            <w:vAlign w:val="center"/>
            <w:hideMark/>
          </w:tcPr>
          <w:p w14:paraId="7FB00DDA" w14:textId="3837C01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83.8</w:t>
            </w:r>
          </w:p>
        </w:tc>
        <w:tc>
          <w:tcPr>
            <w:tcW w:w="703" w:type="dxa"/>
            <w:tcBorders>
              <w:top w:val="nil"/>
              <w:left w:val="nil"/>
              <w:bottom w:val="single" w:sz="8" w:space="0" w:color="auto"/>
              <w:right w:val="single" w:sz="8" w:space="0" w:color="auto"/>
            </w:tcBorders>
            <w:vAlign w:val="center"/>
            <w:hideMark/>
          </w:tcPr>
          <w:p w14:paraId="20105EDB" w14:textId="4DD170B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71.5</w:t>
            </w:r>
          </w:p>
        </w:tc>
        <w:tc>
          <w:tcPr>
            <w:tcW w:w="703" w:type="dxa"/>
            <w:tcBorders>
              <w:top w:val="nil"/>
              <w:left w:val="nil"/>
              <w:bottom w:val="single" w:sz="8" w:space="0" w:color="auto"/>
              <w:right w:val="single" w:sz="8" w:space="0" w:color="auto"/>
            </w:tcBorders>
            <w:vAlign w:val="center"/>
            <w:hideMark/>
          </w:tcPr>
          <w:p w14:paraId="2F13B85F" w14:textId="76DF3E4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703" w:type="dxa"/>
            <w:tcBorders>
              <w:top w:val="nil"/>
              <w:left w:val="nil"/>
              <w:bottom w:val="single" w:sz="8" w:space="0" w:color="auto"/>
              <w:right w:val="single" w:sz="8" w:space="0" w:color="auto"/>
            </w:tcBorders>
            <w:vAlign w:val="center"/>
            <w:hideMark/>
          </w:tcPr>
          <w:p w14:paraId="2294F2EC" w14:textId="6D65236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w:t>
            </w:r>
            <w:r w:rsidR="00821227" w:rsidRPr="00217865">
              <w:rPr>
                <w:rFonts w:cs="Arial"/>
                <w:color w:val="000000" w:themeColor="text1"/>
                <w:sz w:val="18"/>
              </w:rPr>
              <w:t>0</w:t>
            </w:r>
          </w:p>
        </w:tc>
        <w:tc>
          <w:tcPr>
            <w:tcW w:w="703" w:type="dxa"/>
            <w:tcBorders>
              <w:top w:val="nil"/>
              <w:left w:val="nil"/>
              <w:bottom w:val="single" w:sz="8" w:space="0" w:color="auto"/>
              <w:right w:val="single" w:sz="8" w:space="0" w:color="auto"/>
            </w:tcBorders>
            <w:vAlign w:val="center"/>
            <w:hideMark/>
          </w:tcPr>
          <w:p w14:paraId="47381C7A" w14:textId="5C0BF8C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75.3</w:t>
            </w:r>
          </w:p>
        </w:tc>
        <w:tc>
          <w:tcPr>
            <w:tcW w:w="703" w:type="dxa"/>
            <w:tcBorders>
              <w:top w:val="nil"/>
              <w:left w:val="nil"/>
              <w:bottom w:val="single" w:sz="8" w:space="0" w:color="auto"/>
              <w:right w:val="single" w:sz="8" w:space="0" w:color="auto"/>
            </w:tcBorders>
            <w:vAlign w:val="center"/>
            <w:hideMark/>
          </w:tcPr>
          <w:p w14:paraId="4EA95EDE" w14:textId="525342A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85.3</w:t>
            </w:r>
          </w:p>
        </w:tc>
        <w:tc>
          <w:tcPr>
            <w:tcW w:w="703" w:type="dxa"/>
            <w:tcBorders>
              <w:top w:val="nil"/>
              <w:left w:val="nil"/>
              <w:bottom w:val="single" w:sz="8" w:space="0" w:color="auto"/>
              <w:right w:val="single" w:sz="8" w:space="0" w:color="auto"/>
            </w:tcBorders>
            <w:vAlign w:val="center"/>
            <w:hideMark/>
          </w:tcPr>
          <w:p w14:paraId="52A94FBA" w14:textId="5F30FD7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86.1</w:t>
            </w:r>
          </w:p>
        </w:tc>
        <w:tc>
          <w:tcPr>
            <w:tcW w:w="703" w:type="dxa"/>
            <w:tcBorders>
              <w:top w:val="nil"/>
              <w:left w:val="nil"/>
              <w:bottom w:val="single" w:sz="8" w:space="0" w:color="auto"/>
              <w:right w:val="single" w:sz="8" w:space="0" w:color="auto"/>
            </w:tcBorders>
            <w:vAlign w:val="center"/>
            <w:hideMark/>
          </w:tcPr>
          <w:p w14:paraId="44646DAF" w14:textId="7579E28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69.4</w:t>
            </w:r>
          </w:p>
        </w:tc>
        <w:tc>
          <w:tcPr>
            <w:tcW w:w="703" w:type="dxa"/>
            <w:tcBorders>
              <w:top w:val="nil"/>
              <w:left w:val="nil"/>
              <w:bottom w:val="single" w:sz="8" w:space="0" w:color="auto"/>
              <w:right w:val="single" w:sz="8" w:space="0" w:color="auto"/>
            </w:tcBorders>
            <w:vAlign w:val="center"/>
            <w:hideMark/>
          </w:tcPr>
          <w:p w14:paraId="5BD0A79E" w14:textId="5FF341E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703" w:type="dxa"/>
            <w:tcBorders>
              <w:top w:val="nil"/>
              <w:left w:val="nil"/>
              <w:bottom w:val="single" w:sz="8" w:space="0" w:color="auto"/>
              <w:right w:val="single" w:sz="8" w:space="0" w:color="auto"/>
            </w:tcBorders>
            <w:vAlign w:val="center"/>
            <w:hideMark/>
          </w:tcPr>
          <w:p w14:paraId="6EBB3874" w14:textId="12335ED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r>
      <w:tr w:rsidR="00217865" w:rsidRPr="00217865" w14:paraId="383E7FFB"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683D5CC4" w14:textId="57C9E227"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Communications</w:t>
            </w:r>
          </w:p>
        </w:tc>
        <w:tc>
          <w:tcPr>
            <w:tcW w:w="703" w:type="dxa"/>
            <w:tcBorders>
              <w:top w:val="nil"/>
              <w:left w:val="single" w:sz="8" w:space="0" w:color="auto"/>
              <w:bottom w:val="single" w:sz="8" w:space="0" w:color="auto"/>
              <w:right w:val="single" w:sz="8" w:space="0" w:color="auto"/>
            </w:tcBorders>
            <w:vAlign w:val="center"/>
            <w:hideMark/>
          </w:tcPr>
          <w:p w14:paraId="151CBF7F" w14:textId="76F5C4A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76.0</w:t>
            </w:r>
          </w:p>
        </w:tc>
        <w:tc>
          <w:tcPr>
            <w:tcW w:w="703" w:type="dxa"/>
            <w:tcBorders>
              <w:top w:val="nil"/>
              <w:left w:val="nil"/>
              <w:bottom w:val="single" w:sz="8" w:space="0" w:color="auto"/>
              <w:right w:val="single" w:sz="8" w:space="0" w:color="auto"/>
            </w:tcBorders>
            <w:vAlign w:val="center"/>
            <w:hideMark/>
          </w:tcPr>
          <w:p w14:paraId="0AEB1B05" w14:textId="4D86871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787844E9" w14:textId="3CF8AB2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85.1</w:t>
            </w:r>
          </w:p>
        </w:tc>
        <w:tc>
          <w:tcPr>
            <w:tcW w:w="703" w:type="dxa"/>
            <w:tcBorders>
              <w:top w:val="nil"/>
              <w:left w:val="nil"/>
              <w:bottom w:val="single" w:sz="8" w:space="0" w:color="auto"/>
              <w:right w:val="single" w:sz="8" w:space="0" w:color="auto"/>
            </w:tcBorders>
            <w:vAlign w:val="center"/>
            <w:hideMark/>
          </w:tcPr>
          <w:p w14:paraId="38F8A464" w14:textId="2ACB13C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43.5</w:t>
            </w:r>
          </w:p>
        </w:tc>
        <w:tc>
          <w:tcPr>
            <w:tcW w:w="703" w:type="dxa"/>
            <w:tcBorders>
              <w:top w:val="nil"/>
              <w:left w:val="nil"/>
              <w:bottom w:val="single" w:sz="8" w:space="0" w:color="auto"/>
              <w:right w:val="single" w:sz="8" w:space="0" w:color="auto"/>
            </w:tcBorders>
            <w:vAlign w:val="center"/>
            <w:hideMark/>
          </w:tcPr>
          <w:p w14:paraId="35C77302" w14:textId="4BC2382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64.7</w:t>
            </w:r>
          </w:p>
        </w:tc>
        <w:tc>
          <w:tcPr>
            <w:tcW w:w="634" w:type="dxa"/>
            <w:tcBorders>
              <w:top w:val="nil"/>
              <w:left w:val="nil"/>
              <w:bottom w:val="single" w:sz="8" w:space="0" w:color="auto"/>
              <w:right w:val="single" w:sz="8" w:space="0" w:color="auto"/>
            </w:tcBorders>
            <w:vAlign w:val="center"/>
            <w:hideMark/>
          </w:tcPr>
          <w:p w14:paraId="3F93F608" w14:textId="74F1AE0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69.5</w:t>
            </w:r>
          </w:p>
        </w:tc>
        <w:tc>
          <w:tcPr>
            <w:tcW w:w="772" w:type="dxa"/>
            <w:tcBorders>
              <w:top w:val="nil"/>
              <w:left w:val="nil"/>
              <w:bottom w:val="single" w:sz="8" w:space="0" w:color="auto"/>
              <w:right w:val="single" w:sz="8" w:space="0" w:color="auto"/>
            </w:tcBorders>
            <w:vAlign w:val="center"/>
            <w:hideMark/>
          </w:tcPr>
          <w:p w14:paraId="2A5276BC" w14:textId="76AE054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78.0</w:t>
            </w:r>
          </w:p>
        </w:tc>
        <w:tc>
          <w:tcPr>
            <w:tcW w:w="703" w:type="dxa"/>
            <w:tcBorders>
              <w:top w:val="nil"/>
              <w:left w:val="nil"/>
              <w:bottom w:val="single" w:sz="8" w:space="0" w:color="auto"/>
              <w:right w:val="single" w:sz="8" w:space="0" w:color="auto"/>
            </w:tcBorders>
            <w:vAlign w:val="center"/>
            <w:hideMark/>
          </w:tcPr>
          <w:p w14:paraId="38A1DE5E" w14:textId="0D0E552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85.6</w:t>
            </w:r>
          </w:p>
        </w:tc>
        <w:tc>
          <w:tcPr>
            <w:tcW w:w="703" w:type="dxa"/>
            <w:tcBorders>
              <w:top w:val="nil"/>
              <w:left w:val="nil"/>
              <w:bottom w:val="single" w:sz="8" w:space="0" w:color="auto"/>
              <w:right w:val="single" w:sz="8" w:space="0" w:color="auto"/>
            </w:tcBorders>
            <w:vAlign w:val="center"/>
            <w:hideMark/>
          </w:tcPr>
          <w:p w14:paraId="34DC8E59" w14:textId="79E6A97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83.7</w:t>
            </w:r>
          </w:p>
        </w:tc>
        <w:tc>
          <w:tcPr>
            <w:tcW w:w="703" w:type="dxa"/>
            <w:tcBorders>
              <w:top w:val="nil"/>
              <w:left w:val="nil"/>
              <w:bottom w:val="single" w:sz="8" w:space="0" w:color="auto"/>
              <w:right w:val="single" w:sz="8" w:space="0" w:color="auto"/>
            </w:tcBorders>
            <w:vAlign w:val="center"/>
            <w:hideMark/>
          </w:tcPr>
          <w:p w14:paraId="0C4DA9C7" w14:textId="20FF24D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65.8</w:t>
            </w:r>
          </w:p>
        </w:tc>
        <w:tc>
          <w:tcPr>
            <w:tcW w:w="703" w:type="dxa"/>
            <w:tcBorders>
              <w:top w:val="nil"/>
              <w:left w:val="nil"/>
              <w:bottom w:val="single" w:sz="8" w:space="0" w:color="auto"/>
              <w:right w:val="single" w:sz="8" w:space="0" w:color="auto"/>
            </w:tcBorders>
            <w:vAlign w:val="center"/>
            <w:hideMark/>
          </w:tcPr>
          <w:p w14:paraId="1A76E8AC" w14:textId="7734854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73.6</w:t>
            </w:r>
          </w:p>
        </w:tc>
        <w:tc>
          <w:tcPr>
            <w:tcW w:w="703" w:type="dxa"/>
            <w:tcBorders>
              <w:top w:val="nil"/>
              <w:left w:val="nil"/>
              <w:bottom w:val="single" w:sz="8" w:space="0" w:color="auto"/>
              <w:right w:val="single" w:sz="8" w:space="0" w:color="auto"/>
            </w:tcBorders>
            <w:vAlign w:val="center"/>
            <w:hideMark/>
          </w:tcPr>
          <w:p w14:paraId="5EC8DCDC" w14:textId="34EA9BD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w:t>
            </w:r>
            <w:r w:rsidR="00821227" w:rsidRPr="00217865">
              <w:rPr>
                <w:rFonts w:cs="Arial"/>
                <w:color w:val="000000" w:themeColor="text1"/>
                <w:sz w:val="18"/>
              </w:rPr>
              <w:t>2</w:t>
            </w:r>
          </w:p>
        </w:tc>
        <w:tc>
          <w:tcPr>
            <w:tcW w:w="703" w:type="dxa"/>
            <w:tcBorders>
              <w:top w:val="nil"/>
              <w:left w:val="nil"/>
              <w:bottom w:val="single" w:sz="8" w:space="0" w:color="auto"/>
              <w:right w:val="single" w:sz="8" w:space="0" w:color="auto"/>
            </w:tcBorders>
            <w:vAlign w:val="center"/>
            <w:hideMark/>
          </w:tcPr>
          <w:p w14:paraId="5ACDBD9C" w14:textId="276A2C7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79.2</w:t>
            </w:r>
          </w:p>
        </w:tc>
        <w:tc>
          <w:tcPr>
            <w:tcW w:w="703" w:type="dxa"/>
            <w:tcBorders>
              <w:top w:val="nil"/>
              <w:left w:val="nil"/>
              <w:bottom w:val="single" w:sz="8" w:space="0" w:color="auto"/>
              <w:right w:val="single" w:sz="8" w:space="0" w:color="auto"/>
            </w:tcBorders>
            <w:vAlign w:val="center"/>
            <w:hideMark/>
          </w:tcPr>
          <w:p w14:paraId="21EFF3C6" w14:textId="2F38165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87.6</w:t>
            </w:r>
          </w:p>
        </w:tc>
        <w:tc>
          <w:tcPr>
            <w:tcW w:w="703" w:type="dxa"/>
            <w:tcBorders>
              <w:top w:val="nil"/>
              <w:left w:val="nil"/>
              <w:bottom w:val="single" w:sz="8" w:space="0" w:color="auto"/>
              <w:right w:val="single" w:sz="8" w:space="0" w:color="auto"/>
            </w:tcBorders>
            <w:vAlign w:val="center"/>
            <w:hideMark/>
          </w:tcPr>
          <w:p w14:paraId="0D67AE34" w14:textId="15BDC3E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86.5</w:t>
            </w:r>
          </w:p>
        </w:tc>
        <w:tc>
          <w:tcPr>
            <w:tcW w:w="703" w:type="dxa"/>
            <w:tcBorders>
              <w:top w:val="nil"/>
              <w:left w:val="nil"/>
              <w:bottom w:val="single" w:sz="8" w:space="0" w:color="auto"/>
              <w:right w:val="single" w:sz="8" w:space="0" w:color="auto"/>
            </w:tcBorders>
            <w:vAlign w:val="center"/>
            <w:hideMark/>
          </w:tcPr>
          <w:p w14:paraId="5D92A800" w14:textId="2C12170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69.1</w:t>
            </w:r>
          </w:p>
        </w:tc>
        <w:tc>
          <w:tcPr>
            <w:tcW w:w="703" w:type="dxa"/>
            <w:tcBorders>
              <w:top w:val="nil"/>
              <w:left w:val="nil"/>
              <w:bottom w:val="single" w:sz="8" w:space="0" w:color="auto"/>
              <w:right w:val="single" w:sz="8" w:space="0" w:color="auto"/>
            </w:tcBorders>
            <w:vAlign w:val="center"/>
            <w:hideMark/>
          </w:tcPr>
          <w:p w14:paraId="5E440128" w14:textId="4D0AC07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78.7</w:t>
            </w:r>
          </w:p>
        </w:tc>
        <w:tc>
          <w:tcPr>
            <w:tcW w:w="703" w:type="dxa"/>
            <w:tcBorders>
              <w:top w:val="nil"/>
              <w:left w:val="nil"/>
              <w:bottom w:val="single" w:sz="8" w:space="0" w:color="auto"/>
              <w:right w:val="single" w:sz="8" w:space="0" w:color="auto"/>
            </w:tcBorders>
            <w:vAlign w:val="center"/>
            <w:hideMark/>
          </w:tcPr>
          <w:p w14:paraId="71ED50B7" w14:textId="308642F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76.8</w:t>
            </w:r>
          </w:p>
        </w:tc>
      </w:tr>
      <w:tr w:rsidR="00217865" w:rsidRPr="00217865" w14:paraId="1032CE28" w14:textId="77777777" w:rsidTr="00586F7D">
        <w:trPr>
          <w:trHeight w:val="471"/>
        </w:trPr>
        <w:tc>
          <w:tcPr>
            <w:tcW w:w="2517" w:type="dxa"/>
            <w:tcBorders>
              <w:top w:val="nil"/>
              <w:left w:val="single" w:sz="8" w:space="0" w:color="000000"/>
              <w:bottom w:val="single" w:sz="8" w:space="0" w:color="000000"/>
              <w:right w:val="nil"/>
            </w:tcBorders>
            <w:vAlign w:val="center"/>
            <w:hideMark/>
          </w:tcPr>
          <w:p w14:paraId="50C091A1" w14:textId="29C2C363"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Computing and information systems</w:t>
            </w:r>
          </w:p>
        </w:tc>
        <w:tc>
          <w:tcPr>
            <w:tcW w:w="703" w:type="dxa"/>
            <w:tcBorders>
              <w:top w:val="nil"/>
              <w:left w:val="single" w:sz="8" w:space="0" w:color="auto"/>
              <w:bottom w:val="single" w:sz="8" w:space="0" w:color="auto"/>
              <w:right w:val="single" w:sz="8" w:space="0" w:color="auto"/>
            </w:tcBorders>
            <w:vAlign w:val="center"/>
            <w:hideMark/>
          </w:tcPr>
          <w:p w14:paraId="069FB857" w14:textId="2FCE6A6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74.2</w:t>
            </w:r>
          </w:p>
        </w:tc>
        <w:tc>
          <w:tcPr>
            <w:tcW w:w="703" w:type="dxa"/>
            <w:tcBorders>
              <w:top w:val="nil"/>
              <w:left w:val="nil"/>
              <w:bottom w:val="single" w:sz="8" w:space="0" w:color="auto"/>
              <w:right w:val="single" w:sz="8" w:space="0" w:color="auto"/>
            </w:tcBorders>
            <w:vAlign w:val="center"/>
            <w:hideMark/>
          </w:tcPr>
          <w:p w14:paraId="386F95D5" w14:textId="1CD4EF8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78.3</w:t>
            </w:r>
          </w:p>
        </w:tc>
        <w:tc>
          <w:tcPr>
            <w:tcW w:w="703" w:type="dxa"/>
            <w:tcBorders>
              <w:top w:val="nil"/>
              <w:left w:val="nil"/>
              <w:bottom w:val="single" w:sz="8" w:space="0" w:color="auto"/>
              <w:right w:val="single" w:sz="8" w:space="0" w:color="auto"/>
            </w:tcBorders>
            <w:vAlign w:val="center"/>
            <w:hideMark/>
          </w:tcPr>
          <w:p w14:paraId="2BD3D702" w14:textId="2FF5B60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w:t>
            </w:r>
            <w:r w:rsidR="00821227" w:rsidRPr="00217865">
              <w:rPr>
                <w:rFonts w:cs="Arial"/>
                <w:color w:val="000000" w:themeColor="text1"/>
                <w:sz w:val="18"/>
              </w:rPr>
              <w:t>5</w:t>
            </w:r>
          </w:p>
        </w:tc>
        <w:tc>
          <w:tcPr>
            <w:tcW w:w="703" w:type="dxa"/>
            <w:tcBorders>
              <w:top w:val="nil"/>
              <w:left w:val="nil"/>
              <w:bottom w:val="single" w:sz="8" w:space="0" w:color="auto"/>
              <w:right w:val="single" w:sz="8" w:space="0" w:color="auto"/>
            </w:tcBorders>
            <w:vAlign w:val="center"/>
            <w:hideMark/>
          </w:tcPr>
          <w:p w14:paraId="78EC3E44" w14:textId="005610C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50.9</w:t>
            </w:r>
          </w:p>
        </w:tc>
        <w:tc>
          <w:tcPr>
            <w:tcW w:w="703" w:type="dxa"/>
            <w:tcBorders>
              <w:top w:val="nil"/>
              <w:left w:val="nil"/>
              <w:bottom w:val="single" w:sz="8" w:space="0" w:color="auto"/>
              <w:right w:val="single" w:sz="8" w:space="0" w:color="auto"/>
            </w:tcBorders>
            <w:vAlign w:val="center"/>
            <w:hideMark/>
          </w:tcPr>
          <w:p w14:paraId="1A1DAF0A" w14:textId="00CE660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60.4</w:t>
            </w:r>
          </w:p>
        </w:tc>
        <w:tc>
          <w:tcPr>
            <w:tcW w:w="634" w:type="dxa"/>
            <w:tcBorders>
              <w:top w:val="nil"/>
              <w:left w:val="nil"/>
              <w:bottom w:val="single" w:sz="8" w:space="0" w:color="auto"/>
              <w:right w:val="single" w:sz="8" w:space="0" w:color="auto"/>
            </w:tcBorders>
            <w:vAlign w:val="center"/>
            <w:hideMark/>
          </w:tcPr>
          <w:p w14:paraId="7FD0E1AE" w14:textId="092CFC2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68.5</w:t>
            </w:r>
          </w:p>
        </w:tc>
        <w:tc>
          <w:tcPr>
            <w:tcW w:w="772" w:type="dxa"/>
            <w:tcBorders>
              <w:top w:val="nil"/>
              <w:left w:val="nil"/>
              <w:bottom w:val="single" w:sz="8" w:space="0" w:color="auto"/>
              <w:right w:val="single" w:sz="8" w:space="0" w:color="auto"/>
            </w:tcBorders>
            <w:vAlign w:val="center"/>
            <w:hideMark/>
          </w:tcPr>
          <w:p w14:paraId="0B6EC241" w14:textId="1DD3263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w:t>
            </w:r>
            <w:r w:rsidR="00821227" w:rsidRPr="00217865">
              <w:rPr>
                <w:rFonts w:cs="Arial"/>
                <w:color w:val="000000" w:themeColor="text1"/>
                <w:sz w:val="18"/>
              </w:rPr>
              <w:t>2</w:t>
            </w:r>
          </w:p>
        </w:tc>
        <w:tc>
          <w:tcPr>
            <w:tcW w:w="703" w:type="dxa"/>
            <w:tcBorders>
              <w:top w:val="nil"/>
              <w:left w:val="nil"/>
              <w:bottom w:val="single" w:sz="8" w:space="0" w:color="auto"/>
              <w:right w:val="single" w:sz="8" w:space="0" w:color="auto"/>
            </w:tcBorders>
            <w:vAlign w:val="center"/>
            <w:hideMark/>
          </w:tcPr>
          <w:p w14:paraId="331EFCC6" w14:textId="486D352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77.2</w:t>
            </w:r>
          </w:p>
        </w:tc>
        <w:tc>
          <w:tcPr>
            <w:tcW w:w="703" w:type="dxa"/>
            <w:tcBorders>
              <w:top w:val="nil"/>
              <w:left w:val="nil"/>
              <w:bottom w:val="single" w:sz="8" w:space="0" w:color="auto"/>
              <w:right w:val="single" w:sz="8" w:space="0" w:color="auto"/>
            </w:tcBorders>
            <w:vAlign w:val="center"/>
            <w:hideMark/>
          </w:tcPr>
          <w:p w14:paraId="46D40482" w14:textId="209C6BE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78.6</w:t>
            </w:r>
          </w:p>
        </w:tc>
        <w:tc>
          <w:tcPr>
            <w:tcW w:w="703" w:type="dxa"/>
            <w:tcBorders>
              <w:top w:val="nil"/>
              <w:left w:val="nil"/>
              <w:bottom w:val="single" w:sz="8" w:space="0" w:color="auto"/>
              <w:right w:val="single" w:sz="8" w:space="0" w:color="auto"/>
            </w:tcBorders>
            <w:vAlign w:val="center"/>
            <w:hideMark/>
          </w:tcPr>
          <w:p w14:paraId="4EBDBB21" w14:textId="2BE4AE9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70.6</w:t>
            </w:r>
          </w:p>
        </w:tc>
        <w:tc>
          <w:tcPr>
            <w:tcW w:w="703" w:type="dxa"/>
            <w:tcBorders>
              <w:top w:val="nil"/>
              <w:left w:val="nil"/>
              <w:bottom w:val="single" w:sz="8" w:space="0" w:color="auto"/>
              <w:right w:val="single" w:sz="8" w:space="0" w:color="auto"/>
            </w:tcBorders>
            <w:vAlign w:val="center"/>
            <w:hideMark/>
          </w:tcPr>
          <w:p w14:paraId="5FC0BAE7" w14:textId="7F0A0A9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75.3</w:t>
            </w:r>
          </w:p>
        </w:tc>
        <w:tc>
          <w:tcPr>
            <w:tcW w:w="703" w:type="dxa"/>
            <w:tcBorders>
              <w:top w:val="nil"/>
              <w:left w:val="nil"/>
              <w:bottom w:val="single" w:sz="8" w:space="0" w:color="auto"/>
              <w:right w:val="single" w:sz="8" w:space="0" w:color="auto"/>
            </w:tcBorders>
            <w:vAlign w:val="center"/>
            <w:hideMark/>
          </w:tcPr>
          <w:p w14:paraId="7FCF088E" w14:textId="3F44AD0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76.4</w:t>
            </w:r>
          </w:p>
        </w:tc>
        <w:tc>
          <w:tcPr>
            <w:tcW w:w="703" w:type="dxa"/>
            <w:tcBorders>
              <w:top w:val="nil"/>
              <w:left w:val="nil"/>
              <w:bottom w:val="single" w:sz="8" w:space="0" w:color="auto"/>
              <w:right w:val="single" w:sz="8" w:space="0" w:color="auto"/>
            </w:tcBorders>
            <w:vAlign w:val="center"/>
            <w:hideMark/>
          </w:tcPr>
          <w:p w14:paraId="44882B38" w14:textId="48AFAB1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69.3</w:t>
            </w:r>
          </w:p>
        </w:tc>
        <w:tc>
          <w:tcPr>
            <w:tcW w:w="703" w:type="dxa"/>
            <w:tcBorders>
              <w:top w:val="nil"/>
              <w:left w:val="nil"/>
              <w:bottom w:val="single" w:sz="8" w:space="0" w:color="auto"/>
              <w:right w:val="single" w:sz="8" w:space="0" w:color="auto"/>
            </w:tcBorders>
            <w:vAlign w:val="center"/>
            <w:hideMark/>
          </w:tcPr>
          <w:p w14:paraId="36EED218" w14:textId="16440D6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81.5</w:t>
            </w:r>
          </w:p>
        </w:tc>
        <w:tc>
          <w:tcPr>
            <w:tcW w:w="703" w:type="dxa"/>
            <w:tcBorders>
              <w:top w:val="nil"/>
              <w:left w:val="nil"/>
              <w:bottom w:val="single" w:sz="8" w:space="0" w:color="auto"/>
              <w:right w:val="single" w:sz="8" w:space="0" w:color="auto"/>
            </w:tcBorders>
            <w:vAlign w:val="center"/>
            <w:hideMark/>
          </w:tcPr>
          <w:p w14:paraId="02FEB8E4" w14:textId="4BC376D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82.8</w:t>
            </w:r>
          </w:p>
        </w:tc>
        <w:tc>
          <w:tcPr>
            <w:tcW w:w="703" w:type="dxa"/>
            <w:tcBorders>
              <w:top w:val="nil"/>
              <w:left w:val="nil"/>
              <w:bottom w:val="single" w:sz="8" w:space="0" w:color="auto"/>
              <w:right w:val="single" w:sz="8" w:space="0" w:color="auto"/>
            </w:tcBorders>
            <w:vAlign w:val="center"/>
            <w:hideMark/>
          </w:tcPr>
          <w:p w14:paraId="0107B1F6" w14:textId="24B3266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65.9</w:t>
            </w:r>
          </w:p>
        </w:tc>
        <w:tc>
          <w:tcPr>
            <w:tcW w:w="703" w:type="dxa"/>
            <w:tcBorders>
              <w:top w:val="nil"/>
              <w:left w:val="nil"/>
              <w:bottom w:val="single" w:sz="8" w:space="0" w:color="auto"/>
              <w:right w:val="single" w:sz="8" w:space="0" w:color="auto"/>
            </w:tcBorders>
            <w:vAlign w:val="center"/>
            <w:hideMark/>
          </w:tcPr>
          <w:p w14:paraId="1F42E783" w14:textId="07D5AA9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72.8</w:t>
            </w:r>
          </w:p>
        </w:tc>
        <w:tc>
          <w:tcPr>
            <w:tcW w:w="703" w:type="dxa"/>
            <w:tcBorders>
              <w:top w:val="nil"/>
              <w:left w:val="nil"/>
              <w:bottom w:val="single" w:sz="8" w:space="0" w:color="auto"/>
              <w:right w:val="single" w:sz="8" w:space="0" w:color="auto"/>
            </w:tcBorders>
            <w:vAlign w:val="center"/>
            <w:hideMark/>
          </w:tcPr>
          <w:p w14:paraId="64B85F74" w14:textId="2AFD526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71.0</w:t>
            </w:r>
          </w:p>
        </w:tc>
      </w:tr>
      <w:tr w:rsidR="00217865" w:rsidRPr="00217865" w14:paraId="27A99AAD"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081B8AA2" w14:textId="534EBEBD"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Creative arts</w:t>
            </w:r>
          </w:p>
        </w:tc>
        <w:tc>
          <w:tcPr>
            <w:tcW w:w="703" w:type="dxa"/>
            <w:tcBorders>
              <w:top w:val="nil"/>
              <w:left w:val="single" w:sz="8" w:space="0" w:color="auto"/>
              <w:bottom w:val="single" w:sz="8" w:space="0" w:color="auto"/>
              <w:right w:val="single" w:sz="8" w:space="0" w:color="auto"/>
            </w:tcBorders>
            <w:vAlign w:val="center"/>
            <w:hideMark/>
          </w:tcPr>
          <w:p w14:paraId="23A221E0" w14:textId="0EF82E8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74.1</w:t>
            </w:r>
          </w:p>
        </w:tc>
        <w:tc>
          <w:tcPr>
            <w:tcW w:w="703" w:type="dxa"/>
            <w:tcBorders>
              <w:top w:val="nil"/>
              <w:left w:val="nil"/>
              <w:bottom w:val="single" w:sz="8" w:space="0" w:color="auto"/>
              <w:right w:val="single" w:sz="8" w:space="0" w:color="auto"/>
            </w:tcBorders>
            <w:vAlign w:val="center"/>
            <w:hideMark/>
          </w:tcPr>
          <w:p w14:paraId="1DFA4A9F" w14:textId="621DD10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80.1</w:t>
            </w:r>
          </w:p>
        </w:tc>
        <w:tc>
          <w:tcPr>
            <w:tcW w:w="703" w:type="dxa"/>
            <w:tcBorders>
              <w:top w:val="nil"/>
              <w:left w:val="nil"/>
              <w:bottom w:val="single" w:sz="8" w:space="0" w:color="auto"/>
              <w:right w:val="single" w:sz="8" w:space="0" w:color="auto"/>
            </w:tcBorders>
            <w:vAlign w:val="center"/>
            <w:hideMark/>
          </w:tcPr>
          <w:p w14:paraId="260D6ABD" w14:textId="2CE8C72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6BC4983E" w14:textId="792D9D5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46.1</w:t>
            </w:r>
          </w:p>
        </w:tc>
        <w:tc>
          <w:tcPr>
            <w:tcW w:w="703" w:type="dxa"/>
            <w:tcBorders>
              <w:top w:val="nil"/>
              <w:left w:val="nil"/>
              <w:bottom w:val="single" w:sz="8" w:space="0" w:color="auto"/>
              <w:right w:val="single" w:sz="8" w:space="0" w:color="auto"/>
            </w:tcBorders>
            <w:vAlign w:val="center"/>
            <w:hideMark/>
          </w:tcPr>
          <w:p w14:paraId="70117C94" w14:textId="65FA72A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57.1</w:t>
            </w:r>
          </w:p>
        </w:tc>
        <w:tc>
          <w:tcPr>
            <w:tcW w:w="634" w:type="dxa"/>
            <w:tcBorders>
              <w:top w:val="nil"/>
              <w:left w:val="nil"/>
              <w:bottom w:val="single" w:sz="8" w:space="0" w:color="auto"/>
              <w:right w:val="single" w:sz="8" w:space="0" w:color="auto"/>
            </w:tcBorders>
            <w:vAlign w:val="center"/>
            <w:hideMark/>
          </w:tcPr>
          <w:p w14:paraId="69E535EB" w14:textId="540CDB9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65.9</w:t>
            </w:r>
          </w:p>
        </w:tc>
        <w:tc>
          <w:tcPr>
            <w:tcW w:w="772" w:type="dxa"/>
            <w:tcBorders>
              <w:top w:val="nil"/>
              <w:left w:val="nil"/>
              <w:bottom w:val="single" w:sz="8" w:space="0" w:color="auto"/>
              <w:right w:val="single" w:sz="8" w:space="0" w:color="auto"/>
            </w:tcBorders>
            <w:vAlign w:val="center"/>
            <w:hideMark/>
          </w:tcPr>
          <w:p w14:paraId="195277D4" w14:textId="0C51EE4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77.7</w:t>
            </w:r>
          </w:p>
        </w:tc>
        <w:tc>
          <w:tcPr>
            <w:tcW w:w="703" w:type="dxa"/>
            <w:tcBorders>
              <w:top w:val="nil"/>
              <w:left w:val="nil"/>
              <w:bottom w:val="single" w:sz="8" w:space="0" w:color="auto"/>
              <w:right w:val="single" w:sz="8" w:space="0" w:color="auto"/>
            </w:tcBorders>
            <w:vAlign w:val="center"/>
            <w:hideMark/>
          </w:tcPr>
          <w:p w14:paraId="0BCBB25F" w14:textId="3E2FD8C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83.1</w:t>
            </w:r>
          </w:p>
        </w:tc>
        <w:tc>
          <w:tcPr>
            <w:tcW w:w="703" w:type="dxa"/>
            <w:tcBorders>
              <w:top w:val="nil"/>
              <w:left w:val="nil"/>
              <w:bottom w:val="single" w:sz="8" w:space="0" w:color="auto"/>
              <w:right w:val="single" w:sz="8" w:space="0" w:color="auto"/>
            </w:tcBorders>
            <w:vAlign w:val="center"/>
            <w:hideMark/>
          </w:tcPr>
          <w:p w14:paraId="20869C63" w14:textId="4C9B940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672A4C71" w14:textId="078B56B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68.3</w:t>
            </w:r>
          </w:p>
        </w:tc>
        <w:tc>
          <w:tcPr>
            <w:tcW w:w="703" w:type="dxa"/>
            <w:tcBorders>
              <w:top w:val="nil"/>
              <w:left w:val="nil"/>
              <w:bottom w:val="single" w:sz="8" w:space="0" w:color="auto"/>
              <w:right w:val="single" w:sz="8" w:space="0" w:color="auto"/>
            </w:tcBorders>
            <w:vAlign w:val="center"/>
            <w:hideMark/>
          </w:tcPr>
          <w:p w14:paraId="5CC37A05" w14:textId="078A99D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w:t>
            </w:r>
            <w:r w:rsidR="00821227" w:rsidRPr="00217865">
              <w:rPr>
                <w:rFonts w:cs="Arial"/>
                <w:color w:val="000000" w:themeColor="text1"/>
                <w:sz w:val="18"/>
              </w:rPr>
              <w:t>6</w:t>
            </w:r>
          </w:p>
        </w:tc>
        <w:tc>
          <w:tcPr>
            <w:tcW w:w="703" w:type="dxa"/>
            <w:tcBorders>
              <w:top w:val="nil"/>
              <w:left w:val="nil"/>
              <w:bottom w:val="single" w:sz="8" w:space="0" w:color="auto"/>
              <w:right w:val="single" w:sz="8" w:space="0" w:color="auto"/>
            </w:tcBorders>
            <w:vAlign w:val="center"/>
            <w:hideMark/>
          </w:tcPr>
          <w:p w14:paraId="522CEC07" w14:textId="6B3C0A5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73.4</w:t>
            </w:r>
          </w:p>
        </w:tc>
        <w:tc>
          <w:tcPr>
            <w:tcW w:w="703" w:type="dxa"/>
            <w:tcBorders>
              <w:top w:val="nil"/>
              <w:left w:val="nil"/>
              <w:bottom w:val="single" w:sz="8" w:space="0" w:color="auto"/>
              <w:right w:val="single" w:sz="8" w:space="0" w:color="auto"/>
            </w:tcBorders>
            <w:vAlign w:val="center"/>
            <w:hideMark/>
          </w:tcPr>
          <w:p w14:paraId="2067BD0F" w14:textId="7965B1E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73.2</w:t>
            </w:r>
          </w:p>
        </w:tc>
        <w:tc>
          <w:tcPr>
            <w:tcW w:w="703" w:type="dxa"/>
            <w:tcBorders>
              <w:top w:val="nil"/>
              <w:left w:val="nil"/>
              <w:bottom w:val="single" w:sz="8" w:space="0" w:color="auto"/>
              <w:right w:val="single" w:sz="8" w:space="0" w:color="auto"/>
            </w:tcBorders>
            <w:vAlign w:val="center"/>
            <w:hideMark/>
          </w:tcPr>
          <w:p w14:paraId="46CCAD3C" w14:textId="4D65CB6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351EA6E5" w14:textId="5538C69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w:t>
            </w:r>
            <w:r w:rsidR="00821227" w:rsidRPr="00217865">
              <w:rPr>
                <w:rFonts w:cs="Arial"/>
                <w:color w:val="000000" w:themeColor="text1"/>
                <w:sz w:val="18"/>
              </w:rPr>
              <w:t>0</w:t>
            </w:r>
          </w:p>
        </w:tc>
        <w:tc>
          <w:tcPr>
            <w:tcW w:w="703" w:type="dxa"/>
            <w:tcBorders>
              <w:top w:val="nil"/>
              <w:left w:val="nil"/>
              <w:bottom w:val="single" w:sz="8" w:space="0" w:color="auto"/>
              <w:right w:val="single" w:sz="8" w:space="0" w:color="auto"/>
            </w:tcBorders>
            <w:vAlign w:val="center"/>
            <w:hideMark/>
          </w:tcPr>
          <w:p w14:paraId="73F57FB2" w14:textId="7E288EE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65.6</w:t>
            </w:r>
          </w:p>
        </w:tc>
        <w:tc>
          <w:tcPr>
            <w:tcW w:w="703" w:type="dxa"/>
            <w:tcBorders>
              <w:top w:val="nil"/>
              <w:left w:val="nil"/>
              <w:bottom w:val="single" w:sz="8" w:space="0" w:color="auto"/>
              <w:right w:val="single" w:sz="8" w:space="0" w:color="auto"/>
            </w:tcBorders>
            <w:vAlign w:val="center"/>
            <w:hideMark/>
          </w:tcPr>
          <w:p w14:paraId="2C30CE12" w14:textId="75006A7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74.9</w:t>
            </w:r>
          </w:p>
        </w:tc>
        <w:tc>
          <w:tcPr>
            <w:tcW w:w="703" w:type="dxa"/>
            <w:tcBorders>
              <w:top w:val="nil"/>
              <w:left w:val="nil"/>
              <w:bottom w:val="single" w:sz="8" w:space="0" w:color="auto"/>
              <w:right w:val="single" w:sz="8" w:space="0" w:color="auto"/>
            </w:tcBorders>
            <w:vAlign w:val="center"/>
            <w:hideMark/>
          </w:tcPr>
          <w:p w14:paraId="675E4C7F" w14:textId="2C01835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75.6</w:t>
            </w:r>
          </w:p>
        </w:tc>
      </w:tr>
      <w:tr w:rsidR="00217865" w:rsidRPr="00217865" w14:paraId="27B7F479"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309F9FF6" w14:textId="51188349"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Dentistry</w:t>
            </w:r>
          </w:p>
        </w:tc>
        <w:tc>
          <w:tcPr>
            <w:tcW w:w="703" w:type="dxa"/>
            <w:tcBorders>
              <w:top w:val="nil"/>
              <w:left w:val="single" w:sz="8" w:space="0" w:color="auto"/>
              <w:bottom w:val="single" w:sz="8" w:space="0" w:color="auto"/>
              <w:right w:val="single" w:sz="8" w:space="0" w:color="auto"/>
            </w:tcBorders>
            <w:vAlign w:val="center"/>
            <w:hideMark/>
          </w:tcPr>
          <w:p w14:paraId="76C87449" w14:textId="347169D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70.8</w:t>
            </w:r>
          </w:p>
        </w:tc>
        <w:tc>
          <w:tcPr>
            <w:tcW w:w="703" w:type="dxa"/>
            <w:tcBorders>
              <w:top w:val="nil"/>
              <w:left w:val="nil"/>
              <w:bottom w:val="single" w:sz="8" w:space="0" w:color="auto"/>
              <w:right w:val="single" w:sz="8" w:space="0" w:color="auto"/>
            </w:tcBorders>
            <w:vAlign w:val="center"/>
            <w:hideMark/>
          </w:tcPr>
          <w:p w14:paraId="0321FF26" w14:textId="7DF5A97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4A45F433" w14:textId="5473A7C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86.3</w:t>
            </w:r>
          </w:p>
        </w:tc>
        <w:tc>
          <w:tcPr>
            <w:tcW w:w="703" w:type="dxa"/>
            <w:tcBorders>
              <w:top w:val="nil"/>
              <w:left w:val="nil"/>
              <w:bottom w:val="single" w:sz="8" w:space="0" w:color="auto"/>
              <w:right w:val="single" w:sz="8" w:space="0" w:color="auto"/>
            </w:tcBorders>
            <w:vAlign w:val="center"/>
            <w:hideMark/>
          </w:tcPr>
          <w:p w14:paraId="78B6267D" w14:textId="73F7697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41.0</w:t>
            </w:r>
          </w:p>
        </w:tc>
        <w:tc>
          <w:tcPr>
            <w:tcW w:w="703" w:type="dxa"/>
            <w:tcBorders>
              <w:top w:val="nil"/>
              <w:left w:val="nil"/>
              <w:bottom w:val="single" w:sz="8" w:space="0" w:color="auto"/>
              <w:right w:val="single" w:sz="8" w:space="0" w:color="auto"/>
            </w:tcBorders>
            <w:vAlign w:val="center"/>
            <w:hideMark/>
          </w:tcPr>
          <w:p w14:paraId="7EEF71B5" w14:textId="75959F3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61.</w:t>
            </w:r>
            <w:r w:rsidR="00821227" w:rsidRPr="00217865">
              <w:rPr>
                <w:rFonts w:cs="Arial"/>
                <w:color w:val="000000" w:themeColor="text1"/>
                <w:sz w:val="18"/>
              </w:rPr>
              <w:t>3</w:t>
            </w:r>
          </w:p>
        </w:tc>
        <w:tc>
          <w:tcPr>
            <w:tcW w:w="634" w:type="dxa"/>
            <w:tcBorders>
              <w:top w:val="nil"/>
              <w:left w:val="nil"/>
              <w:bottom w:val="single" w:sz="8" w:space="0" w:color="auto"/>
              <w:right w:val="single" w:sz="8" w:space="0" w:color="auto"/>
            </w:tcBorders>
            <w:vAlign w:val="center"/>
            <w:hideMark/>
          </w:tcPr>
          <w:p w14:paraId="42EA26F6" w14:textId="080B038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63.2</w:t>
            </w:r>
          </w:p>
        </w:tc>
        <w:tc>
          <w:tcPr>
            <w:tcW w:w="772" w:type="dxa"/>
            <w:tcBorders>
              <w:top w:val="nil"/>
              <w:left w:val="nil"/>
              <w:bottom w:val="single" w:sz="8" w:space="0" w:color="auto"/>
              <w:right w:val="single" w:sz="8" w:space="0" w:color="auto"/>
            </w:tcBorders>
            <w:vAlign w:val="center"/>
            <w:hideMark/>
          </w:tcPr>
          <w:p w14:paraId="2BE58F19" w14:textId="29937BE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65.3</w:t>
            </w:r>
          </w:p>
        </w:tc>
        <w:tc>
          <w:tcPr>
            <w:tcW w:w="703" w:type="dxa"/>
            <w:tcBorders>
              <w:top w:val="nil"/>
              <w:left w:val="nil"/>
              <w:bottom w:val="single" w:sz="8" w:space="0" w:color="auto"/>
              <w:right w:val="single" w:sz="8" w:space="0" w:color="auto"/>
            </w:tcBorders>
            <w:vAlign w:val="center"/>
            <w:hideMark/>
          </w:tcPr>
          <w:p w14:paraId="20AF82DB" w14:textId="1A0544A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70.2</w:t>
            </w:r>
          </w:p>
        </w:tc>
        <w:tc>
          <w:tcPr>
            <w:tcW w:w="703" w:type="dxa"/>
            <w:tcBorders>
              <w:top w:val="nil"/>
              <w:left w:val="nil"/>
              <w:bottom w:val="single" w:sz="8" w:space="0" w:color="auto"/>
              <w:right w:val="single" w:sz="8" w:space="0" w:color="auto"/>
            </w:tcBorders>
            <w:vAlign w:val="center"/>
            <w:hideMark/>
          </w:tcPr>
          <w:p w14:paraId="083BDE0F" w14:textId="57279E8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73.5</w:t>
            </w:r>
          </w:p>
        </w:tc>
        <w:tc>
          <w:tcPr>
            <w:tcW w:w="703" w:type="dxa"/>
            <w:tcBorders>
              <w:top w:val="nil"/>
              <w:left w:val="nil"/>
              <w:bottom w:val="single" w:sz="8" w:space="0" w:color="auto"/>
              <w:right w:val="single" w:sz="8" w:space="0" w:color="auto"/>
            </w:tcBorders>
            <w:vAlign w:val="center"/>
            <w:hideMark/>
          </w:tcPr>
          <w:p w14:paraId="7BC29866" w14:textId="25FA3F9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49.4</w:t>
            </w:r>
          </w:p>
        </w:tc>
        <w:tc>
          <w:tcPr>
            <w:tcW w:w="703" w:type="dxa"/>
            <w:tcBorders>
              <w:top w:val="nil"/>
              <w:left w:val="nil"/>
              <w:bottom w:val="single" w:sz="8" w:space="0" w:color="auto"/>
              <w:right w:val="single" w:sz="8" w:space="0" w:color="auto"/>
            </w:tcBorders>
            <w:vAlign w:val="center"/>
            <w:hideMark/>
          </w:tcPr>
          <w:p w14:paraId="735D6EAC" w14:textId="0C658E4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68.1</w:t>
            </w:r>
          </w:p>
        </w:tc>
        <w:tc>
          <w:tcPr>
            <w:tcW w:w="703" w:type="dxa"/>
            <w:tcBorders>
              <w:top w:val="nil"/>
              <w:left w:val="nil"/>
              <w:bottom w:val="single" w:sz="8" w:space="0" w:color="auto"/>
              <w:right w:val="single" w:sz="8" w:space="0" w:color="auto"/>
            </w:tcBorders>
            <w:vAlign w:val="center"/>
            <w:hideMark/>
          </w:tcPr>
          <w:p w14:paraId="626BB2CB" w14:textId="2F10AD5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58.7</w:t>
            </w:r>
          </w:p>
        </w:tc>
        <w:tc>
          <w:tcPr>
            <w:tcW w:w="703" w:type="dxa"/>
            <w:tcBorders>
              <w:top w:val="nil"/>
              <w:left w:val="nil"/>
              <w:bottom w:val="single" w:sz="8" w:space="0" w:color="auto"/>
              <w:right w:val="single" w:sz="8" w:space="0" w:color="auto"/>
            </w:tcBorders>
            <w:vAlign w:val="center"/>
            <w:hideMark/>
          </w:tcPr>
          <w:p w14:paraId="58B70EC1" w14:textId="2DD5964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52.7</w:t>
            </w:r>
          </w:p>
        </w:tc>
        <w:tc>
          <w:tcPr>
            <w:tcW w:w="703" w:type="dxa"/>
            <w:tcBorders>
              <w:top w:val="nil"/>
              <w:left w:val="nil"/>
              <w:bottom w:val="single" w:sz="8" w:space="0" w:color="auto"/>
              <w:right w:val="single" w:sz="8" w:space="0" w:color="auto"/>
            </w:tcBorders>
            <w:vAlign w:val="center"/>
            <w:hideMark/>
          </w:tcPr>
          <w:p w14:paraId="01BDE95E" w14:textId="75F2EED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74.3</w:t>
            </w:r>
          </w:p>
        </w:tc>
        <w:tc>
          <w:tcPr>
            <w:tcW w:w="703" w:type="dxa"/>
            <w:tcBorders>
              <w:top w:val="nil"/>
              <w:left w:val="nil"/>
              <w:bottom w:val="single" w:sz="8" w:space="0" w:color="auto"/>
              <w:right w:val="single" w:sz="8" w:space="0" w:color="auto"/>
            </w:tcBorders>
            <w:vAlign w:val="center"/>
            <w:hideMark/>
          </w:tcPr>
          <w:p w14:paraId="6DAE7A29" w14:textId="03C0BDA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72.8</w:t>
            </w:r>
          </w:p>
        </w:tc>
        <w:tc>
          <w:tcPr>
            <w:tcW w:w="703" w:type="dxa"/>
            <w:tcBorders>
              <w:top w:val="nil"/>
              <w:left w:val="nil"/>
              <w:bottom w:val="single" w:sz="8" w:space="0" w:color="auto"/>
              <w:right w:val="single" w:sz="8" w:space="0" w:color="auto"/>
            </w:tcBorders>
            <w:vAlign w:val="center"/>
            <w:hideMark/>
          </w:tcPr>
          <w:p w14:paraId="59916DE2" w14:textId="1437FDD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55.0</w:t>
            </w:r>
          </w:p>
        </w:tc>
        <w:tc>
          <w:tcPr>
            <w:tcW w:w="703" w:type="dxa"/>
            <w:tcBorders>
              <w:top w:val="nil"/>
              <w:left w:val="nil"/>
              <w:bottom w:val="single" w:sz="8" w:space="0" w:color="auto"/>
              <w:right w:val="single" w:sz="8" w:space="0" w:color="auto"/>
            </w:tcBorders>
            <w:vAlign w:val="center"/>
            <w:hideMark/>
          </w:tcPr>
          <w:p w14:paraId="3B3152BD" w14:textId="431202F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71.7</w:t>
            </w:r>
          </w:p>
        </w:tc>
        <w:tc>
          <w:tcPr>
            <w:tcW w:w="703" w:type="dxa"/>
            <w:tcBorders>
              <w:top w:val="nil"/>
              <w:left w:val="nil"/>
              <w:bottom w:val="single" w:sz="8" w:space="0" w:color="auto"/>
              <w:right w:val="single" w:sz="8" w:space="0" w:color="auto"/>
            </w:tcBorders>
            <w:vAlign w:val="center"/>
            <w:hideMark/>
          </w:tcPr>
          <w:p w14:paraId="6E3FFC1E" w14:textId="250879C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65.8</w:t>
            </w:r>
          </w:p>
        </w:tc>
      </w:tr>
      <w:tr w:rsidR="00217865" w:rsidRPr="00217865" w14:paraId="43F86CA5"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572A9D3F" w14:textId="5133812F"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Engineering</w:t>
            </w:r>
          </w:p>
        </w:tc>
        <w:tc>
          <w:tcPr>
            <w:tcW w:w="703" w:type="dxa"/>
            <w:tcBorders>
              <w:top w:val="nil"/>
              <w:left w:val="single" w:sz="8" w:space="0" w:color="auto"/>
              <w:bottom w:val="single" w:sz="8" w:space="0" w:color="auto"/>
              <w:right w:val="single" w:sz="8" w:space="0" w:color="auto"/>
            </w:tcBorders>
            <w:vAlign w:val="center"/>
            <w:hideMark/>
          </w:tcPr>
          <w:p w14:paraId="18DF6B2E" w14:textId="3FEFB80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76.2</w:t>
            </w:r>
          </w:p>
        </w:tc>
        <w:tc>
          <w:tcPr>
            <w:tcW w:w="703" w:type="dxa"/>
            <w:tcBorders>
              <w:top w:val="nil"/>
              <w:left w:val="nil"/>
              <w:bottom w:val="single" w:sz="8" w:space="0" w:color="auto"/>
              <w:right w:val="single" w:sz="8" w:space="0" w:color="auto"/>
            </w:tcBorders>
            <w:vAlign w:val="center"/>
            <w:hideMark/>
          </w:tcPr>
          <w:p w14:paraId="4E1F8FC3" w14:textId="6A7390C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80.6</w:t>
            </w:r>
          </w:p>
        </w:tc>
        <w:tc>
          <w:tcPr>
            <w:tcW w:w="703" w:type="dxa"/>
            <w:tcBorders>
              <w:top w:val="nil"/>
              <w:left w:val="nil"/>
              <w:bottom w:val="single" w:sz="8" w:space="0" w:color="auto"/>
              <w:right w:val="single" w:sz="8" w:space="0" w:color="auto"/>
            </w:tcBorders>
            <w:vAlign w:val="center"/>
            <w:hideMark/>
          </w:tcPr>
          <w:p w14:paraId="2BDB13B1" w14:textId="6E84F60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81.2</w:t>
            </w:r>
          </w:p>
        </w:tc>
        <w:tc>
          <w:tcPr>
            <w:tcW w:w="703" w:type="dxa"/>
            <w:tcBorders>
              <w:top w:val="nil"/>
              <w:left w:val="nil"/>
              <w:bottom w:val="single" w:sz="8" w:space="0" w:color="auto"/>
              <w:right w:val="single" w:sz="8" w:space="0" w:color="auto"/>
            </w:tcBorders>
            <w:vAlign w:val="center"/>
            <w:hideMark/>
          </w:tcPr>
          <w:p w14:paraId="0E8F3DB4" w14:textId="7DDF7A6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48.</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283ED20C" w14:textId="0167B80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62.2</w:t>
            </w:r>
          </w:p>
        </w:tc>
        <w:tc>
          <w:tcPr>
            <w:tcW w:w="634" w:type="dxa"/>
            <w:tcBorders>
              <w:top w:val="nil"/>
              <w:left w:val="nil"/>
              <w:bottom w:val="single" w:sz="8" w:space="0" w:color="auto"/>
              <w:right w:val="single" w:sz="8" w:space="0" w:color="auto"/>
            </w:tcBorders>
            <w:vAlign w:val="center"/>
            <w:hideMark/>
          </w:tcPr>
          <w:p w14:paraId="0D0CDDEB" w14:textId="030BD31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68.7</w:t>
            </w:r>
          </w:p>
        </w:tc>
        <w:tc>
          <w:tcPr>
            <w:tcW w:w="772" w:type="dxa"/>
            <w:tcBorders>
              <w:top w:val="nil"/>
              <w:left w:val="nil"/>
              <w:bottom w:val="single" w:sz="8" w:space="0" w:color="auto"/>
              <w:right w:val="single" w:sz="8" w:space="0" w:color="auto"/>
            </w:tcBorders>
            <w:vAlign w:val="center"/>
            <w:hideMark/>
          </w:tcPr>
          <w:p w14:paraId="41AA45C1" w14:textId="77ACE39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72.5</w:t>
            </w:r>
          </w:p>
        </w:tc>
        <w:tc>
          <w:tcPr>
            <w:tcW w:w="703" w:type="dxa"/>
            <w:tcBorders>
              <w:top w:val="nil"/>
              <w:left w:val="nil"/>
              <w:bottom w:val="single" w:sz="8" w:space="0" w:color="auto"/>
              <w:right w:val="single" w:sz="8" w:space="0" w:color="auto"/>
            </w:tcBorders>
            <w:vAlign w:val="center"/>
            <w:hideMark/>
          </w:tcPr>
          <w:p w14:paraId="3C42DE98" w14:textId="3EA3972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76.9</w:t>
            </w:r>
          </w:p>
        </w:tc>
        <w:tc>
          <w:tcPr>
            <w:tcW w:w="703" w:type="dxa"/>
            <w:tcBorders>
              <w:top w:val="nil"/>
              <w:left w:val="nil"/>
              <w:bottom w:val="single" w:sz="8" w:space="0" w:color="auto"/>
              <w:right w:val="single" w:sz="8" w:space="0" w:color="auto"/>
            </w:tcBorders>
            <w:vAlign w:val="center"/>
            <w:hideMark/>
          </w:tcPr>
          <w:p w14:paraId="6C62531E" w14:textId="24EA20A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78.1</w:t>
            </w:r>
          </w:p>
        </w:tc>
        <w:tc>
          <w:tcPr>
            <w:tcW w:w="703" w:type="dxa"/>
            <w:tcBorders>
              <w:top w:val="nil"/>
              <w:left w:val="nil"/>
              <w:bottom w:val="single" w:sz="8" w:space="0" w:color="auto"/>
              <w:right w:val="single" w:sz="8" w:space="0" w:color="auto"/>
            </w:tcBorders>
            <w:vAlign w:val="center"/>
            <w:hideMark/>
          </w:tcPr>
          <w:p w14:paraId="131BA74D" w14:textId="44F3D26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70.2</w:t>
            </w:r>
          </w:p>
        </w:tc>
        <w:tc>
          <w:tcPr>
            <w:tcW w:w="703" w:type="dxa"/>
            <w:tcBorders>
              <w:top w:val="nil"/>
              <w:left w:val="nil"/>
              <w:bottom w:val="single" w:sz="8" w:space="0" w:color="auto"/>
              <w:right w:val="single" w:sz="8" w:space="0" w:color="auto"/>
            </w:tcBorders>
            <w:vAlign w:val="center"/>
            <w:hideMark/>
          </w:tcPr>
          <w:p w14:paraId="26EE0320" w14:textId="58DB9F8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73.1</w:t>
            </w:r>
          </w:p>
        </w:tc>
        <w:tc>
          <w:tcPr>
            <w:tcW w:w="703" w:type="dxa"/>
            <w:tcBorders>
              <w:top w:val="nil"/>
              <w:left w:val="nil"/>
              <w:bottom w:val="single" w:sz="8" w:space="0" w:color="auto"/>
              <w:right w:val="single" w:sz="8" w:space="0" w:color="auto"/>
            </w:tcBorders>
            <w:vAlign w:val="center"/>
            <w:hideMark/>
          </w:tcPr>
          <w:p w14:paraId="13FAA76A" w14:textId="7C84877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703" w:type="dxa"/>
            <w:tcBorders>
              <w:top w:val="nil"/>
              <w:left w:val="nil"/>
              <w:bottom w:val="single" w:sz="8" w:space="0" w:color="auto"/>
              <w:right w:val="single" w:sz="8" w:space="0" w:color="auto"/>
            </w:tcBorders>
            <w:vAlign w:val="center"/>
            <w:hideMark/>
          </w:tcPr>
          <w:p w14:paraId="11F5373F" w14:textId="034CBBC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72.0</w:t>
            </w:r>
          </w:p>
        </w:tc>
        <w:tc>
          <w:tcPr>
            <w:tcW w:w="703" w:type="dxa"/>
            <w:tcBorders>
              <w:top w:val="nil"/>
              <w:left w:val="nil"/>
              <w:bottom w:val="single" w:sz="8" w:space="0" w:color="auto"/>
              <w:right w:val="single" w:sz="8" w:space="0" w:color="auto"/>
            </w:tcBorders>
            <w:vAlign w:val="center"/>
            <w:hideMark/>
          </w:tcPr>
          <w:p w14:paraId="07552609" w14:textId="31CC0D3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84.5</w:t>
            </w:r>
          </w:p>
        </w:tc>
        <w:tc>
          <w:tcPr>
            <w:tcW w:w="703" w:type="dxa"/>
            <w:tcBorders>
              <w:top w:val="nil"/>
              <w:left w:val="nil"/>
              <w:bottom w:val="single" w:sz="8" w:space="0" w:color="auto"/>
              <w:right w:val="single" w:sz="8" w:space="0" w:color="auto"/>
            </w:tcBorders>
            <w:vAlign w:val="center"/>
            <w:hideMark/>
          </w:tcPr>
          <w:p w14:paraId="68A0D8F2" w14:textId="7C23EDF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85.6</w:t>
            </w:r>
          </w:p>
        </w:tc>
        <w:tc>
          <w:tcPr>
            <w:tcW w:w="703" w:type="dxa"/>
            <w:tcBorders>
              <w:top w:val="nil"/>
              <w:left w:val="nil"/>
              <w:bottom w:val="single" w:sz="8" w:space="0" w:color="auto"/>
              <w:right w:val="single" w:sz="8" w:space="0" w:color="auto"/>
            </w:tcBorders>
            <w:vAlign w:val="center"/>
            <w:hideMark/>
          </w:tcPr>
          <w:p w14:paraId="7DAFA629" w14:textId="096D1EA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62.9</w:t>
            </w:r>
          </w:p>
        </w:tc>
        <w:tc>
          <w:tcPr>
            <w:tcW w:w="703" w:type="dxa"/>
            <w:tcBorders>
              <w:top w:val="nil"/>
              <w:left w:val="nil"/>
              <w:bottom w:val="single" w:sz="8" w:space="0" w:color="auto"/>
              <w:right w:val="single" w:sz="8" w:space="0" w:color="auto"/>
            </w:tcBorders>
            <w:vAlign w:val="center"/>
            <w:hideMark/>
          </w:tcPr>
          <w:p w14:paraId="56866276" w14:textId="3A3DEBA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70.6</w:t>
            </w:r>
          </w:p>
        </w:tc>
        <w:tc>
          <w:tcPr>
            <w:tcW w:w="703" w:type="dxa"/>
            <w:tcBorders>
              <w:top w:val="nil"/>
              <w:left w:val="nil"/>
              <w:bottom w:val="single" w:sz="8" w:space="0" w:color="auto"/>
              <w:right w:val="single" w:sz="8" w:space="0" w:color="auto"/>
            </w:tcBorders>
            <w:vAlign w:val="center"/>
            <w:hideMark/>
          </w:tcPr>
          <w:p w14:paraId="7C7C3489" w14:textId="7486FAC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71.8</w:t>
            </w:r>
          </w:p>
        </w:tc>
      </w:tr>
      <w:tr w:rsidR="00217865" w:rsidRPr="00217865" w14:paraId="1F925169"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2C6CDFF7" w14:textId="794E8CB6"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Health services and support</w:t>
            </w:r>
          </w:p>
        </w:tc>
        <w:tc>
          <w:tcPr>
            <w:tcW w:w="703" w:type="dxa"/>
            <w:tcBorders>
              <w:top w:val="nil"/>
              <w:left w:val="single" w:sz="8" w:space="0" w:color="auto"/>
              <w:bottom w:val="single" w:sz="8" w:space="0" w:color="auto"/>
              <w:right w:val="single" w:sz="8" w:space="0" w:color="auto"/>
            </w:tcBorders>
            <w:vAlign w:val="center"/>
            <w:hideMark/>
          </w:tcPr>
          <w:p w14:paraId="67D8E164" w14:textId="557910C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74.9</w:t>
            </w:r>
          </w:p>
        </w:tc>
        <w:tc>
          <w:tcPr>
            <w:tcW w:w="703" w:type="dxa"/>
            <w:tcBorders>
              <w:top w:val="nil"/>
              <w:left w:val="nil"/>
              <w:bottom w:val="single" w:sz="8" w:space="0" w:color="auto"/>
              <w:right w:val="single" w:sz="8" w:space="0" w:color="auto"/>
            </w:tcBorders>
            <w:vAlign w:val="center"/>
            <w:hideMark/>
          </w:tcPr>
          <w:p w14:paraId="064BB14B" w14:textId="2085D3C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w:t>
            </w:r>
            <w:r w:rsidR="00821227" w:rsidRPr="00217865">
              <w:rPr>
                <w:rFonts w:cs="Arial"/>
                <w:color w:val="000000" w:themeColor="text1"/>
                <w:sz w:val="18"/>
              </w:rPr>
              <w:t>8</w:t>
            </w:r>
          </w:p>
        </w:tc>
        <w:tc>
          <w:tcPr>
            <w:tcW w:w="703" w:type="dxa"/>
            <w:tcBorders>
              <w:top w:val="nil"/>
              <w:left w:val="nil"/>
              <w:bottom w:val="single" w:sz="8" w:space="0" w:color="auto"/>
              <w:right w:val="single" w:sz="8" w:space="0" w:color="auto"/>
            </w:tcBorders>
            <w:vAlign w:val="center"/>
            <w:hideMark/>
          </w:tcPr>
          <w:p w14:paraId="20DD364E" w14:textId="491B1EB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86.1</w:t>
            </w:r>
          </w:p>
        </w:tc>
        <w:tc>
          <w:tcPr>
            <w:tcW w:w="703" w:type="dxa"/>
            <w:tcBorders>
              <w:top w:val="nil"/>
              <w:left w:val="nil"/>
              <w:bottom w:val="single" w:sz="8" w:space="0" w:color="auto"/>
              <w:right w:val="single" w:sz="8" w:space="0" w:color="auto"/>
            </w:tcBorders>
            <w:vAlign w:val="center"/>
            <w:hideMark/>
          </w:tcPr>
          <w:p w14:paraId="617920AE" w14:textId="307611A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43.</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7EE7A4F3" w14:textId="3C8FC58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59.0</w:t>
            </w:r>
          </w:p>
        </w:tc>
        <w:tc>
          <w:tcPr>
            <w:tcW w:w="634" w:type="dxa"/>
            <w:tcBorders>
              <w:top w:val="nil"/>
              <w:left w:val="nil"/>
              <w:bottom w:val="single" w:sz="8" w:space="0" w:color="auto"/>
              <w:right w:val="single" w:sz="8" w:space="0" w:color="auto"/>
            </w:tcBorders>
            <w:vAlign w:val="center"/>
            <w:hideMark/>
          </w:tcPr>
          <w:p w14:paraId="17AFF424" w14:textId="7298A22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68.4</w:t>
            </w:r>
          </w:p>
        </w:tc>
        <w:tc>
          <w:tcPr>
            <w:tcW w:w="772" w:type="dxa"/>
            <w:tcBorders>
              <w:top w:val="nil"/>
              <w:left w:val="nil"/>
              <w:bottom w:val="single" w:sz="8" w:space="0" w:color="auto"/>
              <w:right w:val="single" w:sz="8" w:space="0" w:color="auto"/>
            </w:tcBorders>
            <w:vAlign w:val="center"/>
            <w:hideMark/>
          </w:tcPr>
          <w:p w14:paraId="5435D847" w14:textId="6492A10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703" w:type="dxa"/>
            <w:tcBorders>
              <w:top w:val="nil"/>
              <w:left w:val="nil"/>
              <w:bottom w:val="single" w:sz="8" w:space="0" w:color="auto"/>
              <w:right w:val="single" w:sz="8" w:space="0" w:color="auto"/>
            </w:tcBorders>
            <w:vAlign w:val="center"/>
            <w:hideMark/>
          </w:tcPr>
          <w:p w14:paraId="30B6F569" w14:textId="6837FC4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83.8</w:t>
            </w:r>
          </w:p>
        </w:tc>
        <w:tc>
          <w:tcPr>
            <w:tcW w:w="703" w:type="dxa"/>
            <w:tcBorders>
              <w:top w:val="nil"/>
              <w:left w:val="nil"/>
              <w:bottom w:val="single" w:sz="8" w:space="0" w:color="auto"/>
              <w:right w:val="single" w:sz="8" w:space="0" w:color="auto"/>
            </w:tcBorders>
            <w:vAlign w:val="center"/>
            <w:hideMark/>
          </w:tcPr>
          <w:p w14:paraId="75F179E9" w14:textId="46D62A3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85.9</w:t>
            </w:r>
          </w:p>
        </w:tc>
        <w:tc>
          <w:tcPr>
            <w:tcW w:w="703" w:type="dxa"/>
            <w:tcBorders>
              <w:top w:val="nil"/>
              <w:left w:val="nil"/>
              <w:bottom w:val="single" w:sz="8" w:space="0" w:color="auto"/>
              <w:right w:val="single" w:sz="8" w:space="0" w:color="auto"/>
            </w:tcBorders>
            <w:vAlign w:val="center"/>
            <w:hideMark/>
          </w:tcPr>
          <w:p w14:paraId="4BDEC566" w14:textId="211EC54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w:t>
            </w:r>
            <w:r w:rsidR="00821227" w:rsidRPr="00217865">
              <w:rPr>
                <w:rFonts w:cs="Arial"/>
                <w:color w:val="000000" w:themeColor="text1"/>
                <w:sz w:val="18"/>
              </w:rPr>
              <w:t>1</w:t>
            </w:r>
          </w:p>
        </w:tc>
        <w:tc>
          <w:tcPr>
            <w:tcW w:w="703" w:type="dxa"/>
            <w:tcBorders>
              <w:top w:val="nil"/>
              <w:left w:val="nil"/>
              <w:bottom w:val="single" w:sz="8" w:space="0" w:color="auto"/>
              <w:right w:val="single" w:sz="8" w:space="0" w:color="auto"/>
            </w:tcBorders>
            <w:vAlign w:val="center"/>
            <w:hideMark/>
          </w:tcPr>
          <w:p w14:paraId="3C47A74E" w14:textId="3482A58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76.6</w:t>
            </w:r>
          </w:p>
        </w:tc>
        <w:tc>
          <w:tcPr>
            <w:tcW w:w="703" w:type="dxa"/>
            <w:tcBorders>
              <w:top w:val="nil"/>
              <w:left w:val="nil"/>
              <w:bottom w:val="single" w:sz="8" w:space="0" w:color="auto"/>
              <w:right w:val="single" w:sz="8" w:space="0" w:color="auto"/>
            </w:tcBorders>
            <w:vAlign w:val="center"/>
            <w:hideMark/>
          </w:tcPr>
          <w:p w14:paraId="23EA3F98" w14:textId="131443F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81.5</w:t>
            </w:r>
          </w:p>
        </w:tc>
        <w:tc>
          <w:tcPr>
            <w:tcW w:w="703" w:type="dxa"/>
            <w:tcBorders>
              <w:top w:val="nil"/>
              <w:left w:val="nil"/>
              <w:bottom w:val="single" w:sz="8" w:space="0" w:color="auto"/>
              <w:right w:val="single" w:sz="8" w:space="0" w:color="auto"/>
            </w:tcBorders>
            <w:vAlign w:val="center"/>
            <w:hideMark/>
          </w:tcPr>
          <w:p w14:paraId="6C965F0A" w14:textId="0B804F7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74.3</w:t>
            </w:r>
          </w:p>
        </w:tc>
        <w:tc>
          <w:tcPr>
            <w:tcW w:w="703" w:type="dxa"/>
            <w:tcBorders>
              <w:top w:val="nil"/>
              <w:left w:val="nil"/>
              <w:bottom w:val="single" w:sz="8" w:space="0" w:color="auto"/>
              <w:right w:val="single" w:sz="8" w:space="0" w:color="auto"/>
            </w:tcBorders>
            <w:vAlign w:val="center"/>
            <w:hideMark/>
          </w:tcPr>
          <w:p w14:paraId="5FC90502" w14:textId="5475884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84.9</w:t>
            </w:r>
          </w:p>
        </w:tc>
        <w:tc>
          <w:tcPr>
            <w:tcW w:w="703" w:type="dxa"/>
            <w:tcBorders>
              <w:top w:val="nil"/>
              <w:left w:val="nil"/>
              <w:bottom w:val="single" w:sz="8" w:space="0" w:color="auto"/>
              <w:right w:val="single" w:sz="8" w:space="0" w:color="auto"/>
            </w:tcBorders>
            <w:vAlign w:val="center"/>
            <w:hideMark/>
          </w:tcPr>
          <w:p w14:paraId="3DD1F9AA" w14:textId="3BFA1C4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88.</w:t>
            </w:r>
            <w:r w:rsidR="00821227" w:rsidRPr="00217865">
              <w:rPr>
                <w:rFonts w:cs="Arial"/>
                <w:color w:val="000000" w:themeColor="text1"/>
                <w:sz w:val="18"/>
              </w:rPr>
              <w:t>0</w:t>
            </w:r>
          </w:p>
        </w:tc>
        <w:tc>
          <w:tcPr>
            <w:tcW w:w="703" w:type="dxa"/>
            <w:tcBorders>
              <w:top w:val="nil"/>
              <w:left w:val="nil"/>
              <w:bottom w:val="single" w:sz="8" w:space="0" w:color="auto"/>
              <w:right w:val="single" w:sz="8" w:space="0" w:color="auto"/>
            </w:tcBorders>
            <w:vAlign w:val="center"/>
            <w:hideMark/>
          </w:tcPr>
          <w:p w14:paraId="3B63C3BA" w14:textId="051ACB4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65.5</w:t>
            </w:r>
          </w:p>
        </w:tc>
        <w:tc>
          <w:tcPr>
            <w:tcW w:w="703" w:type="dxa"/>
            <w:tcBorders>
              <w:top w:val="nil"/>
              <w:left w:val="nil"/>
              <w:bottom w:val="single" w:sz="8" w:space="0" w:color="auto"/>
              <w:right w:val="single" w:sz="8" w:space="0" w:color="auto"/>
            </w:tcBorders>
            <w:vAlign w:val="center"/>
            <w:hideMark/>
          </w:tcPr>
          <w:p w14:paraId="7D588FA8" w14:textId="6FF3FD5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w:t>
            </w:r>
            <w:r w:rsidR="00821227" w:rsidRPr="00217865">
              <w:rPr>
                <w:rFonts w:cs="Arial"/>
                <w:color w:val="000000" w:themeColor="text1"/>
                <w:sz w:val="18"/>
              </w:rPr>
              <w:t>7</w:t>
            </w:r>
          </w:p>
        </w:tc>
        <w:tc>
          <w:tcPr>
            <w:tcW w:w="703" w:type="dxa"/>
            <w:tcBorders>
              <w:top w:val="nil"/>
              <w:left w:val="nil"/>
              <w:bottom w:val="single" w:sz="8" w:space="0" w:color="auto"/>
              <w:right w:val="single" w:sz="8" w:space="0" w:color="auto"/>
            </w:tcBorders>
            <w:vAlign w:val="center"/>
            <w:hideMark/>
          </w:tcPr>
          <w:p w14:paraId="498C1F1C" w14:textId="7E4BAB9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r>
      <w:tr w:rsidR="00217865" w:rsidRPr="00217865" w14:paraId="417CD129"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4B49F39F" w14:textId="38024207"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Humanities, culture and social sciences</w:t>
            </w:r>
          </w:p>
        </w:tc>
        <w:tc>
          <w:tcPr>
            <w:tcW w:w="703" w:type="dxa"/>
            <w:tcBorders>
              <w:top w:val="nil"/>
              <w:left w:val="single" w:sz="8" w:space="0" w:color="auto"/>
              <w:bottom w:val="single" w:sz="8" w:space="0" w:color="auto"/>
              <w:right w:val="single" w:sz="8" w:space="0" w:color="auto"/>
            </w:tcBorders>
            <w:vAlign w:val="center"/>
            <w:hideMark/>
          </w:tcPr>
          <w:p w14:paraId="6F1409BA" w14:textId="49ABEAB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75.6</w:t>
            </w:r>
          </w:p>
        </w:tc>
        <w:tc>
          <w:tcPr>
            <w:tcW w:w="703" w:type="dxa"/>
            <w:tcBorders>
              <w:top w:val="nil"/>
              <w:left w:val="nil"/>
              <w:bottom w:val="single" w:sz="8" w:space="0" w:color="auto"/>
              <w:right w:val="single" w:sz="8" w:space="0" w:color="auto"/>
            </w:tcBorders>
            <w:vAlign w:val="center"/>
            <w:hideMark/>
          </w:tcPr>
          <w:p w14:paraId="6EC62525" w14:textId="63588F6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c>
          <w:tcPr>
            <w:tcW w:w="703" w:type="dxa"/>
            <w:tcBorders>
              <w:top w:val="nil"/>
              <w:left w:val="nil"/>
              <w:bottom w:val="single" w:sz="8" w:space="0" w:color="auto"/>
              <w:right w:val="single" w:sz="8" w:space="0" w:color="auto"/>
            </w:tcBorders>
            <w:vAlign w:val="center"/>
            <w:hideMark/>
          </w:tcPr>
          <w:p w14:paraId="428BF0F4" w14:textId="578328B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81.9</w:t>
            </w:r>
          </w:p>
        </w:tc>
        <w:tc>
          <w:tcPr>
            <w:tcW w:w="703" w:type="dxa"/>
            <w:tcBorders>
              <w:top w:val="nil"/>
              <w:left w:val="nil"/>
              <w:bottom w:val="single" w:sz="8" w:space="0" w:color="auto"/>
              <w:right w:val="single" w:sz="8" w:space="0" w:color="auto"/>
            </w:tcBorders>
            <w:vAlign w:val="center"/>
            <w:hideMark/>
          </w:tcPr>
          <w:p w14:paraId="0DA7ABDE" w14:textId="5DBE697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40.2</w:t>
            </w:r>
          </w:p>
        </w:tc>
        <w:tc>
          <w:tcPr>
            <w:tcW w:w="703" w:type="dxa"/>
            <w:tcBorders>
              <w:top w:val="nil"/>
              <w:left w:val="nil"/>
              <w:bottom w:val="single" w:sz="8" w:space="0" w:color="auto"/>
              <w:right w:val="single" w:sz="8" w:space="0" w:color="auto"/>
            </w:tcBorders>
            <w:vAlign w:val="center"/>
            <w:hideMark/>
          </w:tcPr>
          <w:p w14:paraId="74791459" w14:textId="6CE205A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58.6</w:t>
            </w:r>
          </w:p>
        </w:tc>
        <w:tc>
          <w:tcPr>
            <w:tcW w:w="634" w:type="dxa"/>
            <w:tcBorders>
              <w:top w:val="nil"/>
              <w:left w:val="nil"/>
              <w:bottom w:val="single" w:sz="8" w:space="0" w:color="auto"/>
              <w:right w:val="single" w:sz="8" w:space="0" w:color="auto"/>
            </w:tcBorders>
            <w:vAlign w:val="center"/>
            <w:hideMark/>
          </w:tcPr>
          <w:p w14:paraId="640E9D14" w14:textId="35FEB8D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65.3</w:t>
            </w:r>
          </w:p>
        </w:tc>
        <w:tc>
          <w:tcPr>
            <w:tcW w:w="772" w:type="dxa"/>
            <w:tcBorders>
              <w:top w:val="nil"/>
              <w:left w:val="nil"/>
              <w:bottom w:val="single" w:sz="8" w:space="0" w:color="auto"/>
              <w:right w:val="single" w:sz="8" w:space="0" w:color="auto"/>
            </w:tcBorders>
            <w:vAlign w:val="center"/>
            <w:hideMark/>
          </w:tcPr>
          <w:p w14:paraId="1FAD071F" w14:textId="0805272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77.7</w:t>
            </w:r>
          </w:p>
        </w:tc>
        <w:tc>
          <w:tcPr>
            <w:tcW w:w="703" w:type="dxa"/>
            <w:tcBorders>
              <w:top w:val="nil"/>
              <w:left w:val="nil"/>
              <w:bottom w:val="single" w:sz="8" w:space="0" w:color="auto"/>
              <w:right w:val="single" w:sz="8" w:space="0" w:color="auto"/>
            </w:tcBorders>
            <w:vAlign w:val="center"/>
            <w:hideMark/>
          </w:tcPr>
          <w:p w14:paraId="4BF6F798" w14:textId="48BB0AD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81.6</w:t>
            </w:r>
          </w:p>
        </w:tc>
        <w:tc>
          <w:tcPr>
            <w:tcW w:w="703" w:type="dxa"/>
            <w:tcBorders>
              <w:top w:val="nil"/>
              <w:left w:val="nil"/>
              <w:bottom w:val="single" w:sz="8" w:space="0" w:color="auto"/>
              <w:right w:val="single" w:sz="8" w:space="0" w:color="auto"/>
            </w:tcBorders>
            <w:vAlign w:val="center"/>
            <w:hideMark/>
          </w:tcPr>
          <w:p w14:paraId="5C85590F" w14:textId="4A9B722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82.8</w:t>
            </w:r>
          </w:p>
        </w:tc>
        <w:tc>
          <w:tcPr>
            <w:tcW w:w="703" w:type="dxa"/>
            <w:tcBorders>
              <w:top w:val="nil"/>
              <w:left w:val="nil"/>
              <w:bottom w:val="single" w:sz="8" w:space="0" w:color="auto"/>
              <w:right w:val="single" w:sz="8" w:space="0" w:color="auto"/>
            </w:tcBorders>
            <w:vAlign w:val="center"/>
            <w:hideMark/>
          </w:tcPr>
          <w:p w14:paraId="02B6824C" w14:textId="48774E2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65.5</w:t>
            </w:r>
          </w:p>
        </w:tc>
        <w:tc>
          <w:tcPr>
            <w:tcW w:w="703" w:type="dxa"/>
            <w:tcBorders>
              <w:top w:val="nil"/>
              <w:left w:val="nil"/>
              <w:bottom w:val="single" w:sz="8" w:space="0" w:color="auto"/>
              <w:right w:val="single" w:sz="8" w:space="0" w:color="auto"/>
            </w:tcBorders>
            <w:vAlign w:val="center"/>
            <w:hideMark/>
          </w:tcPr>
          <w:p w14:paraId="2EB15C07" w14:textId="23FD53E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70.8</w:t>
            </w:r>
          </w:p>
        </w:tc>
        <w:tc>
          <w:tcPr>
            <w:tcW w:w="703" w:type="dxa"/>
            <w:tcBorders>
              <w:top w:val="nil"/>
              <w:left w:val="nil"/>
              <w:bottom w:val="single" w:sz="8" w:space="0" w:color="auto"/>
              <w:right w:val="single" w:sz="8" w:space="0" w:color="auto"/>
            </w:tcBorders>
            <w:vAlign w:val="center"/>
            <w:hideMark/>
          </w:tcPr>
          <w:p w14:paraId="652437C8" w14:textId="4887BD4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73.8</w:t>
            </w:r>
          </w:p>
        </w:tc>
        <w:tc>
          <w:tcPr>
            <w:tcW w:w="703" w:type="dxa"/>
            <w:tcBorders>
              <w:top w:val="nil"/>
              <w:left w:val="nil"/>
              <w:bottom w:val="single" w:sz="8" w:space="0" w:color="auto"/>
              <w:right w:val="single" w:sz="8" w:space="0" w:color="auto"/>
            </w:tcBorders>
            <w:vAlign w:val="center"/>
            <w:hideMark/>
          </w:tcPr>
          <w:p w14:paraId="397CF030" w14:textId="1A75EF4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76.8</w:t>
            </w:r>
          </w:p>
        </w:tc>
        <w:tc>
          <w:tcPr>
            <w:tcW w:w="703" w:type="dxa"/>
            <w:tcBorders>
              <w:top w:val="nil"/>
              <w:left w:val="nil"/>
              <w:bottom w:val="single" w:sz="8" w:space="0" w:color="auto"/>
              <w:right w:val="single" w:sz="8" w:space="0" w:color="auto"/>
            </w:tcBorders>
            <w:vAlign w:val="center"/>
            <w:hideMark/>
          </w:tcPr>
          <w:p w14:paraId="091736EF" w14:textId="3969CC3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86.0</w:t>
            </w:r>
          </w:p>
        </w:tc>
        <w:tc>
          <w:tcPr>
            <w:tcW w:w="703" w:type="dxa"/>
            <w:tcBorders>
              <w:top w:val="nil"/>
              <w:left w:val="nil"/>
              <w:bottom w:val="single" w:sz="8" w:space="0" w:color="auto"/>
              <w:right w:val="single" w:sz="8" w:space="0" w:color="auto"/>
            </w:tcBorders>
            <w:vAlign w:val="center"/>
            <w:hideMark/>
          </w:tcPr>
          <w:p w14:paraId="5AA32BF7" w14:textId="2ACB334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88.3</w:t>
            </w:r>
          </w:p>
        </w:tc>
        <w:tc>
          <w:tcPr>
            <w:tcW w:w="703" w:type="dxa"/>
            <w:tcBorders>
              <w:top w:val="nil"/>
              <w:left w:val="nil"/>
              <w:bottom w:val="single" w:sz="8" w:space="0" w:color="auto"/>
              <w:right w:val="single" w:sz="8" w:space="0" w:color="auto"/>
            </w:tcBorders>
            <w:vAlign w:val="center"/>
            <w:hideMark/>
          </w:tcPr>
          <w:p w14:paraId="40DA84F6" w14:textId="507A8BC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68.3</w:t>
            </w:r>
          </w:p>
        </w:tc>
        <w:tc>
          <w:tcPr>
            <w:tcW w:w="703" w:type="dxa"/>
            <w:tcBorders>
              <w:top w:val="nil"/>
              <w:left w:val="nil"/>
              <w:bottom w:val="single" w:sz="8" w:space="0" w:color="auto"/>
              <w:right w:val="single" w:sz="8" w:space="0" w:color="auto"/>
            </w:tcBorders>
            <w:vAlign w:val="center"/>
            <w:hideMark/>
          </w:tcPr>
          <w:p w14:paraId="1A2BB03B" w14:textId="0850FD2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w:t>
            </w:r>
            <w:r w:rsidR="00821227" w:rsidRPr="00217865">
              <w:rPr>
                <w:rFonts w:cs="Arial"/>
                <w:color w:val="000000" w:themeColor="text1"/>
                <w:sz w:val="18"/>
              </w:rPr>
              <w:t>7</w:t>
            </w:r>
          </w:p>
        </w:tc>
        <w:tc>
          <w:tcPr>
            <w:tcW w:w="703" w:type="dxa"/>
            <w:tcBorders>
              <w:top w:val="nil"/>
              <w:left w:val="nil"/>
              <w:bottom w:val="single" w:sz="8" w:space="0" w:color="auto"/>
              <w:right w:val="single" w:sz="8" w:space="0" w:color="auto"/>
            </w:tcBorders>
            <w:vAlign w:val="center"/>
            <w:hideMark/>
          </w:tcPr>
          <w:p w14:paraId="19147943" w14:textId="260B986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74.2</w:t>
            </w:r>
          </w:p>
        </w:tc>
      </w:tr>
      <w:tr w:rsidR="00217865" w:rsidRPr="00217865" w14:paraId="05654152"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6C70F938" w14:textId="25E38BB4"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Law and paralegal studies</w:t>
            </w:r>
          </w:p>
        </w:tc>
        <w:tc>
          <w:tcPr>
            <w:tcW w:w="703" w:type="dxa"/>
            <w:tcBorders>
              <w:top w:val="nil"/>
              <w:left w:val="single" w:sz="8" w:space="0" w:color="auto"/>
              <w:bottom w:val="single" w:sz="8" w:space="0" w:color="auto"/>
              <w:right w:val="single" w:sz="8" w:space="0" w:color="auto"/>
            </w:tcBorders>
            <w:vAlign w:val="center"/>
            <w:hideMark/>
          </w:tcPr>
          <w:p w14:paraId="4515C5B1" w14:textId="257346C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w:t>
            </w:r>
            <w:r w:rsidR="00821227" w:rsidRPr="00217865">
              <w:rPr>
                <w:rFonts w:cs="Arial"/>
                <w:color w:val="000000" w:themeColor="text1"/>
                <w:sz w:val="18"/>
              </w:rPr>
              <w:t>3</w:t>
            </w:r>
          </w:p>
        </w:tc>
        <w:tc>
          <w:tcPr>
            <w:tcW w:w="703" w:type="dxa"/>
            <w:tcBorders>
              <w:top w:val="nil"/>
              <w:left w:val="nil"/>
              <w:bottom w:val="single" w:sz="8" w:space="0" w:color="auto"/>
              <w:right w:val="single" w:sz="8" w:space="0" w:color="auto"/>
            </w:tcBorders>
            <w:vAlign w:val="center"/>
            <w:hideMark/>
          </w:tcPr>
          <w:p w14:paraId="6F4DE3F3" w14:textId="526EA6E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80.4</w:t>
            </w:r>
          </w:p>
        </w:tc>
        <w:tc>
          <w:tcPr>
            <w:tcW w:w="703" w:type="dxa"/>
            <w:tcBorders>
              <w:top w:val="nil"/>
              <w:left w:val="nil"/>
              <w:bottom w:val="single" w:sz="8" w:space="0" w:color="auto"/>
              <w:right w:val="single" w:sz="8" w:space="0" w:color="auto"/>
            </w:tcBorders>
            <w:vAlign w:val="center"/>
            <w:hideMark/>
          </w:tcPr>
          <w:p w14:paraId="1A2EDA84" w14:textId="7A0562E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w:t>
            </w:r>
            <w:r w:rsidR="00821227" w:rsidRPr="00217865">
              <w:rPr>
                <w:rFonts w:cs="Arial"/>
                <w:color w:val="000000" w:themeColor="text1"/>
                <w:sz w:val="18"/>
              </w:rPr>
              <w:t>3</w:t>
            </w:r>
          </w:p>
        </w:tc>
        <w:tc>
          <w:tcPr>
            <w:tcW w:w="703" w:type="dxa"/>
            <w:tcBorders>
              <w:top w:val="nil"/>
              <w:left w:val="nil"/>
              <w:bottom w:val="single" w:sz="8" w:space="0" w:color="auto"/>
              <w:right w:val="single" w:sz="8" w:space="0" w:color="auto"/>
            </w:tcBorders>
            <w:vAlign w:val="center"/>
            <w:hideMark/>
          </w:tcPr>
          <w:p w14:paraId="1281A989" w14:textId="3BB0FFB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39.9</w:t>
            </w:r>
          </w:p>
        </w:tc>
        <w:tc>
          <w:tcPr>
            <w:tcW w:w="703" w:type="dxa"/>
            <w:tcBorders>
              <w:top w:val="nil"/>
              <w:left w:val="nil"/>
              <w:bottom w:val="single" w:sz="8" w:space="0" w:color="auto"/>
              <w:right w:val="single" w:sz="8" w:space="0" w:color="auto"/>
            </w:tcBorders>
            <w:vAlign w:val="center"/>
            <w:hideMark/>
          </w:tcPr>
          <w:p w14:paraId="1351AD5C" w14:textId="104F767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56.9</w:t>
            </w:r>
          </w:p>
        </w:tc>
        <w:tc>
          <w:tcPr>
            <w:tcW w:w="634" w:type="dxa"/>
            <w:tcBorders>
              <w:top w:val="nil"/>
              <w:left w:val="nil"/>
              <w:bottom w:val="single" w:sz="8" w:space="0" w:color="auto"/>
              <w:right w:val="single" w:sz="8" w:space="0" w:color="auto"/>
            </w:tcBorders>
            <w:vAlign w:val="center"/>
            <w:hideMark/>
          </w:tcPr>
          <w:p w14:paraId="3F746BED" w14:textId="53814CC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59.7</w:t>
            </w:r>
          </w:p>
        </w:tc>
        <w:tc>
          <w:tcPr>
            <w:tcW w:w="772" w:type="dxa"/>
            <w:tcBorders>
              <w:top w:val="nil"/>
              <w:left w:val="nil"/>
              <w:bottom w:val="single" w:sz="8" w:space="0" w:color="auto"/>
              <w:right w:val="single" w:sz="8" w:space="0" w:color="auto"/>
            </w:tcBorders>
            <w:vAlign w:val="center"/>
            <w:hideMark/>
          </w:tcPr>
          <w:p w14:paraId="705D4434" w14:textId="226C924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78.2</w:t>
            </w:r>
          </w:p>
        </w:tc>
        <w:tc>
          <w:tcPr>
            <w:tcW w:w="703" w:type="dxa"/>
            <w:tcBorders>
              <w:top w:val="nil"/>
              <w:left w:val="nil"/>
              <w:bottom w:val="single" w:sz="8" w:space="0" w:color="auto"/>
              <w:right w:val="single" w:sz="8" w:space="0" w:color="auto"/>
            </w:tcBorders>
            <w:vAlign w:val="center"/>
            <w:hideMark/>
          </w:tcPr>
          <w:p w14:paraId="450E6851" w14:textId="3A34183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79.9</w:t>
            </w:r>
          </w:p>
        </w:tc>
        <w:tc>
          <w:tcPr>
            <w:tcW w:w="703" w:type="dxa"/>
            <w:tcBorders>
              <w:top w:val="nil"/>
              <w:left w:val="nil"/>
              <w:bottom w:val="single" w:sz="8" w:space="0" w:color="auto"/>
              <w:right w:val="single" w:sz="8" w:space="0" w:color="auto"/>
            </w:tcBorders>
            <w:vAlign w:val="center"/>
            <w:hideMark/>
          </w:tcPr>
          <w:p w14:paraId="54C4B4C8" w14:textId="7B91C3D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80.6</w:t>
            </w:r>
          </w:p>
        </w:tc>
        <w:tc>
          <w:tcPr>
            <w:tcW w:w="703" w:type="dxa"/>
            <w:tcBorders>
              <w:top w:val="nil"/>
              <w:left w:val="nil"/>
              <w:bottom w:val="single" w:sz="8" w:space="0" w:color="auto"/>
              <w:right w:val="single" w:sz="8" w:space="0" w:color="auto"/>
            </w:tcBorders>
            <w:vAlign w:val="center"/>
            <w:hideMark/>
          </w:tcPr>
          <w:p w14:paraId="19582FD4" w14:textId="221291A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67.8</w:t>
            </w:r>
          </w:p>
        </w:tc>
        <w:tc>
          <w:tcPr>
            <w:tcW w:w="703" w:type="dxa"/>
            <w:tcBorders>
              <w:top w:val="nil"/>
              <w:left w:val="nil"/>
              <w:bottom w:val="single" w:sz="8" w:space="0" w:color="auto"/>
              <w:right w:val="single" w:sz="8" w:space="0" w:color="auto"/>
            </w:tcBorders>
            <w:vAlign w:val="center"/>
            <w:hideMark/>
          </w:tcPr>
          <w:p w14:paraId="672FA351" w14:textId="3D6A946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70.1</w:t>
            </w:r>
          </w:p>
        </w:tc>
        <w:tc>
          <w:tcPr>
            <w:tcW w:w="703" w:type="dxa"/>
            <w:tcBorders>
              <w:top w:val="nil"/>
              <w:left w:val="nil"/>
              <w:bottom w:val="single" w:sz="8" w:space="0" w:color="auto"/>
              <w:right w:val="single" w:sz="8" w:space="0" w:color="auto"/>
            </w:tcBorders>
            <w:vAlign w:val="center"/>
            <w:hideMark/>
          </w:tcPr>
          <w:p w14:paraId="29994952" w14:textId="3CCBFA0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75.3</w:t>
            </w:r>
          </w:p>
        </w:tc>
        <w:tc>
          <w:tcPr>
            <w:tcW w:w="703" w:type="dxa"/>
            <w:tcBorders>
              <w:top w:val="nil"/>
              <w:left w:val="nil"/>
              <w:bottom w:val="single" w:sz="8" w:space="0" w:color="auto"/>
              <w:right w:val="single" w:sz="8" w:space="0" w:color="auto"/>
            </w:tcBorders>
            <w:vAlign w:val="center"/>
            <w:hideMark/>
          </w:tcPr>
          <w:p w14:paraId="789EA208" w14:textId="7842AFE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w:t>
            </w:r>
            <w:r w:rsidR="00821227" w:rsidRPr="00217865">
              <w:rPr>
                <w:rFonts w:cs="Arial"/>
                <w:color w:val="000000" w:themeColor="text1"/>
                <w:sz w:val="18"/>
              </w:rPr>
              <w:t>0</w:t>
            </w:r>
          </w:p>
        </w:tc>
        <w:tc>
          <w:tcPr>
            <w:tcW w:w="703" w:type="dxa"/>
            <w:tcBorders>
              <w:top w:val="nil"/>
              <w:left w:val="nil"/>
              <w:bottom w:val="single" w:sz="8" w:space="0" w:color="auto"/>
              <w:right w:val="single" w:sz="8" w:space="0" w:color="auto"/>
            </w:tcBorders>
            <w:vAlign w:val="center"/>
            <w:hideMark/>
          </w:tcPr>
          <w:p w14:paraId="78BB058A" w14:textId="316261C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76.5</w:t>
            </w:r>
          </w:p>
        </w:tc>
        <w:tc>
          <w:tcPr>
            <w:tcW w:w="703" w:type="dxa"/>
            <w:tcBorders>
              <w:top w:val="nil"/>
              <w:left w:val="nil"/>
              <w:bottom w:val="single" w:sz="8" w:space="0" w:color="auto"/>
              <w:right w:val="single" w:sz="8" w:space="0" w:color="auto"/>
            </w:tcBorders>
            <w:vAlign w:val="center"/>
            <w:hideMark/>
          </w:tcPr>
          <w:p w14:paraId="39D06A0E" w14:textId="264E89C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81.7</w:t>
            </w:r>
          </w:p>
        </w:tc>
        <w:tc>
          <w:tcPr>
            <w:tcW w:w="703" w:type="dxa"/>
            <w:tcBorders>
              <w:top w:val="nil"/>
              <w:left w:val="nil"/>
              <w:bottom w:val="single" w:sz="8" w:space="0" w:color="auto"/>
              <w:right w:val="single" w:sz="8" w:space="0" w:color="auto"/>
            </w:tcBorders>
            <w:vAlign w:val="center"/>
            <w:hideMark/>
          </w:tcPr>
          <w:p w14:paraId="0B817CB9" w14:textId="2E0879C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62.9</w:t>
            </w:r>
          </w:p>
        </w:tc>
        <w:tc>
          <w:tcPr>
            <w:tcW w:w="703" w:type="dxa"/>
            <w:tcBorders>
              <w:top w:val="nil"/>
              <w:left w:val="nil"/>
              <w:bottom w:val="single" w:sz="8" w:space="0" w:color="auto"/>
              <w:right w:val="single" w:sz="8" w:space="0" w:color="auto"/>
            </w:tcBorders>
            <w:vAlign w:val="center"/>
            <w:hideMark/>
          </w:tcPr>
          <w:p w14:paraId="019A6C53" w14:textId="1633882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73.1</w:t>
            </w:r>
          </w:p>
        </w:tc>
        <w:tc>
          <w:tcPr>
            <w:tcW w:w="703" w:type="dxa"/>
            <w:tcBorders>
              <w:top w:val="nil"/>
              <w:left w:val="nil"/>
              <w:bottom w:val="single" w:sz="8" w:space="0" w:color="auto"/>
              <w:right w:val="single" w:sz="8" w:space="0" w:color="auto"/>
            </w:tcBorders>
            <w:vAlign w:val="center"/>
            <w:hideMark/>
          </w:tcPr>
          <w:p w14:paraId="1C3A5896" w14:textId="51FB0BF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72.4</w:t>
            </w:r>
          </w:p>
        </w:tc>
      </w:tr>
      <w:tr w:rsidR="00217865" w:rsidRPr="00217865" w14:paraId="75D03639"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1887A911" w14:textId="27080896"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Medicine</w:t>
            </w:r>
          </w:p>
        </w:tc>
        <w:tc>
          <w:tcPr>
            <w:tcW w:w="703" w:type="dxa"/>
            <w:tcBorders>
              <w:top w:val="nil"/>
              <w:left w:val="single" w:sz="8" w:space="0" w:color="auto"/>
              <w:bottom w:val="single" w:sz="8" w:space="0" w:color="auto"/>
              <w:right w:val="single" w:sz="8" w:space="0" w:color="auto"/>
            </w:tcBorders>
            <w:vAlign w:val="center"/>
            <w:hideMark/>
          </w:tcPr>
          <w:p w14:paraId="276DAAD6" w14:textId="7A3E18E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84.7</w:t>
            </w:r>
          </w:p>
        </w:tc>
        <w:tc>
          <w:tcPr>
            <w:tcW w:w="703" w:type="dxa"/>
            <w:tcBorders>
              <w:top w:val="nil"/>
              <w:left w:val="nil"/>
              <w:bottom w:val="single" w:sz="8" w:space="0" w:color="auto"/>
              <w:right w:val="single" w:sz="8" w:space="0" w:color="auto"/>
            </w:tcBorders>
            <w:vAlign w:val="center"/>
            <w:hideMark/>
          </w:tcPr>
          <w:p w14:paraId="353F91AC" w14:textId="3B4DB7B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82.4</w:t>
            </w:r>
          </w:p>
        </w:tc>
        <w:tc>
          <w:tcPr>
            <w:tcW w:w="703" w:type="dxa"/>
            <w:tcBorders>
              <w:top w:val="nil"/>
              <w:left w:val="nil"/>
              <w:bottom w:val="single" w:sz="8" w:space="0" w:color="auto"/>
              <w:right w:val="single" w:sz="8" w:space="0" w:color="auto"/>
            </w:tcBorders>
            <w:vAlign w:val="center"/>
            <w:hideMark/>
          </w:tcPr>
          <w:p w14:paraId="62C43EF9" w14:textId="2F8E066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85.0</w:t>
            </w:r>
          </w:p>
        </w:tc>
        <w:tc>
          <w:tcPr>
            <w:tcW w:w="703" w:type="dxa"/>
            <w:tcBorders>
              <w:top w:val="nil"/>
              <w:left w:val="nil"/>
              <w:bottom w:val="single" w:sz="8" w:space="0" w:color="auto"/>
              <w:right w:val="single" w:sz="8" w:space="0" w:color="auto"/>
            </w:tcBorders>
            <w:vAlign w:val="center"/>
            <w:hideMark/>
          </w:tcPr>
          <w:p w14:paraId="1DB0C398" w14:textId="7698813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43.4</w:t>
            </w:r>
          </w:p>
        </w:tc>
        <w:tc>
          <w:tcPr>
            <w:tcW w:w="703" w:type="dxa"/>
            <w:tcBorders>
              <w:top w:val="nil"/>
              <w:left w:val="nil"/>
              <w:bottom w:val="single" w:sz="8" w:space="0" w:color="auto"/>
              <w:right w:val="single" w:sz="8" w:space="0" w:color="auto"/>
            </w:tcBorders>
            <w:vAlign w:val="center"/>
            <w:hideMark/>
          </w:tcPr>
          <w:p w14:paraId="214C5405" w14:textId="53A23F7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64.3</w:t>
            </w:r>
          </w:p>
        </w:tc>
        <w:tc>
          <w:tcPr>
            <w:tcW w:w="634" w:type="dxa"/>
            <w:tcBorders>
              <w:top w:val="nil"/>
              <w:left w:val="nil"/>
              <w:bottom w:val="single" w:sz="8" w:space="0" w:color="auto"/>
              <w:right w:val="single" w:sz="8" w:space="0" w:color="auto"/>
            </w:tcBorders>
            <w:vAlign w:val="center"/>
            <w:hideMark/>
          </w:tcPr>
          <w:p w14:paraId="08400755" w14:textId="1268ED3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76.3</w:t>
            </w:r>
          </w:p>
        </w:tc>
        <w:tc>
          <w:tcPr>
            <w:tcW w:w="772" w:type="dxa"/>
            <w:tcBorders>
              <w:top w:val="nil"/>
              <w:left w:val="nil"/>
              <w:bottom w:val="single" w:sz="8" w:space="0" w:color="auto"/>
              <w:right w:val="single" w:sz="8" w:space="0" w:color="auto"/>
            </w:tcBorders>
            <w:vAlign w:val="center"/>
            <w:hideMark/>
          </w:tcPr>
          <w:p w14:paraId="1B65EE3F" w14:textId="5E61AAB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75.8</w:t>
            </w:r>
          </w:p>
        </w:tc>
        <w:tc>
          <w:tcPr>
            <w:tcW w:w="703" w:type="dxa"/>
            <w:tcBorders>
              <w:top w:val="nil"/>
              <w:left w:val="nil"/>
              <w:bottom w:val="single" w:sz="8" w:space="0" w:color="auto"/>
              <w:right w:val="single" w:sz="8" w:space="0" w:color="auto"/>
            </w:tcBorders>
            <w:vAlign w:val="center"/>
            <w:hideMark/>
          </w:tcPr>
          <w:p w14:paraId="30719A5D" w14:textId="63DF878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703" w:type="dxa"/>
            <w:tcBorders>
              <w:top w:val="nil"/>
              <w:left w:val="nil"/>
              <w:bottom w:val="single" w:sz="8" w:space="0" w:color="auto"/>
              <w:right w:val="single" w:sz="8" w:space="0" w:color="auto"/>
            </w:tcBorders>
            <w:vAlign w:val="center"/>
            <w:hideMark/>
          </w:tcPr>
          <w:p w14:paraId="113BB376" w14:textId="115FE7D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79.3</w:t>
            </w:r>
          </w:p>
        </w:tc>
        <w:tc>
          <w:tcPr>
            <w:tcW w:w="703" w:type="dxa"/>
            <w:tcBorders>
              <w:top w:val="nil"/>
              <w:left w:val="nil"/>
              <w:bottom w:val="single" w:sz="8" w:space="0" w:color="auto"/>
              <w:right w:val="single" w:sz="8" w:space="0" w:color="auto"/>
            </w:tcBorders>
            <w:vAlign w:val="center"/>
            <w:hideMark/>
          </w:tcPr>
          <w:p w14:paraId="3A6068E5" w14:textId="274EF99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73.1</w:t>
            </w:r>
          </w:p>
        </w:tc>
        <w:tc>
          <w:tcPr>
            <w:tcW w:w="703" w:type="dxa"/>
            <w:tcBorders>
              <w:top w:val="nil"/>
              <w:left w:val="nil"/>
              <w:bottom w:val="single" w:sz="8" w:space="0" w:color="auto"/>
              <w:right w:val="single" w:sz="8" w:space="0" w:color="auto"/>
            </w:tcBorders>
            <w:vAlign w:val="center"/>
            <w:hideMark/>
          </w:tcPr>
          <w:p w14:paraId="1FA4E76B" w14:textId="1BCA6D8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71.9</w:t>
            </w:r>
          </w:p>
        </w:tc>
        <w:tc>
          <w:tcPr>
            <w:tcW w:w="703" w:type="dxa"/>
            <w:tcBorders>
              <w:top w:val="nil"/>
              <w:left w:val="nil"/>
              <w:bottom w:val="single" w:sz="8" w:space="0" w:color="auto"/>
              <w:right w:val="single" w:sz="8" w:space="0" w:color="auto"/>
            </w:tcBorders>
            <w:vAlign w:val="center"/>
            <w:hideMark/>
          </w:tcPr>
          <w:p w14:paraId="144EBFA0" w14:textId="3FD7983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70.4</w:t>
            </w:r>
          </w:p>
        </w:tc>
        <w:tc>
          <w:tcPr>
            <w:tcW w:w="703" w:type="dxa"/>
            <w:tcBorders>
              <w:top w:val="nil"/>
              <w:left w:val="nil"/>
              <w:bottom w:val="single" w:sz="8" w:space="0" w:color="auto"/>
              <w:right w:val="single" w:sz="8" w:space="0" w:color="auto"/>
            </w:tcBorders>
            <w:vAlign w:val="center"/>
            <w:hideMark/>
          </w:tcPr>
          <w:p w14:paraId="2C1A291B" w14:textId="4CF6A80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68.4</w:t>
            </w:r>
          </w:p>
        </w:tc>
        <w:tc>
          <w:tcPr>
            <w:tcW w:w="703" w:type="dxa"/>
            <w:tcBorders>
              <w:top w:val="nil"/>
              <w:left w:val="nil"/>
              <w:bottom w:val="single" w:sz="8" w:space="0" w:color="auto"/>
              <w:right w:val="single" w:sz="8" w:space="0" w:color="auto"/>
            </w:tcBorders>
            <w:vAlign w:val="center"/>
            <w:hideMark/>
          </w:tcPr>
          <w:p w14:paraId="02A7AB55" w14:textId="2D99FE8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73.9</w:t>
            </w:r>
          </w:p>
        </w:tc>
        <w:tc>
          <w:tcPr>
            <w:tcW w:w="703" w:type="dxa"/>
            <w:tcBorders>
              <w:top w:val="nil"/>
              <w:left w:val="nil"/>
              <w:bottom w:val="single" w:sz="8" w:space="0" w:color="auto"/>
              <w:right w:val="single" w:sz="8" w:space="0" w:color="auto"/>
            </w:tcBorders>
            <w:vAlign w:val="center"/>
            <w:hideMark/>
          </w:tcPr>
          <w:p w14:paraId="75648A08" w14:textId="07C6219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w:t>
            </w:r>
            <w:r w:rsidR="00821227" w:rsidRPr="00217865">
              <w:rPr>
                <w:rFonts w:cs="Arial"/>
                <w:color w:val="000000" w:themeColor="text1"/>
                <w:sz w:val="18"/>
              </w:rPr>
              <w:t>6</w:t>
            </w:r>
          </w:p>
        </w:tc>
        <w:tc>
          <w:tcPr>
            <w:tcW w:w="703" w:type="dxa"/>
            <w:tcBorders>
              <w:top w:val="nil"/>
              <w:left w:val="nil"/>
              <w:bottom w:val="single" w:sz="8" w:space="0" w:color="auto"/>
              <w:right w:val="single" w:sz="8" w:space="0" w:color="auto"/>
            </w:tcBorders>
            <w:vAlign w:val="center"/>
            <w:hideMark/>
          </w:tcPr>
          <w:p w14:paraId="2D1050EB" w14:textId="570264B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64.6</w:t>
            </w:r>
          </w:p>
        </w:tc>
        <w:tc>
          <w:tcPr>
            <w:tcW w:w="703" w:type="dxa"/>
            <w:tcBorders>
              <w:top w:val="nil"/>
              <w:left w:val="nil"/>
              <w:bottom w:val="single" w:sz="8" w:space="0" w:color="auto"/>
              <w:right w:val="single" w:sz="8" w:space="0" w:color="auto"/>
            </w:tcBorders>
            <w:vAlign w:val="center"/>
            <w:hideMark/>
          </w:tcPr>
          <w:p w14:paraId="65FD0316" w14:textId="11DE53F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72.1</w:t>
            </w:r>
          </w:p>
        </w:tc>
        <w:tc>
          <w:tcPr>
            <w:tcW w:w="703" w:type="dxa"/>
            <w:tcBorders>
              <w:top w:val="nil"/>
              <w:left w:val="nil"/>
              <w:bottom w:val="single" w:sz="8" w:space="0" w:color="auto"/>
              <w:right w:val="single" w:sz="8" w:space="0" w:color="auto"/>
            </w:tcBorders>
            <w:vAlign w:val="center"/>
            <w:hideMark/>
          </w:tcPr>
          <w:p w14:paraId="366C5A47" w14:textId="1947E6E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73.7</w:t>
            </w:r>
          </w:p>
        </w:tc>
      </w:tr>
      <w:tr w:rsidR="00217865" w:rsidRPr="00217865" w14:paraId="52E27911"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4FBD2024" w14:textId="7671D9EC"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Nursing</w:t>
            </w:r>
          </w:p>
        </w:tc>
        <w:tc>
          <w:tcPr>
            <w:tcW w:w="703" w:type="dxa"/>
            <w:tcBorders>
              <w:top w:val="nil"/>
              <w:left w:val="single" w:sz="8" w:space="0" w:color="auto"/>
              <w:bottom w:val="single" w:sz="8" w:space="0" w:color="auto"/>
              <w:right w:val="single" w:sz="8" w:space="0" w:color="auto"/>
            </w:tcBorders>
            <w:vAlign w:val="center"/>
            <w:hideMark/>
          </w:tcPr>
          <w:p w14:paraId="2586F399" w14:textId="08C220C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453C0B59" w14:textId="1A71523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85.9</w:t>
            </w:r>
          </w:p>
        </w:tc>
        <w:tc>
          <w:tcPr>
            <w:tcW w:w="703" w:type="dxa"/>
            <w:tcBorders>
              <w:top w:val="nil"/>
              <w:left w:val="nil"/>
              <w:bottom w:val="single" w:sz="8" w:space="0" w:color="auto"/>
              <w:right w:val="single" w:sz="8" w:space="0" w:color="auto"/>
            </w:tcBorders>
            <w:vAlign w:val="center"/>
            <w:hideMark/>
          </w:tcPr>
          <w:p w14:paraId="2B8C3C36" w14:textId="086C81A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89.3</w:t>
            </w:r>
          </w:p>
        </w:tc>
        <w:tc>
          <w:tcPr>
            <w:tcW w:w="703" w:type="dxa"/>
            <w:tcBorders>
              <w:top w:val="nil"/>
              <w:left w:val="nil"/>
              <w:bottom w:val="single" w:sz="8" w:space="0" w:color="auto"/>
              <w:right w:val="single" w:sz="8" w:space="0" w:color="auto"/>
            </w:tcBorders>
            <w:vAlign w:val="center"/>
            <w:hideMark/>
          </w:tcPr>
          <w:p w14:paraId="3DEEA627" w14:textId="45B6531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54.9</w:t>
            </w:r>
          </w:p>
        </w:tc>
        <w:tc>
          <w:tcPr>
            <w:tcW w:w="703" w:type="dxa"/>
            <w:tcBorders>
              <w:top w:val="nil"/>
              <w:left w:val="nil"/>
              <w:bottom w:val="single" w:sz="8" w:space="0" w:color="auto"/>
              <w:right w:val="single" w:sz="8" w:space="0" w:color="auto"/>
            </w:tcBorders>
            <w:vAlign w:val="center"/>
            <w:hideMark/>
          </w:tcPr>
          <w:p w14:paraId="07690B66" w14:textId="7E9F2D8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63.3</w:t>
            </w:r>
          </w:p>
        </w:tc>
        <w:tc>
          <w:tcPr>
            <w:tcW w:w="634" w:type="dxa"/>
            <w:tcBorders>
              <w:top w:val="nil"/>
              <w:left w:val="nil"/>
              <w:bottom w:val="single" w:sz="8" w:space="0" w:color="auto"/>
              <w:right w:val="single" w:sz="8" w:space="0" w:color="auto"/>
            </w:tcBorders>
            <w:vAlign w:val="center"/>
            <w:hideMark/>
          </w:tcPr>
          <w:p w14:paraId="63E70ABD" w14:textId="3BA2F53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70.5</w:t>
            </w:r>
          </w:p>
        </w:tc>
        <w:tc>
          <w:tcPr>
            <w:tcW w:w="772" w:type="dxa"/>
            <w:tcBorders>
              <w:top w:val="nil"/>
              <w:left w:val="nil"/>
              <w:bottom w:val="single" w:sz="8" w:space="0" w:color="auto"/>
              <w:right w:val="single" w:sz="8" w:space="0" w:color="auto"/>
            </w:tcBorders>
            <w:vAlign w:val="center"/>
            <w:hideMark/>
          </w:tcPr>
          <w:p w14:paraId="3193E7D3" w14:textId="75A59F4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74.7</w:t>
            </w:r>
          </w:p>
        </w:tc>
        <w:tc>
          <w:tcPr>
            <w:tcW w:w="703" w:type="dxa"/>
            <w:tcBorders>
              <w:top w:val="nil"/>
              <w:left w:val="nil"/>
              <w:bottom w:val="single" w:sz="8" w:space="0" w:color="auto"/>
              <w:right w:val="single" w:sz="8" w:space="0" w:color="auto"/>
            </w:tcBorders>
            <w:vAlign w:val="center"/>
            <w:hideMark/>
          </w:tcPr>
          <w:p w14:paraId="12316A76" w14:textId="6DDC93B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79.2</w:t>
            </w:r>
          </w:p>
        </w:tc>
        <w:tc>
          <w:tcPr>
            <w:tcW w:w="703" w:type="dxa"/>
            <w:tcBorders>
              <w:top w:val="nil"/>
              <w:left w:val="nil"/>
              <w:bottom w:val="single" w:sz="8" w:space="0" w:color="auto"/>
              <w:right w:val="single" w:sz="8" w:space="0" w:color="auto"/>
            </w:tcBorders>
            <w:vAlign w:val="center"/>
            <w:hideMark/>
          </w:tcPr>
          <w:p w14:paraId="0CCDFE6C" w14:textId="421C291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84.6</w:t>
            </w:r>
          </w:p>
        </w:tc>
        <w:tc>
          <w:tcPr>
            <w:tcW w:w="703" w:type="dxa"/>
            <w:tcBorders>
              <w:top w:val="nil"/>
              <w:left w:val="nil"/>
              <w:bottom w:val="single" w:sz="8" w:space="0" w:color="auto"/>
              <w:right w:val="single" w:sz="8" w:space="0" w:color="auto"/>
            </w:tcBorders>
            <w:vAlign w:val="center"/>
            <w:hideMark/>
          </w:tcPr>
          <w:p w14:paraId="55A628A2" w14:textId="4D619EE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74.1</w:t>
            </w:r>
          </w:p>
        </w:tc>
        <w:tc>
          <w:tcPr>
            <w:tcW w:w="703" w:type="dxa"/>
            <w:tcBorders>
              <w:top w:val="nil"/>
              <w:left w:val="nil"/>
              <w:bottom w:val="single" w:sz="8" w:space="0" w:color="auto"/>
              <w:right w:val="single" w:sz="8" w:space="0" w:color="auto"/>
            </w:tcBorders>
            <w:vAlign w:val="center"/>
            <w:hideMark/>
          </w:tcPr>
          <w:p w14:paraId="6271BFEB" w14:textId="35195F8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c>
          <w:tcPr>
            <w:tcW w:w="703" w:type="dxa"/>
            <w:tcBorders>
              <w:top w:val="nil"/>
              <w:left w:val="nil"/>
              <w:bottom w:val="single" w:sz="8" w:space="0" w:color="auto"/>
              <w:right w:val="single" w:sz="8" w:space="0" w:color="auto"/>
            </w:tcBorders>
            <w:vAlign w:val="center"/>
            <w:hideMark/>
          </w:tcPr>
          <w:p w14:paraId="40DC77E2" w14:textId="2971A71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64EFE6F3" w14:textId="0822EA6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77.7</w:t>
            </w:r>
          </w:p>
        </w:tc>
        <w:tc>
          <w:tcPr>
            <w:tcW w:w="703" w:type="dxa"/>
            <w:tcBorders>
              <w:top w:val="nil"/>
              <w:left w:val="nil"/>
              <w:bottom w:val="single" w:sz="8" w:space="0" w:color="auto"/>
              <w:right w:val="single" w:sz="8" w:space="0" w:color="auto"/>
            </w:tcBorders>
            <w:vAlign w:val="center"/>
            <w:hideMark/>
          </w:tcPr>
          <w:p w14:paraId="627BEDEA" w14:textId="3E883AB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84.8</w:t>
            </w:r>
          </w:p>
        </w:tc>
        <w:tc>
          <w:tcPr>
            <w:tcW w:w="703" w:type="dxa"/>
            <w:tcBorders>
              <w:top w:val="nil"/>
              <w:left w:val="nil"/>
              <w:bottom w:val="single" w:sz="8" w:space="0" w:color="auto"/>
              <w:right w:val="single" w:sz="8" w:space="0" w:color="auto"/>
            </w:tcBorders>
            <w:vAlign w:val="center"/>
            <w:hideMark/>
          </w:tcPr>
          <w:p w14:paraId="47630A97" w14:textId="0B41D75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87.8</w:t>
            </w:r>
          </w:p>
        </w:tc>
        <w:tc>
          <w:tcPr>
            <w:tcW w:w="703" w:type="dxa"/>
            <w:tcBorders>
              <w:top w:val="nil"/>
              <w:left w:val="nil"/>
              <w:bottom w:val="single" w:sz="8" w:space="0" w:color="auto"/>
              <w:right w:val="single" w:sz="8" w:space="0" w:color="auto"/>
            </w:tcBorders>
            <w:vAlign w:val="center"/>
            <w:hideMark/>
          </w:tcPr>
          <w:p w14:paraId="3D9A21DD" w14:textId="77EE584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66.6</w:t>
            </w:r>
          </w:p>
        </w:tc>
        <w:tc>
          <w:tcPr>
            <w:tcW w:w="703" w:type="dxa"/>
            <w:tcBorders>
              <w:top w:val="nil"/>
              <w:left w:val="nil"/>
              <w:bottom w:val="single" w:sz="8" w:space="0" w:color="auto"/>
              <w:right w:val="single" w:sz="8" w:space="0" w:color="auto"/>
            </w:tcBorders>
            <w:vAlign w:val="center"/>
            <w:hideMark/>
          </w:tcPr>
          <w:p w14:paraId="5D120169" w14:textId="0DBC8BE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73.4</w:t>
            </w:r>
          </w:p>
        </w:tc>
        <w:tc>
          <w:tcPr>
            <w:tcW w:w="703" w:type="dxa"/>
            <w:tcBorders>
              <w:top w:val="nil"/>
              <w:left w:val="nil"/>
              <w:bottom w:val="single" w:sz="8" w:space="0" w:color="auto"/>
              <w:right w:val="single" w:sz="8" w:space="0" w:color="auto"/>
            </w:tcBorders>
            <w:vAlign w:val="center"/>
            <w:hideMark/>
          </w:tcPr>
          <w:p w14:paraId="16CD0917" w14:textId="15510CE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80.9</w:t>
            </w:r>
          </w:p>
        </w:tc>
      </w:tr>
      <w:tr w:rsidR="00217865" w:rsidRPr="00217865" w14:paraId="3D1C9AF3"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554B667A" w14:textId="61686217"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Pharmacy</w:t>
            </w:r>
          </w:p>
        </w:tc>
        <w:tc>
          <w:tcPr>
            <w:tcW w:w="703" w:type="dxa"/>
            <w:tcBorders>
              <w:top w:val="nil"/>
              <w:left w:val="single" w:sz="8" w:space="0" w:color="auto"/>
              <w:bottom w:val="single" w:sz="8" w:space="0" w:color="auto"/>
              <w:right w:val="single" w:sz="8" w:space="0" w:color="auto"/>
            </w:tcBorders>
            <w:vAlign w:val="center"/>
            <w:hideMark/>
          </w:tcPr>
          <w:p w14:paraId="48A74657" w14:textId="7C87EF5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85.5</w:t>
            </w:r>
          </w:p>
        </w:tc>
        <w:tc>
          <w:tcPr>
            <w:tcW w:w="703" w:type="dxa"/>
            <w:tcBorders>
              <w:top w:val="nil"/>
              <w:left w:val="nil"/>
              <w:bottom w:val="single" w:sz="8" w:space="0" w:color="auto"/>
              <w:right w:val="single" w:sz="8" w:space="0" w:color="auto"/>
            </w:tcBorders>
            <w:vAlign w:val="center"/>
            <w:hideMark/>
          </w:tcPr>
          <w:p w14:paraId="54424049" w14:textId="05F58E1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85.8</w:t>
            </w:r>
          </w:p>
        </w:tc>
        <w:tc>
          <w:tcPr>
            <w:tcW w:w="703" w:type="dxa"/>
            <w:tcBorders>
              <w:top w:val="nil"/>
              <w:left w:val="nil"/>
              <w:bottom w:val="single" w:sz="8" w:space="0" w:color="auto"/>
              <w:right w:val="single" w:sz="8" w:space="0" w:color="auto"/>
            </w:tcBorders>
            <w:vAlign w:val="center"/>
            <w:hideMark/>
          </w:tcPr>
          <w:p w14:paraId="0CA911B4" w14:textId="3857AAC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87.3</w:t>
            </w:r>
          </w:p>
        </w:tc>
        <w:tc>
          <w:tcPr>
            <w:tcW w:w="703" w:type="dxa"/>
            <w:tcBorders>
              <w:top w:val="nil"/>
              <w:left w:val="nil"/>
              <w:bottom w:val="single" w:sz="8" w:space="0" w:color="auto"/>
              <w:right w:val="single" w:sz="8" w:space="0" w:color="auto"/>
            </w:tcBorders>
            <w:vAlign w:val="center"/>
            <w:hideMark/>
          </w:tcPr>
          <w:p w14:paraId="4D18F06B" w14:textId="1640035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50.9</w:t>
            </w:r>
          </w:p>
        </w:tc>
        <w:tc>
          <w:tcPr>
            <w:tcW w:w="703" w:type="dxa"/>
            <w:tcBorders>
              <w:top w:val="nil"/>
              <w:left w:val="nil"/>
              <w:bottom w:val="single" w:sz="8" w:space="0" w:color="auto"/>
              <w:right w:val="single" w:sz="8" w:space="0" w:color="auto"/>
            </w:tcBorders>
            <w:vAlign w:val="center"/>
            <w:hideMark/>
          </w:tcPr>
          <w:p w14:paraId="50CC2464" w14:textId="30CBFE8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67.1</w:t>
            </w:r>
          </w:p>
        </w:tc>
        <w:tc>
          <w:tcPr>
            <w:tcW w:w="634" w:type="dxa"/>
            <w:tcBorders>
              <w:top w:val="nil"/>
              <w:left w:val="nil"/>
              <w:bottom w:val="single" w:sz="8" w:space="0" w:color="auto"/>
              <w:right w:val="single" w:sz="8" w:space="0" w:color="auto"/>
            </w:tcBorders>
            <w:vAlign w:val="center"/>
            <w:hideMark/>
          </w:tcPr>
          <w:p w14:paraId="429D0345" w14:textId="1CF0ABE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66.8</w:t>
            </w:r>
          </w:p>
        </w:tc>
        <w:tc>
          <w:tcPr>
            <w:tcW w:w="772" w:type="dxa"/>
            <w:tcBorders>
              <w:top w:val="nil"/>
              <w:left w:val="nil"/>
              <w:bottom w:val="single" w:sz="8" w:space="0" w:color="auto"/>
              <w:right w:val="single" w:sz="8" w:space="0" w:color="auto"/>
            </w:tcBorders>
            <w:vAlign w:val="center"/>
            <w:hideMark/>
          </w:tcPr>
          <w:p w14:paraId="1C9339F9" w14:textId="57FEB5F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5723B902" w14:textId="6197E62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107D5A5F" w14:textId="1B643D3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w:t>
            </w:r>
            <w:r w:rsidR="00821227" w:rsidRPr="00217865">
              <w:rPr>
                <w:rFonts w:cs="Arial"/>
                <w:color w:val="000000" w:themeColor="text1"/>
                <w:sz w:val="18"/>
              </w:rPr>
              <w:t>8</w:t>
            </w:r>
          </w:p>
        </w:tc>
        <w:tc>
          <w:tcPr>
            <w:tcW w:w="703" w:type="dxa"/>
            <w:tcBorders>
              <w:top w:val="nil"/>
              <w:left w:val="nil"/>
              <w:bottom w:val="single" w:sz="8" w:space="0" w:color="auto"/>
              <w:right w:val="single" w:sz="8" w:space="0" w:color="auto"/>
            </w:tcBorders>
            <w:vAlign w:val="center"/>
            <w:hideMark/>
          </w:tcPr>
          <w:p w14:paraId="34009D6B" w14:textId="6F8CDD1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c>
          <w:tcPr>
            <w:tcW w:w="703" w:type="dxa"/>
            <w:tcBorders>
              <w:top w:val="nil"/>
              <w:left w:val="nil"/>
              <w:bottom w:val="single" w:sz="8" w:space="0" w:color="auto"/>
              <w:right w:val="single" w:sz="8" w:space="0" w:color="auto"/>
            </w:tcBorders>
            <w:vAlign w:val="center"/>
            <w:hideMark/>
          </w:tcPr>
          <w:p w14:paraId="16A3E079" w14:textId="0A0A961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75.4</w:t>
            </w:r>
          </w:p>
        </w:tc>
        <w:tc>
          <w:tcPr>
            <w:tcW w:w="703" w:type="dxa"/>
            <w:tcBorders>
              <w:top w:val="nil"/>
              <w:left w:val="nil"/>
              <w:bottom w:val="single" w:sz="8" w:space="0" w:color="auto"/>
              <w:right w:val="single" w:sz="8" w:space="0" w:color="auto"/>
            </w:tcBorders>
            <w:vAlign w:val="center"/>
            <w:hideMark/>
          </w:tcPr>
          <w:p w14:paraId="27E74A31" w14:textId="532CEF5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72.4</w:t>
            </w:r>
          </w:p>
        </w:tc>
        <w:tc>
          <w:tcPr>
            <w:tcW w:w="703" w:type="dxa"/>
            <w:tcBorders>
              <w:top w:val="nil"/>
              <w:left w:val="nil"/>
              <w:bottom w:val="single" w:sz="8" w:space="0" w:color="auto"/>
              <w:right w:val="single" w:sz="8" w:space="0" w:color="auto"/>
            </w:tcBorders>
            <w:vAlign w:val="center"/>
            <w:hideMark/>
          </w:tcPr>
          <w:p w14:paraId="6F15F12C" w14:textId="7DE771B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82.9</w:t>
            </w:r>
          </w:p>
        </w:tc>
        <w:tc>
          <w:tcPr>
            <w:tcW w:w="703" w:type="dxa"/>
            <w:tcBorders>
              <w:top w:val="nil"/>
              <w:left w:val="nil"/>
              <w:bottom w:val="single" w:sz="8" w:space="0" w:color="auto"/>
              <w:right w:val="single" w:sz="8" w:space="0" w:color="auto"/>
            </w:tcBorders>
            <w:vAlign w:val="center"/>
            <w:hideMark/>
          </w:tcPr>
          <w:p w14:paraId="37D207BE" w14:textId="330161E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82.1</w:t>
            </w:r>
          </w:p>
        </w:tc>
        <w:tc>
          <w:tcPr>
            <w:tcW w:w="703" w:type="dxa"/>
            <w:tcBorders>
              <w:top w:val="nil"/>
              <w:left w:val="nil"/>
              <w:bottom w:val="single" w:sz="8" w:space="0" w:color="auto"/>
              <w:right w:val="single" w:sz="8" w:space="0" w:color="auto"/>
            </w:tcBorders>
            <w:vAlign w:val="center"/>
            <w:hideMark/>
          </w:tcPr>
          <w:p w14:paraId="0F7FC716" w14:textId="5715A33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79.0</w:t>
            </w:r>
          </w:p>
        </w:tc>
        <w:tc>
          <w:tcPr>
            <w:tcW w:w="703" w:type="dxa"/>
            <w:tcBorders>
              <w:top w:val="nil"/>
              <w:left w:val="nil"/>
              <w:bottom w:val="single" w:sz="8" w:space="0" w:color="auto"/>
              <w:right w:val="single" w:sz="8" w:space="0" w:color="auto"/>
            </w:tcBorders>
            <w:vAlign w:val="center"/>
            <w:hideMark/>
          </w:tcPr>
          <w:p w14:paraId="34056046" w14:textId="7423A66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70.8</w:t>
            </w:r>
          </w:p>
        </w:tc>
        <w:tc>
          <w:tcPr>
            <w:tcW w:w="703" w:type="dxa"/>
            <w:tcBorders>
              <w:top w:val="nil"/>
              <w:left w:val="nil"/>
              <w:bottom w:val="single" w:sz="8" w:space="0" w:color="auto"/>
              <w:right w:val="single" w:sz="8" w:space="0" w:color="auto"/>
            </w:tcBorders>
            <w:vAlign w:val="center"/>
            <w:hideMark/>
          </w:tcPr>
          <w:p w14:paraId="4D4B29A2" w14:textId="16B3E8C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75.7</w:t>
            </w:r>
          </w:p>
        </w:tc>
        <w:tc>
          <w:tcPr>
            <w:tcW w:w="703" w:type="dxa"/>
            <w:tcBorders>
              <w:top w:val="nil"/>
              <w:left w:val="nil"/>
              <w:bottom w:val="single" w:sz="8" w:space="0" w:color="auto"/>
              <w:right w:val="single" w:sz="8" w:space="0" w:color="auto"/>
            </w:tcBorders>
            <w:vAlign w:val="center"/>
            <w:hideMark/>
          </w:tcPr>
          <w:p w14:paraId="5788FB46" w14:textId="0EF6040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74.6</w:t>
            </w:r>
          </w:p>
        </w:tc>
      </w:tr>
      <w:tr w:rsidR="00217865" w:rsidRPr="00217865" w14:paraId="211C49F2" w14:textId="77777777" w:rsidTr="00586F7D">
        <w:trPr>
          <w:trHeight w:val="471"/>
        </w:trPr>
        <w:tc>
          <w:tcPr>
            <w:tcW w:w="2517" w:type="dxa"/>
            <w:tcBorders>
              <w:top w:val="nil"/>
              <w:left w:val="single" w:sz="8" w:space="0" w:color="000000"/>
              <w:bottom w:val="single" w:sz="8" w:space="0" w:color="000000"/>
              <w:right w:val="nil"/>
            </w:tcBorders>
            <w:vAlign w:val="center"/>
            <w:hideMark/>
          </w:tcPr>
          <w:p w14:paraId="0D71330C" w14:textId="0F04F29C"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Psychology</w:t>
            </w:r>
          </w:p>
        </w:tc>
        <w:tc>
          <w:tcPr>
            <w:tcW w:w="703" w:type="dxa"/>
            <w:tcBorders>
              <w:top w:val="nil"/>
              <w:left w:val="single" w:sz="8" w:space="0" w:color="auto"/>
              <w:bottom w:val="single" w:sz="8" w:space="0" w:color="auto"/>
              <w:right w:val="single" w:sz="8" w:space="0" w:color="auto"/>
            </w:tcBorders>
            <w:vAlign w:val="center"/>
            <w:hideMark/>
          </w:tcPr>
          <w:p w14:paraId="4AC013DF" w14:textId="4BDC066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77.2</w:t>
            </w:r>
          </w:p>
        </w:tc>
        <w:tc>
          <w:tcPr>
            <w:tcW w:w="703" w:type="dxa"/>
            <w:tcBorders>
              <w:top w:val="nil"/>
              <w:left w:val="nil"/>
              <w:bottom w:val="single" w:sz="8" w:space="0" w:color="auto"/>
              <w:right w:val="single" w:sz="8" w:space="0" w:color="auto"/>
            </w:tcBorders>
            <w:vAlign w:val="center"/>
            <w:hideMark/>
          </w:tcPr>
          <w:p w14:paraId="45C73AE9" w14:textId="52EDFB4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81.8</w:t>
            </w:r>
          </w:p>
        </w:tc>
        <w:tc>
          <w:tcPr>
            <w:tcW w:w="703" w:type="dxa"/>
            <w:tcBorders>
              <w:top w:val="nil"/>
              <w:left w:val="nil"/>
              <w:bottom w:val="single" w:sz="8" w:space="0" w:color="auto"/>
              <w:right w:val="single" w:sz="8" w:space="0" w:color="auto"/>
            </w:tcBorders>
            <w:vAlign w:val="center"/>
            <w:hideMark/>
          </w:tcPr>
          <w:p w14:paraId="072BE1E0" w14:textId="0ECCA6B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81.7</w:t>
            </w:r>
          </w:p>
        </w:tc>
        <w:tc>
          <w:tcPr>
            <w:tcW w:w="703" w:type="dxa"/>
            <w:tcBorders>
              <w:top w:val="nil"/>
              <w:left w:val="nil"/>
              <w:bottom w:val="single" w:sz="8" w:space="0" w:color="auto"/>
              <w:right w:val="single" w:sz="8" w:space="0" w:color="auto"/>
            </w:tcBorders>
            <w:vAlign w:val="center"/>
            <w:hideMark/>
          </w:tcPr>
          <w:p w14:paraId="39851110" w14:textId="5C2358A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36.7</w:t>
            </w:r>
          </w:p>
        </w:tc>
        <w:tc>
          <w:tcPr>
            <w:tcW w:w="703" w:type="dxa"/>
            <w:tcBorders>
              <w:top w:val="nil"/>
              <w:left w:val="nil"/>
              <w:bottom w:val="single" w:sz="8" w:space="0" w:color="auto"/>
              <w:right w:val="single" w:sz="8" w:space="0" w:color="auto"/>
            </w:tcBorders>
            <w:vAlign w:val="center"/>
            <w:hideMark/>
          </w:tcPr>
          <w:p w14:paraId="40EC5F9D" w14:textId="530CA04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54.2</w:t>
            </w:r>
          </w:p>
        </w:tc>
        <w:tc>
          <w:tcPr>
            <w:tcW w:w="634" w:type="dxa"/>
            <w:tcBorders>
              <w:top w:val="nil"/>
              <w:left w:val="nil"/>
              <w:bottom w:val="single" w:sz="8" w:space="0" w:color="auto"/>
              <w:right w:val="single" w:sz="8" w:space="0" w:color="auto"/>
            </w:tcBorders>
            <w:vAlign w:val="center"/>
            <w:hideMark/>
          </w:tcPr>
          <w:p w14:paraId="471CEAD8" w14:textId="266EE5E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56.</w:t>
            </w:r>
            <w:r w:rsidR="00821227" w:rsidRPr="00217865">
              <w:rPr>
                <w:rFonts w:cs="Arial"/>
                <w:color w:val="000000" w:themeColor="text1"/>
                <w:sz w:val="18"/>
              </w:rPr>
              <w:t>3</w:t>
            </w:r>
          </w:p>
        </w:tc>
        <w:tc>
          <w:tcPr>
            <w:tcW w:w="772" w:type="dxa"/>
            <w:tcBorders>
              <w:top w:val="nil"/>
              <w:left w:val="nil"/>
              <w:bottom w:val="single" w:sz="8" w:space="0" w:color="auto"/>
              <w:right w:val="single" w:sz="8" w:space="0" w:color="auto"/>
            </w:tcBorders>
            <w:vAlign w:val="center"/>
            <w:hideMark/>
          </w:tcPr>
          <w:p w14:paraId="3B6A2E05" w14:textId="07764AF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78.2</w:t>
            </w:r>
          </w:p>
        </w:tc>
        <w:tc>
          <w:tcPr>
            <w:tcW w:w="703" w:type="dxa"/>
            <w:tcBorders>
              <w:top w:val="nil"/>
              <w:left w:val="nil"/>
              <w:bottom w:val="single" w:sz="8" w:space="0" w:color="auto"/>
              <w:right w:val="single" w:sz="8" w:space="0" w:color="auto"/>
            </w:tcBorders>
            <w:vAlign w:val="center"/>
            <w:hideMark/>
          </w:tcPr>
          <w:p w14:paraId="73744F94" w14:textId="60260E1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703" w:type="dxa"/>
            <w:tcBorders>
              <w:top w:val="nil"/>
              <w:left w:val="nil"/>
              <w:bottom w:val="single" w:sz="8" w:space="0" w:color="auto"/>
              <w:right w:val="single" w:sz="8" w:space="0" w:color="auto"/>
            </w:tcBorders>
            <w:vAlign w:val="center"/>
            <w:hideMark/>
          </w:tcPr>
          <w:p w14:paraId="501DD1D5" w14:textId="2EF6681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82.1</w:t>
            </w:r>
          </w:p>
        </w:tc>
        <w:tc>
          <w:tcPr>
            <w:tcW w:w="703" w:type="dxa"/>
            <w:tcBorders>
              <w:top w:val="nil"/>
              <w:left w:val="nil"/>
              <w:bottom w:val="single" w:sz="8" w:space="0" w:color="auto"/>
              <w:right w:val="single" w:sz="8" w:space="0" w:color="auto"/>
            </w:tcBorders>
            <w:vAlign w:val="center"/>
            <w:hideMark/>
          </w:tcPr>
          <w:p w14:paraId="2307B5F7" w14:textId="3E03D98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68.8</w:t>
            </w:r>
          </w:p>
        </w:tc>
        <w:tc>
          <w:tcPr>
            <w:tcW w:w="703" w:type="dxa"/>
            <w:tcBorders>
              <w:top w:val="nil"/>
              <w:left w:val="nil"/>
              <w:bottom w:val="single" w:sz="8" w:space="0" w:color="auto"/>
              <w:right w:val="single" w:sz="8" w:space="0" w:color="auto"/>
            </w:tcBorders>
            <w:vAlign w:val="center"/>
            <w:hideMark/>
          </w:tcPr>
          <w:p w14:paraId="79DC998C" w14:textId="34BCD91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73.5</w:t>
            </w:r>
          </w:p>
        </w:tc>
        <w:tc>
          <w:tcPr>
            <w:tcW w:w="703" w:type="dxa"/>
            <w:tcBorders>
              <w:top w:val="nil"/>
              <w:left w:val="nil"/>
              <w:bottom w:val="single" w:sz="8" w:space="0" w:color="auto"/>
              <w:right w:val="single" w:sz="8" w:space="0" w:color="auto"/>
            </w:tcBorders>
            <w:vAlign w:val="center"/>
            <w:hideMark/>
          </w:tcPr>
          <w:p w14:paraId="1EFB8161" w14:textId="4BE171B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76.7</w:t>
            </w:r>
          </w:p>
        </w:tc>
        <w:tc>
          <w:tcPr>
            <w:tcW w:w="703" w:type="dxa"/>
            <w:tcBorders>
              <w:top w:val="nil"/>
              <w:left w:val="nil"/>
              <w:bottom w:val="single" w:sz="8" w:space="0" w:color="auto"/>
              <w:right w:val="single" w:sz="8" w:space="0" w:color="auto"/>
            </w:tcBorders>
            <w:vAlign w:val="center"/>
            <w:hideMark/>
          </w:tcPr>
          <w:p w14:paraId="319F20E9" w14:textId="22D561D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73.9</w:t>
            </w:r>
          </w:p>
        </w:tc>
        <w:tc>
          <w:tcPr>
            <w:tcW w:w="703" w:type="dxa"/>
            <w:tcBorders>
              <w:top w:val="nil"/>
              <w:left w:val="nil"/>
              <w:bottom w:val="single" w:sz="8" w:space="0" w:color="auto"/>
              <w:right w:val="single" w:sz="8" w:space="0" w:color="auto"/>
            </w:tcBorders>
            <w:vAlign w:val="center"/>
            <w:hideMark/>
          </w:tcPr>
          <w:p w14:paraId="40BE46BD" w14:textId="6F162F9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5EAC8E0F" w14:textId="412CBB8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w:t>
            </w:r>
            <w:r w:rsidR="00821227" w:rsidRPr="00217865">
              <w:rPr>
                <w:rFonts w:cs="Arial"/>
                <w:color w:val="000000" w:themeColor="text1"/>
                <w:sz w:val="18"/>
              </w:rPr>
              <w:t>3</w:t>
            </w:r>
          </w:p>
        </w:tc>
        <w:tc>
          <w:tcPr>
            <w:tcW w:w="703" w:type="dxa"/>
            <w:tcBorders>
              <w:top w:val="nil"/>
              <w:left w:val="nil"/>
              <w:bottom w:val="single" w:sz="8" w:space="0" w:color="auto"/>
              <w:right w:val="single" w:sz="8" w:space="0" w:color="auto"/>
            </w:tcBorders>
            <w:vAlign w:val="center"/>
            <w:hideMark/>
          </w:tcPr>
          <w:p w14:paraId="1CD2C7A4" w14:textId="6C23E84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69.6</w:t>
            </w:r>
          </w:p>
        </w:tc>
        <w:tc>
          <w:tcPr>
            <w:tcW w:w="703" w:type="dxa"/>
            <w:tcBorders>
              <w:top w:val="nil"/>
              <w:left w:val="nil"/>
              <w:bottom w:val="single" w:sz="8" w:space="0" w:color="auto"/>
              <w:right w:val="single" w:sz="8" w:space="0" w:color="auto"/>
            </w:tcBorders>
            <w:vAlign w:val="center"/>
            <w:hideMark/>
          </w:tcPr>
          <w:p w14:paraId="5D41B186" w14:textId="38923C9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74.4</w:t>
            </w:r>
          </w:p>
        </w:tc>
        <w:tc>
          <w:tcPr>
            <w:tcW w:w="703" w:type="dxa"/>
            <w:tcBorders>
              <w:top w:val="nil"/>
              <w:left w:val="nil"/>
              <w:bottom w:val="single" w:sz="8" w:space="0" w:color="auto"/>
              <w:right w:val="single" w:sz="8" w:space="0" w:color="auto"/>
            </w:tcBorders>
            <w:vAlign w:val="center"/>
            <w:hideMark/>
          </w:tcPr>
          <w:p w14:paraId="3C443E71" w14:textId="5D2B363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73.7</w:t>
            </w:r>
          </w:p>
        </w:tc>
      </w:tr>
      <w:tr w:rsidR="00217865" w:rsidRPr="00217865" w14:paraId="338C96F6"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554D9B09" w14:textId="5DCB88C9"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Rehabilitation</w:t>
            </w:r>
          </w:p>
        </w:tc>
        <w:tc>
          <w:tcPr>
            <w:tcW w:w="703" w:type="dxa"/>
            <w:tcBorders>
              <w:top w:val="nil"/>
              <w:left w:val="single" w:sz="8" w:space="0" w:color="auto"/>
              <w:bottom w:val="single" w:sz="8" w:space="0" w:color="auto"/>
              <w:right w:val="single" w:sz="8" w:space="0" w:color="auto"/>
            </w:tcBorders>
            <w:vAlign w:val="center"/>
            <w:hideMark/>
          </w:tcPr>
          <w:p w14:paraId="1D41851C" w14:textId="644B78A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78.2</w:t>
            </w:r>
          </w:p>
        </w:tc>
        <w:tc>
          <w:tcPr>
            <w:tcW w:w="703" w:type="dxa"/>
            <w:tcBorders>
              <w:top w:val="nil"/>
              <w:left w:val="nil"/>
              <w:bottom w:val="single" w:sz="8" w:space="0" w:color="auto"/>
              <w:right w:val="single" w:sz="8" w:space="0" w:color="auto"/>
            </w:tcBorders>
            <w:vAlign w:val="center"/>
            <w:hideMark/>
          </w:tcPr>
          <w:p w14:paraId="759C38AB" w14:textId="3E61C07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83.3</w:t>
            </w:r>
          </w:p>
        </w:tc>
        <w:tc>
          <w:tcPr>
            <w:tcW w:w="703" w:type="dxa"/>
            <w:tcBorders>
              <w:top w:val="nil"/>
              <w:left w:val="nil"/>
              <w:bottom w:val="single" w:sz="8" w:space="0" w:color="auto"/>
              <w:right w:val="single" w:sz="8" w:space="0" w:color="auto"/>
            </w:tcBorders>
            <w:vAlign w:val="center"/>
            <w:hideMark/>
          </w:tcPr>
          <w:p w14:paraId="0536EC7D" w14:textId="47218ED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84.5</w:t>
            </w:r>
          </w:p>
        </w:tc>
        <w:tc>
          <w:tcPr>
            <w:tcW w:w="703" w:type="dxa"/>
            <w:tcBorders>
              <w:top w:val="nil"/>
              <w:left w:val="nil"/>
              <w:bottom w:val="single" w:sz="8" w:space="0" w:color="auto"/>
              <w:right w:val="single" w:sz="8" w:space="0" w:color="auto"/>
            </w:tcBorders>
            <w:vAlign w:val="center"/>
            <w:hideMark/>
          </w:tcPr>
          <w:p w14:paraId="271B2E56" w14:textId="6D71A06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33.2</w:t>
            </w:r>
          </w:p>
        </w:tc>
        <w:tc>
          <w:tcPr>
            <w:tcW w:w="703" w:type="dxa"/>
            <w:tcBorders>
              <w:top w:val="nil"/>
              <w:left w:val="nil"/>
              <w:bottom w:val="single" w:sz="8" w:space="0" w:color="auto"/>
              <w:right w:val="single" w:sz="8" w:space="0" w:color="auto"/>
            </w:tcBorders>
            <w:vAlign w:val="center"/>
            <w:hideMark/>
          </w:tcPr>
          <w:p w14:paraId="58CD5230" w14:textId="3B226DA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56.9</w:t>
            </w:r>
          </w:p>
        </w:tc>
        <w:tc>
          <w:tcPr>
            <w:tcW w:w="634" w:type="dxa"/>
            <w:tcBorders>
              <w:top w:val="nil"/>
              <w:left w:val="nil"/>
              <w:bottom w:val="single" w:sz="8" w:space="0" w:color="auto"/>
              <w:right w:val="single" w:sz="8" w:space="0" w:color="auto"/>
            </w:tcBorders>
            <w:vAlign w:val="center"/>
            <w:hideMark/>
          </w:tcPr>
          <w:p w14:paraId="57D6D713" w14:textId="32D54D0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68.4</w:t>
            </w:r>
          </w:p>
        </w:tc>
        <w:tc>
          <w:tcPr>
            <w:tcW w:w="772" w:type="dxa"/>
            <w:tcBorders>
              <w:top w:val="nil"/>
              <w:left w:val="nil"/>
              <w:bottom w:val="single" w:sz="8" w:space="0" w:color="auto"/>
              <w:right w:val="single" w:sz="8" w:space="0" w:color="auto"/>
            </w:tcBorders>
            <w:vAlign w:val="center"/>
            <w:hideMark/>
          </w:tcPr>
          <w:p w14:paraId="6805D35C" w14:textId="3BF7CEB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73.7</w:t>
            </w:r>
          </w:p>
        </w:tc>
        <w:tc>
          <w:tcPr>
            <w:tcW w:w="703" w:type="dxa"/>
            <w:tcBorders>
              <w:top w:val="nil"/>
              <w:left w:val="nil"/>
              <w:bottom w:val="single" w:sz="8" w:space="0" w:color="auto"/>
              <w:right w:val="single" w:sz="8" w:space="0" w:color="auto"/>
            </w:tcBorders>
            <w:vAlign w:val="center"/>
            <w:hideMark/>
          </w:tcPr>
          <w:p w14:paraId="428A59FF" w14:textId="2CC23AE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c>
          <w:tcPr>
            <w:tcW w:w="703" w:type="dxa"/>
            <w:tcBorders>
              <w:top w:val="nil"/>
              <w:left w:val="nil"/>
              <w:bottom w:val="single" w:sz="8" w:space="0" w:color="auto"/>
              <w:right w:val="single" w:sz="8" w:space="0" w:color="auto"/>
            </w:tcBorders>
            <w:vAlign w:val="center"/>
            <w:hideMark/>
          </w:tcPr>
          <w:p w14:paraId="50AB62DA" w14:textId="325A12B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77.7</w:t>
            </w:r>
          </w:p>
        </w:tc>
        <w:tc>
          <w:tcPr>
            <w:tcW w:w="703" w:type="dxa"/>
            <w:tcBorders>
              <w:top w:val="nil"/>
              <w:left w:val="nil"/>
              <w:bottom w:val="single" w:sz="8" w:space="0" w:color="auto"/>
              <w:right w:val="single" w:sz="8" w:space="0" w:color="auto"/>
            </w:tcBorders>
            <w:vAlign w:val="center"/>
            <w:hideMark/>
          </w:tcPr>
          <w:p w14:paraId="59FC2F84" w14:textId="448C16A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57.9</w:t>
            </w:r>
          </w:p>
        </w:tc>
        <w:tc>
          <w:tcPr>
            <w:tcW w:w="703" w:type="dxa"/>
            <w:tcBorders>
              <w:top w:val="nil"/>
              <w:left w:val="nil"/>
              <w:bottom w:val="single" w:sz="8" w:space="0" w:color="auto"/>
              <w:right w:val="single" w:sz="8" w:space="0" w:color="auto"/>
            </w:tcBorders>
            <w:vAlign w:val="center"/>
            <w:hideMark/>
          </w:tcPr>
          <w:p w14:paraId="3AB7D17E" w14:textId="4D4DABE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68.6</w:t>
            </w:r>
          </w:p>
        </w:tc>
        <w:tc>
          <w:tcPr>
            <w:tcW w:w="703" w:type="dxa"/>
            <w:tcBorders>
              <w:top w:val="nil"/>
              <w:left w:val="nil"/>
              <w:bottom w:val="single" w:sz="8" w:space="0" w:color="auto"/>
              <w:right w:val="single" w:sz="8" w:space="0" w:color="auto"/>
            </w:tcBorders>
            <w:vAlign w:val="center"/>
            <w:hideMark/>
          </w:tcPr>
          <w:p w14:paraId="38EC8FE3" w14:textId="37C9AA3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67.</w:t>
            </w:r>
            <w:r w:rsidR="00821227" w:rsidRPr="00217865">
              <w:rPr>
                <w:rFonts w:cs="Arial"/>
                <w:color w:val="000000" w:themeColor="text1"/>
                <w:sz w:val="18"/>
              </w:rPr>
              <w:t>7</w:t>
            </w:r>
          </w:p>
        </w:tc>
        <w:tc>
          <w:tcPr>
            <w:tcW w:w="703" w:type="dxa"/>
            <w:tcBorders>
              <w:top w:val="nil"/>
              <w:left w:val="nil"/>
              <w:bottom w:val="single" w:sz="8" w:space="0" w:color="auto"/>
              <w:right w:val="single" w:sz="8" w:space="0" w:color="auto"/>
            </w:tcBorders>
            <w:vAlign w:val="center"/>
            <w:hideMark/>
          </w:tcPr>
          <w:p w14:paraId="6658CB62" w14:textId="4E9306B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66.7</w:t>
            </w:r>
          </w:p>
        </w:tc>
        <w:tc>
          <w:tcPr>
            <w:tcW w:w="703" w:type="dxa"/>
            <w:tcBorders>
              <w:top w:val="nil"/>
              <w:left w:val="nil"/>
              <w:bottom w:val="single" w:sz="8" w:space="0" w:color="auto"/>
              <w:right w:val="single" w:sz="8" w:space="0" w:color="auto"/>
            </w:tcBorders>
            <w:vAlign w:val="center"/>
            <w:hideMark/>
          </w:tcPr>
          <w:p w14:paraId="777F5939" w14:textId="7976AB4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78.7</w:t>
            </w:r>
          </w:p>
        </w:tc>
        <w:tc>
          <w:tcPr>
            <w:tcW w:w="703" w:type="dxa"/>
            <w:tcBorders>
              <w:top w:val="nil"/>
              <w:left w:val="nil"/>
              <w:bottom w:val="single" w:sz="8" w:space="0" w:color="auto"/>
              <w:right w:val="single" w:sz="8" w:space="0" w:color="auto"/>
            </w:tcBorders>
            <w:vAlign w:val="center"/>
            <w:hideMark/>
          </w:tcPr>
          <w:p w14:paraId="6B8ECBC0" w14:textId="589566C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w:t>
            </w:r>
            <w:r w:rsidR="00821227" w:rsidRPr="00217865">
              <w:rPr>
                <w:rFonts w:cs="Arial"/>
                <w:color w:val="000000" w:themeColor="text1"/>
                <w:sz w:val="18"/>
              </w:rPr>
              <w:t>6</w:t>
            </w:r>
          </w:p>
        </w:tc>
        <w:tc>
          <w:tcPr>
            <w:tcW w:w="703" w:type="dxa"/>
            <w:tcBorders>
              <w:top w:val="nil"/>
              <w:left w:val="nil"/>
              <w:bottom w:val="single" w:sz="8" w:space="0" w:color="auto"/>
              <w:right w:val="single" w:sz="8" w:space="0" w:color="auto"/>
            </w:tcBorders>
            <w:vAlign w:val="center"/>
            <w:hideMark/>
          </w:tcPr>
          <w:p w14:paraId="602B8241" w14:textId="7694018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60.1</w:t>
            </w:r>
          </w:p>
        </w:tc>
        <w:tc>
          <w:tcPr>
            <w:tcW w:w="703" w:type="dxa"/>
            <w:tcBorders>
              <w:top w:val="nil"/>
              <w:left w:val="nil"/>
              <w:bottom w:val="single" w:sz="8" w:space="0" w:color="auto"/>
              <w:right w:val="single" w:sz="8" w:space="0" w:color="auto"/>
            </w:tcBorders>
            <w:vAlign w:val="center"/>
            <w:hideMark/>
          </w:tcPr>
          <w:p w14:paraId="0030DB0C" w14:textId="270ABAA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w:t>
            </w:r>
            <w:r w:rsidR="00821227" w:rsidRPr="00217865">
              <w:rPr>
                <w:rFonts w:cs="Arial"/>
                <w:color w:val="000000" w:themeColor="text1"/>
                <w:sz w:val="18"/>
              </w:rPr>
              <w:t>3</w:t>
            </w:r>
          </w:p>
        </w:tc>
        <w:tc>
          <w:tcPr>
            <w:tcW w:w="703" w:type="dxa"/>
            <w:tcBorders>
              <w:top w:val="nil"/>
              <w:left w:val="nil"/>
              <w:bottom w:val="single" w:sz="8" w:space="0" w:color="auto"/>
              <w:right w:val="single" w:sz="8" w:space="0" w:color="auto"/>
            </w:tcBorders>
            <w:vAlign w:val="center"/>
            <w:hideMark/>
          </w:tcPr>
          <w:p w14:paraId="6D501042" w14:textId="61A8992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74.0</w:t>
            </w:r>
          </w:p>
        </w:tc>
      </w:tr>
      <w:tr w:rsidR="00217865" w:rsidRPr="00217865" w14:paraId="292C9FA1"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33881B48" w14:textId="1C073A64"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Science and mathematics</w:t>
            </w:r>
          </w:p>
        </w:tc>
        <w:tc>
          <w:tcPr>
            <w:tcW w:w="703" w:type="dxa"/>
            <w:tcBorders>
              <w:top w:val="nil"/>
              <w:left w:val="single" w:sz="8" w:space="0" w:color="auto"/>
              <w:bottom w:val="single" w:sz="8" w:space="0" w:color="auto"/>
              <w:right w:val="single" w:sz="8" w:space="0" w:color="auto"/>
            </w:tcBorders>
            <w:vAlign w:val="center"/>
            <w:hideMark/>
          </w:tcPr>
          <w:p w14:paraId="078B70AD" w14:textId="5C57D90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74.4</w:t>
            </w:r>
          </w:p>
        </w:tc>
        <w:tc>
          <w:tcPr>
            <w:tcW w:w="703" w:type="dxa"/>
            <w:tcBorders>
              <w:top w:val="nil"/>
              <w:left w:val="nil"/>
              <w:bottom w:val="single" w:sz="8" w:space="0" w:color="auto"/>
              <w:right w:val="single" w:sz="8" w:space="0" w:color="auto"/>
            </w:tcBorders>
            <w:vAlign w:val="center"/>
            <w:hideMark/>
          </w:tcPr>
          <w:p w14:paraId="0B6E5652" w14:textId="312DE56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80.7</w:t>
            </w:r>
          </w:p>
        </w:tc>
        <w:tc>
          <w:tcPr>
            <w:tcW w:w="703" w:type="dxa"/>
            <w:tcBorders>
              <w:top w:val="nil"/>
              <w:left w:val="nil"/>
              <w:bottom w:val="single" w:sz="8" w:space="0" w:color="auto"/>
              <w:right w:val="single" w:sz="8" w:space="0" w:color="auto"/>
            </w:tcBorders>
            <w:vAlign w:val="center"/>
            <w:hideMark/>
          </w:tcPr>
          <w:p w14:paraId="22F2477B" w14:textId="48C707B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80.2</w:t>
            </w:r>
          </w:p>
        </w:tc>
        <w:tc>
          <w:tcPr>
            <w:tcW w:w="703" w:type="dxa"/>
            <w:tcBorders>
              <w:top w:val="nil"/>
              <w:left w:val="nil"/>
              <w:bottom w:val="single" w:sz="8" w:space="0" w:color="auto"/>
              <w:right w:val="single" w:sz="8" w:space="0" w:color="auto"/>
            </w:tcBorders>
            <w:vAlign w:val="center"/>
            <w:hideMark/>
          </w:tcPr>
          <w:p w14:paraId="43ACFC4C" w14:textId="1680137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39.3</w:t>
            </w:r>
          </w:p>
        </w:tc>
        <w:tc>
          <w:tcPr>
            <w:tcW w:w="703" w:type="dxa"/>
            <w:tcBorders>
              <w:top w:val="nil"/>
              <w:left w:val="nil"/>
              <w:bottom w:val="single" w:sz="8" w:space="0" w:color="auto"/>
              <w:right w:val="single" w:sz="8" w:space="0" w:color="auto"/>
            </w:tcBorders>
            <w:vAlign w:val="center"/>
            <w:hideMark/>
          </w:tcPr>
          <w:p w14:paraId="5E57B571" w14:textId="4A78364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57.3</w:t>
            </w:r>
          </w:p>
        </w:tc>
        <w:tc>
          <w:tcPr>
            <w:tcW w:w="634" w:type="dxa"/>
            <w:tcBorders>
              <w:top w:val="nil"/>
              <w:left w:val="nil"/>
              <w:bottom w:val="single" w:sz="8" w:space="0" w:color="auto"/>
              <w:right w:val="single" w:sz="8" w:space="0" w:color="auto"/>
            </w:tcBorders>
            <w:vAlign w:val="center"/>
            <w:hideMark/>
          </w:tcPr>
          <w:p w14:paraId="65D894FA" w14:textId="00C6ADB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63.5</w:t>
            </w:r>
          </w:p>
        </w:tc>
        <w:tc>
          <w:tcPr>
            <w:tcW w:w="772" w:type="dxa"/>
            <w:tcBorders>
              <w:top w:val="nil"/>
              <w:left w:val="nil"/>
              <w:bottom w:val="single" w:sz="8" w:space="0" w:color="auto"/>
              <w:right w:val="single" w:sz="8" w:space="0" w:color="auto"/>
            </w:tcBorders>
            <w:vAlign w:val="center"/>
            <w:hideMark/>
          </w:tcPr>
          <w:p w14:paraId="40D82E5C" w14:textId="6103053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75.9</w:t>
            </w:r>
          </w:p>
        </w:tc>
        <w:tc>
          <w:tcPr>
            <w:tcW w:w="703" w:type="dxa"/>
            <w:tcBorders>
              <w:top w:val="nil"/>
              <w:left w:val="nil"/>
              <w:bottom w:val="single" w:sz="8" w:space="0" w:color="auto"/>
              <w:right w:val="single" w:sz="8" w:space="0" w:color="auto"/>
            </w:tcBorders>
            <w:vAlign w:val="center"/>
            <w:hideMark/>
          </w:tcPr>
          <w:p w14:paraId="40775CB5" w14:textId="4BED0B7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80.5</w:t>
            </w:r>
          </w:p>
        </w:tc>
        <w:tc>
          <w:tcPr>
            <w:tcW w:w="703" w:type="dxa"/>
            <w:tcBorders>
              <w:top w:val="nil"/>
              <w:left w:val="nil"/>
              <w:bottom w:val="single" w:sz="8" w:space="0" w:color="auto"/>
              <w:right w:val="single" w:sz="8" w:space="0" w:color="auto"/>
            </w:tcBorders>
            <w:vAlign w:val="center"/>
            <w:hideMark/>
          </w:tcPr>
          <w:p w14:paraId="3E2C6B10" w14:textId="5FDDC7C5"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82.1</w:t>
            </w:r>
          </w:p>
        </w:tc>
        <w:tc>
          <w:tcPr>
            <w:tcW w:w="703" w:type="dxa"/>
            <w:tcBorders>
              <w:top w:val="nil"/>
              <w:left w:val="nil"/>
              <w:bottom w:val="single" w:sz="8" w:space="0" w:color="auto"/>
              <w:right w:val="single" w:sz="8" w:space="0" w:color="auto"/>
            </w:tcBorders>
            <w:vAlign w:val="center"/>
            <w:hideMark/>
          </w:tcPr>
          <w:p w14:paraId="49142073" w14:textId="5A45ADD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66.9</w:t>
            </w:r>
          </w:p>
        </w:tc>
        <w:tc>
          <w:tcPr>
            <w:tcW w:w="703" w:type="dxa"/>
            <w:tcBorders>
              <w:top w:val="nil"/>
              <w:left w:val="nil"/>
              <w:bottom w:val="single" w:sz="8" w:space="0" w:color="auto"/>
              <w:right w:val="single" w:sz="8" w:space="0" w:color="auto"/>
            </w:tcBorders>
            <w:vAlign w:val="center"/>
            <w:hideMark/>
          </w:tcPr>
          <w:p w14:paraId="242DBB3D" w14:textId="3E2B638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72.4</w:t>
            </w:r>
          </w:p>
        </w:tc>
        <w:tc>
          <w:tcPr>
            <w:tcW w:w="703" w:type="dxa"/>
            <w:tcBorders>
              <w:top w:val="nil"/>
              <w:left w:val="nil"/>
              <w:bottom w:val="single" w:sz="8" w:space="0" w:color="auto"/>
              <w:right w:val="single" w:sz="8" w:space="0" w:color="auto"/>
            </w:tcBorders>
            <w:vAlign w:val="center"/>
            <w:hideMark/>
          </w:tcPr>
          <w:p w14:paraId="0974D660" w14:textId="2195278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75.8</w:t>
            </w:r>
          </w:p>
        </w:tc>
        <w:tc>
          <w:tcPr>
            <w:tcW w:w="703" w:type="dxa"/>
            <w:tcBorders>
              <w:top w:val="nil"/>
              <w:left w:val="nil"/>
              <w:bottom w:val="single" w:sz="8" w:space="0" w:color="auto"/>
              <w:right w:val="single" w:sz="8" w:space="0" w:color="auto"/>
            </w:tcBorders>
            <w:vAlign w:val="center"/>
            <w:hideMark/>
          </w:tcPr>
          <w:p w14:paraId="6250D1BA" w14:textId="721938F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74.8</w:t>
            </w:r>
          </w:p>
        </w:tc>
        <w:tc>
          <w:tcPr>
            <w:tcW w:w="703" w:type="dxa"/>
            <w:tcBorders>
              <w:top w:val="nil"/>
              <w:left w:val="nil"/>
              <w:bottom w:val="single" w:sz="8" w:space="0" w:color="auto"/>
              <w:right w:val="single" w:sz="8" w:space="0" w:color="auto"/>
            </w:tcBorders>
            <w:vAlign w:val="center"/>
            <w:hideMark/>
          </w:tcPr>
          <w:p w14:paraId="518AB6E5" w14:textId="4CAAF89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87.8</w:t>
            </w:r>
          </w:p>
        </w:tc>
        <w:tc>
          <w:tcPr>
            <w:tcW w:w="703" w:type="dxa"/>
            <w:tcBorders>
              <w:top w:val="nil"/>
              <w:left w:val="nil"/>
              <w:bottom w:val="single" w:sz="8" w:space="0" w:color="auto"/>
              <w:right w:val="single" w:sz="8" w:space="0" w:color="auto"/>
            </w:tcBorders>
            <w:vAlign w:val="center"/>
            <w:hideMark/>
          </w:tcPr>
          <w:p w14:paraId="51973F5D" w14:textId="560F1D0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89.5</w:t>
            </w:r>
          </w:p>
        </w:tc>
        <w:tc>
          <w:tcPr>
            <w:tcW w:w="703" w:type="dxa"/>
            <w:tcBorders>
              <w:top w:val="nil"/>
              <w:left w:val="nil"/>
              <w:bottom w:val="single" w:sz="8" w:space="0" w:color="auto"/>
              <w:right w:val="single" w:sz="8" w:space="0" w:color="auto"/>
            </w:tcBorders>
            <w:vAlign w:val="center"/>
            <w:hideMark/>
          </w:tcPr>
          <w:p w14:paraId="3266BA43" w14:textId="1CDA936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64.4</w:t>
            </w:r>
          </w:p>
        </w:tc>
        <w:tc>
          <w:tcPr>
            <w:tcW w:w="703" w:type="dxa"/>
            <w:tcBorders>
              <w:top w:val="nil"/>
              <w:left w:val="nil"/>
              <w:bottom w:val="single" w:sz="8" w:space="0" w:color="auto"/>
              <w:right w:val="single" w:sz="8" w:space="0" w:color="auto"/>
            </w:tcBorders>
            <w:vAlign w:val="center"/>
            <w:hideMark/>
          </w:tcPr>
          <w:p w14:paraId="2A047043" w14:textId="0854BC4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73.6</w:t>
            </w:r>
          </w:p>
        </w:tc>
        <w:tc>
          <w:tcPr>
            <w:tcW w:w="703" w:type="dxa"/>
            <w:tcBorders>
              <w:top w:val="nil"/>
              <w:left w:val="nil"/>
              <w:bottom w:val="single" w:sz="8" w:space="0" w:color="auto"/>
              <w:right w:val="single" w:sz="8" w:space="0" w:color="auto"/>
            </w:tcBorders>
            <w:vAlign w:val="center"/>
            <w:hideMark/>
          </w:tcPr>
          <w:p w14:paraId="07537E9A" w14:textId="35C84AB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74.2</w:t>
            </w:r>
          </w:p>
        </w:tc>
      </w:tr>
      <w:tr w:rsidR="00217865" w:rsidRPr="00217865" w14:paraId="447664A2"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2FF4BA7B" w14:textId="5FE7DEB1"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Social work</w:t>
            </w:r>
          </w:p>
        </w:tc>
        <w:tc>
          <w:tcPr>
            <w:tcW w:w="703" w:type="dxa"/>
            <w:tcBorders>
              <w:top w:val="nil"/>
              <w:left w:val="single" w:sz="8" w:space="0" w:color="auto"/>
              <w:bottom w:val="single" w:sz="8" w:space="0" w:color="auto"/>
              <w:right w:val="single" w:sz="8" w:space="0" w:color="auto"/>
            </w:tcBorders>
            <w:vAlign w:val="center"/>
            <w:hideMark/>
          </w:tcPr>
          <w:p w14:paraId="5AA2D61A" w14:textId="5D5728A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88.8</w:t>
            </w:r>
          </w:p>
        </w:tc>
        <w:tc>
          <w:tcPr>
            <w:tcW w:w="703" w:type="dxa"/>
            <w:tcBorders>
              <w:top w:val="nil"/>
              <w:left w:val="nil"/>
              <w:bottom w:val="single" w:sz="8" w:space="0" w:color="auto"/>
              <w:right w:val="single" w:sz="8" w:space="0" w:color="auto"/>
            </w:tcBorders>
            <w:vAlign w:val="center"/>
            <w:hideMark/>
          </w:tcPr>
          <w:p w14:paraId="33FC7FFC" w14:textId="73C0892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90.0</w:t>
            </w:r>
          </w:p>
        </w:tc>
        <w:tc>
          <w:tcPr>
            <w:tcW w:w="703" w:type="dxa"/>
            <w:tcBorders>
              <w:top w:val="nil"/>
              <w:left w:val="nil"/>
              <w:bottom w:val="single" w:sz="8" w:space="0" w:color="auto"/>
              <w:right w:val="single" w:sz="8" w:space="0" w:color="auto"/>
            </w:tcBorders>
            <w:vAlign w:val="center"/>
            <w:hideMark/>
          </w:tcPr>
          <w:p w14:paraId="78C6A688" w14:textId="3C59A2B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90.8</w:t>
            </w:r>
          </w:p>
        </w:tc>
        <w:tc>
          <w:tcPr>
            <w:tcW w:w="703" w:type="dxa"/>
            <w:tcBorders>
              <w:top w:val="nil"/>
              <w:left w:val="nil"/>
              <w:bottom w:val="single" w:sz="8" w:space="0" w:color="auto"/>
              <w:right w:val="single" w:sz="8" w:space="0" w:color="auto"/>
            </w:tcBorders>
            <w:vAlign w:val="center"/>
            <w:hideMark/>
          </w:tcPr>
          <w:p w14:paraId="77EFB440" w14:textId="55C4E7E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66.0</w:t>
            </w:r>
          </w:p>
        </w:tc>
        <w:tc>
          <w:tcPr>
            <w:tcW w:w="703" w:type="dxa"/>
            <w:tcBorders>
              <w:top w:val="nil"/>
              <w:left w:val="nil"/>
              <w:bottom w:val="single" w:sz="8" w:space="0" w:color="auto"/>
              <w:right w:val="single" w:sz="8" w:space="0" w:color="auto"/>
            </w:tcBorders>
            <w:vAlign w:val="center"/>
            <w:hideMark/>
          </w:tcPr>
          <w:p w14:paraId="41E2FD67" w14:textId="7E0262E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70.4</w:t>
            </w:r>
          </w:p>
        </w:tc>
        <w:tc>
          <w:tcPr>
            <w:tcW w:w="634" w:type="dxa"/>
            <w:tcBorders>
              <w:top w:val="nil"/>
              <w:left w:val="nil"/>
              <w:bottom w:val="single" w:sz="8" w:space="0" w:color="auto"/>
              <w:right w:val="single" w:sz="8" w:space="0" w:color="auto"/>
            </w:tcBorders>
            <w:vAlign w:val="center"/>
            <w:hideMark/>
          </w:tcPr>
          <w:p w14:paraId="3C201F87" w14:textId="3C9A63F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772" w:type="dxa"/>
            <w:tcBorders>
              <w:top w:val="nil"/>
              <w:left w:val="nil"/>
              <w:bottom w:val="single" w:sz="8" w:space="0" w:color="auto"/>
              <w:right w:val="single" w:sz="8" w:space="0" w:color="auto"/>
            </w:tcBorders>
            <w:vAlign w:val="center"/>
            <w:hideMark/>
          </w:tcPr>
          <w:p w14:paraId="37663FFB" w14:textId="09FA897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85.1</w:t>
            </w:r>
          </w:p>
        </w:tc>
        <w:tc>
          <w:tcPr>
            <w:tcW w:w="703" w:type="dxa"/>
            <w:tcBorders>
              <w:top w:val="nil"/>
              <w:left w:val="nil"/>
              <w:bottom w:val="single" w:sz="8" w:space="0" w:color="auto"/>
              <w:right w:val="single" w:sz="8" w:space="0" w:color="auto"/>
            </w:tcBorders>
            <w:vAlign w:val="center"/>
            <w:hideMark/>
          </w:tcPr>
          <w:p w14:paraId="68B15407" w14:textId="6B77BE8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85.3</w:t>
            </w:r>
          </w:p>
        </w:tc>
        <w:tc>
          <w:tcPr>
            <w:tcW w:w="703" w:type="dxa"/>
            <w:tcBorders>
              <w:top w:val="nil"/>
              <w:left w:val="nil"/>
              <w:bottom w:val="single" w:sz="8" w:space="0" w:color="auto"/>
              <w:right w:val="single" w:sz="8" w:space="0" w:color="auto"/>
            </w:tcBorders>
            <w:vAlign w:val="center"/>
            <w:hideMark/>
          </w:tcPr>
          <w:p w14:paraId="75F17432" w14:textId="6BD4C19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87.0</w:t>
            </w:r>
          </w:p>
        </w:tc>
        <w:tc>
          <w:tcPr>
            <w:tcW w:w="703" w:type="dxa"/>
            <w:tcBorders>
              <w:top w:val="nil"/>
              <w:left w:val="nil"/>
              <w:bottom w:val="single" w:sz="8" w:space="0" w:color="auto"/>
              <w:right w:val="single" w:sz="8" w:space="0" w:color="auto"/>
            </w:tcBorders>
            <w:vAlign w:val="center"/>
            <w:hideMark/>
          </w:tcPr>
          <w:p w14:paraId="4B039255" w14:textId="5C12BC0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c>
          <w:tcPr>
            <w:tcW w:w="703" w:type="dxa"/>
            <w:tcBorders>
              <w:top w:val="nil"/>
              <w:left w:val="nil"/>
              <w:bottom w:val="single" w:sz="8" w:space="0" w:color="auto"/>
              <w:right w:val="single" w:sz="8" w:space="0" w:color="auto"/>
            </w:tcBorders>
            <w:vAlign w:val="center"/>
            <w:hideMark/>
          </w:tcPr>
          <w:p w14:paraId="63119D92" w14:textId="55C3549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78.9</w:t>
            </w:r>
          </w:p>
        </w:tc>
        <w:tc>
          <w:tcPr>
            <w:tcW w:w="703" w:type="dxa"/>
            <w:tcBorders>
              <w:top w:val="nil"/>
              <w:left w:val="nil"/>
              <w:bottom w:val="single" w:sz="8" w:space="0" w:color="auto"/>
              <w:right w:val="single" w:sz="8" w:space="0" w:color="auto"/>
            </w:tcBorders>
            <w:vAlign w:val="center"/>
            <w:hideMark/>
          </w:tcPr>
          <w:p w14:paraId="35D6C9F3" w14:textId="41912A1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78.7</w:t>
            </w:r>
          </w:p>
        </w:tc>
        <w:tc>
          <w:tcPr>
            <w:tcW w:w="703" w:type="dxa"/>
            <w:tcBorders>
              <w:top w:val="nil"/>
              <w:left w:val="nil"/>
              <w:bottom w:val="single" w:sz="8" w:space="0" w:color="auto"/>
              <w:right w:val="single" w:sz="8" w:space="0" w:color="auto"/>
            </w:tcBorders>
            <w:vAlign w:val="center"/>
            <w:hideMark/>
          </w:tcPr>
          <w:p w14:paraId="0C0E35F0" w14:textId="7908197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70.3</w:t>
            </w:r>
          </w:p>
        </w:tc>
        <w:tc>
          <w:tcPr>
            <w:tcW w:w="703" w:type="dxa"/>
            <w:tcBorders>
              <w:top w:val="nil"/>
              <w:left w:val="nil"/>
              <w:bottom w:val="single" w:sz="8" w:space="0" w:color="auto"/>
              <w:right w:val="single" w:sz="8" w:space="0" w:color="auto"/>
            </w:tcBorders>
            <w:vAlign w:val="center"/>
            <w:hideMark/>
          </w:tcPr>
          <w:p w14:paraId="1837F6AE" w14:textId="46C56F5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76.3</w:t>
            </w:r>
          </w:p>
        </w:tc>
        <w:tc>
          <w:tcPr>
            <w:tcW w:w="703" w:type="dxa"/>
            <w:tcBorders>
              <w:top w:val="nil"/>
              <w:left w:val="nil"/>
              <w:bottom w:val="single" w:sz="8" w:space="0" w:color="auto"/>
              <w:right w:val="single" w:sz="8" w:space="0" w:color="auto"/>
            </w:tcBorders>
            <w:vAlign w:val="center"/>
            <w:hideMark/>
          </w:tcPr>
          <w:p w14:paraId="35FF376B" w14:textId="1F4CAA7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72.6</w:t>
            </w:r>
          </w:p>
        </w:tc>
        <w:tc>
          <w:tcPr>
            <w:tcW w:w="703" w:type="dxa"/>
            <w:tcBorders>
              <w:top w:val="nil"/>
              <w:left w:val="nil"/>
              <w:bottom w:val="single" w:sz="8" w:space="0" w:color="auto"/>
              <w:right w:val="single" w:sz="8" w:space="0" w:color="auto"/>
            </w:tcBorders>
            <w:vAlign w:val="center"/>
            <w:hideMark/>
          </w:tcPr>
          <w:p w14:paraId="1AFDE548" w14:textId="5B34F6A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74.7</w:t>
            </w:r>
          </w:p>
        </w:tc>
        <w:tc>
          <w:tcPr>
            <w:tcW w:w="703" w:type="dxa"/>
            <w:tcBorders>
              <w:top w:val="nil"/>
              <w:left w:val="nil"/>
              <w:bottom w:val="single" w:sz="8" w:space="0" w:color="auto"/>
              <w:right w:val="single" w:sz="8" w:space="0" w:color="auto"/>
            </w:tcBorders>
            <w:vAlign w:val="center"/>
            <w:hideMark/>
          </w:tcPr>
          <w:p w14:paraId="1951B3BB" w14:textId="19E7CAA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703" w:type="dxa"/>
            <w:tcBorders>
              <w:top w:val="nil"/>
              <w:left w:val="nil"/>
              <w:bottom w:val="single" w:sz="8" w:space="0" w:color="auto"/>
              <w:right w:val="single" w:sz="8" w:space="0" w:color="auto"/>
            </w:tcBorders>
            <w:vAlign w:val="center"/>
            <w:hideMark/>
          </w:tcPr>
          <w:p w14:paraId="6E68C5BA" w14:textId="6C55210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78.6</w:t>
            </w:r>
          </w:p>
        </w:tc>
      </w:tr>
      <w:tr w:rsidR="00217865" w:rsidRPr="00217865" w14:paraId="27048065"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0CFF82A1" w14:textId="18E21A7D"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Teacher education</w:t>
            </w:r>
          </w:p>
        </w:tc>
        <w:tc>
          <w:tcPr>
            <w:tcW w:w="703" w:type="dxa"/>
            <w:tcBorders>
              <w:top w:val="nil"/>
              <w:left w:val="single" w:sz="8" w:space="0" w:color="auto"/>
              <w:bottom w:val="single" w:sz="8" w:space="0" w:color="auto"/>
              <w:right w:val="single" w:sz="8" w:space="0" w:color="auto"/>
            </w:tcBorders>
            <w:vAlign w:val="center"/>
            <w:hideMark/>
          </w:tcPr>
          <w:p w14:paraId="414323EB" w14:textId="351EDF6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83.9</w:t>
            </w:r>
          </w:p>
        </w:tc>
        <w:tc>
          <w:tcPr>
            <w:tcW w:w="703" w:type="dxa"/>
            <w:tcBorders>
              <w:top w:val="nil"/>
              <w:left w:val="nil"/>
              <w:bottom w:val="single" w:sz="8" w:space="0" w:color="auto"/>
              <w:right w:val="single" w:sz="8" w:space="0" w:color="auto"/>
            </w:tcBorders>
            <w:vAlign w:val="center"/>
            <w:hideMark/>
          </w:tcPr>
          <w:p w14:paraId="47C5C882" w14:textId="7C6CB8B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83.6</w:t>
            </w:r>
          </w:p>
        </w:tc>
        <w:tc>
          <w:tcPr>
            <w:tcW w:w="703" w:type="dxa"/>
            <w:tcBorders>
              <w:top w:val="nil"/>
              <w:left w:val="nil"/>
              <w:bottom w:val="single" w:sz="8" w:space="0" w:color="auto"/>
              <w:right w:val="single" w:sz="8" w:space="0" w:color="auto"/>
            </w:tcBorders>
            <w:vAlign w:val="center"/>
            <w:hideMark/>
          </w:tcPr>
          <w:p w14:paraId="09AA10C6" w14:textId="71F7704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88.2</w:t>
            </w:r>
          </w:p>
        </w:tc>
        <w:tc>
          <w:tcPr>
            <w:tcW w:w="703" w:type="dxa"/>
            <w:tcBorders>
              <w:top w:val="nil"/>
              <w:left w:val="nil"/>
              <w:bottom w:val="single" w:sz="8" w:space="0" w:color="auto"/>
              <w:right w:val="single" w:sz="8" w:space="0" w:color="auto"/>
            </w:tcBorders>
            <w:vAlign w:val="center"/>
            <w:hideMark/>
          </w:tcPr>
          <w:p w14:paraId="5C5244D5" w14:textId="3C9BB40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57.2</w:t>
            </w:r>
          </w:p>
        </w:tc>
        <w:tc>
          <w:tcPr>
            <w:tcW w:w="703" w:type="dxa"/>
            <w:tcBorders>
              <w:top w:val="nil"/>
              <w:left w:val="nil"/>
              <w:bottom w:val="single" w:sz="8" w:space="0" w:color="auto"/>
              <w:right w:val="single" w:sz="8" w:space="0" w:color="auto"/>
            </w:tcBorders>
            <w:vAlign w:val="center"/>
            <w:hideMark/>
          </w:tcPr>
          <w:p w14:paraId="5B279577" w14:textId="3C57499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63.6</w:t>
            </w:r>
          </w:p>
        </w:tc>
        <w:tc>
          <w:tcPr>
            <w:tcW w:w="634" w:type="dxa"/>
            <w:tcBorders>
              <w:top w:val="nil"/>
              <w:left w:val="nil"/>
              <w:bottom w:val="single" w:sz="8" w:space="0" w:color="auto"/>
              <w:right w:val="single" w:sz="8" w:space="0" w:color="auto"/>
            </w:tcBorders>
            <w:vAlign w:val="center"/>
            <w:hideMark/>
          </w:tcPr>
          <w:p w14:paraId="189DDA43" w14:textId="7BAEEAC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76.6</w:t>
            </w:r>
          </w:p>
        </w:tc>
        <w:tc>
          <w:tcPr>
            <w:tcW w:w="772" w:type="dxa"/>
            <w:tcBorders>
              <w:top w:val="nil"/>
              <w:left w:val="nil"/>
              <w:bottom w:val="single" w:sz="8" w:space="0" w:color="auto"/>
              <w:right w:val="single" w:sz="8" w:space="0" w:color="auto"/>
            </w:tcBorders>
            <w:vAlign w:val="center"/>
            <w:hideMark/>
          </w:tcPr>
          <w:p w14:paraId="7ACB029F" w14:textId="0072256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79.3</w:t>
            </w:r>
          </w:p>
        </w:tc>
        <w:tc>
          <w:tcPr>
            <w:tcW w:w="703" w:type="dxa"/>
            <w:tcBorders>
              <w:top w:val="nil"/>
              <w:left w:val="nil"/>
              <w:bottom w:val="single" w:sz="8" w:space="0" w:color="auto"/>
              <w:right w:val="single" w:sz="8" w:space="0" w:color="auto"/>
            </w:tcBorders>
            <w:vAlign w:val="center"/>
            <w:hideMark/>
          </w:tcPr>
          <w:p w14:paraId="59307623" w14:textId="3612523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78.7</w:t>
            </w:r>
          </w:p>
        </w:tc>
        <w:tc>
          <w:tcPr>
            <w:tcW w:w="703" w:type="dxa"/>
            <w:tcBorders>
              <w:top w:val="nil"/>
              <w:left w:val="nil"/>
              <w:bottom w:val="single" w:sz="8" w:space="0" w:color="auto"/>
              <w:right w:val="single" w:sz="8" w:space="0" w:color="auto"/>
            </w:tcBorders>
            <w:vAlign w:val="center"/>
            <w:hideMark/>
          </w:tcPr>
          <w:p w14:paraId="3330F79B" w14:textId="77E8C16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84.0</w:t>
            </w:r>
          </w:p>
        </w:tc>
        <w:tc>
          <w:tcPr>
            <w:tcW w:w="703" w:type="dxa"/>
            <w:tcBorders>
              <w:top w:val="nil"/>
              <w:left w:val="nil"/>
              <w:bottom w:val="single" w:sz="8" w:space="0" w:color="auto"/>
              <w:right w:val="single" w:sz="8" w:space="0" w:color="auto"/>
            </w:tcBorders>
            <w:vAlign w:val="center"/>
            <w:hideMark/>
          </w:tcPr>
          <w:p w14:paraId="7897B572" w14:textId="374F6A6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74.2</w:t>
            </w:r>
          </w:p>
        </w:tc>
        <w:tc>
          <w:tcPr>
            <w:tcW w:w="703" w:type="dxa"/>
            <w:tcBorders>
              <w:top w:val="nil"/>
              <w:left w:val="nil"/>
              <w:bottom w:val="single" w:sz="8" w:space="0" w:color="auto"/>
              <w:right w:val="single" w:sz="8" w:space="0" w:color="auto"/>
            </w:tcBorders>
            <w:vAlign w:val="center"/>
            <w:hideMark/>
          </w:tcPr>
          <w:p w14:paraId="6F18C2D5" w14:textId="7CB2967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w:t>
            </w:r>
            <w:r w:rsidR="00821227" w:rsidRPr="00217865">
              <w:rPr>
                <w:rFonts w:cs="Arial"/>
                <w:color w:val="000000" w:themeColor="text1"/>
                <w:sz w:val="18"/>
              </w:rPr>
              <w:t>6</w:t>
            </w:r>
          </w:p>
        </w:tc>
        <w:tc>
          <w:tcPr>
            <w:tcW w:w="703" w:type="dxa"/>
            <w:tcBorders>
              <w:top w:val="nil"/>
              <w:left w:val="nil"/>
              <w:bottom w:val="single" w:sz="8" w:space="0" w:color="auto"/>
              <w:right w:val="single" w:sz="8" w:space="0" w:color="auto"/>
            </w:tcBorders>
            <w:vAlign w:val="center"/>
            <w:hideMark/>
          </w:tcPr>
          <w:p w14:paraId="23F75F4A" w14:textId="6A4315E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77.2</w:t>
            </w:r>
          </w:p>
        </w:tc>
        <w:tc>
          <w:tcPr>
            <w:tcW w:w="703" w:type="dxa"/>
            <w:tcBorders>
              <w:top w:val="nil"/>
              <w:left w:val="nil"/>
              <w:bottom w:val="single" w:sz="8" w:space="0" w:color="auto"/>
              <w:right w:val="single" w:sz="8" w:space="0" w:color="auto"/>
            </w:tcBorders>
            <w:vAlign w:val="center"/>
            <w:hideMark/>
          </w:tcPr>
          <w:p w14:paraId="640F61BD" w14:textId="2AACA55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69.6</w:t>
            </w:r>
          </w:p>
        </w:tc>
        <w:tc>
          <w:tcPr>
            <w:tcW w:w="703" w:type="dxa"/>
            <w:tcBorders>
              <w:top w:val="nil"/>
              <w:left w:val="nil"/>
              <w:bottom w:val="single" w:sz="8" w:space="0" w:color="auto"/>
              <w:right w:val="single" w:sz="8" w:space="0" w:color="auto"/>
            </w:tcBorders>
            <w:vAlign w:val="center"/>
            <w:hideMark/>
          </w:tcPr>
          <w:p w14:paraId="3D2570EB" w14:textId="3C4F298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w:t>
            </w:r>
            <w:r w:rsidR="00821227" w:rsidRPr="00217865">
              <w:rPr>
                <w:rFonts w:cs="Arial"/>
                <w:color w:val="000000" w:themeColor="text1"/>
                <w:sz w:val="18"/>
              </w:rPr>
              <w:t>9</w:t>
            </w:r>
          </w:p>
        </w:tc>
        <w:tc>
          <w:tcPr>
            <w:tcW w:w="703" w:type="dxa"/>
            <w:tcBorders>
              <w:top w:val="nil"/>
              <w:left w:val="nil"/>
              <w:bottom w:val="single" w:sz="8" w:space="0" w:color="auto"/>
              <w:right w:val="single" w:sz="8" w:space="0" w:color="auto"/>
            </w:tcBorders>
            <w:vAlign w:val="center"/>
            <w:hideMark/>
          </w:tcPr>
          <w:p w14:paraId="6069B85E" w14:textId="43F9321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74.4</w:t>
            </w:r>
          </w:p>
        </w:tc>
        <w:tc>
          <w:tcPr>
            <w:tcW w:w="703" w:type="dxa"/>
            <w:tcBorders>
              <w:top w:val="nil"/>
              <w:left w:val="nil"/>
              <w:bottom w:val="single" w:sz="8" w:space="0" w:color="auto"/>
              <w:right w:val="single" w:sz="8" w:space="0" w:color="auto"/>
            </w:tcBorders>
            <w:vAlign w:val="center"/>
            <w:hideMark/>
          </w:tcPr>
          <w:p w14:paraId="52D2D58C" w14:textId="4A0303C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72.2</w:t>
            </w:r>
          </w:p>
        </w:tc>
        <w:tc>
          <w:tcPr>
            <w:tcW w:w="703" w:type="dxa"/>
            <w:tcBorders>
              <w:top w:val="nil"/>
              <w:left w:val="nil"/>
              <w:bottom w:val="single" w:sz="8" w:space="0" w:color="auto"/>
              <w:right w:val="single" w:sz="8" w:space="0" w:color="auto"/>
            </w:tcBorders>
            <w:vAlign w:val="center"/>
            <w:hideMark/>
          </w:tcPr>
          <w:p w14:paraId="7D574F2C" w14:textId="70B4D35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70.8</w:t>
            </w:r>
          </w:p>
        </w:tc>
        <w:tc>
          <w:tcPr>
            <w:tcW w:w="703" w:type="dxa"/>
            <w:tcBorders>
              <w:top w:val="nil"/>
              <w:left w:val="nil"/>
              <w:bottom w:val="single" w:sz="8" w:space="0" w:color="auto"/>
              <w:right w:val="single" w:sz="8" w:space="0" w:color="auto"/>
            </w:tcBorders>
            <w:vAlign w:val="center"/>
            <w:hideMark/>
          </w:tcPr>
          <w:p w14:paraId="198539BB" w14:textId="641BA51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78.4</w:t>
            </w:r>
          </w:p>
        </w:tc>
      </w:tr>
      <w:tr w:rsidR="00217865" w:rsidRPr="00217865" w14:paraId="5E7C4CF2"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72BE64C7" w14:textId="1399351B"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lastRenderedPageBreak/>
              <w:t>Tourism, hospitality, personal services, sport and recreation</w:t>
            </w:r>
          </w:p>
        </w:tc>
        <w:tc>
          <w:tcPr>
            <w:tcW w:w="703" w:type="dxa"/>
            <w:tcBorders>
              <w:top w:val="nil"/>
              <w:left w:val="single" w:sz="8" w:space="0" w:color="auto"/>
              <w:bottom w:val="single" w:sz="8" w:space="0" w:color="auto"/>
              <w:right w:val="single" w:sz="8" w:space="0" w:color="auto"/>
            </w:tcBorders>
            <w:vAlign w:val="center"/>
            <w:hideMark/>
          </w:tcPr>
          <w:p w14:paraId="0D2D0814" w14:textId="779706C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76.9</w:t>
            </w:r>
          </w:p>
        </w:tc>
        <w:tc>
          <w:tcPr>
            <w:tcW w:w="703" w:type="dxa"/>
            <w:tcBorders>
              <w:top w:val="nil"/>
              <w:left w:val="nil"/>
              <w:bottom w:val="single" w:sz="8" w:space="0" w:color="auto"/>
              <w:right w:val="single" w:sz="8" w:space="0" w:color="auto"/>
            </w:tcBorders>
            <w:vAlign w:val="center"/>
            <w:hideMark/>
          </w:tcPr>
          <w:p w14:paraId="139B9C65" w14:textId="77ECD6F0"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74.2</w:t>
            </w:r>
          </w:p>
        </w:tc>
        <w:tc>
          <w:tcPr>
            <w:tcW w:w="703" w:type="dxa"/>
            <w:tcBorders>
              <w:top w:val="nil"/>
              <w:left w:val="nil"/>
              <w:bottom w:val="single" w:sz="8" w:space="0" w:color="auto"/>
              <w:right w:val="single" w:sz="8" w:space="0" w:color="auto"/>
            </w:tcBorders>
            <w:vAlign w:val="center"/>
            <w:hideMark/>
          </w:tcPr>
          <w:p w14:paraId="53CB79D9" w14:textId="53FEA7C1"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85.1</w:t>
            </w:r>
          </w:p>
        </w:tc>
        <w:tc>
          <w:tcPr>
            <w:tcW w:w="703" w:type="dxa"/>
            <w:tcBorders>
              <w:top w:val="nil"/>
              <w:left w:val="nil"/>
              <w:bottom w:val="single" w:sz="8" w:space="0" w:color="auto"/>
              <w:right w:val="single" w:sz="8" w:space="0" w:color="auto"/>
            </w:tcBorders>
            <w:vAlign w:val="center"/>
            <w:hideMark/>
          </w:tcPr>
          <w:p w14:paraId="400E6BA6" w14:textId="6B76669C"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53.1</w:t>
            </w:r>
          </w:p>
        </w:tc>
        <w:tc>
          <w:tcPr>
            <w:tcW w:w="703" w:type="dxa"/>
            <w:tcBorders>
              <w:top w:val="nil"/>
              <w:left w:val="nil"/>
              <w:bottom w:val="single" w:sz="8" w:space="0" w:color="auto"/>
              <w:right w:val="single" w:sz="8" w:space="0" w:color="auto"/>
            </w:tcBorders>
            <w:vAlign w:val="center"/>
            <w:hideMark/>
          </w:tcPr>
          <w:p w14:paraId="044495C7" w14:textId="384B642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59.2</w:t>
            </w:r>
          </w:p>
        </w:tc>
        <w:tc>
          <w:tcPr>
            <w:tcW w:w="634" w:type="dxa"/>
            <w:tcBorders>
              <w:top w:val="nil"/>
              <w:left w:val="nil"/>
              <w:bottom w:val="single" w:sz="8" w:space="0" w:color="auto"/>
              <w:right w:val="single" w:sz="8" w:space="0" w:color="auto"/>
            </w:tcBorders>
            <w:vAlign w:val="center"/>
            <w:hideMark/>
          </w:tcPr>
          <w:p w14:paraId="563297EF" w14:textId="3F4E4B8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772" w:type="dxa"/>
            <w:tcBorders>
              <w:top w:val="nil"/>
              <w:left w:val="nil"/>
              <w:bottom w:val="single" w:sz="8" w:space="0" w:color="auto"/>
              <w:right w:val="single" w:sz="8" w:space="0" w:color="auto"/>
            </w:tcBorders>
            <w:vAlign w:val="center"/>
            <w:hideMark/>
          </w:tcPr>
          <w:p w14:paraId="6DFB7ED8" w14:textId="39B4D46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84.4</w:t>
            </w:r>
          </w:p>
        </w:tc>
        <w:tc>
          <w:tcPr>
            <w:tcW w:w="703" w:type="dxa"/>
            <w:tcBorders>
              <w:top w:val="nil"/>
              <w:left w:val="nil"/>
              <w:bottom w:val="single" w:sz="8" w:space="0" w:color="auto"/>
              <w:right w:val="single" w:sz="8" w:space="0" w:color="auto"/>
            </w:tcBorders>
            <w:vAlign w:val="center"/>
            <w:hideMark/>
          </w:tcPr>
          <w:p w14:paraId="643E0832" w14:textId="694498F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77.1</w:t>
            </w:r>
          </w:p>
        </w:tc>
        <w:tc>
          <w:tcPr>
            <w:tcW w:w="703" w:type="dxa"/>
            <w:tcBorders>
              <w:top w:val="nil"/>
              <w:left w:val="nil"/>
              <w:bottom w:val="single" w:sz="8" w:space="0" w:color="auto"/>
              <w:right w:val="single" w:sz="8" w:space="0" w:color="auto"/>
            </w:tcBorders>
            <w:vAlign w:val="center"/>
            <w:hideMark/>
          </w:tcPr>
          <w:p w14:paraId="3ACD5D60" w14:textId="07ADA5C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91.8</w:t>
            </w:r>
          </w:p>
        </w:tc>
        <w:tc>
          <w:tcPr>
            <w:tcW w:w="703" w:type="dxa"/>
            <w:tcBorders>
              <w:top w:val="nil"/>
              <w:left w:val="nil"/>
              <w:bottom w:val="single" w:sz="8" w:space="0" w:color="auto"/>
              <w:right w:val="single" w:sz="8" w:space="0" w:color="auto"/>
            </w:tcBorders>
            <w:vAlign w:val="center"/>
            <w:hideMark/>
          </w:tcPr>
          <w:p w14:paraId="73840556" w14:textId="2BBEBAC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83.3</w:t>
            </w:r>
          </w:p>
        </w:tc>
        <w:tc>
          <w:tcPr>
            <w:tcW w:w="703" w:type="dxa"/>
            <w:tcBorders>
              <w:top w:val="nil"/>
              <w:left w:val="nil"/>
              <w:bottom w:val="single" w:sz="8" w:space="0" w:color="auto"/>
              <w:right w:val="single" w:sz="8" w:space="0" w:color="auto"/>
            </w:tcBorders>
            <w:vAlign w:val="center"/>
            <w:hideMark/>
          </w:tcPr>
          <w:p w14:paraId="2ACDAFCD" w14:textId="4F0F860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79.</w:t>
            </w:r>
            <w:r w:rsidR="00821227" w:rsidRPr="00217865">
              <w:rPr>
                <w:rFonts w:cs="Arial"/>
                <w:color w:val="000000" w:themeColor="text1"/>
                <w:sz w:val="18"/>
              </w:rPr>
              <w:t>6</w:t>
            </w:r>
          </w:p>
        </w:tc>
        <w:tc>
          <w:tcPr>
            <w:tcW w:w="703" w:type="dxa"/>
            <w:tcBorders>
              <w:top w:val="nil"/>
              <w:left w:val="nil"/>
              <w:bottom w:val="single" w:sz="8" w:space="0" w:color="auto"/>
              <w:right w:val="single" w:sz="8" w:space="0" w:color="auto"/>
            </w:tcBorders>
            <w:vAlign w:val="center"/>
            <w:hideMark/>
          </w:tcPr>
          <w:p w14:paraId="2FDE132E" w14:textId="2195CDC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84.7</w:t>
            </w:r>
          </w:p>
        </w:tc>
        <w:tc>
          <w:tcPr>
            <w:tcW w:w="703" w:type="dxa"/>
            <w:tcBorders>
              <w:top w:val="nil"/>
              <w:left w:val="nil"/>
              <w:bottom w:val="single" w:sz="8" w:space="0" w:color="auto"/>
              <w:right w:val="single" w:sz="8" w:space="0" w:color="auto"/>
            </w:tcBorders>
            <w:vAlign w:val="center"/>
            <w:hideMark/>
          </w:tcPr>
          <w:p w14:paraId="75929F07" w14:textId="0B04223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703" w:type="dxa"/>
            <w:tcBorders>
              <w:top w:val="nil"/>
              <w:left w:val="nil"/>
              <w:bottom w:val="single" w:sz="8" w:space="0" w:color="auto"/>
              <w:right w:val="single" w:sz="8" w:space="0" w:color="auto"/>
            </w:tcBorders>
            <w:vAlign w:val="center"/>
            <w:hideMark/>
          </w:tcPr>
          <w:p w14:paraId="14EBCF26" w14:textId="38A1401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85.9</w:t>
            </w:r>
          </w:p>
        </w:tc>
        <w:tc>
          <w:tcPr>
            <w:tcW w:w="703" w:type="dxa"/>
            <w:tcBorders>
              <w:top w:val="nil"/>
              <w:left w:val="nil"/>
              <w:bottom w:val="single" w:sz="8" w:space="0" w:color="auto"/>
              <w:right w:val="single" w:sz="8" w:space="0" w:color="auto"/>
            </w:tcBorders>
            <w:vAlign w:val="center"/>
            <w:hideMark/>
          </w:tcPr>
          <w:p w14:paraId="3576A52B" w14:textId="1D23ACD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85.8</w:t>
            </w:r>
          </w:p>
        </w:tc>
        <w:tc>
          <w:tcPr>
            <w:tcW w:w="703" w:type="dxa"/>
            <w:tcBorders>
              <w:top w:val="nil"/>
              <w:left w:val="nil"/>
              <w:bottom w:val="single" w:sz="8" w:space="0" w:color="auto"/>
              <w:right w:val="single" w:sz="8" w:space="0" w:color="auto"/>
            </w:tcBorders>
            <w:vAlign w:val="center"/>
            <w:hideMark/>
          </w:tcPr>
          <w:p w14:paraId="23AB3D96" w14:textId="7CAA4D5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78.5</w:t>
            </w:r>
          </w:p>
        </w:tc>
        <w:tc>
          <w:tcPr>
            <w:tcW w:w="703" w:type="dxa"/>
            <w:tcBorders>
              <w:top w:val="nil"/>
              <w:left w:val="nil"/>
              <w:bottom w:val="single" w:sz="8" w:space="0" w:color="auto"/>
              <w:right w:val="single" w:sz="8" w:space="0" w:color="auto"/>
            </w:tcBorders>
            <w:vAlign w:val="center"/>
            <w:hideMark/>
          </w:tcPr>
          <w:p w14:paraId="7B666A99" w14:textId="2C667E1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76.5</w:t>
            </w:r>
          </w:p>
        </w:tc>
        <w:tc>
          <w:tcPr>
            <w:tcW w:w="703" w:type="dxa"/>
            <w:tcBorders>
              <w:top w:val="nil"/>
              <w:left w:val="nil"/>
              <w:bottom w:val="single" w:sz="8" w:space="0" w:color="auto"/>
              <w:right w:val="single" w:sz="8" w:space="0" w:color="auto"/>
            </w:tcBorders>
            <w:vAlign w:val="center"/>
            <w:hideMark/>
          </w:tcPr>
          <w:p w14:paraId="231457E2" w14:textId="72FF1C2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85.7</w:t>
            </w:r>
          </w:p>
        </w:tc>
      </w:tr>
      <w:tr w:rsidR="00217865" w:rsidRPr="00217865" w14:paraId="3E6D5789" w14:textId="77777777" w:rsidTr="00586F7D">
        <w:trPr>
          <w:trHeight w:val="471"/>
        </w:trPr>
        <w:tc>
          <w:tcPr>
            <w:tcW w:w="2517" w:type="dxa"/>
            <w:tcBorders>
              <w:top w:val="nil"/>
              <w:left w:val="single" w:sz="8" w:space="0" w:color="000000"/>
              <w:bottom w:val="single" w:sz="8" w:space="0" w:color="000000"/>
              <w:right w:val="nil"/>
            </w:tcBorders>
            <w:vAlign w:val="center"/>
            <w:hideMark/>
          </w:tcPr>
          <w:p w14:paraId="61A0C391" w14:textId="3FE7028B" w:rsidR="00821227" w:rsidRPr="00217865" w:rsidRDefault="0008256B" w:rsidP="007301B9">
            <w:pPr>
              <w:spacing w:before="60" w:after="60"/>
              <w:rPr>
                <w:rFonts w:eastAsia="Times New Roman" w:cs="Arial"/>
                <w:color w:val="000000" w:themeColor="text1"/>
                <w:sz w:val="18"/>
                <w:lang w:eastAsia="en-AU"/>
              </w:rPr>
            </w:pPr>
            <w:r w:rsidRPr="00217865">
              <w:rPr>
                <w:rFonts w:cs="Arial"/>
                <w:color w:val="000000" w:themeColor="text1"/>
                <w:sz w:val="18"/>
              </w:rPr>
              <w:t>Veterinary science</w:t>
            </w:r>
          </w:p>
        </w:tc>
        <w:tc>
          <w:tcPr>
            <w:tcW w:w="703" w:type="dxa"/>
            <w:tcBorders>
              <w:top w:val="nil"/>
              <w:left w:val="single" w:sz="8" w:space="0" w:color="auto"/>
              <w:bottom w:val="single" w:sz="8" w:space="0" w:color="auto"/>
              <w:right w:val="single" w:sz="8" w:space="0" w:color="auto"/>
            </w:tcBorders>
            <w:vAlign w:val="center"/>
            <w:hideMark/>
          </w:tcPr>
          <w:p w14:paraId="6F7B81D7" w14:textId="1C595F59"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703" w:type="dxa"/>
            <w:tcBorders>
              <w:top w:val="nil"/>
              <w:left w:val="nil"/>
              <w:bottom w:val="single" w:sz="8" w:space="0" w:color="auto"/>
              <w:right w:val="single" w:sz="8" w:space="0" w:color="auto"/>
            </w:tcBorders>
            <w:vAlign w:val="center"/>
            <w:hideMark/>
          </w:tcPr>
          <w:p w14:paraId="70311215" w14:textId="2BAB8C6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84.5</w:t>
            </w:r>
          </w:p>
        </w:tc>
        <w:tc>
          <w:tcPr>
            <w:tcW w:w="703" w:type="dxa"/>
            <w:tcBorders>
              <w:top w:val="nil"/>
              <w:left w:val="nil"/>
              <w:bottom w:val="single" w:sz="8" w:space="0" w:color="auto"/>
              <w:right w:val="single" w:sz="8" w:space="0" w:color="auto"/>
            </w:tcBorders>
            <w:vAlign w:val="center"/>
            <w:hideMark/>
          </w:tcPr>
          <w:p w14:paraId="258FAEEF" w14:textId="6F37538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86.3</w:t>
            </w:r>
          </w:p>
        </w:tc>
        <w:tc>
          <w:tcPr>
            <w:tcW w:w="703" w:type="dxa"/>
            <w:tcBorders>
              <w:top w:val="nil"/>
              <w:left w:val="nil"/>
              <w:bottom w:val="single" w:sz="8" w:space="0" w:color="auto"/>
              <w:right w:val="single" w:sz="8" w:space="0" w:color="auto"/>
            </w:tcBorders>
            <w:vAlign w:val="center"/>
            <w:hideMark/>
          </w:tcPr>
          <w:p w14:paraId="1436D1AE" w14:textId="388BDCF3"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30.8</w:t>
            </w:r>
          </w:p>
        </w:tc>
        <w:tc>
          <w:tcPr>
            <w:tcW w:w="703" w:type="dxa"/>
            <w:tcBorders>
              <w:top w:val="nil"/>
              <w:left w:val="nil"/>
              <w:bottom w:val="single" w:sz="8" w:space="0" w:color="auto"/>
              <w:right w:val="single" w:sz="8" w:space="0" w:color="auto"/>
            </w:tcBorders>
            <w:vAlign w:val="center"/>
            <w:hideMark/>
          </w:tcPr>
          <w:p w14:paraId="1616C54C" w14:textId="68A822A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63.</w:t>
            </w:r>
            <w:r w:rsidR="00821227" w:rsidRPr="00217865">
              <w:rPr>
                <w:rFonts w:cs="Arial"/>
                <w:color w:val="000000" w:themeColor="text1"/>
                <w:sz w:val="18"/>
              </w:rPr>
              <w:t>2</w:t>
            </w:r>
          </w:p>
        </w:tc>
        <w:tc>
          <w:tcPr>
            <w:tcW w:w="634" w:type="dxa"/>
            <w:tcBorders>
              <w:top w:val="nil"/>
              <w:left w:val="nil"/>
              <w:bottom w:val="single" w:sz="8" w:space="0" w:color="auto"/>
              <w:right w:val="single" w:sz="8" w:space="0" w:color="auto"/>
            </w:tcBorders>
            <w:vAlign w:val="center"/>
            <w:hideMark/>
          </w:tcPr>
          <w:p w14:paraId="029BBA39" w14:textId="154557DA"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59.4</w:t>
            </w:r>
          </w:p>
        </w:tc>
        <w:tc>
          <w:tcPr>
            <w:tcW w:w="772" w:type="dxa"/>
            <w:tcBorders>
              <w:top w:val="nil"/>
              <w:left w:val="nil"/>
              <w:bottom w:val="single" w:sz="8" w:space="0" w:color="auto"/>
              <w:right w:val="single" w:sz="8" w:space="0" w:color="auto"/>
            </w:tcBorders>
            <w:vAlign w:val="center"/>
            <w:hideMark/>
          </w:tcPr>
          <w:p w14:paraId="2B43C65E" w14:textId="2048061D"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76.</w:t>
            </w:r>
            <w:r w:rsidR="00821227" w:rsidRPr="00217865">
              <w:rPr>
                <w:rFonts w:cs="Arial"/>
                <w:color w:val="000000" w:themeColor="text1"/>
                <w:sz w:val="18"/>
              </w:rPr>
              <w:t>4</w:t>
            </w:r>
          </w:p>
        </w:tc>
        <w:tc>
          <w:tcPr>
            <w:tcW w:w="703" w:type="dxa"/>
            <w:tcBorders>
              <w:top w:val="nil"/>
              <w:left w:val="nil"/>
              <w:bottom w:val="single" w:sz="8" w:space="0" w:color="auto"/>
              <w:right w:val="single" w:sz="8" w:space="0" w:color="auto"/>
            </w:tcBorders>
            <w:vAlign w:val="center"/>
            <w:hideMark/>
          </w:tcPr>
          <w:p w14:paraId="621DDDB0" w14:textId="061F37B1"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w:t>
            </w:r>
            <w:r w:rsidR="00821227" w:rsidRPr="00217865">
              <w:rPr>
                <w:rFonts w:cs="Arial"/>
                <w:color w:val="000000" w:themeColor="text1"/>
                <w:sz w:val="18"/>
              </w:rPr>
              <w:t>1</w:t>
            </w:r>
          </w:p>
        </w:tc>
        <w:tc>
          <w:tcPr>
            <w:tcW w:w="703" w:type="dxa"/>
            <w:tcBorders>
              <w:top w:val="nil"/>
              <w:left w:val="nil"/>
              <w:bottom w:val="single" w:sz="8" w:space="0" w:color="auto"/>
              <w:right w:val="single" w:sz="8" w:space="0" w:color="auto"/>
            </w:tcBorders>
            <w:vAlign w:val="center"/>
            <w:hideMark/>
          </w:tcPr>
          <w:p w14:paraId="2ECE9C1B" w14:textId="76A83AC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w:t>
            </w:r>
            <w:r w:rsidR="00821227" w:rsidRPr="00217865">
              <w:rPr>
                <w:rFonts w:cs="Arial"/>
                <w:color w:val="000000" w:themeColor="text1"/>
                <w:sz w:val="18"/>
              </w:rPr>
              <w:t>8</w:t>
            </w:r>
          </w:p>
        </w:tc>
        <w:tc>
          <w:tcPr>
            <w:tcW w:w="703" w:type="dxa"/>
            <w:tcBorders>
              <w:top w:val="nil"/>
              <w:left w:val="nil"/>
              <w:bottom w:val="single" w:sz="8" w:space="0" w:color="auto"/>
              <w:right w:val="single" w:sz="8" w:space="0" w:color="auto"/>
            </w:tcBorders>
            <w:vAlign w:val="center"/>
            <w:hideMark/>
          </w:tcPr>
          <w:p w14:paraId="47477241" w14:textId="2EE37D9F"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67.1</w:t>
            </w:r>
          </w:p>
        </w:tc>
        <w:tc>
          <w:tcPr>
            <w:tcW w:w="703" w:type="dxa"/>
            <w:tcBorders>
              <w:top w:val="nil"/>
              <w:left w:val="nil"/>
              <w:bottom w:val="single" w:sz="8" w:space="0" w:color="auto"/>
              <w:right w:val="single" w:sz="8" w:space="0" w:color="auto"/>
            </w:tcBorders>
            <w:vAlign w:val="center"/>
            <w:hideMark/>
          </w:tcPr>
          <w:p w14:paraId="1AF6F52B" w14:textId="6856FF85"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71.0</w:t>
            </w:r>
          </w:p>
        </w:tc>
        <w:tc>
          <w:tcPr>
            <w:tcW w:w="703" w:type="dxa"/>
            <w:tcBorders>
              <w:top w:val="nil"/>
              <w:left w:val="nil"/>
              <w:bottom w:val="single" w:sz="8" w:space="0" w:color="auto"/>
              <w:right w:val="single" w:sz="8" w:space="0" w:color="auto"/>
            </w:tcBorders>
            <w:vAlign w:val="center"/>
            <w:hideMark/>
          </w:tcPr>
          <w:p w14:paraId="0F282606" w14:textId="6C958B72"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70.5</w:t>
            </w:r>
          </w:p>
        </w:tc>
        <w:tc>
          <w:tcPr>
            <w:tcW w:w="703" w:type="dxa"/>
            <w:tcBorders>
              <w:top w:val="nil"/>
              <w:left w:val="nil"/>
              <w:bottom w:val="single" w:sz="8" w:space="0" w:color="auto"/>
              <w:right w:val="single" w:sz="8" w:space="0" w:color="auto"/>
            </w:tcBorders>
            <w:vAlign w:val="center"/>
            <w:hideMark/>
          </w:tcPr>
          <w:p w14:paraId="12477EE3" w14:textId="40139777"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703" w:type="dxa"/>
            <w:tcBorders>
              <w:top w:val="nil"/>
              <w:left w:val="nil"/>
              <w:bottom w:val="single" w:sz="8" w:space="0" w:color="auto"/>
              <w:right w:val="single" w:sz="8" w:space="0" w:color="auto"/>
            </w:tcBorders>
            <w:vAlign w:val="center"/>
            <w:hideMark/>
          </w:tcPr>
          <w:p w14:paraId="5BDB819C" w14:textId="4AA67E3B"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91.1</w:t>
            </w:r>
          </w:p>
        </w:tc>
        <w:tc>
          <w:tcPr>
            <w:tcW w:w="703" w:type="dxa"/>
            <w:tcBorders>
              <w:top w:val="nil"/>
              <w:left w:val="nil"/>
              <w:bottom w:val="single" w:sz="8" w:space="0" w:color="auto"/>
              <w:right w:val="single" w:sz="8" w:space="0" w:color="auto"/>
            </w:tcBorders>
            <w:vAlign w:val="center"/>
            <w:hideMark/>
          </w:tcPr>
          <w:p w14:paraId="0F0831E4" w14:textId="70457AA4"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78.1</w:t>
            </w:r>
          </w:p>
        </w:tc>
        <w:tc>
          <w:tcPr>
            <w:tcW w:w="703" w:type="dxa"/>
            <w:tcBorders>
              <w:top w:val="nil"/>
              <w:left w:val="nil"/>
              <w:bottom w:val="single" w:sz="8" w:space="0" w:color="auto"/>
              <w:right w:val="single" w:sz="8" w:space="0" w:color="auto"/>
            </w:tcBorders>
            <w:vAlign w:val="center"/>
            <w:hideMark/>
          </w:tcPr>
          <w:p w14:paraId="486EA0BD" w14:textId="347EE448"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69.2</w:t>
            </w:r>
          </w:p>
        </w:tc>
        <w:tc>
          <w:tcPr>
            <w:tcW w:w="703" w:type="dxa"/>
            <w:tcBorders>
              <w:top w:val="nil"/>
              <w:left w:val="nil"/>
              <w:bottom w:val="single" w:sz="8" w:space="0" w:color="auto"/>
              <w:right w:val="single" w:sz="8" w:space="0" w:color="auto"/>
            </w:tcBorders>
            <w:vAlign w:val="center"/>
            <w:hideMark/>
          </w:tcPr>
          <w:p w14:paraId="5719533E" w14:textId="03087DFE"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78.6</w:t>
            </w:r>
          </w:p>
        </w:tc>
        <w:tc>
          <w:tcPr>
            <w:tcW w:w="703" w:type="dxa"/>
            <w:tcBorders>
              <w:top w:val="nil"/>
              <w:left w:val="nil"/>
              <w:bottom w:val="single" w:sz="8" w:space="0" w:color="auto"/>
              <w:right w:val="single" w:sz="8" w:space="0" w:color="auto"/>
            </w:tcBorders>
            <w:vAlign w:val="center"/>
            <w:hideMark/>
          </w:tcPr>
          <w:p w14:paraId="019B5089" w14:textId="77D638F6" w:rsidR="00821227" w:rsidRPr="00217865" w:rsidRDefault="0008256B"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84.0</w:t>
            </w:r>
          </w:p>
        </w:tc>
      </w:tr>
      <w:tr w:rsidR="00217865" w:rsidRPr="00217865" w14:paraId="713081F8" w14:textId="77777777" w:rsidTr="00586F7D">
        <w:trPr>
          <w:trHeight w:val="344"/>
        </w:trPr>
        <w:tc>
          <w:tcPr>
            <w:tcW w:w="2517" w:type="dxa"/>
            <w:tcBorders>
              <w:top w:val="nil"/>
              <w:left w:val="single" w:sz="8" w:space="0" w:color="000000"/>
              <w:bottom w:val="single" w:sz="8" w:space="0" w:color="000000"/>
              <w:right w:val="nil"/>
            </w:tcBorders>
            <w:vAlign w:val="center"/>
            <w:hideMark/>
          </w:tcPr>
          <w:p w14:paraId="03C3EC5B" w14:textId="70541E57" w:rsidR="00821227" w:rsidRPr="00217865" w:rsidRDefault="00821227" w:rsidP="007301B9">
            <w:pPr>
              <w:spacing w:before="60" w:after="60"/>
              <w:rPr>
                <w:rFonts w:eastAsia="Times New Roman" w:cs="Arial"/>
                <w:color w:val="000000" w:themeColor="text1"/>
                <w:sz w:val="18"/>
                <w:lang w:eastAsia="en-AU"/>
              </w:rPr>
            </w:pPr>
            <w:r w:rsidRPr="00217865">
              <w:rPr>
                <w:rFonts w:cs="Arial"/>
                <w:color w:val="000000" w:themeColor="text1"/>
                <w:sz w:val="18"/>
              </w:rPr>
              <w:t>Total</w:t>
            </w:r>
          </w:p>
        </w:tc>
        <w:tc>
          <w:tcPr>
            <w:tcW w:w="703" w:type="dxa"/>
            <w:tcBorders>
              <w:top w:val="nil"/>
              <w:left w:val="single" w:sz="8" w:space="0" w:color="auto"/>
              <w:bottom w:val="single" w:sz="8" w:space="0" w:color="auto"/>
              <w:right w:val="single" w:sz="8" w:space="0" w:color="auto"/>
            </w:tcBorders>
            <w:vAlign w:val="center"/>
            <w:hideMark/>
          </w:tcPr>
          <w:p w14:paraId="0E4F05E0" w14:textId="661CF2CE"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77.1</w:t>
            </w:r>
          </w:p>
        </w:tc>
        <w:tc>
          <w:tcPr>
            <w:tcW w:w="703" w:type="dxa"/>
            <w:tcBorders>
              <w:top w:val="nil"/>
              <w:left w:val="nil"/>
              <w:bottom w:val="single" w:sz="8" w:space="0" w:color="auto"/>
              <w:right w:val="single" w:sz="8" w:space="0" w:color="auto"/>
            </w:tcBorders>
            <w:vAlign w:val="center"/>
            <w:hideMark/>
          </w:tcPr>
          <w:p w14:paraId="08A1194D" w14:textId="7F9BA4C5"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81.8</w:t>
            </w:r>
          </w:p>
        </w:tc>
        <w:tc>
          <w:tcPr>
            <w:tcW w:w="703" w:type="dxa"/>
            <w:tcBorders>
              <w:top w:val="nil"/>
              <w:left w:val="nil"/>
              <w:bottom w:val="single" w:sz="8" w:space="0" w:color="auto"/>
              <w:right w:val="single" w:sz="8" w:space="0" w:color="auto"/>
            </w:tcBorders>
            <w:vAlign w:val="center"/>
            <w:hideMark/>
          </w:tcPr>
          <w:p w14:paraId="275457EC" w14:textId="110D14E7"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703" w:type="dxa"/>
            <w:tcBorders>
              <w:top w:val="nil"/>
              <w:left w:val="nil"/>
              <w:bottom w:val="single" w:sz="8" w:space="0" w:color="auto"/>
              <w:right w:val="single" w:sz="8" w:space="0" w:color="auto"/>
            </w:tcBorders>
            <w:vAlign w:val="center"/>
            <w:hideMark/>
          </w:tcPr>
          <w:p w14:paraId="69BDAE02" w14:textId="3DE794CB"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48.4</w:t>
            </w:r>
          </w:p>
        </w:tc>
        <w:tc>
          <w:tcPr>
            <w:tcW w:w="703" w:type="dxa"/>
            <w:tcBorders>
              <w:top w:val="nil"/>
              <w:left w:val="nil"/>
              <w:bottom w:val="single" w:sz="8" w:space="0" w:color="auto"/>
              <w:right w:val="single" w:sz="8" w:space="0" w:color="auto"/>
            </w:tcBorders>
            <w:vAlign w:val="center"/>
            <w:hideMark/>
          </w:tcPr>
          <w:p w14:paraId="2CC96230" w14:textId="78441665"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61.5</w:t>
            </w:r>
          </w:p>
        </w:tc>
        <w:tc>
          <w:tcPr>
            <w:tcW w:w="634" w:type="dxa"/>
            <w:tcBorders>
              <w:top w:val="nil"/>
              <w:left w:val="nil"/>
              <w:bottom w:val="single" w:sz="8" w:space="0" w:color="auto"/>
              <w:right w:val="single" w:sz="8" w:space="0" w:color="auto"/>
            </w:tcBorders>
            <w:vAlign w:val="center"/>
            <w:hideMark/>
          </w:tcPr>
          <w:p w14:paraId="44C88EA6" w14:textId="671C1B0C"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69.5</w:t>
            </w:r>
          </w:p>
        </w:tc>
        <w:tc>
          <w:tcPr>
            <w:tcW w:w="772" w:type="dxa"/>
            <w:tcBorders>
              <w:top w:val="nil"/>
              <w:left w:val="nil"/>
              <w:bottom w:val="single" w:sz="8" w:space="0" w:color="auto"/>
              <w:right w:val="single" w:sz="8" w:space="0" w:color="auto"/>
            </w:tcBorders>
            <w:vAlign w:val="center"/>
            <w:hideMark/>
          </w:tcPr>
          <w:p w14:paraId="5D154D85" w14:textId="3C468D07"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75.9</w:t>
            </w:r>
          </w:p>
        </w:tc>
        <w:tc>
          <w:tcPr>
            <w:tcW w:w="703" w:type="dxa"/>
            <w:tcBorders>
              <w:top w:val="nil"/>
              <w:left w:val="nil"/>
              <w:bottom w:val="single" w:sz="8" w:space="0" w:color="auto"/>
              <w:right w:val="single" w:sz="8" w:space="0" w:color="auto"/>
            </w:tcBorders>
            <w:vAlign w:val="center"/>
            <w:hideMark/>
          </w:tcPr>
          <w:p w14:paraId="154BD1A5" w14:textId="799D0E12"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80.2</w:t>
            </w:r>
          </w:p>
        </w:tc>
        <w:tc>
          <w:tcPr>
            <w:tcW w:w="703" w:type="dxa"/>
            <w:tcBorders>
              <w:top w:val="nil"/>
              <w:left w:val="nil"/>
              <w:bottom w:val="single" w:sz="8" w:space="0" w:color="auto"/>
              <w:right w:val="single" w:sz="8" w:space="0" w:color="auto"/>
            </w:tcBorders>
            <w:vAlign w:val="center"/>
            <w:hideMark/>
          </w:tcPr>
          <w:p w14:paraId="18B650C1" w14:textId="1931C226"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82.5</w:t>
            </w:r>
          </w:p>
        </w:tc>
        <w:tc>
          <w:tcPr>
            <w:tcW w:w="703" w:type="dxa"/>
            <w:tcBorders>
              <w:top w:val="nil"/>
              <w:left w:val="nil"/>
              <w:bottom w:val="single" w:sz="8" w:space="0" w:color="auto"/>
              <w:right w:val="single" w:sz="8" w:space="0" w:color="auto"/>
            </w:tcBorders>
            <w:vAlign w:val="center"/>
            <w:hideMark/>
          </w:tcPr>
          <w:p w14:paraId="2544BD3A" w14:textId="24F1FE27"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70.6</w:t>
            </w:r>
          </w:p>
        </w:tc>
        <w:tc>
          <w:tcPr>
            <w:tcW w:w="703" w:type="dxa"/>
            <w:tcBorders>
              <w:top w:val="nil"/>
              <w:left w:val="nil"/>
              <w:bottom w:val="single" w:sz="8" w:space="0" w:color="auto"/>
              <w:right w:val="single" w:sz="8" w:space="0" w:color="auto"/>
            </w:tcBorders>
            <w:vAlign w:val="center"/>
            <w:hideMark/>
          </w:tcPr>
          <w:p w14:paraId="591C2DFD" w14:textId="72AFE98B"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703" w:type="dxa"/>
            <w:tcBorders>
              <w:top w:val="nil"/>
              <w:left w:val="nil"/>
              <w:bottom w:val="single" w:sz="8" w:space="0" w:color="auto"/>
              <w:right w:val="single" w:sz="8" w:space="0" w:color="auto"/>
            </w:tcBorders>
            <w:vAlign w:val="center"/>
            <w:hideMark/>
          </w:tcPr>
          <w:p w14:paraId="291D2D89" w14:textId="619F6F5B"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78.1</w:t>
            </w:r>
          </w:p>
        </w:tc>
        <w:tc>
          <w:tcPr>
            <w:tcW w:w="703" w:type="dxa"/>
            <w:tcBorders>
              <w:top w:val="nil"/>
              <w:left w:val="nil"/>
              <w:bottom w:val="single" w:sz="8" w:space="0" w:color="auto"/>
              <w:right w:val="single" w:sz="8" w:space="0" w:color="auto"/>
            </w:tcBorders>
            <w:vAlign w:val="center"/>
            <w:hideMark/>
          </w:tcPr>
          <w:p w14:paraId="5F68A674" w14:textId="3C7FEB9F"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73.9</w:t>
            </w:r>
          </w:p>
        </w:tc>
        <w:tc>
          <w:tcPr>
            <w:tcW w:w="703" w:type="dxa"/>
            <w:tcBorders>
              <w:top w:val="nil"/>
              <w:left w:val="nil"/>
              <w:bottom w:val="single" w:sz="8" w:space="0" w:color="auto"/>
              <w:right w:val="single" w:sz="8" w:space="0" w:color="auto"/>
            </w:tcBorders>
            <w:vAlign w:val="center"/>
            <w:hideMark/>
          </w:tcPr>
          <w:p w14:paraId="4CC68722" w14:textId="127F0C61"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83.8</w:t>
            </w:r>
          </w:p>
        </w:tc>
        <w:tc>
          <w:tcPr>
            <w:tcW w:w="703" w:type="dxa"/>
            <w:tcBorders>
              <w:top w:val="nil"/>
              <w:left w:val="nil"/>
              <w:bottom w:val="single" w:sz="8" w:space="0" w:color="auto"/>
              <w:right w:val="single" w:sz="8" w:space="0" w:color="auto"/>
            </w:tcBorders>
            <w:vAlign w:val="center"/>
            <w:hideMark/>
          </w:tcPr>
          <w:p w14:paraId="773AF8C4" w14:textId="2F0AA202"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84.5</w:t>
            </w:r>
          </w:p>
        </w:tc>
        <w:tc>
          <w:tcPr>
            <w:tcW w:w="703" w:type="dxa"/>
            <w:tcBorders>
              <w:top w:val="nil"/>
              <w:left w:val="nil"/>
              <w:bottom w:val="single" w:sz="8" w:space="0" w:color="auto"/>
              <w:right w:val="single" w:sz="8" w:space="0" w:color="auto"/>
            </w:tcBorders>
            <w:vAlign w:val="center"/>
            <w:hideMark/>
          </w:tcPr>
          <w:p w14:paraId="2C667A1B" w14:textId="45F5E61E"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67.2</w:t>
            </w:r>
          </w:p>
        </w:tc>
        <w:tc>
          <w:tcPr>
            <w:tcW w:w="703" w:type="dxa"/>
            <w:tcBorders>
              <w:top w:val="nil"/>
              <w:left w:val="nil"/>
              <w:bottom w:val="single" w:sz="8" w:space="0" w:color="auto"/>
              <w:right w:val="single" w:sz="8" w:space="0" w:color="auto"/>
            </w:tcBorders>
            <w:vAlign w:val="center"/>
            <w:hideMark/>
          </w:tcPr>
          <w:p w14:paraId="72671DDF" w14:textId="0589DA01"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74.4</w:t>
            </w:r>
          </w:p>
        </w:tc>
        <w:tc>
          <w:tcPr>
            <w:tcW w:w="703" w:type="dxa"/>
            <w:tcBorders>
              <w:top w:val="nil"/>
              <w:left w:val="nil"/>
              <w:bottom w:val="single" w:sz="8" w:space="0" w:color="auto"/>
              <w:right w:val="single" w:sz="8" w:space="0" w:color="auto"/>
            </w:tcBorders>
            <w:vAlign w:val="center"/>
            <w:hideMark/>
          </w:tcPr>
          <w:p w14:paraId="78F1D976" w14:textId="147D0852" w:rsidR="00821227" w:rsidRPr="00217865" w:rsidRDefault="00821227" w:rsidP="007301B9">
            <w:pPr>
              <w:spacing w:before="60" w:after="60"/>
              <w:jc w:val="center"/>
              <w:rPr>
                <w:rFonts w:eastAsia="Times New Roman" w:cs="Arial"/>
                <w:color w:val="000000" w:themeColor="text1"/>
                <w:sz w:val="18"/>
                <w:lang w:eastAsia="en-AU"/>
              </w:rPr>
            </w:pPr>
            <w:r w:rsidRPr="00217865">
              <w:rPr>
                <w:rFonts w:cs="Arial"/>
                <w:color w:val="000000" w:themeColor="text1"/>
                <w:sz w:val="18"/>
              </w:rPr>
              <w:t>75.8</w:t>
            </w:r>
          </w:p>
        </w:tc>
      </w:tr>
    </w:tbl>
    <w:p w14:paraId="601FFF63" w14:textId="7EAFC443" w:rsidR="001469AA" w:rsidRPr="00217865" w:rsidRDefault="001469AA" w:rsidP="0081215D">
      <w:pPr>
        <w:pStyle w:val="Tabletitle"/>
      </w:pPr>
      <w:bookmarkStart w:id="47" w:name="_Toc178599371"/>
      <w:r w:rsidRPr="00217865">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6</w:t>
      </w:r>
      <w:r w:rsidRPr="00217865">
        <w:rPr>
          <w:i/>
          <w:iCs/>
        </w:rPr>
        <w:fldChar w:fldCharType="end"/>
      </w:r>
      <w:r w:rsidR="001A1F95">
        <w:rPr>
          <w:i/>
          <w:iCs/>
        </w:rPr>
        <w:tab/>
      </w:r>
      <w:r w:rsidRPr="00217865">
        <w:t xml:space="preserve">International </w:t>
      </w:r>
      <w:r w:rsidR="00B40B71" w:rsidRPr="00217865">
        <w:t>p</w:t>
      </w:r>
      <w:r w:rsidRPr="00217865">
        <w:t xml:space="preserve">ostgraduate </w:t>
      </w:r>
      <w:r w:rsidR="00B40B71" w:rsidRPr="00217865">
        <w:t>c</w:t>
      </w:r>
      <w:r w:rsidRPr="00217865">
        <w:t>oursework student educational experience by study area, 2021-2023 (% positive rating)</w:t>
      </w:r>
      <w:bookmarkEnd w:id="47"/>
    </w:p>
    <w:tbl>
      <w:tblPr>
        <w:tblW w:w="15129" w:type="dxa"/>
        <w:tblInd w:w="-155" w:type="dxa"/>
        <w:tblLayout w:type="fixed"/>
        <w:tblLook w:val="04A0" w:firstRow="1" w:lastRow="0" w:firstColumn="1" w:lastColumn="0" w:noHBand="0" w:noVBand="1"/>
      </w:tblPr>
      <w:tblGrid>
        <w:gridCol w:w="2555"/>
        <w:gridCol w:w="698"/>
        <w:gridCol w:w="699"/>
        <w:gridCol w:w="698"/>
        <w:gridCol w:w="699"/>
        <w:gridCol w:w="698"/>
        <w:gridCol w:w="699"/>
        <w:gridCol w:w="698"/>
        <w:gridCol w:w="699"/>
        <w:gridCol w:w="699"/>
        <w:gridCol w:w="698"/>
        <w:gridCol w:w="699"/>
        <w:gridCol w:w="698"/>
        <w:gridCol w:w="699"/>
        <w:gridCol w:w="698"/>
        <w:gridCol w:w="699"/>
        <w:gridCol w:w="698"/>
        <w:gridCol w:w="699"/>
        <w:gridCol w:w="699"/>
      </w:tblGrid>
      <w:tr w:rsidR="00586F7D" w:rsidRPr="00217865" w14:paraId="1622F626" w14:textId="77777777" w:rsidTr="00586F7D">
        <w:trPr>
          <w:trHeight w:val="344"/>
          <w:tblHeader/>
        </w:trPr>
        <w:tc>
          <w:tcPr>
            <w:tcW w:w="2555" w:type="dxa"/>
            <w:tcBorders>
              <w:top w:val="single" w:sz="4" w:space="0" w:color="auto"/>
              <w:left w:val="single" w:sz="8" w:space="0" w:color="000000"/>
              <w:bottom w:val="single" w:sz="4" w:space="0" w:color="auto"/>
              <w:right w:val="nil"/>
            </w:tcBorders>
            <w:vAlign w:val="bottom"/>
          </w:tcPr>
          <w:p w14:paraId="14ABAEC6" w14:textId="77678D7D" w:rsidR="00586F7D" w:rsidRPr="00217865" w:rsidRDefault="00586F7D" w:rsidP="00586F7D">
            <w:pPr>
              <w:spacing w:before="60" w:after="60"/>
              <w:rPr>
                <w:rFonts w:eastAsia="Times New Roman" w:cs="Arial"/>
                <w:color w:val="000000" w:themeColor="text1"/>
                <w:sz w:val="18"/>
                <w:lang w:eastAsia="en-AU"/>
              </w:rPr>
            </w:pPr>
            <w:r w:rsidRPr="007624C4">
              <w:rPr>
                <w:rFonts w:eastAsia="Times New Roman" w:cs="Arial"/>
                <w:b/>
                <w:bCs/>
                <w:color w:val="000000" w:themeColor="text1"/>
                <w:sz w:val="18"/>
                <w:lang w:eastAsia="en-AU"/>
              </w:rPr>
              <w:t>Category</w:t>
            </w:r>
            <w:bookmarkStart w:id="48" w:name="Title_6"/>
            <w:bookmarkEnd w:id="48"/>
          </w:p>
        </w:tc>
        <w:tc>
          <w:tcPr>
            <w:tcW w:w="698" w:type="dxa"/>
            <w:tcBorders>
              <w:top w:val="single" w:sz="4" w:space="0" w:color="auto"/>
              <w:left w:val="single" w:sz="8" w:space="0" w:color="auto"/>
              <w:bottom w:val="single" w:sz="4" w:space="0" w:color="auto"/>
              <w:right w:val="single" w:sz="8" w:space="0" w:color="000000"/>
            </w:tcBorders>
            <w:vAlign w:val="bottom"/>
            <w:hideMark/>
          </w:tcPr>
          <w:p w14:paraId="195CA478" w14:textId="32866EF7" w:rsidR="00586F7D" w:rsidRPr="00217865" w:rsidRDefault="007A503F"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Pr="00586F7D">
              <w:rPr>
                <w:rFonts w:eastAsia="Times New Roman" w:cs="Arial"/>
                <w:color w:val="000000" w:themeColor="text1"/>
                <w:sz w:val="18"/>
                <w:lang w:val="en-GB" w:eastAsia="en-AU"/>
              </w:rPr>
              <w:t>2</w:t>
            </w:r>
            <w:r>
              <w:rPr>
                <w:rFonts w:eastAsia="Times New Roman" w:cs="Arial"/>
                <w:color w:val="000000" w:themeColor="text1"/>
                <w:sz w:val="18"/>
                <w:lang w:val="en-GB" w:eastAsia="en-AU"/>
              </w:rPr>
              <w:t>021</w:t>
            </w:r>
            <w:r w:rsidR="00586F7D" w:rsidRPr="007624C4">
              <w:rPr>
                <w:rFonts w:eastAsia="Times New Roman" w:cs="Arial"/>
                <w:b/>
                <w:bCs/>
                <w:color w:val="000000" w:themeColor="text1"/>
                <w:sz w:val="18"/>
                <w:lang w:eastAsia="en-AU"/>
              </w:rPr>
              <w:t xml:space="preserve"> </w:t>
            </w:r>
          </w:p>
        </w:tc>
        <w:tc>
          <w:tcPr>
            <w:tcW w:w="699" w:type="dxa"/>
            <w:tcBorders>
              <w:top w:val="single" w:sz="4" w:space="0" w:color="auto"/>
              <w:left w:val="nil"/>
              <w:bottom w:val="single" w:sz="4" w:space="0" w:color="auto"/>
              <w:right w:val="single" w:sz="8" w:space="0" w:color="auto"/>
            </w:tcBorders>
            <w:vAlign w:val="bottom"/>
            <w:hideMark/>
          </w:tcPr>
          <w:p w14:paraId="121E4E76" w14:textId="3530F99E"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Pr="00586F7D">
              <w:rPr>
                <w:rFonts w:eastAsia="Times New Roman" w:cs="Arial"/>
                <w:color w:val="000000" w:themeColor="text1"/>
                <w:sz w:val="18"/>
                <w:lang w:val="en-GB" w:eastAsia="en-AU"/>
              </w:rPr>
              <w:t>2022</w:t>
            </w:r>
          </w:p>
        </w:tc>
        <w:tc>
          <w:tcPr>
            <w:tcW w:w="698" w:type="dxa"/>
            <w:tcBorders>
              <w:top w:val="single" w:sz="4" w:space="0" w:color="auto"/>
              <w:left w:val="nil"/>
              <w:bottom w:val="single" w:sz="4" w:space="0" w:color="auto"/>
              <w:right w:val="single" w:sz="8" w:space="0" w:color="auto"/>
            </w:tcBorders>
            <w:vAlign w:val="bottom"/>
            <w:hideMark/>
          </w:tcPr>
          <w:p w14:paraId="2FB4C78E" w14:textId="11F60CA4"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Skills Development </w:t>
            </w:r>
            <w:r w:rsidRPr="00586F7D">
              <w:rPr>
                <w:rFonts w:eastAsia="Times New Roman" w:cs="Arial"/>
                <w:color w:val="000000" w:themeColor="text1"/>
                <w:sz w:val="18"/>
                <w:lang w:val="en-GB" w:eastAsia="en-AU"/>
              </w:rPr>
              <w:t>2023</w:t>
            </w:r>
          </w:p>
        </w:tc>
        <w:tc>
          <w:tcPr>
            <w:tcW w:w="699" w:type="dxa"/>
            <w:tcBorders>
              <w:top w:val="single" w:sz="4" w:space="0" w:color="auto"/>
              <w:left w:val="nil"/>
              <w:bottom w:val="single" w:sz="4" w:space="0" w:color="auto"/>
              <w:right w:val="single" w:sz="8" w:space="0" w:color="000000"/>
            </w:tcBorders>
            <w:vAlign w:val="bottom"/>
            <w:hideMark/>
          </w:tcPr>
          <w:p w14:paraId="45585F63" w14:textId="38511DAD"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Pr="00586F7D">
              <w:rPr>
                <w:rFonts w:eastAsia="Times New Roman" w:cs="Arial"/>
                <w:color w:val="000000" w:themeColor="text1"/>
                <w:sz w:val="18"/>
                <w:lang w:val="en-GB" w:eastAsia="en-AU"/>
              </w:rPr>
              <w:t>2021</w:t>
            </w:r>
          </w:p>
        </w:tc>
        <w:tc>
          <w:tcPr>
            <w:tcW w:w="698" w:type="dxa"/>
            <w:tcBorders>
              <w:top w:val="single" w:sz="4" w:space="0" w:color="auto"/>
              <w:left w:val="nil"/>
              <w:bottom w:val="single" w:sz="4" w:space="0" w:color="auto"/>
              <w:right w:val="single" w:sz="8" w:space="0" w:color="auto"/>
            </w:tcBorders>
            <w:vAlign w:val="bottom"/>
            <w:hideMark/>
          </w:tcPr>
          <w:p w14:paraId="6A5039C5" w14:textId="76D3C371"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Pr="00586F7D">
              <w:rPr>
                <w:rFonts w:eastAsia="Times New Roman" w:cs="Arial"/>
                <w:color w:val="000000" w:themeColor="text1"/>
                <w:sz w:val="18"/>
                <w:lang w:val="en-GB" w:eastAsia="en-AU"/>
              </w:rPr>
              <w:t>2022</w:t>
            </w:r>
          </w:p>
        </w:tc>
        <w:tc>
          <w:tcPr>
            <w:tcW w:w="699" w:type="dxa"/>
            <w:tcBorders>
              <w:top w:val="single" w:sz="4" w:space="0" w:color="auto"/>
              <w:left w:val="nil"/>
              <w:bottom w:val="single" w:sz="4" w:space="0" w:color="auto"/>
              <w:right w:val="single" w:sz="8" w:space="0" w:color="auto"/>
            </w:tcBorders>
            <w:vAlign w:val="bottom"/>
            <w:hideMark/>
          </w:tcPr>
          <w:p w14:paraId="22C52E7C" w14:textId="06CB1BDE"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Peer Engagement </w:t>
            </w:r>
            <w:r w:rsidRPr="00586F7D">
              <w:rPr>
                <w:rFonts w:eastAsia="Times New Roman" w:cs="Arial"/>
                <w:color w:val="000000" w:themeColor="text1"/>
                <w:sz w:val="18"/>
                <w:lang w:val="en-GB" w:eastAsia="en-AU"/>
              </w:rPr>
              <w:t>2023</w:t>
            </w:r>
          </w:p>
        </w:tc>
        <w:tc>
          <w:tcPr>
            <w:tcW w:w="698" w:type="dxa"/>
            <w:tcBorders>
              <w:top w:val="single" w:sz="4" w:space="0" w:color="auto"/>
              <w:left w:val="nil"/>
              <w:bottom w:val="single" w:sz="4" w:space="0" w:color="auto"/>
              <w:right w:val="single" w:sz="8" w:space="0" w:color="000000"/>
            </w:tcBorders>
            <w:vAlign w:val="bottom"/>
            <w:hideMark/>
          </w:tcPr>
          <w:p w14:paraId="0194FE74" w14:textId="39DF551A"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Pr="00586F7D">
              <w:rPr>
                <w:rFonts w:eastAsia="Times New Roman" w:cs="Arial"/>
                <w:color w:val="000000" w:themeColor="text1"/>
                <w:sz w:val="18"/>
                <w:lang w:val="en-GB" w:eastAsia="en-AU"/>
              </w:rPr>
              <w:t>2021</w:t>
            </w:r>
          </w:p>
        </w:tc>
        <w:tc>
          <w:tcPr>
            <w:tcW w:w="699" w:type="dxa"/>
            <w:tcBorders>
              <w:top w:val="single" w:sz="4" w:space="0" w:color="auto"/>
              <w:left w:val="nil"/>
              <w:bottom w:val="single" w:sz="4" w:space="0" w:color="auto"/>
              <w:right w:val="single" w:sz="8" w:space="0" w:color="auto"/>
            </w:tcBorders>
            <w:vAlign w:val="bottom"/>
            <w:hideMark/>
          </w:tcPr>
          <w:p w14:paraId="4BF24C7B" w14:textId="27771B27"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Pr="00586F7D">
              <w:rPr>
                <w:rFonts w:eastAsia="Times New Roman" w:cs="Arial"/>
                <w:color w:val="000000" w:themeColor="text1"/>
                <w:sz w:val="18"/>
                <w:lang w:val="en-GB" w:eastAsia="en-AU"/>
              </w:rPr>
              <w:t>2022</w:t>
            </w:r>
          </w:p>
        </w:tc>
        <w:tc>
          <w:tcPr>
            <w:tcW w:w="699" w:type="dxa"/>
            <w:tcBorders>
              <w:top w:val="single" w:sz="4" w:space="0" w:color="auto"/>
              <w:left w:val="nil"/>
              <w:bottom w:val="single" w:sz="4" w:space="0" w:color="auto"/>
              <w:right w:val="single" w:sz="8" w:space="0" w:color="auto"/>
            </w:tcBorders>
            <w:vAlign w:val="bottom"/>
            <w:hideMark/>
          </w:tcPr>
          <w:p w14:paraId="296CE832" w14:textId="461BEDE4"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Teaching Quality and Engagement </w:t>
            </w:r>
            <w:r w:rsidRPr="00586F7D">
              <w:rPr>
                <w:rFonts w:eastAsia="Times New Roman" w:cs="Arial"/>
                <w:color w:val="000000" w:themeColor="text1"/>
                <w:sz w:val="18"/>
                <w:lang w:val="en-GB" w:eastAsia="en-AU"/>
              </w:rPr>
              <w:t>2023</w:t>
            </w:r>
          </w:p>
        </w:tc>
        <w:tc>
          <w:tcPr>
            <w:tcW w:w="698" w:type="dxa"/>
            <w:tcBorders>
              <w:top w:val="single" w:sz="4" w:space="0" w:color="auto"/>
              <w:left w:val="nil"/>
              <w:bottom w:val="single" w:sz="4" w:space="0" w:color="auto"/>
              <w:right w:val="single" w:sz="8" w:space="0" w:color="000000"/>
            </w:tcBorders>
            <w:vAlign w:val="bottom"/>
            <w:hideMark/>
          </w:tcPr>
          <w:p w14:paraId="52149F7A" w14:textId="74BB83A4"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Pr="00586F7D">
              <w:rPr>
                <w:rFonts w:eastAsia="Times New Roman" w:cs="Arial"/>
                <w:color w:val="000000" w:themeColor="text1"/>
                <w:sz w:val="18"/>
                <w:lang w:val="en-GB" w:eastAsia="en-AU"/>
              </w:rPr>
              <w:t>2021</w:t>
            </w:r>
          </w:p>
        </w:tc>
        <w:tc>
          <w:tcPr>
            <w:tcW w:w="699" w:type="dxa"/>
            <w:tcBorders>
              <w:top w:val="single" w:sz="4" w:space="0" w:color="auto"/>
              <w:left w:val="nil"/>
              <w:bottom w:val="single" w:sz="4" w:space="0" w:color="auto"/>
              <w:right w:val="single" w:sz="8" w:space="0" w:color="auto"/>
            </w:tcBorders>
            <w:vAlign w:val="bottom"/>
            <w:hideMark/>
          </w:tcPr>
          <w:p w14:paraId="7C36F8F0" w14:textId="5E327C3C"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Pr="00586F7D">
              <w:rPr>
                <w:rFonts w:eastAsia="Times New Roman" w:cs="Arial"/>
                <w:color w:val="000000" w:themeColor="text1"/>
                <w:sz w:val="18"/>
                <w:lang w:val="en-GB" w:eastAsia="en-AU"/>
              </w:rPr>
              <w:t>2022</w:t>
            </w:r>
          </w:p>
        </w:tc>
        <w:tc>
          <w:tcPr>
            <w:tcW w:w="698" w:type="dxa"/>
            <w:tcBorders>
              <w:top w:val="single" w:sz="4" w:space="0" w:color="auto"/>
              <w:left w:val="nil"/>
              <w:bottom w:val="single" w:sz="4" w:space="0" w:color="auto"/>
              <w:right w:val="single" w:sz="8" w:space="0" w:color="auto"/>
            </w:tcBorders>
            <w:vAlign w:val="bottom"/>
            <w:hideMark/>
          </w:tcPr>
          <w:p w14:paraId="63F9056C" w14:textId="7055C890"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Student Support and Services </w:t>
            </w:r>
            <w:r w:rsidRPr="00586F7D">
              <w:rPr>
                <w:rFonts w:eastAsia="Times New Roman" w:cs="Arial"/>
                <w:color w:val="000000" w:themeColor="text1"/>
                <w:sz w:val="18"/>
                <w:lang w:val="en-GB" w:eastAsia="en-AU"/>
              </w:rPr>
              <w:t>2023</w:t>
            </w:r>
          </w:p>
        </w:tc>
        <w:tc>
          <w:tcPr>
            <w:tcW w:w="699" w:type="dxa"/>
            <w:tcBorders>
              <w:top w:val="single" w:sz="4" w:space="0" w:color="auto"/>
              <w:left w:val="nil"/>
              <w:bottom w:val="single" w:sz="4" w:space="0" w:color="auto"/>
              <w:right w:val="single" w:sz="8" w:space="0" w:color="000000"/>
            </w:tcBorders>
            <w:vAlign w:val="bottom"/>
            <w:hideMark/>
          </w:tcPr>
          <w:p w14:paraId="6351F259" w14:textId="583A4AAB"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Pr="00586F7D">
              <w:rPr>
                <w:rFonts w:eastAsia="Times New Roman" w:cs="Arial"/>
                <w:color w:val="000000" w:themeColor="text1"/>
                <w:sz w:val="18"/>
                <w:lang w:val="en-GB" w:eastAsia="en-AU"/>
              </w:rPr>
              <w:t>2021</w:t>
            </w:r>
          </w:p>
        </w:tc>
        <w:tc>
          <w:tcPr>
            <w:tcW w:w="698" w:type="dxa"/>
            <w:tcBorders>
              <w:top w:val="single" w:sz="4" w:space="0" w:color="auto"/>
              <w:left w:val="nil"/>
              <w:bottom w:val="single" w:sz="4" w:space="0" w:color="auto"/>
              <w:right w:val="single" w:sz="8" w:space="0" w:color="auto"/>
            </w:tcBorders>
            <w:vAlign w:val="bottom"/>
            <w:hideMark/>
          </w:tcPr>
          <w:p w14:paraId="59CB32AC" w14:textId="338D5245"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Pr="00586F7D">
              <w:rPr>
                <w:rFonts w:eastAsia="Times New Roman" w:cs="Arial"/>
                <w:color w:val="000000" w:themeColor="text1"/>
                <w:sz w:val="18"/>
                <w:lang w:val="en-GB" w:eastAsia="en-AU"/>
              </w:rPr>
              <w:t>2022</w:t>
            </w:r>
          </w:p>
        </w:tc>
        <w:tc>
          <w:tcPr>
            <w:tcW w:w="699" w:type="dxa"/>
            <w:tcBorders>
              <w:top w:val="single" w:sz="4" w:space="0" w:color="auto"/>
              <w:left w:val="nil"/>
              <w:bottom w:val="single" w:sz="4" w:space="0" w:color="auto"/>
              <w:right w:val="single" w:sz="8" w:space="0" w:color="auto"/>
            </w:tcBorders>
            <w:vAlign w:val="bottom"/>
            <w:hideMark/>
          </w:tcPr>
          <w:p w14:paraId="6363D15D" w14:textId="6274B9DB"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Learning Resources </w:t>
            </w:r>
            <w:r w:rsidRPr="00586F7D">
              <w:rPr>
                <w:rFonts w:eastAsia="Times New Roman" w:cs="Arial"/>
                <w:color w:val="000000" w:themeColor="text1"/>
                <w:sz w:val="18"/>
                <w:lang w:val="en-GB" w:eastAsia="en-AU"/>
              </w:rPr>
              <w:t>2023</w:t>
            </w:r>
          </w:p>
        </w:tc>
        <w:tc>
          <w:tcPr>
            <w:tcW w:w="698" w:type="dxa"/>
            <w:tcBorders>
              <w:top w:val="single" w:sz="4" w:space="0" w:color="auto"/>
              <w:left w:val="nil"/>
              <w:bottom w:val="single" w:sz="4" w:space="0" w:color="auto"/>
              <w:right w:val="single" w:sz="8" w:space="0" w:color="000000"/>
            </w:tcBorders>
            <w:vAlign w:val="bottom"/>
            <w:hideMark/>
          </w:tcPr>
          <w:p w14:paraId="0763D7AC" w14:textId="44EA883C"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Pr="00586F7D">
              <w:rPr>
                <w:rFonts w:eastAsia="Times New Roman" w:cs="Arial"/>
                <w:color w:val="000000" w:themeColor="text1"/>
                <w:sz w:val="18"/>
                <w:lang w:val="en-GB" w:eastAsia="en-AU"/>
              </w:rPr>
              <w:t>2021</w:t>
            </w:r>
          </w:p>
        </w:tc>
        <w:tc>
          <w:tcPr>
            <w:tcW w:w="699" w:type="dxa"/>
            <w:tcBorders>
              <w:top w:val="single" w:sz="4" w:space="0" w:color="auto"/>
              <w:left w:val="nil"/>
              <w:bottom w:val="single" w:sz="4" w:space="0" w:color="auto"/>
              <w:right w:val="single" w:sz="8" w:space="0" w:color="auto"/>
            </w:tcBorders>
            <w:vAlign w:val="bottom"/>
            <w:hideMark/>
          </w:tcPr>
          <w:p w14:paraId="1C5590C4" w14:textId="68661A96"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Pr="00586F7D">
              <w:rPr>
                <w:rFonts w:eastAsia="Times New Roman" w:cs="Arial"/>
                <w:color w:val="000000" w:themeColor="text1"/>
                <w:sz w:val="18"/>
                <w:lang w:val="en-GB" w:eastAsia="en-AU"/>
              </w:rPr>
              <w:t>2022</w:t>
            </w:r>
          </w:p>
        </w:tc>
        <w:tc>
          <w:tcPr>
            <w:tcW w:w="699" w:type="dxa"/>
            <w:tcBorders>
              <w:top w:val="single" w:sz="4" w:space="0" w:color="auto"/>
              <w:left w:val="nil"/>
              <w:bottom w:val="single" w:sz="4" w:space="0" w:color="auto"/>
              <w:right w:val="single" w:sz="8" w:space="0" w:color="auto"/>
            </w:tcBorders>
            <w:vAlign w:val="bottom"/>
            <w:hideMark/>
          </w:tcPr>
          <w:p w14:paraId="199F7A49" w14:textId="77AEDAEC" w:rsidR="00586F7D" w:rsidRPr="00217865" w:rsidRDefault="00586F7D" w:rsidP="00586F7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 xml:space="preserve">Quality of entire educational experience </w:t>
            </w:r>
            <w:r w:rsidRPr="00586F7D">
              <w:rPr>
                <w:rFonts w:eastAsia="Times New Roman" w:cs="Arial"/>
                <w:color w:val="000000" w:themeColor="text1"/>
                <w:sz w:val="18"/>
                <w:lang w:val="en-GB" w:eastAsia="en-AU"/>
              </w:rPr>
              <w:t>2023</w:t>
            </w:r>
          </w:p>
        </w:tc>
      </w:tr>
      <w:tr w:rsidR="00586F7D" w:rsidRPr="00217865" w14:paraId="6DD89362"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5649C90D" w14:textId="1BB4EEDC"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Agriculture and environmental studies</w:t>
            </w:r>
          </w:p>
        </w:tc>
        <w:tc>
          <w:tcPr>
            <w:tcW w:w="698" w:type="dxa"/>
            <w:tcBorders>
              <w:top w:val="single" w:sz="4" w:space="0" w:color="auto"/>
              <w:left w:val="single" w:sz="4" w:space="0" w:color="auto"/>
              <w:bottom w:val="single" w:sz="4" w:space="0" w:color="auto"/>
              <w:right w:val="single" w:sz="4" w:space="0" w:color="auto"/>
            </w:tcBorders>
            <w:vAlign w:val="center"/>
          </w:tcPr>
          <w:p w14:paraId="67B2C8DE" w14:textId="073C22D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90.3</w:t>
            </w:r>
          </w:p>
        </w:tc>
        <w:tc>
          <w:tcPr>
            <w:tcW w:w="699" w:type="dxa"/>
            <w:tcBorders>
              <w:top w:val="single" w:sz="4" w:space="0" w:color="auto"/>
              <w:left w:val="single" w:sz="4" w:space="0" w:color="auto"/>
              <w:bottom w:val="single" w:sz="4" w:space="0" w:color="auto"/>
              <w:right w:val="single" w:sz="4" w:space="0" w:color="auto"/>
            </w:tcBorders>
            <w:vAlign w:val="center"/>
          </w:tcPr>
          <w:p w14:paraId="50D0E1FC" w14:textId="2910B54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89.1</w:t>
            </w:r>
          </w:p>
        </w:tc>
        <w:tc>
          <w:tcPr>
            <w:tcW w:w="698" w:type="dxa"/>
            <w:tcBorders>
              <w:top w:val="single" w:sz="4" w:space="0" w:color="auto"/>
              <w:left w:val="single" w:sz="4" w:space="0" w:color="auto"/>
              <w:bottom w:val="single" w:sz="4" w:space="0" w:color="auto"/>
              <w:right w:val="single" w:sz="4" w:space="0" w:color="auto"/>
            </w:tcBorders>
            <w:vAlign w:val="center"/>
          </w:tcPr>
          <w:p w14:paraId="787A6B9E" w14:textId="0106EFE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88.5</w:t>
            </w:r>
          </w:p>
        </w:tc>
        <w:tc>
          <w:tcPr>
            <w:tcW w:w="699" w:type="dxa"/>
            <w:tcBorders>
              <w:top w:val="single" w:sz="4" w:space="0" w:color="auto"/>
              <w:left w:val="single" w:sz="4" w:space="0" w:color="auto"/>
              <w:bottom w:val="single" w:sz="4" w:space="0" w:color="auto"/>
              <w:right w:val="single" w:sz="4" w:space="0" w:color="auto"/>
            </w:tcBorders>
            <w:vAlign w:val="center"/>
          </w:tcPr>
          <w:p w14:paraId="0B7F7BE5" w14:textId="022D867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83.0</w:t>
            </w:r>
          </w:p>
        </w:tc>
        <w:tc>
          <w:tcPr>
            <w:tcW w:w="698" w:type="dxa"/>
            <w:tcBorders>
              <w:top w:val="single" w:sz="4" w:space="0" w:color="auto"/>
              <w:left w:val="single" w:sz="4" w:space="0" w:color="auto"/>
              <w:bottom w:val="single" w:sz="4" w:space="0" w:color="auto"/>
              <w:right w:val="single" w:sz="4" w:space="0" w:color="auto"/>
            </w:tcBorders>
            <w:vAlign w:val="center"/>
          </w:tcPr>
          <w:p w14:paraId="34C0BE75" w14:textId="278B98F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78.9</w:t>
            </w:r>
          </w:p>
        </w:tc>
        <w:tc>
          <w:tcPr>
            <w:tcW w:w="699" w:type="dxa"/>
            <w:tcBorders>
              <w:top w:val="single" w:sz="4" w:space="0" w:color="auto"/>
              <w:left w:val="single" w:sz="4" w:space="0" w:color="auto"/>
              <w:bottom w:val="single" w:sz="4" w:space="0" w:color="auto"/>
              <w:right w:val="single" w:sz="4" w:space="0" w:color="auto"/>
            </w:tcBorders>
            <w:vAlign w:val="center"/>
          </w:tcPr>
          <w:p w14:paraId="6157662B" w14:textId="3178CB2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87.0</w:t>
            </w:r>
          </w:p>
        </w:tc>
        <w:tc>
          <w:tcPr>
            <w:tcW w:w="698" w:type="dxa"/>
            <w:tcBorders>
              <w:top w:val="single" w:sz="4" w:space="0" w:color="auto"/>
              <w:left w:val="single" w:sz="4" w:space="0" w:color="auto"/>
              <w:bottom w:val="single" w:sz="4" w:space="0" w:color="auto"/>
              <w:right w:val="single" w:sz="4" w:space="0" w:color="auto"/>
            </w:tcBorders>
            <w:vAlign w:val="center"/>
          </w:tcPr>
          <w:p w14:paraId="70F76D63" w14:textId="0216934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89.7</w:t>
            </w:r>
          </w:p>
        </w:tc>
        <w:tc>
          <w:tcPr>
            <w:tcW w:w="699" w:type="dxa"/>
            <w:tcBorders>
              <w:top w:val="single" w:sz="4" w:space="0" w:color="auto"/>
              <w:left w:val="single" w:sz="4" w:space="0" w:color="auto"/>
              <w:bottom w:val="single" w:sz="4" w:space="0" w:color="auto"/>
              <w:right w:val="single" w:sz="4" w:space="0" w:color="auto"/>
            </w:tcBorders>
            <w:vAlign w:val="center"/>
          </w:tcPr>
          <w:p w14:paraId="5F2C7323" w14:textId="371D403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69.2</w:t>
            </w:r>
          </w:p>
        </w:tc>
        <w:tc>
          <w:tcPr>
            <w:tcW w:w="699" w:type="dxa"/>
            <w:tcBorders>
              <w:top w:val="single" w:sz="4" w:space="0" w:color="auto"/>
              <w:left w:val="single" w:sz="4" w:space="0" w:color="auto"/>
              <w:bottom w:val="single" w:sz="4" w:space="0" w:color="auto"/>
              <w:right w:val="single" w:sz="4" w:space="0" w:color="auto"/>
            </w:tcBorders>
            <w:vAlign w:val="center"/>
          </w:tcPr>
          <w:p w14:paraId="4749EF70" w14:textId="7835FE6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66.2</w:t>
            </w:r>
          </w:p>
        </w:tc>
        <w:tc>
          <w:tcPr>
            <w:tcW w:w="698" w:type="dxa"/>
            <w:tcBorders>
              <w:top w:val="single" w:sz="4" w:space="0" w:color="auto"/>
              <w:left w:val="single" w:sz="4" w:space="0" w:color="auto"/>
              <w:bottom w:val="single" w:sz="4" w:space="0" w:color="auto"/>
              <w:right w:val="single" w:sz="4" w:space="0" w:color="auto"/>
            </w:tcBorders>
            <w:vAlign w:val="center"/>
          </w:tcPr>
          <w:p w14:paraId="7A7380D6" w14:textId="4A6E6C5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65.9</w:t>
            </w:r>
          </w:p>
        </w:tc>
        <w:tc>
          <w:tcPr>
            <w:tcW w:w="699" w:type="dxa"/>
            <w:tcBorders>
              <w:top w:val="single" w:sz="4" w:space="0" w:color="auto"/>
              <w:left w:val="single" w:sz="4" w:space="0" w:color="auto"/>
              <w:bottom w:val="single" w:sz="4" w:space="0" w:color="auto"/>
              <w:right w:val="single" w:sz="4" w:space="0" w:color="auto"/>
            </w:tcBorders>
            <w:vAlign w:val="center"/>
          </w:tcPr>
          <w:p w14:paraId="3C229A30" w14:textId="09404B2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48.0</w:t>
            </w:r>
          </w:p>
        </w:tc>
        <w:tc>
          <w:tcPr>
            <w:tcW w:w="698" w:type="dxa"/>
            <w:tcBorders>
              <w:top w:val="single" w:sz="4" w:space="0" w:color="auto"/>
              <w:left w:val="single" w:sz="4" w:space="0" w:color="auto"/>
              <w:bottom w:val="single" w:sz="4" w:space="0" w:color="auto"/>
              <w:right w:val="single" w:sz="4" w:space="0" w:color="auto"/>
            </w:tcBorders>
            <w:vAlign w:val="center"/>
          </w:tcPr>
          <w:p w14:paraId="1681F470" w14:textId="029024C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41.0</w:t>
            </w:r>
          </w:p>
        </w:tc>
        <w:tc>
          <w:tcPr>
            <w:tcW w:w="699" w:type="dxa"/>
            <w:tcBorders>
              <w:top w:val="single" w:sz="4" w:space="0" w:color="auto"/>
              <w:left w:val="single" w:sz="4" w:space="0" w:color="auto"/>
              <w:bottom w:val="single" w:sz="4" w:space="0" w:color="auto"/>
              <w:right w:val="single" w:sz="4" w:space="0" w:color="auto"/>
            </w:tcBorders>
            <w:vAlign w:val="center"/>
          </w:tcPr>
          <w:p w14:paraId="128B2DBA" w14:textId="6EDFF20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63.0</w:t>
            </w:r>
          </w:p>
        </w:tc>
        <w:tc>
          <w:tcPr>
            <w:tcW w:w="698" w:type="dxa"/>
            <w:tcBorders>
              <w:top w:val="single" w:sz="4" w:space="0" w:color="auto"/>
              <w:left w:val="single" w:sz="4" w:space="0" w:color="auto"/>
              <w:bottom w:val="single" w:sz="4" w:space="0" w:color="auto"/>
              <w:right w:val="single" w:sz="4" w:space="0" w:color="auto"/>
            </w:tcBorders>
            <w:vAlign w:val="center"/>
          </w:tcPr>
          <w:p w14:paraId="00660587" w14:textId="205513E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74.9</w:t>
            </w:r>
          </w:p>
        </w:tc>
        <w:tc>
          <w:tcPr>
            <w:tcW w:w="699" w:type="dxa"/>
            <w:tcBorders>
              <w:top w:val="single" w:sz="4" w:space="0" w:color="auto"/>
              <w:left w:val="single" w:sz="4" w:space="0" w:color="auto"/>
              <w:bottom w:val="single" w:sz="4" w:space="0" w:color="auto"/>
              <w:right w:val="single" w:sz="4" w:space="0" w:color="auto"/>
            </w:tcBorders>
            <w:vAlign w:val="center"/>
          </w:tcPr>
          <w:p w14:paraId="64EEAE0F" w14:textId="7AE913D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90.2</w:t>
            </w:r>
          </w:p>
        </w:tc>
        <w:tc>
          <w:tcPr>
            <w:tcW w:w="698" w:type="dxa"/>
            <w:tcBorders>
              <w:top w:val="single" w:sz="4" w:space="0" w:color="auto"/>
              <w:left w:val="single" w:sz="4" w:space="0" w:color="auto"/>
              <w:bottom w:val="single" w:sz="4" w:space="0" w:color="auto"/>
              <w:right w:val="single" w:sz="4" w:space="0" w:color="auto"/>
            </w:tcBorders>
            <w:vAlign w:val="center"/>
          </w:tcPr>
          <w:p w14:paraId="33986120" w14:textId="5AAA8B7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87.8</w:t>
            </w:r>
          </w:p>
        </w:tc>
        <w:tc>
          <w:tcPr>
            <w:tcW w:w="699" w:type="dxa"/>
            <w:tcBorders>
              <w:top w:val="single" w:sz="4" w:space="0" w:color="auto"/>
              <w:left w:val="single" w:sz="4" w:space="0" w:color="auto"/>
              <w:bottom w:val="single" w:sz="4" w:space="0" w:color="auto"/>
              <w:right w:val="single" w:sz="4" w:space="0" w:color="auto"/>
            </w:tcBorders>
            <w:vAlign w:val="center"/>
          </w:tcPr>
          <w:p w14:paraId="77D2CB29" w14:textId="5BB58AA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89.5</w:t>
            </w:r>
          </w:p>
        </w:tc>
        <w:tc>
          <w:tcPr>
            <w:tcW w:w="699" w:type="dxa"/>
            <w:tcBorders>
              <w:top w:val="single" w:sz="4" w:space="0" w:color="auto"/>
              <w:left w:val="single" w:sz="4" w:space="0" w:color="auto"/>
              <w:bottom w:val="single" w:sz="4" w:space="0" w:color="auto"/>
              <w:right w:val="single" w:sz="4" w:space="0" w:color="auto"/>
            </w:tcBorders>
            <w:vAlign w:val="center"/>
          </w:tcPr>
          <w:p w14:paraId="6CC8C91F" w14:textId="5E961A5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82.6</w:t>
            </w:r>
          </w:p>
        </w:tc>
      </w:tr>
      <w:tr w:rsidR="00586F7D" w:rsidRPr="00217865" w14:paraId="2B34D958"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289B10D0" w14:textId="3F7E43DE"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Architecture and built environment</w:t>
            </w:r>
          </w:p>
        </w:tc>
        <w:tc>
          <w:tcPr>
            <w:tcW w:w="698" w:type="dxa"/>
            <w:tcBorders>
              <w:top w:val="single" w:sz="4" w:space="0" w:color="auto"/>
              <w:left w:val="single" w:sz="4" w:space="0" w:color="auto"/>
              <w:bottom w:val="single" w:sz="4" w:space="0" w:color="auto"/>
              <w:right w:val="single" w:sz="4" w:space="0" w:color="auto"/>
            </w:tcBorders>
            <w:vAlign w:val="center"/>
          </w:tcPr>
          <w:p w14:paraId="5FE0B8ED" w14:textId="69FE6C9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81.5</w:t>
            </w:r>
          </w:p>
        </w:tc>
        <w:tc>
          <w:tcPr>
            <w:tcW w:w="699" w:type="dxa"/>
            <w:tcBorders>
              <w:top w:val="single" w:sz="4" w:space="0" w:color="auto"/>
              <w:left w:val="single" w:sz="4" w:space="0" w:color="auto"/>
              <w:bottom w:val="single" w:sz="4" w:space="0" w:color="auto"/>
              <w:right w:val="single" w:sz="4" w:space="0" w:color="auto"/>
            </w:tcBorders>
            <w:vAlign w:val="center"/>
          </w:tcPr>
          <w:p w14:paraId="4B23533C" w14:textId="6097FD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82.6</w:t>
            </w:r>
          </w:p>
        </w:tc>
        <w:tc>
          <w:tcPr>
            <w:tcW w:w="698" w:type="dxa"/>
            <w:tcBorders>
              <w:top w:val="single" w:sz="4" w:space="0" w:color="auto"/>
              <w:left w:val="single" w:sz="4" w:space="0" w:color="auto"/>
              <w:bottom w:val="single" w:sz="4" w:space="0" w:color="auto"/>
              <w:right w:val="single" w:sz="4" w:space="0" w:color="auto"/>
            </w:tcBorders>
            <w:vAlign w:val="center"/>
          </w:tcPr>
          <w:p w14:paraId="253CF74B" w14:textId="41E3DC0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82.3</w:t>
            </w:r>
          </w:p>
        </w:tc>
        <w:tc>
          <w:tcPr>
            <w:tcW w:w="699" w:type="dxa"/>
            <w:tcBorders>
              <w:top w:val="single" w:sz="4" w:space="0" w:color="auto"/>
              <w:left w:val="single" w:sz="4" w:space="0" w:color="auto"/>
              <w:bottom w:val="single" w:sz="4" w:space="0" w:color="auto"/>
              <w:right w:val="single" w:sz="4" w:space="0" w:color="auto"/>
            </w:tcBorders>
            <w:vAlign w:val="center"/>
          </w:tcPr>
          <w:p w14:paraId="2EE7D190" w14:textId="5D7CE6E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74.5</w:t>
            </w:r>
          </w:p>
        </w:tc>
        <w:tc>
          <w:tcPr>
            <w:tcW w:w="698" w:type="dxa"/>
            <w:tcBorders>
              <w:top w:val="single" w:sz="4" w:space="0" w:color="auto"/>
              <w:left w:val="single" w:sz="4" w:space="0" w:color="auto"/>
              <w:bottom w:val="single" w:sz="4" w:space="0" w:color="auto"/>
              <w:right w:val="single" w:sz="4" w:space="0" w:color="auto"/>
            </w:tcBorders>
            <w:vAlign w:val="center"/>
          </w:tcPr>
          <w:p w14:paraId="0E5F4893" w14:textId="1BB367D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77.7</w:t>
            </w:r>
          </w:p>
        </w:tc>
        <w:tc>
          <w:tcPr>
            <w:tcW w:w="699" w:type="dxa"/>
            <w:tcBorders>
              <w:top w:val="single" w:sz="4" w:space="0" w:color="auto"/>
              <w:left w:val="single" w:sz="4" w:space="0" w:color="auto"/>
              <w:bottom w:val="single" w:sz="4" w:space="0" w:color="auto"/>
              <w:right w:val="single" w:sz="4" w:space="0" w:color="auto"/>
            </w:tcBorders>
            <w:vAlign w:val="center"/>
          </w:tcPr>
          <w:p w14:paraId="786FD8E9" w14:textId="4CA36BD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85.8</w:t>
            </w:r>
          </w:p>
        </w:tc>
        <w:tc>
          <w:tcPr>
            <w:tcW w:w="698" w:type="dxa"/>
            <w:tcBorders>
              <w:top w:val="single" w:sz="4" w:space="0" w:color="auto"/>
              <w:left w:val="single" w:sz="4" w:space="0" w:color="auto"/>
              <w:bottom w:val="single" w:sz="4" w:space="0" w:color="auto"/>
              <w:right w:val="single" w:sz="4" w:space="0" w:color="auto"/>
            </w:tcBorders>
            <w:vAlign w:val="center"/>
          </w:tcPr>
          <w:p w14:paraId="75E1549C" w14:textId="346DBF1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86.1</w:t>
            </w:r>
          </w:p>
        </w:tc>
        <w:tc>
          <w:tcPr>
            <w:tcW w:w="699" w:type="dxa"/>
            <w:tcBorders>
              <w:top w:val="single" w:sz="4" w:space="0" w:color="auto"/>
              <w:left w:val="single" w:sz="4" w:space="0" w:color="auto"/>
              <w:bottom w:val="single" w:sz="4" w:space="0" w:color="auto"/>
              <w:right w:val="single" w:sz="4" w:space="0" w:color="auto"/>
            </w:tcBorders>
            <w:vAlign w:val="center"/>
          </w:tcPr>
          <w:p w14:paraId="6077C926" w14:textId="714801C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63.2</w:t>
            </w:r>
          </w:p>
        </w:tc>
        <w:tc>
          <w:tcPr>
            <w:tcW w:w="699" w:type="dxa"/>
            <w:tcBorders>
              <w:top w:val="single" w:sz="4" w:space="0" w:color="auto"/>
              <w:left w:val="single" w:sz="4" w:space="0" w:color="auto"/>
              <w:bottom w:val="single" w:sz="4" w:space="0" w:color="auto"/>
              <w:right w:val="single" w:sz="4" w:space="0" w:color="auto"/>
            </w:tcBorders>
            <w:vAlign w:val="center"/>
          </w:tcPr>
          <w:p w14:paraId="6E6CA6F8" w14:textId="5912DE2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59.4</w:t>
            </w:r>
          </w:p>
        </w:tc>
        <w:tc>
          <w:tcPr>
            <w:tcW w:w="698" w:type="dxa"/>
            <w:tcBorders>
              <w:top w:val="single" w:sz="4" w:space="0" w:color="auto"/>
              <w:left w:val="single" w:sz="4" w:space="0" w:color="auto"/>
              <w:bottom w:val="single" w:sz="4" w:space="0" w:color="auto"/>
              <w:right w:val="single" w:sz="4" w:space="0" w:color="auto"/>
            </w:tcBorders>
            <w:vAlign w:val="center"/>
          </w:tcPr>
          <w:p w14:paraId="594E7513" w14:textId="43E0C27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56.6</w:t>
            </w:r>
          </w:p>
        </w:tc>
        <w:tc>
          <w:tcPr>
            <w:tcW w:w="699" w:type="dxa"/>
            <w:tcBorders>
              <w:top w:val="single" w:sz="4" w:space="0" w:color="auto"/>
              <w:left w:val="single" w:sz="4" w:space="0" w:color="auto"/>
              <w:bottom w:val="single" w:sz="4" w:space="0" w:color="auto"/>
              <w:right w:val="single" w:sz="4" w:space="0" w:color="auto"/>
            </w:tcBorders>
            <w:vAlign w:val="center"/>
          </w:tcPr>
          <w:p w14:paraId="31EE32D8" w14:textId="2090988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40.6</w:t>
            </w:r>
          </w:p>
        </w:tc>
        <w:tc>
          <w:tcPr>
            <w:tcW w:w="698" w:type="dxa"/>
            <w:tcBorders>
              <w:top w:val="single" w:sz="4" w:space="0" w:color="auto"/>
              <w:left w:val="single" w:sz="4" w:space="0" w:color="auto"/>
              <w:bottom w:val="single" w:sz="4" w:space="0" w:color="auto"/>
              <w:right w:val="single" w:sz="4" w:space="0" w:color="auto"/>
            </w:tcBorders>
            <w:vAlign w:val="center"/>
          </w:tcPr>
          <w:p w14:paraId="1A215340" w14:textId="663882A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44.7</w:t>
            </w:r>
          </w:p>
        </w:tc>
        <w:tc>
          <w:tcPr>
            <w:tcW w:w="699" w:type="dxa"/>
            <w:tcBorders>
              <w:top w:val="single" w:sz="4" w:space="0" w:color="auto"/>
              <w:left w:val="single" w:sz="4" w:space="0" w:color="auto"/>
              <w:bottom w:val="single" w:sz="4" w:space="0" w:color="auto"/>
              <w:right w:val="single" w:sz="4" w:space="0" w:color="auto"/>
            </w:tcBorders>
            <w:vAlign w:val="center"/>
          </w:tcPr>
          <w:p w14:paraId="0B837C5E" w14:textId="20FA2EE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66.2</w:t>
            </w:r>
          </w:p>
        </w:tc>
        <w:tc>
          <w:tcPr>
            <w:tcW w:w="698" w:type="dxa"/>
            <w:tcBorders>
              <w:top w:val="single" w:sz="4" w:space="0" w:color="auto"/>
              <w:left w:val="single" w:sz="4" w:space="0" w:color="auto"/>
              <w:bottom w:val="single" w:sz="4" w:space="0" w:color="auto"/>
              <w:right w:val="single" w:sz="4" w:space="0" w:color="auto"/>
            </w:tcBorders>
            <w:vAlign w:val="center"/>
          </w:tcPr>
          <w:p w14:paraId="4E46EBE1" w14:textId="38E6C1D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77.8</w:t>
            </w:r>
          </w:p>
        </w:tc>
        <w:tc>
          <w:tcPr>
            <w:tcW w:w="699" w:type="dxa"/>
            <w:tcBorders>
              <w:top w:val="single" w:sz="4" w:space="0" w:color="auto"/>
              <w:left w:val="single" w:sz="4" w:space="0" w:color="auto"/>
              <w:bottom w:val="single" w:sz="4" w:space="0" w:color="auto"/>
              <w:right w:val="single" w:sz="4" w:space="0" w:color="auto"/>
            </w:tcBorders>
            <w:vAlign w:val="center"/>
          </w:tcPr>
          <w:p w14:paraId="11D3E664" w14:textId="07A63D9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80.1</w:t>
            </w:r>
          </w:p>
        </w:tc>
        <w:tc>
          <w:tcPr>
            <w:tcW w:w="698" w:type="dxa"/>
            <w:tcBorders>
              <w:top w:val="single" w:sz="4" w:space="0" w:color="auto"/>
              <w:left w:val="single" w:sz="4" w:space="0" w:color="auto"/>
              <w:bottom w:val="single" w:sz="4" w:space="0" w:color="auto"/>
              <w:right w:val="single" w:sz="4" w:space="0" w:color="auto"/>
            </w:tcBorders>
            <w:vAlign w:val="center"/>
          </w:tcPr>
          <w:p w14:paraId="093A4108" w14:textId="0F960C2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78.8</w:t>
            </w:r>
          </w:p>
        </w:tc>
        <w:tc>
          <w:tcPr>
            <w:tcW w:w="699" w:type="dxa"/>
            <w:tcBorders>
              <w:top w:val="single" w:sz="4" w:space="0" w:color="auto"/>
              <w:left w:val="single" w:sz="4" w:space="0" w:color="auto"/>
              <w:bottom w:val="single" w:sz="4" w:space="0" w:color="auto"/>
              <w:right w:val="single" w:sz="4" w:space="0" w:color="auto"/>
            </w:tcBorders>
            <w:vAlign w:val="center"/>
          </w:tcPr>
          <w:p w14:paraId="1ADD73F3" w14:textId="0A5CC10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78.5</w:t>
            </w:r>
          </w:p>
        </w:tc>
        <w:tc>
          <w:tcPr>
            <w:tcW w:w="699" w:type="dxa"/>
            <w:tcBorders>
              <w:top w:val="single" w:sz="4" w:space="0" w:color="auto"/>
              <w:left w:val="single" w:sz="4" w:space="0" w:color="auto"/>
              <w:bottom w:val="single" w:sz="4" w:space="0" w:color="auto"/>
              <w:right w:val="single" w:sz="4" w:space="0" w:color="auto"/>
            </w:tcBorders>
            <w:vAlign w:val="center"/>
          </w:tcPr>
          <w:p w14:paraId="3CB5F2EA" w14:textId="453F38B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71.4</w:t>
            </w:r>
          </w:p>
        </w:tc>
      </w:tr>
      <w:tr w:rsidR="00586F7D" w:rsidRPr="00217865" w14:paraId="60D67FD5"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2582D2BF" w14:textId="25705166"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Business and management</w:t>
            </w:r>
          </w:p>
        </w:tc>
        <w:tc>
          <w:tcPr>
            <w:tcW w:w="698" w:type="dxa"/>
            <w:tcBorders>
              <w:top w:val="single" w:sz="4" w:space="0" w:color="auto"/>
              <w:left w:val="single" w:sz="4" w:space="0" w:color="auto"/>
              <w:bottom w:val="single" w:sz="4" w:space="0" w:color="auto"/>
              <w:right w:val="single" w:sz="4" w:space="0" w:color="auto"/>
            </w:tcBorders>
            <w:vAlign w:val="center"/>
          </w:tcPr>
          <w:p w14:paraId="26DBB1B2" w14:textId="60EF8C5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9" w:type="dxa"/>
            <w:tcBorders>
              <w:top w:val="single" w:sz="4" w:space="0" w:color="auto"/>
              <w:left w:val="single" w:sz="4" w:space="0" w:color="auto"/>
              <w:bottom w:val="single" w:sz="4" w:space="0" w:color="auto"/>
              <w:right w:val="single" w:sz="4" w:space="0" w:color="auto"/>
            </w:tcBorders>
            <w:vAlign w:val="center"/>
          </w:tcPr>
          <w:p w14:paraId="553CB801" w14:textId="60E8FBF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8" w:type="dxa"/>
            <w:tcBorders>
              <w:top w:val="single" w:sz="4" w:space="0" w:color="auto"/>
              <w:left w:val="single" w:sz="4" w:space="0" w:color="auto"/>
              <w:bottom w:val="single" w:sz="4" w:space="0" w:color="auto"/>
              <w:right w:val="single" w:sz="4" w:space="0" w:color="auto"/>
            </w:tcBorders>
            <w:vAlign w:val="center"/>
          </w:tcPr>
          <w:p w14:paraId="156BDD00" w14:textId="651627D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81.8</w:t>
            </w:r>
          </w:p>
        </w:tc>
        <w:tc>
          <w:tcPr>
            <w:tcW w:w="699" w:type="dxa"/>
            <w:tcBorders>
              <w:top w:val="single" w:sz="4" w:space="0" w:color="auto"/>
              <w:left w:val="single" w:sz="4" w:space="0" w:color="auto"/>
              <w:bottom w:val="single" w:sz="4" w:space="0" w:color="auto"/>
              <w:right w:val="single" w:sz="4" w:space="0" w:color="auto"/>
            </w:tcBorders>
            <w:vAlign w:val="center"/>
          </w:tcPr>
          <w:p w14:paraId="660A0C49" w14:textId="1E02398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78.8</w:t>
            </w:r>
          </w:p>
        </w:tc>
        <w:tc>
          <w:tcPr>
            <w:tcW w:w="698" w:type="dxa"/>
            <w:tcBorders>
              <w:top w:val="single" w:sz="4" w:space="0" w:color="auto"/>
              <w:left w:val="single" w:sz="4" w:space="0" w:color="auto"/>
              <w:bottom w:val="single" w:sz="4" w:space="0" w:color="auto"/>
              <w:right w:val="single" w:sz="4" w:space="0" w:color="auto"/>
            </w:tcBorders>
            <w:vAlign w:val="center"/>
          </w:tcPr>
          <w:p w14:paraId="2A862AB5" w14:textId="5666615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80.7</w:t>
            </w:r>
          </w:p>
        </w:tc>
        <w:tc>
          <w:tcPr>
            <w:tcW w:w="699" w:type="dxa"/>
            <w:tcBorders>
              <w:top w:val="single" w:sz="4" w:space="0" w:color="auto"/>
              <w:left w:val="single" w:sz="4" w:space="0" w:color="auto"/>
              <w:bottom w:val="single" w:sz="4" w:space="0" w:color="auto"/>
              <w:right w:val="single" w:sz="4" w:space="0" w:color="auto"/>
            </w:tcBorders>
            <w:vAlign w:val="center"/>
          </w:tcPr>
          <w:p w14:paraId="78212197" w14:textId="30B00F6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8" w:type="dxa"/>
            <w:tcBorders>
              <w:top w:val="single" w:sz="4" w:space="0" w:color="auto"/>
              <w:left w:val="single" w:sz="4" w:space="0" w:color="auto"/>
              <w:bottom w:val="single" w:sz="4" w:space="0" w:color="auto"/>
              <w:right w:val="single" w:sz="4" w:space="0" w:color="auto"/>
            </w:tcBorders>
            <w:vAlign w:val="center"/>
          </w:tcPr>
          <w:p w14:paraId="2A1294C5" w14:textId="6D4BDE5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86.2</w:t>
            </w:r>
          </w:p>
        </w:tc>
        <w:tc>
          <w:tcPr>
            <w:tcW w:w="699" w:type="dxa"/>
            <w:tcBorders>
              <w:top w:val="single" w:sz="4" w:space="0" w:color="auto"/>
              <w:left w:val="single" w:sz="4" w:space="0" w:color="auto"/>
              <w:bottom w:val="single" w:sz="4" w:space="0" w:color="auto"/>
              <w:right w:val="single" w:sz="4" w:space="0" w:color="auto"/>
            </w:tcBorders>
            <w:vAlign w:val="center"/>
          </w:tcPr>
          <w:p w14:paraId="25E2073C" w14:textId="129DE6C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57.5</w:t>
            </w:r>
          </w:p>
        </w:tc>
        <w:tc>
          <w:tcPr>
            <w:tcW w:w="699" w:type="dxa"/>
            <w:tcBorders>
              <w:top w:val="single" w:sz="4" w:space="0" w:color="auto"/>
              <w:left w:val="single" w:sz="4" w:space="0" w:color="auto"/>
              <w:bottom w:val="single" w:sz="4" w:space="0" w:color="auto"/>
              <w:right w:val="single" w:sz="4" w:space="0" w:color="auto"/>
            </w:tcBorders>
            <w:vAlign w:val="center"/>
          </w:tcPr>
          <w:p w14:paraId="6B3C4F14" w14:textId="4EAC4B0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58.3</w:t>
            </w:r>
          </w:p>
        </w:tc>
        <w:tc>
          <w:tcPr>
            <w:tcW w:w="698" w:type="dxa"/>
            <w:tcBorders>
              <w:top w:val="single" w:sz="4" w:space="0" w:color="auto"/>
              <w:left w:val="single" w:sz="4" w:space="0" w:color="auto"/>
              <w:bottom w:val="single" w:sz="4" w:space="0" w:color="auto"/>
              <w:right w:val="single" w:sz="4" w:space="0" w:color="auto"/>
            </w:tcBorders>
            <w:vAlign w:val="center"/>
          </w:tcPr>
          <w:p w14:paraId="03B29AA5" w14:textId="42C6E50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60.9</w:t>
            </w:r>
          </w:p>
        </w:tc>
        <w:tc>
          <w:tcPr>
            <w:tcW w:w="699" w:type="dxa"/>
            <w:tcBorders>
              <w:top w:val="single" w:sz="4" w:space="0" w:color="auto"/>
              <w:left w:val="single" w:sz="4" w:space="0" w:color="auto"/>
              <w:bottom w:val="single" w:sz="4" w:space="0" w:color="auto"/>
              <w:right w:val="single" w:sz="4" w:space="0" w:color="auto"/>
            </w:tcBorders>
            <w:vAlign w:val="center"/>
          </w:tcPr>
          <w:p w14:paraId="75E36077" w14:textId="634CC15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50.3</w:t>
            </w:r>
          </w:p>
        </w:tc>
        <w:tc>
          <w:tcPr>
            <w:tcW w:w="698" w:type="dxa"/>
            <w:tcBorders>
              <w:top w:val="single" w:sz="4" w:space="0" w:color="auto"/>
              <w:left w:val="single" w:sz="4" w:space="0" w:color="auto"/>
              <w:bottom w:val="single" w:sz="4" w:space="0" w:color="auto"/>
              <w:right w:val="single" w:sz="4" w:space="0" w:color="auto"/>
            </w:tcBorders>
            <w:vAlign w:val="center"/>
          </w:tcPr>
          <w:p w14:paraId="2EF89BBC" w14:textId="12A2F0B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51.5</w:t>
            </w:r>
          </w:p>
        </w:tc>
        <w:tc>
          <w:tcPr>
            <w:tcW w:w="699" w:type="dxa"/>
            <w:tcBorders>
              <w:top w:val="single" w:sz="4" w:space="0" w:color="auto"/>
              <w:left w:val="single" w:sz="4" w:space="0" w:color="auto"/>
              <w:bottom w:val="single" w:sz="4" w:space="0" w:color="auto"/>
              <w:right w:val="single" w:sz="4" w:space="0" w:color="auto"/>
            </w:tcBorders>
            <w:vAlign w:val="center"/>
          </w:tcPr>
          <w:p w14:paraId="127B415C" w14:textId="0FFA685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64.6</w:t>
            </w:r>
          </w:p>
        </w:tc>
        <w:tc>
          <w:tcPr>
            <w:tcW w:w="698" w:type="dxa"/>
            <w:tcBorders>
              <w:top w:val="single" w:sz="4" w:space="0" w:color="auto"/>
              <w:left w:val="single" w:sz="4" w:space="0" w:color="auto"/>
              <w:bottom w:val="single" w:sz="4" w:space="0" w:color="auto"/>
              <w:right w:val="single" w:sz="4" w:space="0" w:color="auto"/>
            </w:tcBorders>
            <w:vAlign w:val="center"/>
          </w:tcPr>
          <w:p w14:paraId="1D871388" w14:textId="148197B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77.2</w:t>
            </w:r>
          </w:p>
        </w:tc>
        <w:tc>
          <w:tcPr>
            <w:tcW w:w="699" w:type="dxa"/>
            <w:tcBorders>
              <w:top w:val="single" w:sz="4" w:space="0" w:color="auto"/>
              <w:left w:val="single" w:sz="4" w:space="0" w:color="auto"/>
              <w:bottom w:val="single" w:sz="4" w:space="0" w:color="auto"/>
              <w:right w:val="single" w:sz="4" w:space="0" w:color="auto"/>
            </w:tcBorders>
            <w:vAlign w:val="center"/>
          </w:tcPr>
          <w:p w14:paraId="62050938" w14:textId="4AA7081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78.5</w:t>
            </w:r>
          </w:p>
        </w:tc>
        <w:tc>
          <w:tcPr>
            <w:tcW w:w="698" w:type="dxa"/>
            <w:tcBorders>
              <w:top w:val="single" w:sz="4" w:space="0" w:color="auto"/>
              <w:left w:val="single" w:sz="4" w:space="0" w:color="auto"/>
              <w:bottom w:val="single" w:sz="4" w:space="0" w:color="auto"/>
              <w:right w:val="single" w:sz="4" w:space="0" w:color="auto"/>
            </w:tcBorders>
            <w:vAlign w:val="center"/>
          </w:tcPr>
          <w:p w14:paraId="763F87C0" w14:textId="04EE8A2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79.4</w:t>
            </w:r>
          </w:p>
        </w:tc>
        <w:tc>
          <w:tcPr>
            <w:tcW w:w="699" w:type="dxa"/>
            <w:tcBorders>
              <w:top w:val="single" w:sz="4" w:space="0" w:color="auto"/>
              <w:left w:val="single" w:sz="4" w:space="0" w:color="auto"/>
              <w:bottom w:val="single" w:sz="4" w:space="0" w:color="auto"/>
              <w:right w:val="single" w:sz="4" w:space="0" w:color="auto"/>
            </w:tcBorders>
            <w:vAlign w:val="center"/>
          </w:tcPr>
          <w:p w14:paraId="7E47CBDB" w14:textId="4E363F8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79.7</w:t>
            </w:r>
          </w:p>
        </w:tc>
        <w:tc>
          <w:tcPr>
            <w:tcW w:w="699" w:type="dxa"/>
            <w:tcBorders>
              <w:top w:val="single" w:sz="4" w:space="0" w:color="auto"/>
              <w:left w:val="single" w:sz="4" w:space="0" w:color="auto"/>
              <w:bottom w:val="single" w:sz="4" w:space="0" w:color="auto"/>
              <w:right w:val="single" w:sz="4" w:space="0" w:color="auto"/>
            </w:tcBorders>
            <w:vAlign w:val="center"/>
          </w:tcPr>
          <w:p w14:paraId="23647B2F" w14:textId="2BBCA92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76.1</w:t>
            </w:r>
          </w:p>
        </w:tc>
      </w:tr>
      <w:tr w:rsidR="00586F7D" w:rsidRPr="00217865" w14:paraId="431C8B11"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1FF2EC57" w14:textId="7FB1FDC1"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Communications</w:t>
            </w:r>
          </w:p>
        </w:tc>
        <w:tc>
          <w:tcPr>
            <w:tcW w:w="698" w:type="dxa"/>
            <w:tcBorders>
              <w:top w:val="single" w:sz="4" w:space="0" w:color="auto"/>
              <w:left w:val="single" w:sz="4" w:space="0" w:color="auto"/>
              <w:bottom w:val="single" w:sz="4" w:space="0" w:color="auto"/>
              <w:right w:val="single" w:sz="4" w:space="0" w:color="auto"/>
            </w:tcBorders>
            <w:vAlign w:val="center"/>
          </w:tcPr>
          <w:p w14:paraId="456196E7" w14:textId="6A60C4F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82.8</w:t>
            </w:r>
          </w:p>
        </w:tc>
        <w:tc>
          <w:tcPr>
            <w:tcW w:w="699" w:type="dxa"/>
            <w:tcBorders>
              <w:top w:val="single" w:sz="4" w:space="0" w:color="auto"/>
              <w:left w:val="single" w:sz="4" w:space="0" w:color="auto"/>
              <w:bottom w:val="single" w:sz="4" w:space="0" w:color="auto"/>
              <w:right w:val="single" w:sz="4" w:space="0" w:color="auto"/>
            </w:tcBorders>
            <w:vAlign w:val="center"/>
          </w:tcPr>
          <w:p w14:paraId="4BE6F8D4" w14:textId="2DD48A2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8" w:type="dxa"/>
            <w:tcBorders>
              <w:top w:val="single" w:sz="4" w:space="0" w:color="auto"/>
              <w:left w:val="single" w:sz="4" w:space="0" w:color="auto"/>
              <w:bottom w:val="single" w:sz="4" w:space="0" w:color="auto"/>
              <w:right w:val="single" w:sz="4" w:space="0" w:color="auto"/>
            </w:tcBorders>
            <w:vAlign w:val="center"/>
          </w:tcPr>
          <w:p w14:paraId="76E4BFD8" w14:textId="4DC5CBD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81.9</w:t>
            </w:r>
          </w:p>
        </w:tc>
        <w:tc>
          <w:tcPr>
            <w:tcW w:w="699" w:type="dxa"/>
            <w:tcBorders>
              <w:top w:val="single" w:sz="4" w:space="0" w:color="auto"/>
              <w:left w:val="single" w:sz="4" w:space="0" w:color="auto"/>
              <w:bottom w:val="single" w:sz="4" w:space="0" w:color="auto"/>
              <w:right w:val="single" w:sz="4" w:space="0" w:color="auto"/>
            </w:tcBorders>
            <w:vAlign w:val="center"/>
          </w:tcPr>
          <w:p w14:paraId="40A0B1B6" w14:textId="382AF69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72.3</w:t>
            </w:r>
          </w:p>
        </w:tc>
        <w:tc>
          <w:tcPr>
            <w:tcW w:w="698" w:type="dxa"/>
            <w:tcBorders>
              <w:top w:val="single" w:sz="4" w:space="0" w:color="auto"/>
              <w:left w:val="single" w:sz="4" w:space="0" w:color="auto"/>
              <w:bottom w:val="single" w:sz="4" w:space="0" w:color="auto"/>
              <w:right w:val="single" w:sz="4" w:space="0" w:color="auto"/>
            </w:tcBorders>
            <w:vAlign w:val="center"/>
          </w:tcPr>
          <w:p w14:paraId="6FCE70DA" w14:textId="14694E6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79.2</w:t>
            </w:r>
          </w:p>
        </w:tc>
        <w:tc>
          <w:tcPr>
            <w:tcW w:w="699" w:type="dxa"/>
            <w:tcBorders>
              <w:top w:val="single" w:sz="4" w:space="0" w:color="auto"/>
              <w:left w:val="single" w:sz="4" w:space="0" w:color="auto"/>
              <w:bottom w:val="single" w:sz="4" w:space="0" w:color="auto"/>
              <w:right w:val="single" w:sz="4" w:space="0" w:color="auto"/>
            </w:tcBorders>
            <w:vAlign w:val="center"/>
          </w:tcPr>
          <w:p w14:paraId="5DCC3DF3" w14:textId="26F12AF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88.9</w:t>
            </w:r>
          </w:p>
        </w:tc>
        <w:tc>
          <w:tcPr>
            <w:tcW w:w="698" w:type="dxa"/>
            <w:tcBorders>
              <w:top w:val="single" w:sz="4" w:space="0" w:color="auto"/>
              <w:left w:val="single" w:sz="4" w:space="0" w:color="auto"/>
              <w:bottom w:val="single" w:sz="4" w:space="0" w:color="auto"/>
              <w:right w:val="single" w:sz="4" w:space="0" w:color="auto"/>
            </w:tcBorders>
            <w:vAlign w:val="center"/>
          </w:tcPr>
          <w:p w14:paraId="7F717CB3" w14:textId="0D0A415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85.0</w:t>
            </w:r>
          </w:p>
        </w:tc>
        <w:tc>
          <w:tcPr>
            <w:tcW w:w="699" w:type="dxa"/>
            <w:tcBorders>
              <w:top w:val="single" w:sz="4" w:space="0" w:color="auto"/>
              <w:left w:val="single" w:sz="4" w:space="0" w:color="auto"/>
              <w:bottom w:val="single" w:sz="4" w:space="0" w:color="auto"/>
              <w:right w:val="single" w:sz="4" w:space="0" w:color="auto"/>
            </w:tcBorders>
            <w:vAlign w:val="center"/>
          </w:tcPr>
          <w:p w14:paraId="3FC9CEAC" w14:textId="5D7A5B6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53.0</w:t>
            </w:r>
          </w:p>
        </w:tc>
        <w:tc>
          <w:tcPr>
            <w:tcW w:w="699" w:type="dxa"/>
            <w:tcBorders>
              <w:top w:val="single" w:sz="4" w:space="0" w:color="auto"/>
              <w:left w:val="single" w:sz="4" w:space="0" w:color="auto"/>
              <w:bottom w:val="single" w:sz="4" w:space="0" w:color="auto"/>
              <w:right w:val="single" w:sz="4" w:space="0" w:color="auto"/>
            </w:tcBorders>
            <w:vAlign w:val="center"/>
          </w:tcPr>
          <w:p w14:paraId="3C0A68D6" w14:textId="3A10AD3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60.0</w:t>
            </w:r>
          </w:p>
        </w:tc>
        <w:tc>
          <w:tcPr>
            <w:tcW w:w="698" w:type="dxa"/>
            <w:tcBorders>
              <w:top w:val="single" w:sz="4" w:space="0" w:color="auto"/>
              <w:left w:val="single" w:sz="4" w:space="0" w:color="auto"/>
              <w:bottom w:val="single" w:sz="4" w:space="0" w:color="auto"/>
              <w:right w:val="single" w:sz="4" w:space="0" w:color="auto"/>
            </w:tcBorders>
            <w:vAlign w:val="center"/>
          </w:tcPr>
          <w:p w14:paraId="7664B71A" w14:textId="2CD134E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53.4</w:t>
            </w:r>
          </w:p>
        </w:tc>
        <w:tc>
          <w:tcPr>
            <w:tcW w:w="699" w:type="dxa"/>
            <w:tcBorders>
              <w:top w:val="single" w:sz="4" w:space="0" w:color="auto"/>
              <w:left w:val="single" w:sz="4" w:space="0" w:color="auto"/>
              <w:bottom w:val="single" w:sz="4" w:space="0" w:color="auto"/>
              <w:right w:val="single" w:sz="4" w:space="0" w:color="auto"/>
            </w:tcBorders>
            <w:vAlign w:val="center"/>
          </w:tcPr>
          <w:p w14:paraId="10D146BA" w14:textId="70E73E4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36.1</w:t>
            </w:r>
          </w:p>
        </w:tc>
        <w:tc>
          <w:tcPr>
            <w:tcW w:w="698" w:type="dxa"/>
            <w:tcBorders>
              <w:top w:val="single" w:sz="4" w:space="0" w:color="auto"/>
              <w:left w:val="single" w:sz="4" w:space="0" w:color="auto"/>
              <w:bottom w:val="single" w:sz="4" w:space="0" w:color="auto"/>
              <w:right w:val="single" w:sz="4" w:space="0" w:color="auto"/>
            </w:tcBorders>
            <w:vAlign w:val="center"/>
          </w:tcPr>
          <w:p w14:paraId="4792FECC" w14:textId="724E45F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42.8</w:t>
            </w:r>
          </w:p>
        </w:tc>
        <w:tc>
          <w:tcPr>
            <w:tcW w:w="699" w:type="dxa"/>
            <w:tcBorders>
              <w:top w:val="single" w:sz="4" w:space="0" w:color="auto"/>
              <w:left w:val="single" w:sz="4" w:space="0" w:color="auto"/>
              <w:bottom w:val="single" w:sz="4" w:space="0" w:color="auto"/>
              <w:right w:val="single" w:sz="4" w:space="0" w:color="auto"/>
            </w:tcBorders>
            <w:vAlign w:val="center"/>
          </w:tcPr>
          <w:p w14:paraId="6D45BEE9" w14:textId="3FDF433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63.5</w:t>
            </w:r>
          </w:p>
        </w:tc>
        <w:tc>
          <w:tcPr>
            <w:tcW w:w="698" w:type="dxa"/>
            <w:tcBorders>
              <w:top w:val="single" w:sz="4" w:space="0" w:color="auto"/>
              <w:left w:val="single" w:sz="4" w:space="0" w:color="auto"/>
              <w:bottom w:val="single" w:sz="4" w:space="0" w:color="auto"/>
              <w:right w:val="single" w:sz="4" w:space="0" w:color="auto"/>
            </w:tcBorders>
            <w:vAlign w:val="center"/>
          </w:tcPr>
          <w:p w14:paraId="27B9D294" w14:textId="732356A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74.8</w:t>
            </w:r>
          </w:p>
        </w:tc>
        <w:tc>
          <w:tcPr>
            <w:tcW w:w="699" w:type="dxa"/>
            <w:tcBorders>
              <w:top w:val="single" w:sz="4" w:space="0" w:color="auto"/>
              <w:left w:val="single" w:sz="4" w:space="0" w:color="auto"/>
              <w:bottom w:val="single" w:sz="4" w:space="0" w:color="auto"/>
              <w:right w:val="single" w:sz="4" w:space="0" w:color="auto"/>
            </w:tcBorders>
            <w:vAlign w:val="center"/>
          </w:tcPr>
          <w:p w14:paraId="1ED03AD4" w14:textId="2DBFEFD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c>
          <w:tcPr>
            <w:tcW w:w="698" w:type="dxa"/>
            <w:tcBorders>
              <w:top w:val="single" w:sz="4" w:space="0" w:color="auto"/>
              <w:left w:val="single" w:sz="4" w:space="0" w:color="auto"/>
              <w:bottom w:val="single" w:sz="4" w:space="0" w:color="auto"/>
              <w:right w:val="single" w:sz="4" w:space="0" w:color="auto"/>
            </w:tcBorders>
            <w:vAlign w:val="center"/>
          </w:tcPr>
          <w:p w14:paraId="356DA04C" w14:textId="376063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9" w:type="dxa"/>
            <w:tcBorders>
              <w:top w:val="single" w:sz="4" w:space="0" w:color="auto"/>
              <w:left w:val="single" w:sz="4" w:space="0" w:color="auto"/>
              <w:bottom w:val="single" w:sz="4" w:space="0" w:color="auto"/>
              <w:right w:val="single" w:sz="4" w:space="0" w:color="auto"/>
            </w:tcBorders>
            <w:vAlign w:val="center"/>
          </w:tcPr>
          <w:p w14:paraId="49AB4FD0" w14:textId="07D4C91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9" w:type="dxa"/>
            <w:tcBorders>
              <w:top w:val="single" w:sz="4" w:space="0" w:color="auto"/>
              <w:left w:val="single" w:sz="4" w:space="0" w:color="auto"/>
              <w:bottom w:val="single" w:sz="4" w:space="0" w:color="auto"/>
              <w:right w:val="single" w:sz="4" w:space="0" w:color="auto"/>
            </w:tcBorders>
            <w:vAlign w:val="center"/>
          </w:tcPr>
          <w:p w14:paraId="4C21ADFC" w14:textId="093235D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72.7</w:t>
            </w:r>
          </w:p>
        </w:tc>
      </w:tr>
      <w:tr w:rsidR="00586F7D" w:rsidRPr="00217865" w14:paraId="23C599C9" w14:textId="77777777" w:rsidTr="007301B9">
        <w:trPr>
          <w:trHeight w:val="471"/>
        </w:trPr>
        <w:tc>
          <w:tcPr>
            <w:tcW w:w="2555" w:type="dxa"/>
            <w:tcBorders>
              <w:top w:val="single" w:sz="4" w:space="0" w:color="auto"/>
              <w:left w:val="single" w:sz="4" w:space="0" w:color="auto"/>
              <w:bottom w:val="single" w:sz="4" w:space="0" w:color="auto"/>
              <w:right w:val="single" w:sz="4" w:space="0" w:color="auto"/>
            </w:tcBorders>
            <w:vAlign w:val="center"/>
            <w:hideMark/>
          </w:tcPr>
          <w:p w14:paraId="390FE1F2" w14:textId="5C1ED8A4"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Computing and information systems</w:t>
            </w:r>
          </w:p>
        </w:tc>
        <w:tc>
          <w:tcPr>
            <w:tcW w:w="698" w:type="dxa"/>
            <w:tcBorders>
              <w:top w:val="single" w:sz="4" w:space="0" w:color="auto"/>
              <w:left w:val="single" w:sz="4" w:space="0" w:color="auto"/>
              <w:bottom w:val="single" w:sz="4" w:space="0" w:color="auto"/>
              <w:right w:val="single" w:sz="4" w:space="0" w:color="auto"/>
            </w:tcBorders>
            <w:vAlign w:val="center"/>
          </w:tcPr>
          <w:p w14:paraId="315BC16E" w14:textId="266A02B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81.4</w:t>
            </w:r>
          </w:p>
        </w:tc>
        <w:tc>
          <w:tcPr>
            <w:tcW w:w="699" w:type="dxa"/>
            <w:tcBorders>
              <w:top w:val="single" w:sz="4" w:space="0" w:color="auto"/>
              <w:left w:val="single" w:sz="4" w:space="0" w:color="auto"/>
              <w:bottom w:val="single" w:sz="4" w:space="0" w:color="auto"/>
              <w:right w:val="single" w:sz="4" w:space="0" w:color="auto"/>
            </w:tcBorders>
            <w:vAlign w:val="center"/>
          </w:tcPr>
          <w:p w14:paraId="28185B80" w14:textId="5CBA682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698" w:type="dxa"/>
            <w:tcBorders>
              <w:top w:val="single" w:sz="4" w:space="0" w:color="auto"/>
              <w:left w:val="single" w:sz="4" w:space="0" w:color="auto"/>
              <w:bottom w:val="single" w:sz="4" w:space="0" w:color="auto"/>
              <w:right w:val="single" w:sz="4" w:space="0" w:color="auto"/>
            </w:tcBorders>
            <w:vAlign w:val="center"/>
          </w:tcPr>
          <w:p w14:paraId="497AFC5D" w14:textId="7639CDF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699" w:type="dxa"/>
            <w:tcBorders>
              <w:top w:val="single" w:sz="4" w:space="0" w:color="auto"/>
              <w:left w:val="single" w:sz="4" w:space="0" w:color="auto"/>
              <w:bottom w:val="single" w:sz="4" w:space="0" w:color="auto"/>
              <w:right w:val="single" w:sz="4" w:space="0" w:color="auto"/>
            </w:tcBorders>
            <w:vAlign w:val="center"/>
          </w:tcPr>
          <w:p w14:paraId="0E3064D7" w14:textId="5FCA1DA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74.0</w:t>
            </w:r>
          </w:p>
        </w:tc>
        <w:tc>
          <w:tcPr>
            <w:tcW w:w="698" w:type="dxa"/>
            <w:tcBorders>
              <w:top w:val="single" w:sz="4" w:space="0" w:color="auto"/>
              <w:left w:val="single" w:sz="4" w:space="0" w:color="auto"/>
              <w:bottom w:val="single" w:sz="4" w:space="0" w:color="auto"/>
              <w:right w:val="single" w:sz="4" w:space="0" w:color="auto"/>
            </w:tcBorders>
            <w:vAlign w:val="center"/>
          </w:tcPr>
          <w:p w14:paraId="7199328A" w14:textId="67DF9BD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75.6</w:t>
            </w:r>
          </w:p>
        </w:tc>
        <w:tc>
          <w:tcPr>
            <w:tcW w:w="699" w:type="dxa"/>
            <w:tcBorders>
              <w:top w:val="single" w:sz="4" w:space="0" w:color="auto"/>
              <w:left w:val="single" w:sz="4" w:space="0" w:color="auto"/>
              <w:bottom w:val="single" w:sz="4" w:space="0" w:color="auto"/>
              <w:right w:val="single" w:sz="4" w:space="0" w:color="auto"/>
            </w:tcBorders>
            <w:vAlign w:val="center"/>
          </w:tcPr>
          <w:p w14:paraId="1D34DF4E" w14:textId="0869F4E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80.7</w:t>
            </w:r>
          </w:p>
        </w:tc>
        <w:tc>
          <w:tcPr>
            <w:tcW w:w="698" w:type="dxa"/>
            <w:tcBorders>
              <w:top w:val="single" w:sz="4" w:space="0" w:color="auto"/>
              <w:left w:val="single" w:sz="4" w:space="0" w:color="auto"/>
              <w:bottom w:val="single" w:sz="4" w:space="0" w:color="auto"/>
              <w:right w:val="single" w:sz="4" w:space="0" w:color="auto"/>
            </w:tcBorders>
            <w:vAlign w:val="center"/>
          </w:tcPr>
          <w:p w14:paraId="106780E4" w14:textId="63E4F01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81.6</w:t>
            </w:r>
          </w:p>
        </w:tc>
        <w:tc>
          <w:tcPr>
            <w:tcW w:w="699" w:type="dxa"/>
            <w:tcBorders>
              <w:top w:val="single" w:sz="4" w:space="0" w:color="auto"/>
              <w:left w:val="single" w:sz="4" w:space="0" w:color="auto"/>
              <w:bottom w:val="single" w:sz="4" w:space="0" w:color="auto"/>
              <w:right w:val="single" w:sz="4" w:space="0" w:color="auto"/>
            </w:tcBorders>
            <w:vAlign w:val="center"/>
          </w:tcPr>
          <w:p w14:paraId="6DC85E3A" w14:textId="47986BF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61.5</w:t>
            </w:r>
          </w:p>
        </w:tc>
        <w:tc>
          <w:tcPr>
            <w:tcW w:w="699" w:type="dxa"/>
            <w:tcBorders>
              <w:top w:val="single" w:sz="4" w:space="0" w:color="auto"/>
              <w:left w:val="single" w:sz="4" w:space="0" w:color="auto"/>
              <w:bottom w:val="single" w:sz="4" w:space="0" w:color="auto"/>
              <w:right w:val="single" w:sz="4" w:space="0" w:color="auto"/>
            </w:tcBorders>
            <w:vAlign w:val="center"/>
          </w:tcPr>
          <w:p w14:paraId="3AD3C823" w14:textId="3D71B02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61.0</w:t>
            </w:r>
          </w:p>
        </w:tc>
        <w:tc>
          <w:tcPr>
            <w:tcW w:w="698" w:type="dxa"/>
            <w:tcBorders>
              <w:top w:val="single" w:sz="4" w:space="0" w:color="auto"/>
              <w:left w:val="single" w:sz="4" w:space="0" w:color="auto"/>
              <w:bottom w:val="single" w:sz="4" w:space="0" w:color="auto"/>
              <w:right w:val="single" w:sz="4" w:space="0" w:color="auto"/>
            </w:tcBorders>
            <w:vAlign w:val="center"/>
          </w:tcPr>
          <w:p w14:paraId="69B1C44C" w14:textId="4D808DF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60.8</w:t>
            </w:r>
          </w:p>
        </w:tc>
        <w:tc>
          <w:tcPr>
            <w:tcW w:w="699" w:type="dxa"/>
            <w:tcBorders>
              <w:top w:val="single" w:sz="4" w:space="0" w:color="auto"/>
              <w:left w:val="single" w:sz="4" w:space="0" w:color="auto"/>
              <w:bottom w:val="single" w:sz="4" w:space="0" w:color="auto"/>
              <w:right w:val="single" w:sz="4" w:space="0" w:color="auto"/>
            </w:tcBorders>
            <w:vAlign w:val="center"/>
          </w:tcPr>
          <w:p w14:paraId="63C492CA" w14:textId="57D2C12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47.9</w:t>
            </w:r>
          </w:p>
        </w:tc>
        <w:tc>
          <w:tcPr>
            <w:tcW w:w="698" w:type="dxa"/>
            <w:tcBorders>
              <w:top w:val="single" w:sz="4" w:space="0" w:color="auto"/>
              <w:left w:val="single" w:sz="4" w:space="0" w:color="auto"/>
              <w:bottom w:val="single" w:sz="4" w:space="0" w:color="auto"/>
              <w:right w:val="single" w:sz="4" w:space="0" w:color="auto"/>
            </w:tcBorders>
            <w:vAlign w:val="center"/>
          </w:tcPr>
          <w:p w14:paraId="074040E7" w14:textId="4B48C42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50.4</w:t>
            </w:r>
          </w:p>
        </w:tc>
        <w:tc>
          <w:tcPr>
            <w:tcW w:w="699" w:type="dxa"/>
            <w:tcBorders>
              <w:top w:val="single" w:sz="4" w:space="0" w:color="auto"/>
              <w:left w:val="single" w:sz="4" w:space="0" w:color="auto"/>
              <w:bottom w:val="single" w:sz="4" w:space="0" w:color="auto"/>
              <w:right w:val="single" w:sz="4" w:space="0" w:color="auto"/>
            </w:tcBorders>
            <w:vAlign w:val="center"/>
          </w:tcPr>
          <w:p w14:paraId="47069883" w14:textId="4199842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60.5</w:t>
            </w:r>
          </w:p>
        </w:tc>
        <w:tc>
          <w:tcPr>
            <w:tcW w:w="698" w:type="dxa"/>
            <w:tcBorders>
              <w:top w:val="single" w:sz="4" w:space="0" w:color="auto"/>
              <w:left w:val="single" w:sz="4" w:space="0" w:color="auto"/>
              <w:bottom w:val="single" w:sz="4" w:space="0" w:color="auto"/>
              <w:right w:val="single" w:sz="4" w:space="0" w:color="auto"/>
            </w:tcBorders>
            <w:vAlign w:val="center"/>
          </w:tcPr>
          <w:p w14:paraId="6315B513" w14:textId="396F954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72.9</w:t>
            </w:r>
          </w:p>
        </w:tc>
        <w:tc>
          <w:tcPr>
            <w:tcW w:w="699" w:type="dxa"/>
            <w:tcBorders>
              <w:top w:val="single" w:sz="4" w:space="0" w:color="auto"/>
              <w:left w:val="single" w:sz="4" w:space="0" w:color="auto"/>
              <w:bottom w:val="single" w:sz="4" w:space="0" w:color="auto"/>
              <w:right w:val="single" w:sz="4" w:space="0" w:color="auto"/>
            </w:tcBorders>
            <w:vAlign w:val="center"/>
          </w:tcPr>
          <w:p w14:paraId="52D091C9" w14:textId="08BF693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80.1</w:t>
            </w:r>
          </w:p>
        </w:tc>
        <w:tc>
          <w:tcPr>
            <w:tcW w:w="698" w:type="dxa"/>
            <w:tcBorders>
              <w:top w:val="single" w:sz="4" w:space="0" w:color="auto"/>
              <w:left w:val="single" w:sz="4" w:space="0" w:color="auto"/>
              <w:bottom w:val="single" w:sz="4" w:space="0" w:color="auto"/>
              <w:right w:val="single" w:sz="4" w:space="0" w:color="auto"/>
            </w:tcBorders>
            <w:vAlign w:val="center"/>
          </w:tcPr>
          <w:p w14:paraId="2675BDD6" w14:textId="3B392C6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77.8</w:t>
            </w:r>
          </w:p>
        </w:tc>
        <w:tc>
          <w:tcPr>
            <w:tcW w:w="699" w:type="dxa"/>
            <w:tcBorders>
              <w:top w:val="single" w:sz="4" w:space="0" w:color="auto"/>
              <w:left w:val="single" w:sz="4" w:space="0" w:color="auto"/>
              <w:bottom w:val="single" w:sz="4" w:space="0" w:color="auto"/>
              <w:right w:val="single" w:sz="4" w:space="0" w:color="auto"/>
            </w:tcBorders>
            <w:vAlign w:val="center"/>
          </w:tcPr>
          <w:p w14:paraId="0E009136" w14:textId="1B6A090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77.3</w:t>
            </w:r>
          </w:p>
        </w:tc>
        <w:tc>
          <w:tcPr>
            <w:tcW w:w="699" w:type="dxa"/>
            <w:tcBorders>
              <w:top w:val="single" w:sz="4" w:space="0" w:color="auto"/>
              <w:left w:val="single" w:sz="4" w:space="0" w:color="auto"/>
              <w:bottom w:val="single" w:sz="4" w:space="0" w:color="auto"/>
              <w:right w:val="single" w:sz="4" w:space="0" w:color="auto"/>
            </w:tcBorders>
            <w:vAlign w:val="center"/>
          </w:tcPr>
          <w:p w14:paraId="46CF8F9F" w14:textId="4DE9D4B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70.4</w:t>
            </w:r>
          </w:p>
        </w:tc>
      </w:tr>
      <w:tr w:rsidR="00586F7D" w:rsidRPr="00217865" w14:paraId="78604BD6"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6EA97162" w14:textId="1E927C00"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Creative arts</w:t>
            </w:r>
          </w:p>
        </w:tc>
        <w:tc>
          <w:tcPr>
            <w:tcW w:w="698" w:type="dxa"/>
            <w:tcBorders>
              <w:top w:val="single" w:sz="4" w:space="0" w:color="auto"/>
              <w:left w:val="single" w:sz="4" w:space="0" w:color="auto"/>
              <w:bottom w:val="single" w:sz="4" w:space="0" w:color="auto"/>
              <w:right w:val="single" w:sz="4" w:space="0" w:color="auto"/>
            </w:tcBorders>
            <w:vAlign w:val="center"/>
          </w:tcPr>
          <w:p w14:paraId="756FB3BC" w14:textId="74ABC7B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80.3</w:t>
            </w:r>
          </w:p>
        </w:tc>
        <w:tc>
          <w:tcPr>
            <w:tcW w:w="699" w:type="dxa"/>
            <w:tcBorders>
              <w:top w:val="single" w:sz="4" w:space="0" w:color="auto"/>
              <w:left w:val="single" w:sz="4" w:space="0" w:color="auto"/>
              <w:bottom w:val="single" w:sz="4" w:space="0" w:color="auto"/>
              <w:right w:val="single" w:sz="4" w:space="0" w:color="auto"/>
            </w:tcBorders>
            <w:vAlign w:val="center"/>
          </w:tcPr>
          <w:p w14:paraId="594F2C4E" w14:textId="7D19AEC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81.0</w:t>
            </w:r>
          </w:p>
        </w:tc>
        <w:tc>
          <w:tcPr>
            <w:tcW w:w="698" w:type="dxa"/>
            <w:tcBorders>
              <w:top w:val="single" w:sz="4" w:space="0" w:color="auto"/>
              <w:left w:val="single" w:sz="4" w:space="0" w:color="auto"/>
              <w:bottom w:val="single" w:sz="4" w:space="0" w:color="auto"/>
              <w:right w:val="single" w:sz="4" w:space="0" w:color="auto"/>
            </w:tcBorders>
            <w:vAlign w:val="center"/>
          </w:tcPr>
          <w:p w14:paraId="4D6393A9" w14:textId="5D5275A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78.6</w:t>
            </w:r>
          </w:p>
        </w:tc>
        <w:tc>
          <w:tcPr>
            <w:tcW w:w="699" w:type="dxa"/>
            <w:tcBorders>
              <w:top w:val="single" w:sz="4" w:space="0" w:color="auto"/>
              <w:left w:val="single" w:sz="4" w:space="0" w:color="auto"/>
              <w:bottom w:val="single" w:sz="4" w:space="0" w:color="auto"/>
              <w:right w:val="single" w:sz="4" w:space="0" w:color="auto"/>
            </w:tcBorders>
            <w:vAlign w:val="center"/>
          </w:tcPr>
          <w:p w14:paraId="0024A6BF" w14:textId="3F77BF5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71.5</w:t>
            </w:r>
          </w:p>
        </w:tc>
        <w:tc>
          <w:tcPr>
            <w:tcW w:w="698" w:type="dxa"/>
            <w:tcBorders>
              <w:top w:val="single" w:sz="4" w:space="0" w:color="auto"/>
              <w:left w:val="single" w:sz="4" w:space="0" w:color="auto"/>
              <w:bottom w:val="single" w:sz="4" w:space="0" w:color="auto"/>
              <w:right w:val="single" w:sz="4" w:space="0" w:color="auto"/>
            </w:tcBorders>
            <w:vAlign w:val="center"/>
          </w:tcPr>
          <w:p w14:paraId="191D9387" w14:textId="2A1CFA8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79.0</w:t>
            </w:r>
          </w:p>
        </w:tc>
        <w:tc>
          <w:tcPr>
            <w:tcW w:w="699" w:type="dxa"/>
            <w:tcBorders>
              <w:top w:val="single" w:sz="4" w:space="0" w:color="auto"/>
              <w:left w:val="single" w:sz="4" w:space="0" w:color="auto"/>
              <w:bottom w:val="single" w:sz="4" w:space="0" w:color="auto"/>
              <w:right w:val="single" w:sz="4" w:space="0" w:color="auto"/>
            </w:tcBorders>
            <w:vAlign w:val="center"/>
          </w:tcPr>
          <w:p w14:paraId="1EB166FB" w14:textId="7A7D8D3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82.2</w:t>
            </w:r>
          </w:p>
        </w:tc>
        <w:tc>
          <w:tcPr>
            <w:tcW w:w="698" w:type="dxa"/>
            <w:tcBorders>
              <w:top w:val="single" w:sz="4" w:space="0" w:color="auto"/>
              <w:left w:val="single" w:sz="4" w:space="0" w:color="auto"/>
              <w:bottom w:val="single" w:sz="4" w:space="0" w:color="auto"/>
              <w:right w:val="single" w:sz="4" w:space="0" w:color="auto"/>
            </w:tcBorders>
            <w:vAlign w:val="center"/>
          </w:tcPr>
          <w:p w14:paraId="16C8713A" w14:textId="063C2FF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84.0</w:t>
            </w:r>
          </w:p>
        </w:tc>
        <w:tc>
          <w:tcPr>
            <w:tcW w:w="699" w:type="dxa"/>
            <w:tcBorders>
              <w:top w:val="single" w:sz="4" w:space="0" w:color="auto"/>
              <w:left w:val="single" w:sz="4" w:space="0" w:color="auto"/>
              <w:bottom w:val="single" w:sz="4" w:space="0" w:color="auto"/>
              <w:right w:val="single" w:sz="4" w:space="0" w:color="auto"/>
            </w:tcBorders>
            <w:vAlign w:val="center"/>
          </w:tcPr>
          <w:p w14:paraId="22AC730C" w14:textId="4E0944B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55.7</w:t>
            </w:r>
          </w:p>
        </w:tc>
        <w:tc>
          <w:tcPr>
            <w:tcW w:w="699" w:type="dxa"/>
            <w:tcBorders>
              <w:top w:val="single" w:sz="4" w:space="0" w:color="auto"/>
              <w:left w:val="single" w:sz="4" w:space="0" w:color="auto"/>
              <w:bottom w:val="single" w:sz="4" w:space="0" w:color="auto"/>
              <w:right w:val="single" w:sz="4" w:space="0" w:color="auto"/>
            </w:tcBorders>
            <w:vAlign w:val="center"/>
          </w:tcPr>
          <w:p w14:paraId="4CC656F2" w14:textId="549DF17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53.2</w:t>
            </w:r>
          </w:p>
        </w:tc>
        <w:tc>
          <w:tcPr>
            <w:tcW w:w="698" w:type="dxa"/>
            <w:tcBorders>
              <w:top w:val="single" w:sz="4" w:space="0" w:color="auto"/>
              <w:left w:val="single" w:sz="4" w:space="0" w:color="auto"/>
              <w:bottom w:val="single" w:sz="4" w:space="0" w:color="auto"/>
              <w:right w:val="single" w:sz="4" w:space="0" w:color="auto"/>
            </w:tcBorders>
            <w:vAlign w:val="center"/>
          </w:tcPr>
          <w:p w14:paraId="7002559B" w14:textId="4A45BCB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52.1</w:t>
            </w:r>
          </w:p>
        </w:tc>
        <w:tc>
          <w:tcPr>
            <w:tcW w:w="699" w:type="dxa"/>
            <w:tcBorders>
              <w:top w:val="single" w:sz="4" w:space="0" w:color="auto"/>
              <w:left w:val="single" w:sz="4" w:space="0" w:color="auto"/>
              <w:bottom w:val="single" w:sz="4" w:space="0" w:color="auto"/>
              <w:right w:val="single" w:sz="4" w:space="0" w:color="auto"/>
            </w:tcBorders>
            <w:vAlign w:val="center"/>
          </w:tcPr>
          <w:p w14:paraId="249B1764" w14:textId="7065D22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34.3</w:t>
            </w:r>
          </w:p>
        </w:tc>
        <w:tc>
          <w:tcPr>
            <w:tcW w:w="698" w:type="dxa"/>
            <w:tcBorders>
              <w:top w:val="single" w:sz="4" w:space="0" w:color="auto"/>
              <w:left w:val="single" w:sz="4" w:space="0" w:color="auto"/>
              <w:bottom w:val="single" w:sz="4" w:space="0" w:color="auto"/>
              <w:right w:val="single" w:sz="4" w:space="0" w:color="auto"/>
            </w:tcBorders>
            <w:vAlign w:val="center"/>
          </w:tcPr>
          <w:p w14:paraId="6CDD295F" w14:textId="0D3C374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41.3</w:t>
            </w:r>
          </w:p>
        </w:tc>
        <w:tc>
          <w:tcPr>
            <w:tcW w:w="699" w:type="dxa"/>
            <w:tcBorders>
              <w:top w:val="single" w:sz="4" w:space="0" w:color="auto"/>
              <w:left w:val="single" w:sz="4" w:space="0" w:color="auto"/>
              <w:bottom w:val="single" w:sz="4" w:space="0" w:color="auto"/>
              <w:right w:val="single" w:sz="4" w:space="0" w:color="auto"/>
            </w:tcBorders>
            <w:vAlign w:val="center"/>
          </w:tcPr>
          <w:p w14:paraId="7B891DBD" w14:textId="5A21644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56.7</w:t>
            </w:r>
          </w:p>
        </w:tc>
        <w:tc>
          <w:tcPr>
            <w:tcW w:w="698" w:type="dxa"/>
            <w:tcBorders>
              <w:top w:val="single" w:sz="4" w:space="0" w:color="auto"/>
              <w:left w:val="single" w:sz="4" w:space="0" w:color="auto"/>
              <w:bottom w:val="single" w:sz="4" w:space="0" w:color="auto"/>
              <w:right w:val="single" w:sz="4" w:space="0" w:color="auto"/>
            </w:tcBorders>
            <w:vAlign w:val="center"/>
          </w:tcPr>
          <w:p w14:paraId="5646E228" w14:textId="4E0FD3B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70.9</w:t>
            </w:r>
          </w:p>
        </w:tc>
        <w:tc>
          <w:tcPr>
            <w:tcW w:w="699" w:type="dxa"/>
            <w:tcBorders>
              <w:top w:val="single" w:sz="4" w:space="0" w:color="auto"/>
              <w:left w:val="single" w:sz="4" w:space="0" w:color="auto"/>
              <w:bottom w:val="single" w:sz="4" w:space="0" w:color="auto"/>
              <w:right w:val="single" w:sz="4" w:space="0" w:color="auto"/>
            </w:tcBorders>
            <w:vAlign w:val="center"/>
          </w:tcPr>
          <w:p w14:paraId="785EF42A" w14:textId="4383EF9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80.1</w:t>
            </w:r>
          </w:p>
        </w:tc>
        <w:tc>
          <w:tcPr>
            <w:tcW w:w="698" w:type="dxa"/>
            <w:tcBorders>
              <w:top w:val="single" w:sz="4" w:space="0" w:color="auto"/>
              <w:left w:val="single" w:sz="4" w:space="0" w:color="auto"/>
              <w:bottom w:val="single" w:sz="4" w:space="0" w:color="auto"/>
              <w:right w:val="single" w:sz="4" w:space="0" w:color="auto"/>
            </w:tcBorders>
            <w:vAlign w:val="center"/>
          </w:tcPr>
          <w:p w14:paraId="6DC9F514" w14:textId="378C249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c>
          <w:tcPr>
            <w:tcW w:w="699" w:type="dxa"/>
            <w:tcBorders>
              <w:top w:val="single" w:sz="4" w:space="0" w:color="auto"/>
              <w:left w:val="single" w:sz="4" w:space="0" w:color="auto"/>
              <w:bottom w:val="single" w:sz="4" w:space="0" w:color="auto"/>
              <w:right w:val="single" w:sz="4" w:space="0" w:color="auto"/>
            </w:tcBorders>
            <w:vAlign w:val="center"/>
          </w:tcPr>
          <w:p w14:paraId="77CBE9FD" w14:textId="1664846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77.1</w:t>
            </w:r>
          </w:p>
        </w:tc>
        <w:tc>
          <w:tcPr>
            <w:tcW w:w="699" w:type="dxa"/>
            <w:tcBorders>
              <w:top w:val="single" w:sz="4" w:space="0" w:color="auto"/>
              <w:left w:val="single" w:sz="4" w:space="0" w:color="auto"/>
              <w:bottom w:val="single" w:sz="4" w:space="0" w:color="auto"/>
              <w:right w:val="single" w:sz="4" w:space="0" w:color="auto"/>
            </w:tcBorders>
            <w:vAlign w:val="center"/>
          </w:tcPr>
          <w:p w14:paraId="64DC7423" w14:textId="2939460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72.4</w:t>
            </w:r>
          </w:p>
        </w:tc>
      </w:tr>
      <w:tr w:rsidR="00586F7D" w:rsidRPr="00217865" w14:paraId="2B780424"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214A4AE1" w14:textId="1541559D"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Dentistry</w:t>
            </w:r>
          </w:p>
        </w:tc>
        <w:tc>
          <w:tcPr>
            <w:tcW w:w="698" w:type="dxa"/>
            <w:tcBorders>
              <w:top w:val="single" w:sz="4" w:space="0" w:color="auto"/>
              <w:left w:val="single" w:sz="4" w:space="0" w:color="auto"/>
              <w:bottom w:val="single" w:sz="4" w:space="0" w:color="auto"/>
              <w:right w:val="single" w:sz="4" w:space="0" w:color="auto"/>
            </w:tcBorders>
            <w:vAlign w:val="center"/>
          </w:tcPr>
          <w:p w14:paraId="3A275036" w14:textId="067E294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82.9</w:t>
            </w:r>
          </w:p>
        </w:tc>
        <w:tc>
          <w:tcPr>
            <w:tcW w:w="699" w:type="dxa"/>
            <w:tcBorders>
              <w:top w:val="single" w:sz="4" w:space="0" w:color="auto"/>
              <w:left w:val="single" w:sz="4" w:space="0" w:color="auto"/>
              <w:bottom w:val="single" w:sz="4" w:space="0" w:color="auto"/>
              <w:right w:val="single" w:sz="4" w:space="0" w:color="auto"/>
            </w:tcBorders>
            <w:vAlign w:val="center"/>
          </w:tcPr>
          <w:p w14:paraId="113D037C" w14:textId="31032A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78.3</w:t>
            </w:r>
          </w:p>
        </w:tc>
        <w:tc>
          <w:tcPr>
            <w:tcW w:w="698" w:type="dxa"/>
            <w:tcBorders>
              <w:top w:val="single" w:sz="4" w:space="0" w:color="auto"/>
              <w:left w:val="single" w:sz="4" w:space="0" w:color="auto"/>
              <w:bottom w:val="single" w:sz="4" w:space="0" w:color="auto"/>
              <w:right w:val="single" w:sz="4" w:space="0" w:color="auto"/>
            </w:tcBorders>
            <w:vAlign w:val="center"/>
          </w:tcPr>
          <w:p w14:paraId="6CBB53AE" w14:textId="6180F99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72.5</w:t>
            </w:r>
          </w:p>
        </w:tc>
        <w:tc>
          <w:tcPr>
            <w:tcW w:w="699" w:type="dxa"/>
            <w:tcBorders>
              <w:top w:val="single" w:sz="4" w:space="0" w:color="auto"/>
              <w:left w:val="single" w:sz="4" w:space="0" w:color="auto"/>
              <w:bottom w:val="single" w:sz="4" w:space="0" w:color="auto"/>
              <w:right w:val="single" w:sz="4" w:space="0" w:color="auto"/>
            </w:tcBorders>
            <w:vAlign w:val="center"/>
          </w:tcPr>
          <w:p w14:paraId="69863DC8" w14:textId="2BF4C2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64.3</w:t>
            </w:r>
          </w:p>
        </w:tc>
        <w:tc>
          <w:tcPr>
            <w:tcW w:w="698" w:type="dxa"/>
            <w:tcBorders>
              <w:top w:val="single" w:sz="4" w:space="0" w:color="auto"/>
              <w:left w:val="single" w:sz="4" w:space="0" w:color="auto"/>
              <w:bottom w:val="single" w:sz="4" w:space="0" w:color="auto"/>
              <w:right w:val="single" w:sz="4" w:space="0" w:color="auto"/>
            </w:tcBorders>
            <w:vAlign w:val="center"/>
          </w:tcPr>
          <w:p w14:paraId="5DFD205C" w14:textId="67D5458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58.6</w:t>
            </w:r>
          </w:p>
        </w:tc>
        <w:tc>
          <w:tcPr>
            <w:tcW w:w="699" w:type="dxa"/>
            <w:tcBorders>
              <w:top w:val="single" w:sz="4" w:space="0" w:color="auto"/>
              <w:left w:val="single" w:sz="4" w:space="0" w:color="auto"/>
              <w:bottom w:val="single" w:sz="4" w:space="0" w:color="auto"/>
              <w:right w:val="single" w:sz="4" w:space="0" w:color="auto"/>
            </w:tcBorders>
            <w:vAlign w:val="center"/>
          </w:tcPr>
          <w:p w14:paraId="52CF492E" w14:textId="6A77447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70.8</w:t>
            </w:r>
          </w:p>
        </w:tc>
        <w:tc>
          <w:tcPr>
            <w:tcW w:w="698" w:type="dxa"/>
            <w:tcBorders>
              <w:top w:val="single" w:sz="4" w:space="0" w:color="auto"/>
              <w:left w:val="single" w:sz="4" w:space="0" w:color="auto"/>
              <w:bottom w:val="single" w:sz="4" w:space="0" w:color="auto"/>
              <w:right w:val="single" w:sz="4" w:space="0" w:color="auto"/>
            </w:tcBorders>
            <w:vAlign w:val="center"/>
          </w:tcPr>
          <w:p w14:paraId="753748CB" w14:textId="5AE3A47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699" w:type="dxa"/>
            <w:tcBorders>
              <w:top w:val="single" w:sz="4" w:space="0" w:color="auto"/>
              <w:left w:val="single" w:sz="4" w:space="0" w:color="auto"/>
              <w:bottom w:val="single" w:sz="4" w:space="0" w:color="auto"/>
              <w:right w:val="single" w:sz="4" w:space="0" w:color="auto"/>
            </w:tcBorders>
            <w:vAlign w:val="center"/>
          </w:tcPr>
          <w:p w14:paraId="64F080D7" w14:textId="6A29ED0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54.3</w:t>
            </w:r>
          </w:p>
        </w:tc>
        <w:tc>
          <w:tcPr>
            <w:tcW w:w="699" w:type="dxa"/>
            <w:tcBorders>
              <w:top w:val="single" w:sz="4" w:space="0" w:color="auto"/>
              <w:left w:val="single" w:sz="4" w:space="0" w:color="auto"/>
              <w:bottom w:val="single" w:sz="4" w:space="0" w:color="auto"/>
              <w:right w:val="single" w:sz="4" w:space="0" w:color="auto"/>
            </w:tcBorders>
            <w:vAlign w:val="center"/>
          </w:tcPr>
          <w:p w14:paraId="798BA3ED" w14:textId="657635E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55.1</w:t>
            </w:r>
          </w:p>
        </w:tc>
        <w:tc>
          <w:tcPr>
            <w:tcW w:w="698" w:type="dxa"/>
            <w:tcBorders>
              <w:top w:val="single" w:sz="4" w:space="0" w:color="auto"/>
              <w:left w:val="single" w:sz="4" w:space="0" w:color="auto"/>
              <w:bottom w:val="single" w:sz="4" w:space="0" w:color="auto"/>
              <w:right w:val="single" w:sz="4" w:space="0" w:color="auto"/>
            </w:tcBorders>
            <w:vAlign w:val="center"/>
          </w:tcPr>
          <w:p w14:paraId="7D1CA38B" w14:textId="02FEA00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52.1</w:t>
            </w:r>
          </w:p>
        </w:tc>
        <w:tc>
          <w:tcPr>
            <w:tcW w:w="699" w:type="dxa"/>
            <w:tcBorders>
              <w:top w:val="single" w:sz="4" w:space="0" w:color="auto"/>
              <w:left w:val="single" w:sz="4" w:space="0" w:color="auto"/>
              <w:bottom w:val="single" w:sz="4" w:space="0" w:color="auto"/>
              <w:right w:val="single" w:sz="4" w:space="0" w:color="auto"/>
            </w:tcBorders>
            <w:vAlign w:val="center"/>
          </w:tcPr>
          <w:p w14:paraId="4EBB13CA" w14:textId="7D4E26D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35.6</w:t>
            </w:r>
          </w:p>
        </w:tc>
        <w:tc>
          <w:tcPr>
            <w:tcW w:w="698" w:type="dxa"/>
            <w:tcBorders>
              <w:top w:val="single" w:sz="4" w:space="0" w:color="auto"/>
              <w:left w:val="single" w:sz="4" w:space="0" w:color="auto"/>
              <w:bottom w:val="single" w:sz="4" w:space="0" w:color="auto"/>
              <w:right w:val="single" w:sz="4" w:space="0" w:color="auto"/>
            </w:tcBorders>
            <w:vAlign w:val="center"/>
          </w:tcPr>
          <w:p w14:paraId="79F315CE" w14:textId="3A34574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45.1</w:t>
            </w:r>
          </w:p>
        </w:tc>
        <w:tc>
          <w:tcPr>
            <w:tcW w:w="699" w:type="dxa"/>
            <w:tcBorders>
              <w:top w:val="single" w:sz="4" w:space="0" w:color="auto"/>
              <w:left w:val="single" w:sz="4" w:space="0" w:color="auto"/>
              <w:bottom w:val="single" w:sz="4" w:space="0" w:color="auto"/>
              <w:right w:val="single" w:sz="4" w:space="0" w:color="auto"/>
            </w:tcBorders>
            <w:vAlign w:val="center"/>
          </w:tcPr>
          <w:p w14:paraId="7D986F7A" w14:textId="05051B7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50.6</w:t>
            </w:r>
          </w:p>
        </w:tc>
        <w:tc>
          <w:tcPr>
            <w:tcW w:w="698" w:type="dxa"/>
            <w:tcBorders>
              <w:top w:val="single" w:sz="4" w:space="0" w:color="auto"/>
              <w:left w:val="single" w:sz="4" w:space="0" w:color="auto"/>
              <w:bottom w:val="single" w:sz="4" w:space="0" w:color="auto"/>
              <w:right w:val="single" w:sz="4" w:space="0" w:color="auto"/>
            </w:tcBorders>
            <w:vAlign w:val="center"/>
          </w:tcPr>
          <w:p w14:paraId="5BF98E09" w14:textId="2FFC0B9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60.5</w:t>
            </w:r>
          </w:p>
        </w:tc>
        <w:tc>
          <w:tcPr>
            <w:tcW w:w="699" w:type="dxa"/>
            <w:tcBorders>
              <w:top w:val="single" w:sz="4" w:space="0" w:color="auto"/>
              <w:left w:val="single" w:sz="4" w:space="0" w:color="auto"/>
              <w:bottom w:val="single" w:sz="4" w:space="0" w:color="auto"/>
              <w:right w:val="single" w:sz="4" w:space="0" w:color="auto"/>
            </w:tcBorders>
            <w:vAlign w:val="center"/>
          </w:tcPr>
          <w:p w14:paraId="0FCACCB5" w14:textId="735635E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62.9</w:t>
            </w:r>
          </w:p>
        </w:tc>
        <w:tc>
          <w:tcPr>
            <w:tcW w:w="698" w:type="dxa"/>
            <w:tcBorders>
              <w:top w:val="single" w:sz="4" w:space="0" w:color="auto"/>
              <w:left w:val="single" w:sz="4" w:space="0" w:color="auto"/>
              <w:bottom w:val="single" w:sz="4" w:space="0" w:color="auto"/>
              <w:right w:val="single" w:sz="4" w:space="0" w:color="auto"/>
            </w:tcBorders>
            <w:vAlign w:val="center"/>
          </w:tcPr>
          <w:p w14:paraId="721C02A2" w14:textId="5786912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53.1</w:t>
            </w:r>
          </w:p>
        </w:tc>
        <w:tc>
          <w:tcPr>
            <w:tcW w:w="699" w:type="dxa"/>
            <w:tcBorders>
              <w:top w:val="single" w:sz="4" w:space="0" w:color="auto"/>
              <w:left w:val="single" w:sz="4" w:space="0" w:color="auto"/>
              <w:bottom w:val="single" w:sz="4" w:space="0" w:color="auto"/>
              <w:right w:val="single" w:sz="4" w:space="0" w:color="auto"/>
            </w:tcBorders>
            <w:vAlign w:val="center"/>
          </w:tcPr>
          <w:p w14:paraId="379DFA9C" w14:textId="607A692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60.0</w:t>
            </w:r>
          </w:p>
        </w:tc>
        <w:tc>
          <w:tcPr>
            <w:tcW w:w="699" w:type="dxa"/>
            <w:tcBorders>
              <w:top w:val="single" w:sz="4" w:space="0" w:color="auto"/>
              <w:left w:val="single" w:sz="4" w:space="0" w:color="auto"/>
              <w:bottom w:val="single" w:sz="4" w:space="0" w:color="auto"/>
              <w:right w:val="single" w:sz="4" w:space="0" w:color="auto"/>
            </w:tcBorders>
            <w:vAlign w:val="center"/>
          </w:tcPr>
          <w:p w14:paraId="42A412F4" w14:textId="43E17C2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48.8</w:t>
            </w:r>
          </w:p>
        </w:tc>
      </w:tr>
      <w:tr w:rsidR="00586F7D" w:rsidRPr="00217865" w14:paraId="4C0B80C0"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3643A954" w14:textId="3C65BD5D"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Engineering</w:t>
            </w:r>
          </w:p>
        </w:tc>
        <w:tc>
          <w:tcPr>
            <w:tcW w:w="698" w:type="dxa"/>
            <w:tcBorders>
              <w:top w:val="single" w:sz="4" w:space="0" w:color="auto"/>
              <w:left w:val="single" w:sz="4" w:space="0" w:color="auto"/>
              <w:bottom w:val="single" w:sz="4" w:space="0" w:color="auto"/>
              <w:right w:val="single" w:sz="4" w:space="0" w:color="auto"/>
            </w:tcBorders>
            <w:vAlign w:val="center"/>
          </w:tcPr>
          <w:p w14:paraId="5CC3C398" w14:textId="261E6BA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80.9</w:t>
            </w:r>
          </w:p>
        </w:tc>
        <w:tc>
          <w:tcPr>
            <w:tcW w:w="699" w:type="dxa"/>
            <w:tcBorders>
              <w:top w:val="single" w:sz="4" w:space="0" w:color="auto"/>
              <w:left w:val="single" w:sz="4" w:space="0" w:color="auto"/>
              <w:bottom w:val="single" w:sz="4" w:space="0" w:color="auto"/>
              <w:right w:val="single" w:sz="4" w:space="0" w:color="auto"/>
            </w:tcBorders>
            <w:vAlign w:val="center"/>
          </w:tcPr>
          <w:p w14:paraId="5D339461" w14:textId="7814E1D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8" w:type="dxa"/>
            <w:tcBorders>
              <w:top w:val="single" w:sz="4" w:space="0" w:color="auto"/>
              <w:left w:val="single" w:sz="4" w:space="0" w:color="auto"/>
              <w:bottom w:val="single" w:sz="4" w:space="0" w:color="auto"/>
              <w:right w:val="single" w:sz="4" w:space="0" w:color="auto"/>
            </w:tcBorders>
            <w:vAlign w:val="center"/>
          </w:tcPr>
          <w:p w14:paraId="1ED0383D" w14:textId="542834A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81.3</w:t>
            </w:r>
          </w:p>
        </w:tc>
        <w:tc>
          <w:tcPr>
            <w:tcW w:w="699" w:type="dxa"/>
            <w:tcBorders>
              <w:top w:val="single" w:sz="4" w:space="0" w:color="auto"/>
              <w:left w:val="single" w:sz="4" w:space="0" w:color="auto"/>
              <w:bottom w:val="single" w:sz="4" w:space="0" w:color="auto"/>
              <w:right w:val="single" w:sz="4" w:space="0" w:color="auto"/>
            </w:tcBorders>
            <w:vAlign w:val="center"/>
          </w:tcPr>
          <w:p w14:paraId="350A3E53" w14:textId="257955D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75.7</w:t>
            </w:r>
          </w:p>
        </w:tc>
        <w:tc>
          <w:tcPr>
            <w:tcW w:w="698" w:type="dxa"/>
            <w:tcBorders>
              <w:top w:val="single" w:sz="4" w:space="0" w:color="auto"/>
              <w:left w:val="single" w:sz="4" w:space="0" w:color="auto"/>
              <w:bottom w:val="single" w:sz="4" w:space="0" w:color="auto"/>
              <w:right w:val="single" w:sz="4" w:space="0" w:color="auto"/>
            </w:tcBorders>
            <w:vAlign w:val="center"/>
          </w:tcPr>
          <w:p w14:paraId="6505B889" w14:textId="3AE0060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76.4</w:t>
            </w:r>
          </w:p>
        </w:tc>
        <w:tc>
          <w:tcPr>
            <w:tcW w:w="699" w:type="dxa"/>
            <w:tcBorders>
              <w:top w:val="single" w:sz="4" w:space="0" w:color="auto"/>
              <w:left w:val="single" w:sz="4" w:space="0" w:color="auto"/>
              <w:bottom w:val="single" w:sz="4" w:space="0" w:color="auto"/>
              <w:right w:val="single" w:sz="4" w:space="0" w:color="auto"/>
            </w:tcBorders>
            <w:vAlign w:val="center"/>
          </w:tcPr>
          <w:p w14:paraId="27855D6D" w14:textId="3F5344D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84.3</w:t>
            </w:r>
          </w:p>
        </w:tc>
        <w:tc>
          <w:tcPr>
            <w:tcW w:w="698" w:type="dxa"/>
            <w:tcBorders>
              <w:top w:val="single" w:sz="4" w:space="0" w:color="auto"/>
              <w:left w:val="single" w:sz="4" w:space="0" w:color="auto"/>
              <w:bottom w:val="single" w:sz="4" w:space="0" w:color="auto"/>
              <w:right w:val="single" w:sz="4" w:space="0" w:color="auto"/>
            </w:tcBorders>
            <w:vAlign w:val="center"/>
          </w:tcPr>
          <w:p w14:paraId="425DE987" w14:textId="78846B8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86.2</w:t>
            </w:r>
          </w:p>
        </w:tc>
        <w:tc>
          <w:tcPr>
            <w:tcW w:w="699" w:type="dxa"/>
            <w:tcBorders>
              <w:top w:val="single" w:sz="4" w:space="0" w:color="auto"/>
              <w:left w:val="single" w:sz="4" w:space="0" w:color="auto"/>
              <w:bottom w:val="single" w:sz="4" w:space="0" w:color="auto"/>
              <w:right w:val="single" w:sz="4" w:space="0" w:color="auto"/>
            </w:tcBorders>
            <w:vAlign w:val="center"/>
          </w:tcPr>
          <w:p w14:paraId="27D4AC19" w14:textId="0B1D22B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58.9</w:t>
            </w:r>
          </w:p>
        </w:tc>
        <w:tc>
          <w:tcPr>
            <w:tcW w:w="699" w:type="dxa"/>
            <w:tcBorders>
              <w:top w:val="single" w:sz="4" w:space="0" w:color="auto"/>
              <w:left w:val="single" w:sz="4" w:space="0" w:color="auto"/>
              <w:bottom w:val="single" w:sz="4" w:space="0" w:color="auto"/>
              <w:right w:val="single" w:sz="4" w:space="0" w:color="auto"/>
            </w:tcBorders>
            <w:vAlign w:val="center"/>
          </w:tcPr>
          <w:p w14:paraId="24DAFC92" w14:textId="77C85FE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60.9</w:t>
            </w:r>
          </w:p>
        </w:tc>
        <w:tc>
          <w:tcPr>
            <w:tcW w:w="698" w:type="dxa"/>
            <w:tcBorders>
              <w:top w:val="single" w:sz="4" w:space="0" w:color="auto"/>
              <w:left w:val="single" w:sz="4" w:space="0" w:color="auto"/>
              <w:bottom w:val="single" w:sz="4" w:space="0" w:color="auto"/>
              <w:right w:val="single" w:sz="4" w:space="0" w:color="auto"/>
            </w:tcBorders>
            <w:vAlign w:val="center"/>
          </w:tcPr>
          <w:p w14:paraId="00183D71" w14:textId="5D14E47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61.8</w:t>
            </w:r>
          </w:p>
        </w:tc>
        <w:tc>
          <w:tcPr>
            <w:tcW w:w="699" w:type="dxa"/>
            <w:tcBorders>
              <w:top w:val="single" w:sz="4" w:space="0" w:color="auto"/>
              <w:left w:val="single" w:sz="4" w:space="0" w:color="auto"/>
              <w:bottom w:val="single" w:sz="4" w:space="0" w:color="auto"/>
              <w:right w:val="single" w:sz="4" w:space="0" w:color="auto"/>
            </w:tcBorders>
            <w:vAlign w:val="center"/>
          </w:tcPr>
          <w:p w14:paraId="3CF9C7B5" w14:textId="058D42E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47.3</w:t>
            </w:r>
          </w:p>
        </w:tc>
        <w:tc>
          <w:tcPr>
            <w:tcW w:w="698" w:type="dxa"/>
            <w:tcBorders>
              <w:top w:val="single" w:sz="4" w:space="0" w:color="auto"/>
              <w:left w:val="single" w:sz="4" w:space="0" w:color="auto"/>
              <w:bottom w:val="single" w:sz="4" w:space="0" w:color="auto"/>
              <w:right w:val="single" w:sz="4" w:space="0" w:color="auto"/>
            </w:tcBorders>
            <w:vAlign w:val="center"/>
          </w:tcPr>
          <w:p w14:paraId="556F3250" w14:textId="174D89E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46.6</w:t>
            </w:r>
          </w:p>
        </w:tc>
        <w:tc>
          <w:tcPr>
            <w:tcW w:w="699" w:type="dxa"/>
            <w:tcBorders>
              <w:top w:val="single" w:sz="4" w:space="0" w:color="auto"/>
              <w:left w:val="single" w:sz="4" w:space="0" w:color="auto"/>
              <w:bottom w:val="single" w:sz="4" w:space="0" w:color="auto"/>
              <w:right w:val="single" w:sz="4" w:space="0" w:color="auto"/>
            </w:tcBorders>
            <w:vAlign w:val="center"/>
          </w:tcPr>
          <w:p w14:paraId="25E9FA16" w14:textId="14B0AD9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63.8</w:t>
            </w:r>
          </w:p>
        </w:tc>
        <w:tc>
          <w:tcPr>
            <w:tcW w:w="698" w:type="dxa"/>
            <w:tcBorders>
              <w:top w:val="single" w:sz="4" w:space="0" w:color="auto"/>
              <w:left w:val="single" w:sz="4" w:space="0" w:color="auto"/>
              <w:bottom w:val="single" w:sz="4" w:space="0" w:color="auto"/>
              <w:right w:val="single" w:sz="4" w:space="0" w:color="auto"/>
            </w:tcBorders>
            <w:vAlign w:val="center"/>
          </w:tcPr>
          <w:p w14:paraId="1C2BDB5C" w14:textId="5900AD6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76.1</w:t>
            </w:r>
          </w:p>
        </w:tc>
        <w:tc>
          <w:tcPr>
            <w:tcW w:w="699" w:type="dxa"/>
            <w:tcBorders>
              <w:top w:val="single" w:sz="4" w:space="0" w:color="auto"/>
              <w:left w:val="single" w:sz="4" w:space="0" w:color="auto"/>
              <w:bottom w:val="single" w:sz="4" w:space="0" w:color="auto"/>
              <w:right w:val="single" w:sz="4" w:space="0" w:color="auto"/>
            </w:tcBorders>
            <w:vAlign w:val="center"/>
          </w:tcPr>
          <w:p w14:paraId="598B2931" w14:textId="0A086A8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698" w:type="dxa"/>
            <w:tcBorders>
              <w:top w:val="single" w:sz="4" w:space="0" w:color="auto"/>
              <w:left w:val="single" w:sz="4" w:space="0" w:color="auto"/>
              <w:bottom w:val="single" w:sz="4" w:space="0" w:color="auto"/>
              <w:right w:val="single" w:sz="4" w:space="0" w:color="auto"/>
            </w:tcBorders>
            <w:vAlign w:val="center"/>
          </w:tcPr>
          <w:p w14:paraId="4AB835A9" w14:textId="7FEBCCC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78.6</w:t>
            </w:r>
          </w:p>
        </w:tc>
        <w:tc>
          <w:tcPr>
            <w:tcW w:w="699" w:type="dxa"/>
            <w:tcBorders>
              <w:top w:val="single" w:sz="4" w:space="0" w:color="auto"/>
              <w:left w:val="single" w:sz="4" w:space="0" w:color="auto"/>
              <w:bottom w:val="single" w:sz="4" w:space="0" w:color="auto"/>
              <w:right w:val="single" w:sz="4" w:space="0" w:color="auto"/>
            </w:tcBorders>
            <w:vAlign w:val="center"/>
          </w:tcPr>
          <w:p w14:paraId="17EF6DB6" w14:textId="141AF0C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78.7</w:t>
            </w:r>
          </w:p>
        </w:tc>
        <w:tc>
          <w:tcPr>
            <w:tcW w:w="699" w:type="dxa"/>
            <w:tcBorders>
              <w:top w:val="single" w:sz="4" w:space="0" w:color="auto"/>
              <w:left w:val="single" w:sz="4" w:space="0" w:color="auto"/>
              <w:bottom w:val="single" w:sz="4" w:space="0" w:color="auto"/>
              <w:right w:val="single" w:sz="4" w:space="0" w:color="auto"/>
            </w:tcBorders>
            <w:vAlign w:val="center"/>
          </w:tcPr>
          <w:p w14:paraId="5750A65F" w14:textId="689445C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71.6</w:t>
            </w:r>
          </w:p>
        </w:tc>
      </w:tr>
      <w:tr w:rsidR="00586F7D" w:rsidRPr="00217865" w14:paraId="06683093"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7057115A" w14:textId="1B45DFAD"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Health services and support</w:t>
            </w:r>
          </w:p>
        </w:tc>
        <w:tc>
          <w:tcPr>
            <w:tcW w:w="698" w:type="dxa"/>
            <w:tcBorders>
              <w:top w:val="single" w:sz="4" w:space="0" w:color="auto"/>
              <w:left w:val="single" w:sz="4" w:space="0" w:color="auto"/>
              <w:bottom w:val="single" w:sz="4" w:space="0" w:color="auto"/>
              <w:right w:val="single" w:sz="4" w:space="0" w:color="auto"/>
            </w:tcBorders>
            <w:vAlign w:val="center"/>
          </w:tcPr>
          <w:p w14:paraId="57418E19" w14:textId="62A2B76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86.8</w:t>
            </w:r>
          </w:p>
        </w:tc>
        <w:tc>
          <w:tcPr>
            <w:tcW w:w="699" w:type="dxa"/>
            <w:tcBorders>
              <w:top w:val="single" w:sz="4" w:space="0" w:color="auto"/>
              <w:left w:val="single" w:sz="4" w:space="0" w:color="auto"/>
              <w:bottom w:val="single" w:sz="4" w:space="0" w:color="auto"/>
              <w:right w:val="single" w:sz="4" w:space="0" w:color="auto"/>
            </w:tcBorders>
            <w:vAlign w:val="center"/>
          </w:tcPr>
          <w:p w14:paraId="08F53E36" w14:textId="1762D62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87.0</w:t>
            </w:r>
          </w:p>
        </w:tc>
        <w:tc>
          <w:tcPr>
            <w:tcW w:w="698" w:type="dxa"/>
            <w:tcBorders>
              <w:top w:val="single" w:sz="4" w:space="0" w:color="auto"/>
              <w:left w:val="single" w:sz="4" w:space="0" w:color="auto"/>
              <w:bottom w:val="single" w:sz="4" w:space="0" w:color="auto"/>
              <w:right w:val="single" w:sz="4" w:space="0" w:color="auto"/>
            </w:tcBorders>
            <w:vAlign w:val="center"/>
          </w:tcPr>
          <w:p w14:paraId="43604B06" w14:textId="48403A9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9" w:type="dxa"/>
            <w:tcBorders>
              <w:top w:val="single" w:sz="4" w:space="0" w:color="auto"/>
              <w:left w:val="single" w:sz="4" w:space="0" w:color="auto"/>
              <w:bottom w:val="single" w:sz="4" w:space="0" w:color="auto"/>
              <w:right w:val="single" w:sz="4" w:space="0" w:color="auto"/>
            </w:tcBorders>
            <w:vAlign w:val="center"/>
          </w:tcPr>
          <w:p w14:paraId="602B01DD" w14:textId="6313815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83.8</w:t>
            </w:r>
          </w:p>
        </w:tc>
        <w:tc>
          <w:tcPr>
            <w:tcW w:w="698" w:type="dxa"/>
            <w:tcBorders>
              <w:top w:val="single" w:sz="4" w:space="0" w:color="auto"/>
              <w:left w:val="single" w:sz="4" w:space="0" w:color="auto"/>
              <w:bottom w:val="single" w:sz="4" w:space="0" w:color="auto"/>
              <w:right w:val="single" w:sz="4" w:space="0" w:color="auto"/>
            </w:tcBorders>
            <w:vAlign w:val="center"/>
          </w:tcPr>
          <w:p w14:paraId="6CF36F92" w14:textId="7E5627C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84.4</w:t>
            </w:r>
          </w:p>
        </w:tc>
        <w:tc>
          <w:tcPr>
            <w:tcW w:w="699" w:type="dxa"/>
            <w:tcBorders>
              <w:top w:val="single" w:sz="4" w:space="0" w:color="auto"/>
              <w:left w:val="single" w:sz="4" w:space="0" w:color="auto"/>
              <w:bottom w:val="single" w:sz="4" w:space="0" w:color="auto"/>
              <w:right w:val="single" w:sz="4" w:space="0" w:color="auto"/>
            </w:tcBorders>
            <w:vAlign w:val="center"/>
          </w:tcPr>
          <w:p w14:paraId="520C30A5" w14:textId="4A4094B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84.9</w:t>
            </w:r>
          </w:p>
        </w:tc>
        <w:tc>
          <w:tcPr>
            <w:tcW w:w="698" w:type="dxa"/>
            <w:tcBorders>
              <w:top w:val="single" w:sz="4" w:space="0" w:color="auto"/>
              <w:left w:val="single" w:sz="4" w:space="0" w:color="auto"/>
              <w:bottom w:val="single" w:sz="4" w:space="0" w:color="auto"/>
              <w:right w:val="single" w:sz="4" w:space="0" w:color="auto"/>
            </w:tcBorders>
            <w:vAlign w:val="center"/>
          </w:tcPr>
          <w:p w14:paraId="38B3067B" w14:textId="2A9737A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88.4</w:t>
            </w:r>
          </w:p>
        </w:tc>
        <w:tc>
          <w:tcPr>
            <w:tcW w:w="699" w:type="dxa"/>
            <w:tcBorders>
              <w:top w:val="single" w:sz="4" w:space="0" w:color="auto"/>
              <w:left w:val="single" w:sz="4" w:space="0" w:color="auto"/>
              <w:bottom w:val="single" w:sz="4" w:space="0" w:color="auto"/>
              <w:right w:val="single" w:sz="4" w:space="0" w:color="auto"/>
            </w:tcBorders>
            <w:vAlign w:val="center"/>
          </w:tcPr>
          <w:p w14:paraId="470C5CAC" w14:textId="063FF55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65.9</w:t>
            </w:r>
          </w:p>
        </w:tc>
        <w:tc>
          <w:tcPr>
            <w:tcW w:w="699" w:type="dxa"/>
            <w:tcBorders>
              <w:top w:val="single" w:sz="4" w:space="0" w:color="auto"/>
              <w:left w:val="single" w:sz="4" w:space="0" w:color="auto"/>
              <w:bottom w:val="single" w:sz="4" w:space="0" w:color="auto"/>
              <w:right w:val="single" w:sz="4" w:space="0" w:color="auto"/>
            </w:tcBorders>
            <w:vAlign w:val="center"/>
          </w:tcPr>
          <w:p w14:paraId="404C10F8" w14:textId="5EB2D58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63.0</w:t>
            </w:r>
          </w:p>
        </w:tc>
        <w:tc>
          <w:tcPr>
            <w:tcW w:w="698" w:type="dxa"/>
            <w:tcBorders>
              <w:top w:val="single" w:sz="4" w:space="0" w:color="auto"/>
              <w:left w:val="single" w:sz="4" w:space="0" w:color="auto"/>
              <w:bottom w:val="single" w:sz="4" w:space="0" w:color="auto"/>
              <w:right w:val="single" w:sz="4" w:space="0" w:color="auto"/>
            </w:tcBorders>
            <w:vAlign w:val="center"/>
          </w:tcPr>
          <w:p w14:paraId="4133D5CE" w14:textId="09315FB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63.4</w:t>
            </w:r>
          </w:p>
        </w:tc>
        <w:tc>
          <w:tcPr>
            <w:tcW w:w="699" w:type="dxa"/>
            <w:tcBorders>
              <w:top w:val="single" w:sz="4" w:space="0" w:color="auto"/>
              <w:left w:val="single" w:sz="4" w:space="0" w:color="auto"/>
              <w:bottom w:val="single" w:sz="4" w:space="0" w:color="auto"/>
              <w:right w:val="single" w:sz="4" w:space="0" w:color="auto"/>
            </w:tcBorders>
            <w:vAlign w:val="center"/>
          </w:tcPr>
          <w:p w14:paraId="7C9E2642" w14:textId="4632E4A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56.0</w:t>
            </w:r>
          </w:p>
        </w:tc>
        <w:tc>
          <w:tcPr>
            <w:tcW w:w="698" w:type="dxa"/>
            <w:tcBorders>
              <w:top w:val="single" w:sz="4" w:space="0" w:color="auto"/>
              <w:left w:val="single" w:sz="4" w:space="0" w:color="auto"/>
              <w:bottom w:val="single" w:sz="4" w:space="0" w:color="auto"/>
              <w:right w:val="single" w:sz="4" w:space="0" w:color="auto"/>
            </w:tcBorders>
            <w:vAlign w:val="center"/>
          </w:tcPr>
          <w:p w14:paraId="5A2EBDCB" w14:textId="2979977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51.3</w:t>
            </w:r>
          </w:p>
        </w:tc>
        <w:tc>
          <w:tcPr>
            <w:tcW w:w="699" w:type="dxa"/>
            <w:tcBorders>
              <w:top w:val="single" w:sz="4" w:space="0" w:color="auto"/>
              <w:left w:val="single" w:sz="4" w:space="0" w:color="auto"/>
              <w:bottom w:val="single" w:sz="4" w:space="0" w:color="auto"/>
              <w:right w:val="single" w:sz="4" w:space="0" w:color="auto"/>
            </w:tcBorders>
            <w:vAlign w:val="center"/>
          </w:tcPr>
          <w:p w14:paraId="4E33EC7D" w14:textId="1720C8D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59.0</w:t>
            </w:r>
          </w:p>
        </w:tc>
        <w:tc>
          <w:tcPr>
            <w:tcW w:w="698" w:type="dxa"/>
            <w:tcBorders>
              <w:top w:val="single" w:sz="4" w:space="0" w:color="auto"/>
              <w:left w:val="single" w:sz="4" w:space="0" w:color="auto"/>
              <w:bottom w:val="single" w:sz="4" w:space="0" w:color="auto"/>
              <w:right w:val="single" w:sz="4" w:space="0" w:color="auto"/>
            </w:tcBorders>
            <w:vAlign w:val="center"/>
          </w:tcPr>
          <w:p w14:paraId="390445C9" w14:textId="5FC68ED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71.2</w:t>
            </w:r>
          </w:p>
        </w:tc>
        <w:tc>
          <w:tcPr>
            <w:tcW w:w="699" w:type="dxa"/>
            <w:tcBorders>
              <w:top w:val="single" w:sz="4" w:space="0" w:color="auto"/>
              <w:left w:val="single" w:sz="4" w:space="0" w:color="auto"/>
              <w:bottom w:val="single" w:sz="4" w:space="0" w:color="auto"/>
              <w:right w:val="single" w:sz="4" w:space="0" w:color="auto"/>
            </w:tcBorders>
            <w:vAlign w:val="center"/>
          </w:tcPr>
          <w:p w14:paraId="73F609B5" w14:textId="5F61BB2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85.1</w:t>
            </w:r>
          </w:p>
        </w:tc>
        <w:tc>
          <w:tcPr>
            <w:tcW w:w="698" w:type="dxa"/>
            <w:tcBorders>
              <w:top w:val="single" w:sz="4" w:space="0" w:color="auto"/>
              <w:left w:val="single" w:sz="4" w:space="0" w:color="auto"/>
              <w:bottom w:val="single" w:sz="4" w:space="0" w:color="auto"/>
              <w:right w:val="single" w:sz="4" w:space="0" w:color="auto"/>
            </w:tcBorders>
            <w:vAlign w:val="center"/>
          </w:tcPr>
          <w:p w14:paraId="40DF4EDA" w14:textId="4356594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84.0</w:t>
            </w:r>
          </w:p>
        </w:tc>
        <w:tc>
          <w:tcPr>
            <w:tcW w:w="699" w:type="dxa"/>
            <w:tcBorders>
              <w:top w:val="single" w:sz="4" w:space="0" w:color="auto"/>
              <w:left w:val="single" w:sz="4" w:space="0" w:color="auto"/>
              <w:bottom w:val="single" w:sz="4" w:space="0" w:color="auto"/>
              <w:right w:val="single" w:sz="4" w:space="0" w:color="auto"/>
            </w:tcBorders>
            <w:vAlign w:val="center"/>
          </w:tcPr>
          <w:p w14:paraId="51E0E2D3" w14:textId="62AAFD6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83.8</w:t>
            </w:r>
          </w:p>
        </w:tc>
        <w:tc>
          <w:tcPr>
            <w:tcW w:w="699" w:type="dxa"/>
            <w:tcBorders>
              <w:top w:val="single" w:sz="4" w:space="0" w:color="auto"/>
              <w:left w:val="single" w:sz="4" w:space="0" w:color="auto"/>
              <w:bottom w:val="single" w:sz="4" w:space="0" w:color="auto"/>
              <w:right w:val="single" w:sz="4" w:space="0" w:color="auto"/>
            </w:tcBorders>
            <w:vAlign w:val="center"/>
          </w:tcPr>
          <w:p w14:paraId="3B6AAC7E" w14:textId="54C7929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r>
      <w:tr w:rsidR="00586F7D" w:rsidRPr="00217865" w14:paraId="1192A28C"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661C1FDD" w14:textId="074F533F"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lastRenderedPageBreak/>
              <w:t>Humanities, culture and social sciences</w:t>
            </w:r>
          </w:p>
        </w:tc>
        <w:tc>
          <w:tcPr>
            <w:tcW w:w="698" w:type="dxa"/>
            <w:tcBorders>
              <w:top w:val="single" w:sz="4" w:space="0" w:color="auto"/>
              <w:left w:val="single" w:sz="4" w:space="0" w:color="auto"/>
              <w:bottom w:val="single" w:sz="4" w:space="0" w:color="auto"/>
              <w:right w:val="single" w:sz="4" w:space="0" w:color="auto"/>
            </w:tcBorders>
            <w:vAlign w:val="center"/>
          </w:tcPr>
          <w:p w14:paraId="5FFF3E6B" w14:textId="093947B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87.0</w:t>
            </w:r>
          </w:p>
        </w:tc>
        <w:tc>
          <w:tcPr>
            <w:tcW w:w="699" w:type="dxa"/>
            <w:tcBorders>
              <w:top w:val="single" w:sz="4" w:space="0" w:color="auto"/>
              <w:left w:val="single" w:sz="4" w:space="0" w:color="auto"/>
              <w:bottom w:val="single" w:sz="4" w:space="0" w:color="auto"/>
              <w:right w:val="single" w:sz="4" w:space="0" w:color="auto"/>
            </w:tcBorders>
            <w:vAlign w:val="center"/>
          </w:tcPr>
          <w:p w14:paraId="5E0A869B" w14:textId="758026C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86.9</w:t>
            </w:r>
          </w:p>
        </w:tc>
        <w:tc>
          <w:tcPr>
            <w:tcW w:w="698" w:type="dxa"/>
            <w:tcBorders>
              <w:top w:val="single" w:sz="4" w:space="0" w:color="auto"/>
              <w:left w:val="single" w:sz="4" w:space="0" w:color="auto"/>
              <w:bottom w:val="single" w:sz="4" w:space="0" w:color="auto"/>
              <w:right w:val="single" w:sz="4" w:space="0" w:color="auto"/>
            </w:tcBorders>
            <w:vAlign w:val="center"/>
          </w:tcPr>
          <w:p w14:paraId="54DACC30" w14:textId="1F38027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87.0</w:t>
            </w:r>
          </w:p>
        </w:tc>
        <w:tc>
          <w:tcPr>
            <w:tcW w:w="699" w:type="dxa"/>
            <w:tcBorders>
              <w:top w:val="single" w:sz="4" w:space="0" w:color="auto"/>
              <w:left w:val="single" w:sz="4" w:space="0" w:color="auto"/>
              <w:bottom w:val="single" w:sz="4" w:space="0" w:color="auto"/>
              <w:right w:val="single" w:sz="4" w:space="0" w:color="auto"/>
            </w:tcBorders>
            <w:vAlign w:val="center"/>
          </w:tcPr>
          <w:p w14:paraId="68D82C25" w14:textId="42C4078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83.7</w:t>
            </w:r>
          </w:p>
        </w:tc>
        <w:tc>
          <w:tcPr>
            <w:tcW w:w="698" w:type="dxa"/>
            <w:tcBorders>
              <w:top w:val="single" w:sz="4" w:space="0" w:color="auto"/>
              <w:left w:val="single" w:sz="4" w:space="0" w:color="auto"/>
              <w:bottom w:val="single" w:sz="4" w:space="0" w:color="auto"/>
              <w:right w:val="single" w:sz="4" w:space="0" w:color="auto"/>
            </w:tcBorders>
            <w:vAlign w:val="center"/>
          </w:tcPr>
          <w:p w14:paraId="4822780F" w14:textId="756237A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86.5</w:t>
            </w:r>
          </w:p>
        </w:tc>
        <w:tc>
          <w:tcPr>
            <w:tcW w:w="699" w:type="dxa"/>
            <w:tcBorders>
              <w:top w:val="single" w:sz="4" w:space="0" w:color="auto"/>
              <w:left w:val="single" w:sz="4" w:space="0" w:color="auto"/>
              <w:bottom w:val="single" w:sz="4" w:space="0" w:color="auto"/>
              <w:right w:val="single" w:sz="4" w:space="0" w:color="auto"/>
            </w:tcBorders>
            <w:vAlign w:val="center"/>
          </w:tcPr>
          <w:p w14:paraId="6D64B183" w14:textId="53FF2CC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87.6</w:t>
            </w:r>
          </w:p>
        </w:tc>
        <w:tc>
          <w:tcPr>
            <w:tcW w:w="698" w:type="dxa"/>
            <w:tcBorders>
              <w:top w:val="single" w:sz="4" w:space="0" w:color="auto"/>
              <w:left w:val="single" w:sz="4" w:space="0" w:color="auto"/>
              <w:bottom w:val="single" w:sz="4" w:space="0" w:color="auto"/>
              <w:right w:val="single" w:sz="4" w:space="0" w:color="auto"/>
            </w:tcBorders>
            <w:vAlign w:val="center"/>
          </w:tcPr>
          <w:p w14:paraId="4AFAD52B" w14:textId="7F64F5C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89.6</w:t>
            </w:r>
          </w:p>
        </w:tc>
        <w:tc>
          <w:tcPr>
            <w:tcW w:w="699" w:type="dxa"/>
            <w:tcBorders>
              <w:top w:val="single" w:sz="4" w:space="0" w:color="auto"/>
              <w:left w:val="single" w:sz="4" w:space="0" w:color="auto"/>
              <w:bottom w:val="single" w:sz="4" w:space="0" w:color="auto"/>
              <w:right w:val="single" w:sz="4" w:space="0" w:color="auto"/>
            </w:tcBorders>
            <w:vAlign w:val="center"/>
          </w:tcPr>
          <w:p w14:paraId="13D09FBA" w14:textId="5F36A5D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62.3</w:t>
            </w:r>
          </w:p>
        </w:tc>
        <w:tc>
          <w:tcPr>
            <w:tcW w:w="699" w:type="dxa"/>
            <w:tcBorders>
              <w:top w:val="single" w:sz="4" w:space="0" w:color="auto"/>
              <w:left w:val="single" w:sz="4" w:space="0" w:color="auto"/>
              <w:bottom w:val="single" w:sz="4" w:space="0" w:color="auto"/>
              <w:right w:val="single" w:sz="4" w:space="0" w:color="auto"/>
            </w:tcBorders>
            <w:vAlign w:val="center"/>
          </w:tcPr>
          <w:p w14:paraId="458C5286" w14:textId="4E8435F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63.0</w:t>
            </w:r>
          </w:p>
        </w:tc>
        <w:tc>
          <w:tcPr>
            <w:tcW w:w="698" w:type="dxa"/>
            <w:tcBorders>
              <w:top w:val="single" w:sz="4" w:space="0" w:color="auto"/>
              <w:left w:val="single" w:sz="4" w:space="0" w:color="auto"/>
              <w:bottom w:val="single" w:sz="4" w:space="0" w:color="auto"/>
              <w:right w:val="single" w:sz="4" w:space="0" w:color="auto"/>
            </w:tcBorders>
            <w:vAlign w:val="center"/>
          </w:tcPr>
          <w:p w14:paraId="3346C21C" w14:textId="4116316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63.2</w:t>
            </w:r>
          </w:p>
        </w:tc>
        <w:tc>
          <w:tcPr>
            <w:tcW w:w="699" w:type="dxa"/>
            <w:tcBorders>
              <w:top w:val="single" w:sz="4" w:space="0" w:color="auto"/>
              <w:left w:val="single" w:sz="4" w:space="0" w:color="auto"/>
              <w:bottom w:val="single" w:sz="4" w:space="0" w:color="auto"/>
              <w:right w:val="single" w:sz="4" w:space="0" w:color="auto"/>
            </w:tcBorders>
            <w:vAlign w:val="center"/>
          </w:tcPr>
          <w:p w14:paraId="3C91876F" w14:textId="0B72D20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49.4</w:t>
            </w:r>
          </w:p>
        </w:tc>
        <w:tc>
          <w:tcPr>
            <w:tcW w:w="698" w:type="dxa"/>
            <w:tcBorders>
              <w:top w:val="single" w:sz="4" w:space="0" w:color="auto"/>
              <w:left w:val="single" w:sz="4" w:space="0" w:color="auto"/>
              <w:bottom w:val="single" w:sz="4" w:space="0" w:color="auto"/>
              <w:right w:val="single" w:sz="4" w:space="0" w:color="auto"/>
            </w:tcBorders>
            <w:vAlign w:val="center"/>
          </w:tcPr>
          <w:p w14:paraId="3605904E" w14:textId="4EF02F8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45.0</w:t>
            </w:r>
          </w:p>
        </w:tc>
        <w:tc>
          <w:tcPr>
            <w:tcW w:w="699" w:type="dxa"/>
            <w:tcBorders>
              <w:top w:val="single" w:sz="4" w:space="0" w:color="auto"/>
              <w:left w:val="single" w:sz="4" w:space="0" w:color="auto"/>
              <w:bottom w:val="single" w:sz="4" w:space="0" w:color="auto"/>
              <w:right w:val="single" w:sz="4" w:space="0" w:color="auto"/>
            </w:tcBorders>
            <w:vAlign w:val="center"/>
          </w:tcPr>
          <w:p w14:paraId="0E7DD828" w14:textId="6F5D52B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62.2</w:t>
            </w:r>
          </w:p>
        </w:tc>
        <w:tc>
          <w:tcPr>
            <w:tcW w:w="698" w:type="dxa"/>
            <w:tcBorders>
              <w:top w:val="single" w:sz="4" w:space="0" w:color="auto"/>
              <w:left w:val="single" w:sz="4" w:space="0" w:color="auto"/>
              <w:bottom w:val="single" w:sz="4" w:space="0" w:color="auto"/>
              <w:right w:val="single" w:sz="4" w:space="0" w:color="auto"/>
            </w:tcBorders>
            <w:vAlign w:val="center"/>
          </w:tcPr>
          <w:p w14:paraId="0CDA2584" w14:textId="6A3A570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75.9</w:t>
            </w:r>
          </w:p>
        </w:tc>
        <w:tc>
          <w:tcPr>
            <w:tcW w:w="699" w:type="dxa"/>
            <w:tcBorders>
              <w:top w:val="single" w:sz="4" w:space="0" w:color="auto"/>
              <w:left w:val="single" w:sz="4" w:space="0" w:color="auto"/>
              <w:bottom w:val="single" w:sz="4" w:space="0" w:color="auto"/>
              <w:right w:val="single" w:sz="4" w:space="0" w:color="auto"/>
            </w:tcBorders>
            <w:vAlign w:val="center"/>
          </w:tcPr>
          <w:p w14:paraId="27DDE829" w14:textId="5B294B6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89.3</w:t>
            </w:r>
          </w:p>
        </w:tc>
        <w:tc>
          <w:tcPr>
            <w:tcW w:w="698" w:type="dxa"/>
            <w:tcBorders>
              <w:top w:val="single" w:sz="4" w:space="0" w:color="auto"/>
              <w:left w:val="single" w:sz="4" w:space="0" w:color="auto"/>
              <w:bottom w:val="single" w:sz="4" w:space="0" w:color="auto"/>
              <w:right w:val="single" w:sz="4" w:space="0" w:color="auto"/>
            </w:tcBorders>
            <w:vAlign w:val="center"/>
          </w:tcPr>
          <w:p w14:paraId="07203102" w14:textId="5A3FBB6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87.9</w:t>
            </w:r>
          </w:p>
        </w:tc>
        <w:tc>
          <w:tcPr>
            <w:tcW w:w="699" w:type="dxa"/>
            <w:tcBorders>
              <w:top w:val="single" w:sz="4" w:space="0" w:color="auto"/>
              <w:left w:val="single" w:sz="4" w:space="0" w:color="auto"/>
              <w:bottom w:val="single" w:sz="4" w:space="0" w:color="auto"/>
              <w:right w:val="single" w:sz="4" w:space="0" w:color="auto"/>
            </w:tcBorders>
            <w:vAlign w:val="center"/>
          </w:tcPr>
          <w:p w14:paraId="7904D178" w14:textId="5A04AB8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89.7</w:t>
            </w:r>
          </w:p>
        </w:tc>
        <w:tc>
          <w:tcPr>
            <w:tcW w:w="699" w:type="dxa"/>
            <w:tcBorders>
              <w:top w:val="single" w:sz="4" w:space="0" w:color="auto"/>
              <w:left w:val="single" w:sz="4" w:space="0" w:color="auto"/>
              <w:bottom w:val="single" w:sz="4" w:space="0" w:color="auto"/>
              <w:right w:val="single" w:sz="4" w:space="0" w:color="auto"/>
            </w:tcBorders>
            <w:vAlign w:val="center"/>
          </w:tcPr>
          <w:p w14:paraId="48E4EE31" w14:textId="0035C08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84.8</w:t>
            </w:r>
          </w:p>
        </w:tc>
      </w:tr>
      <w:tr w:rsidR="00586F7D" w:rsidRPr="00217865" w14:paraId="15DF1D41"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4172990B" w14:textId="70CC8818"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Law and paralegal studies</w:t>
            </w:r>
          </w:p>
        </w:tc>
        <w:tc>
          <w:tcPr>
            <w:tcW w:w="698" w:type="dxa"/>
            <w:tcBorders>
              <w:top w:val="single" w:sz="4" w:space="0" w:color="auto"/>
              <w:left w:val="single" w:sz="4" w:space="0" w:color="auto"/>
              <w:bottom w:val="single" w:sz="4" w:space="0" w:color="auto"/>
              <w:right w:val="single" w:sz="4" w:space="0" w:color="auto"/>
            </w:tcBorders>
            <w:vAlign w:val="center"/>
          </w:tcPr>
          <w:p w14:paraId="64662013" w14:textId="718DE9F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82.4</w:t>
            </w:r>
          </w:p>
        </w:tc>
        <w:tc>
          <w:tcPr>
            <w:tcW w:w="699" w:type="dxa"/>
            <w:tcBorders>
              <w:top w:val="single" w:sz="4" w:space="0" w:color="auto"/>
              <w:left w:val="single" w:sz="4" w:space="0" w:color="auto"/>
              <w:bottom w:val="single" w:sz="4" w:space="0" w:color="auto"/>
              <w:right w:val="single" w:sz="4" w:space="0" w:color="auto"/>
            </w:tcBorders>
            <w:vAlign w:val="center"/>
          </w:tcPr>
          <w:p w14:paraId="3CE95404" w14:textId="6C56970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82.9</w:t>
            </w:r>
          </w:p>
        </w:tc>
        <w:tc>
          <w:tcPr>
            <w:tcW w:w="698" w:type="dxa"/>
            <w:tcBorders>
              <w:top w:val="single" w:sz="4" w:space="0" w:color="auto"/>
              <w:left w:val="single" w:sz="4" w:space="0" w:color="auto"/>
              <w:bottom w:val="single" w:sz="4" w:space="0" w:color="auto"/>
              <w:right w:val="single" w:sz="4" w:space="0" w:color="auto"/>
            </w:tcBorders>
            <w:vAlign w:val="center"/>
          </w:tcPr>
          <w:p w14:paraId="5E48F27F" w14:textId="50EDCF9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81.0</w:t>
            </w:r>
          </w:p>
        </w:tc>
        <w:tc>
          <w:tcPr>
            <w:tcW w:w="699" w:type="dxa"/>
            <w:tcBorders>
              <w:top w:val="single" w:sz="4" w:space="0" w:color="auto"/>
              <w:left w:val="single" w:sz="4" w:space="0" w:color="auto"/>
              <w:bottom w:val="single" w:sz="4" w:space="0" w:color="auto"/>
              <w:right w:val="single" w:sz="4" w:space="0" w:color="auto"/>
            </w:tcBorders>
            <w:vAlign w:val="center"/>
          </w:tcPr>
          <w:p w14:paraId="2F8BD232" w14:textId="4E410C0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74.9</w:t>
            </w:r>
          </w:p>
        </w:tc>
        <w:tc>
          <w:tcPr>
            <w:tcW w:w="698" w:type="dxa"/>
            <w:tcBorders>
              <w:top w:val="single" w:sz="4" w:space="0" w:color="auto"/>
              <w:left w:val="single" w:sz="4" w:space="0" w:color="auto"/>
              <w:bottom w:val="single" w:sz="4" w:space="0" w:color="auto"/>
              <w:right w:val="single" w:sz="4" w:space="0" w:color="auto"/>
            </w:tcBorders>
            <w:vAlign w:val="center"/>
          </w:tcPr>
          <w:p w14:paraId="220B9CC3" w14:textId="30762E6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c>
          <w:tcPr>
            <w:tcW w:w="699" w:type="dxa"/>
            <w:tcBorders>
              <w:top w:val="single" w:sz="4" w:space="0" w:color="auto"/>
              <w:left w:val="single" w:sz="4" w:space="0" w:color="auto"/>
              <w:bottom w:val="single" w:sz="4" w:space="0" w:color="auto"/>
              <w:right w:val="single" w:sz="4" w:space="0" w:color="auto"/>
            </w:tcBorders>
            <w:vAlign w:val="center"/>
          </w:tcPr>
          <w:p w14:paraId="32899B17" w14:textId="40DFB79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8" w:type="dxa"/>
            <w:tcBorders>
              <w:top w:val="single" w:sz="4" w:space="0" w:color="auto"/>
              <w:left w:val="single" w:sz="4" w:space="0" w:color="auto"/>
              <w:bottom w:val="single" w:sz="4" w:space="0" w:color="auto"/>
              <w:right w:val="single" w:sz="4" w:space="0" w:color="auto"/>
            </w:tcBorders>
            <w:vAlign w:val="center"/>
          </w:tcPr>
          <w:p w14:paraId="640F8850" w14:textId="503E3CB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81.9</w:t>
            </w:r>
          </w:p>
        </w:tc>
        <w:tc>
          <w:tcPr>
            <w:tcW w:w="699" w:type="dxa"/>
            <w:tcBorders>
              <w:top w:val="single" w:sz="4" w:space="0" w:color="auto"/>
              <w:left w:val="single" w:sz="4" w:space="0" w:color="auto"/>
              <w:bottom w:val="single" w:sz="4" w:space="0" w:color="auto"/>
              <w:right w:val="single" w:sz="4" w:space="0" w:color="auto"/>
            </w:tcBorders>
            <w:vAlign w:val="center"/>
          </w:tcPr>
          <w:p w14:paraId="42ED3F6D" w14:textId="7EAC7AB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55.0</w:t>
            </w:r>
          </w:p>
        </w:tc>
        <w:tc>
          <w:tcPr>
            <w:tcW w:w="699" w:type="dxa"/>
            <w:tcBorders>
              <w:top w:val="single" w:sz="4" w:space="0" w:color="auto"/>
              <w:left w:val="single" w:sz="4" w:space="0" w:color="auto"/>
              <w:bottom w:val="single" w:sz="4" w:space="0" w:color="auto"/>
              <w:right w:val="single" w:sz="4" w:space="0" w:color="auto"/>
            </w:tcBorders>
            <w:vAlign w:val="center"/>
          </w:tcPr>
          <w:p w14:paraId="22A714B0" w14:textId="39EBD15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53.7</w:t>
            </w:r>
          </w:p>
        </w:tc>
        <w:tc>
          <w:tcPr>
            <w:tcW w:w="698" w:type="dxa"/>
            <w:tcBorders>
              <w:top w:val="single" w:sz="4" w:space="0" w:color="auto"/>
              <w:left w:val="single" w:sz="4" w:space="0" w:color="auto"/>
              <w:bottom w:val="single" w:sz="4" w:space="0" w:color="auto"/>
              <w:right w:val="single" w:sz="4" w:space="0" w:color="auto"/>
            </w:tcBorders>
            <w:vAlign w:val="center"/>
          </w:tcPr>
          <w:p w14:paraId="7ED1607A" w14:textId="26C9AB0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53.5</w:t>
            </w:r>
          </w:p>
        </w:tc>
        <w:tc>
          <w:tcPr>
            <w:tcW w:w="699" w:type="dxa"/>
            <w:tcBorders>
              <w:top w:val="single" w:sz="4" w:space="0" w:color="auto"/>
              <w:left w:val="single" w:sz="4" w:space="0" w:color="auto"/>
              <w:bottom w:val="single" w:sz="4" w:space="0" w:color="auto"/>
              <w:right w:val="single" w:sz="4" w:space="0" w:color="auto"/>
            </w:tcBorders>
            <w:vAlign w:val="center"/>
          </w:tcPr>
          <w:p w14:paraId="416F1F88" w14:textId="21B2F18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33.3</w:t>
            </w:r>
          </w:p>
        </w:tc>
        <w:tc>
          <w:tcPr>
            <w:tcW w:w="698" w:type="dxa"/>
            <w:tcBorders>
              <w:top w:val="single" w:sz="4" w:space="0" w:color="auto"/>
              <w:left w:val="single" w:sz="4" w:space="0" w:color="auto"/>
              <w:bottom w:val="single" w:sz="4" w:space="0" w:color="auto"/>
              <w:right w:val="single" w:sz="4" w:space="0" w:color="auto"/>
            </w:tcBorders>
            <w:vAlign w:val="center"/>
          </w:tcPr>
          <w:p w14:paraId="5F197DF2" w14:textId="68E8948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34.3</w:t>
            </w:r>
          </w:p>
        </w:tc>
        <w:tc>
          <w:tcPr>
            <w:tcW w:w="699" w:type="dxa"/>
            <w:tcBorders>
              <w:top w:val="single" w:sz="4" w:space="0" w:color="auto"/>
              <w:left w:val="single" w:sz="4" w:space="0" w:color="auto"/>
              <w:bottom w:val="single" w:sz="4" w:space="0" w:color="auto"/>
              <w:right w:val="single" w:sz="4" w:space="0" w:color="auto"/>
            </w:tcBorders>
            <w:vAlign w:val="center"/>
          </w:tcPr>
          <w:p w14:paraId="70018913" w14:textId="3D9783C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50.7</w:t>
            </w:r>
          </w:p>
        </w:tc>
        <w:tc>
          <w:tcPr>
            <w:tcW w:w="698" w:type="dxa"/>
            <w:tcBorders>
              <w:top w:val="single" w:sz="4" w:space="0" w:color="auto"/>
              <w:left w:val="single" w:sz="4" w:space="0" w:color="auto"/>
              <w:bottom w:val="single" w:sz="4" w:space="0" w:color="auto"/>
              <w:right w:val="single" w:sz="4" w:space="0" w:color="auto"/>
            </w:tcBorders>
            <w:vAlign w:val="center"/>
          </w:tcPr>
          <w:p w14:paraId="05F487C8" w14:textId="78A7E0C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57.8</w:t>
            </w:r>
          </w:p>
        </w:tc>
        <w:tc>
          <w:tcPr>
            <w:tcW w:w="699" w:type="dxa"/>
            <w:tcBorders>
              <w:top w:val="single" w:sz="4" w:space="0" w:color="auto"/>
              <w:left w:val="single" w:sz="4" w:space="0" w:color="auto"/>
              <w:bottom w:val="single" w:sz="4" w:space="0" w:color="auto"/>
              <w:right w:val="single" w:sz="4" w:space="0" w:color="auto"/>
            </w:tcBorders>
            <w:vAlign w:val="center"/>
          </w:tcPr>
          <w:p w14:paraId="1109AA19" w14:textId="5B6730E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85.5</w:t>
            </w:r>
          </w:p>
        </w:tc>
        <w:tc>
          <w:tcPr>
            <w:tcW w:w="698" w:type="dxa"/>
            <w:tcBorders>
              <w:top w:val="single" w:sz="4" w:space="0" w:color="auto"/>
              <w:left w:val="single" w:sz="4" w:space="0" w:color="auto"/>
              <w:bottom w:val="single" w:sz="4" w:space="0" w:color="auto"/>
              <w:right w:val="single" w:sz="4" w:space="0" w:color="auto"/>
            </w:tcBorders>
            <w:vAlign w:val="center"/>
          </w:tcPr>
          <w:p w14:paraId="3ACF3B87" w14:textId="20CCA6A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82.6</w:t>
            </w:r>
          </w:p>
        </w:tc>
        <w:tc>
          <w:tcPr>
            <w:tcW w:w="699" w:type="dxa"/>
            <w:tcBorders>
              <w:top w:val="single" w:sz="4" w:space="0" w:color="auto"/>
              <w:left w:val="single" w:sz="4" w:space="0" w:color="auto"/>
              <w:bottom w:val="single" w:sz="4" w:space="0" w:color="auto"/>
              <w:right w:val="single" w:sz="4" w:space="0" w:color="auto"/>
            </w:tcBorders>
            <w:vAlign w:val="center"/>
          </w:tcPr>
          <w:p w14:paraId="3B2B7798" w14:textId="662305A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82.0</w:t>
            </w:r>
          </w:p>
        </w:tc>
        <w:tc>
          <w:tcPr>
            <w:tcW w:w="699" w:type="dxa"/>
            <w:tcBorders>
              <w:top w:val="single" w:sz="4" w:space="0" w:color="auto"/>
              <w:left w:val="single" w:sz="4" w:space="0" w:color="auto"/>
              <w:bottom w:val="single" w:sz="4" w:space="0" w:color="auto"/>
              <w:right w:val="single" w:sz="4" w:space="0" w:color="auto"/>
            </w:tcBorders>
            <w:vAlign w:val="center"/>
          </w:tcPr>
          <w:p w14:paraId="0D97DBFC" w14:textId="689BAF9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r>
      <w:tr w:rsidR="00586F7D" w:rsidRPr="00217865" w14:paraId="77D81A35"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2B71FDC3" w14:textId="37AC970A"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Medicine</w:t>
            </w:r>
          </w:p>
        </w:tc>
        <w:tc>
          <w:tcPr>
            <w:tcW w:w="698" w:type="dxa"/>
            <w:tcBorders>
              <w:top w:val="single" w:sz="4" w:space="0" w:color="auto"/>
              <w:left w:val="single" w:sz="4" w:space="0" w:color="auto"/>
              <w:bottom w:val="single" w:sz="4" w:space="0" w:color="auto"/>
              <w:right w:val="single" w:sz="4" w:space="0" w:color="auto"/>
            </w:tcBorders>
            <w:vAlign w:val="center"/>
          </w:tcPr>
          <w:p w14:paraId="4F20EFB1" w14:textId="732B2A4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82.2</w:t>
            </w:r>
          </w:p>
        </w:tc>
        <w:tc>
          <w:tcPr>
            <w:tcW w:w="699" w:type="dxa"/>
            <w:tcBorders>
              <w:top w:val="single" w:sz="4" w:space="0" w:color="auto"/>
              <w:left w:val="single" w:sz="4" w:space="0" w:color="auto"/>
              <w:bottom w:val="single" w:sz="4" w:space="0" w:color="auto"/>
              <w:right w:val="single" w:sz="4" w:space="0" w:color="auto"/>
            </w:tcBorders>
            <w:vAlign w:val="center"/>
          </w:tcPr>
          <w:p w14:paraId="3D982893" w14:textId="5A01E93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79.5</w:t>
            </w:r>
          </w:p>
        </w:tc>
        <w:tc>
          <w:tcPr>
            <w:tcW w:w="698" w:type="dxa"/>
            <w:tcBorders>
              <w:top w:val="single" w:sz="4" w:space="0" w:color="auto"/>
              <w:left w:val="single" w:sz="4" w:space="0" w:color="auto"/>
              <w:bottom w:val="single" w:sz="4" w:space="0" w:color="auto"/>
              <w:right w:val="single" w:sz="4" w:space="0" w:color="auto"/>
            </w:tcBorders>
            <w:vAlign w:val="center"/>
          </w:tcPr>
          <w:p w14:paraId="11596FFD" w14:textId="165CD3E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80.3</w:t>
            </w:r>
          </w:p>
        </w:tc>
        <w:tc>
          <w:tcPr>
            <w:tcW w:w="699" w:type="dxa"/>
            <w:tcBorders>
              <w:top w:val="single" w:sz="4" w:space="0" w:color="auto"/>
              <w:left w:val="single" w:sz="4" w:space="0" w:color="auto"/>
              <w:bottom w:val="single" w:sz="4" w:space="0" w:color="auto"/>
              <w:right w:val="single" w:sz="4" w:space="0" w:color="auto"/>
            </w:tcBorders>
            <w:vAlign w:val="center"/>
          </w:tcPr>
          <w:p w14:paraId="2F29F58F" w14:textId="0239EE2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79.5</w:t>
            </w:r>
          </w:p>
        </w:tc>
        <w:tc>
          <w:tcPr>
            <w:tcW w:w="698" w:type="dxa"/>
            <w:tcBorders>
              <w:top w:val="single" w:sz="4" w:space="0" w:color="auto"/>
              <w:left w:val="single" w:sz="4" w:space="0" w:color="auto"/>
              <w:bottom w:val="single" w:sz="4" w:space="0" w:color="auto"/>
              <w:right w:val="single" w:sz="4" w:space="0" w:color="auto"/>
            </w:tcBorders>
            <w:vAlign w:val="center"/>
          </w:tcPr>
          <w:p w14:paraId="77BE2EB6" w14:textId="03713E1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80.7</w:t>
            </w:r>
          </w:p>
        </w:tc>
        <w:tc>
          <w:tcPr>
            <w:tcW w:w="699" w:type="dxa"/>
            <w:tcBorders>
              <w:top w:val="single" w:sz="4" w:space="0" w:color="auto"/>
              <w:left w:val="single" w:sz="4" w:space="0" w:color="auto"/>
              <w:bottom w:val="single" w:sz="4" w:space="0" w:color="auto"/>
              <w:right w:val="single" w:sz="4" w:space="0" w:color="auto"/>
            </w:tcBorders>
            <w:vAlign w:val="center"/>
          </w:tcPr>
          <w:p w14:paraId="5612EC0F" w14:textId="2A677A2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82.1</w:t>
            </w:r>
          </w:p>
        </w:tc>
        <w:tc>
          <w:tcPr>
            <w:tcW w:w="698" w:type="dxa"/>
            <w:tcBorders>
              <w:top w:val="single" w:sz="4" w:space="0" w:color="auto"/>
              <w:left w:val="single" w:sz="4" w:space="0" w:color="auto"/>
              <w:bottom w:val="single" w:sz="4" w:space="0" w:color="auto"/>
              <w:right w:val="single" w:sz="4" w:space="0" w:color="auto"/>
            </w:tcBorders>
            <w:vAlign w:val="center"/>
          </w:tcPr>
          <w:p w14:paraId="2EF6E3AD" w14:textId="5EC628C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81.1</w:t>
            </w:r>
          </w:p>
        </w:tc>
        <w:tc>
          <w:tcPr>
            <w:tcW w:w="699" w:type="dxa"/>
            <w:tcBorders>
              <w:top w:val="single" w:sz="4" w:space="0" w:color="auto"/>
              <w:left w:val="single" w:sz="4" w:space="0" w:color="auto"/>
              <w:bottom w:val="single" w:sz="4" w:space="0" w:color="auto"/>
              <w:right w:val="single" w:sz="4" w:space="0" w:color="auto"/>
            </w:tcBorders>
            <w:vAlign w:val="center"/>
          </w:tcPr>
          <w:p w14:paraId="508930B9" w14:textId="731796E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74.7</w:t>
            </w:r>
          </w:p>
        </w:tc>
        <w:tc>
          <w:tcPr>
            <w:tcW w:w="699" w:type="dxa"/>
            <w:tcBorders>
              <w:top w:val="single" w:sz="4" w:space="0" w:color="auto"/>
              <w:left w:val="single" w:sz="4" w:space="0" w:color="auto"/>
              <w:bottom w:val="single" w:sz="4" w:space="0" w:color="auto"/>
              <w:right w:val="single" w:sz="4" w:space="0" w:color="auto"/>
            </w:tcBorders>
            <w:vAlign w:val="center"/>
          </w:tcPr>
          <w:p w14:paraId="3A1F10FC" w14:textId="6B05D3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69.2</w:t>
            </w:r>
          </w:p>
        </w:tc>
        <w:tc>
          <w:tcPr>
            <w:tcW w:w="698" w:type="dxa"/>
            <w:tcBorders>
              <w:top w:val="single" w:sz="4" w:space="0" w:color="auto"/>
              <w:left w:val="single" w:sz="4" w:space="0" w:color="auto"/>
              <w:bottom w:val="single" w:sz="4" w:space="0" w:color="auto"/>
              <w:right w:val="single" w:sz="4" w:space="0" w:color="auto"/>
            </w:tcBorders>
            <w:vAlign w:val="center"/>
          </w:tcPr>
          <w:p w14:paraId="54DB5CFA" w14:textId="598E869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70.1</w:t>
            </w:r>
          </w:p>
        </w:tc>
        <w:tc>
          <w:tcPr>
            <w:tcW w:w="699" w:type="dxa"/>
            <w:tcBorders>
              <w:top w:val="single" w:sz="4" w:space="0" w:color="auto"/>
              <w:left w:val="single" w:sz="4" w:space="0" w:color="auto"/>
              <w:bottom w:val="single" w:sz="4" w:space="0" w:color="auto"/>
              <w:right w:val="single" w:sz="4" w:space="0" w:color="auto"/>
            </w:tcBorders>
            <w:vAlign w:val="center"/>
          </w:tcPr>
          <w:p w14:paraId="7E8ABCF5" w14:textId="4BCF6E7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54.3</w:t>
            </w:r>
          </w:p>
        </w:tc>
        <w:tc>
          <w:tcPr>
            <w:tcW w:w="698" w:type="dxa"/>
            <w:tcBorders>
              <w:top w:val="single" w:sz="4" w:space="0" w:color="auto"/>
              <w:left w:val="single" w:sz="4" w:space="0" w:color="auto"/>
              <w:bottom w:val="single" w:sz="4" w:space="0" w:color="auto"/>
              <w:right w:val="single" w:sz="4" w:space="0" w:color="auto"/>
            </w:tcBorders>
            <w:vAlign w:val="center"/>
          </w:tcPr>
          <w:p w14:paraId="2B7FF08D" w14:textId="6FCE540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47.0</w:t>
            </w:r>
          </w:p>
        </w:tc>
        <w:tc>
          <w:tcPr>
            <w:tcW w:w="699" w:type="dxa"/>
            <w:tcBorders>
              <w:top w:val="single" w:sz="4" w:space="0" w:color="auto"/>
              <w:left w:val="single" w:sz="4" w:space="0" w:color="auto"/>
              <w:bottom w:val="single" w:sz="4" w:space="0" w:color="auto"/>
              <w:right w:val="single" w:sz="4" w:space="0" w:color="auto"/>
            </w:tcBorders>
            <w:vAlign w:val="center"/>
          </w:tcPr>
          <w:p w14:paraId="663C1A47" w14:textId="597A673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67.5</w:t>
            </w:r>
          </w:p>
        </w:tc>
        <w:tc>
          <w:tcPr>
            <w:tcW w:w="698" w:type="dxa"/>
            <w:tcBorders>
              <w:top w:val="single" w:sz="4" w:space="0" w:color="auto"/>
              <w:left w:val="single" w:sz="4" w:space="0" w:color="auto"/>
              <w:bottom w:val="single" w:sz="4" w:space="0" w:color="auto"/>
              <w:right w:val="single" w:sz="4" w:space="0" w:color="auto"/>
            </w:tcBorders>
            <w:vAlign w:val="center"/>
          </w:tcPr>
          <w:p w14:paraId="2AC8F374" w14:textId="47D748C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70.0</w:t>
            </w:r>
          </w:p>
        </w:tc>
        <w:tc>
          <w:tcPr>
            <w:tcW w:w="699" w:type="dxa"/>
            <w:tcBorders>
              <w:top w:val="single" w:sz="4" w:space="0" w:color="auto"/>
              <w:left w:val="single" w:sz="4" w:space="0" w:color="auto"/>
              <w:bottom w:val="single" w:sz="4" w:space="0" w:color="auto"/>
              <w:right w:val="single" w:sz="4" w:space="0" w:color="auto"/>
            </w:tcBorders>
            <w:vAlign w:val="center"/>
          </w:tcPr>
          <w:p w14:paraId="7A3084ED" w14:textId="290FEE4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66.4</w:t>
            </w:r>
          </w:p>
        </w:tc>
        <w:tc>
          <w:tcPr>
            <w:tcW w:w="698" w:type="dxa"/>
            <w:tcBorders>
              <w:top w:val="single" w:sz="4" w:space="0" w:color="auto"/>
              <w:left w:val="single" w:sz="4" w:space="0" w:color="auto"/>
              <w:bottom w:val="single" w:sz="4" w:space="0" w:color="auto"/>
              <w:right w:val="single" w:sz="4" w:space="0" w:color="auto"/>
            </w:tcBorders>
            <w:vAlign w:val="center"/>
          </w:tcPr>
          <w:p w14:paraId="3268657E" w14:textId="633520E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64.3</w:t>
            </w:r>
          </w:p>
        </w:tc>
        <w:tc>
          <w:tcPr>
            <w:tcW w:w="699" w:type="dxa"/>
            <w:tcBorders>
              <w:top w:val="single" w:sz="4" w:space="0" w:color="auto"/>
              <w:left w:val="single" w:sz="4" w:space="0" w:color="auto"/>
              <w:bottom w:val="single" w:sz="4" w:space="0" w:color="auto"/>
              <w:right w:val="single" w:sz="4" w:space="0" w:color="auto"/>
            </w:tcBorders>
            <w:vAlign w:val="center"/>
          </w:tcPr>
          <w:p w14:paraId="6A0A741A" w14:textId="083B916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64.6</w:t>
            </w:r>
          </w:p>
        </w:tc>
        <w:tc>
          <w:tcPr>
            <w:tcW w:w="699" w:type="dxa"/>
            <w:tcBorders>
              <w:top w:val="single" w:sz="4" w:space="0" w:color="auto"/>
              <w:left w:val="single" w:sz="4" w:space="0" w:color="auto"/>
              <w:bottom w:val="single" w:sz="4" w:space="0" w:color="auto"/>
              <w:right w:val="single" w:sz="4" w:space="0" w:color="auto"/>
            </w:tcBorders>
            <w:vAlign w:val="center"/>
          </w:tcPr>
          <w:p w14:paraId="2E1507C7" w14:textId="7046470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61.0</w:t>
            </w:r>
          </w:p>
        </w:tc>
      </w:tr>
      <w:tr w:rsidR="00586F7D" w:rsidRPr="00217865" w14:paraId="1DA9F401"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387256F2" w14:textId="531FC83C"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Nursing</w:t>
            </w:r>
          </w:p>
        </w:tc>
        <w:tc>
          <w:tcPr>
            <w:tcW w:w="698" w:type="dxa"/>
            <w:tcBorders>
              <w:top w:val="single" w:sz="4" w:space="0" w:color="auto"/>
              <w:left w:val="single" w:sz="4" w:space="0" w:color="auto"/>
              <w:bottom w:val="single" w:sz="4" w:space="0" w:color="auto"/>
              <w:right w:val="single" w:sz="4" w:space="0" w:color="auto"/>
            </w:tcBorders>
            <w:vAlign w:val="center"/>
          </w:tcPr>
          <w:p w14:paraId="157E46C7" w14:textId="055186D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91.1</w:t>
            </w:r>
          </w:p>
        </w:tc>
        <w:tc>
          <w:tcPr>
            <w:tcW w:w="699" w:type="dxa"/>
            <w:tcBorders>
              <w:top w:val="single" w:sz="4" w:space="0" w:color="auto"/>
              <w:left w:val="single" w:sz="4" w:space="0" w:color="auto"/>
              <w:bottom w:val="single" w:sz="4" w:space="0" w:color="auto"/>
              <w:right w:val="single" w:sz="4" w:space="0" w:color="auto"/>
            </w:tcBorders>
            <w:vAlign w:val="center"/>
          </w:tcPr>
          <w:p w14:paraId="286DF100" w14:textId="23AE557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86.4</w:t>
            </w:r>
          </w:p>
        </w:tc>
        <w:tc>
          <w:tcPr>
            <w:tcW w:w="698" w:type="dxa"/>
            <w:tcBorders>
              <w:top w:val="single" w:sz="4" w:space="0" w:color="auto"/>
              <w:left w:val="single" w:sz="4" w:space="0" w:color="auto"/>
              <w:bottom w:val="single" w:sz="4" w:space="0" w:color="auto"/>
              <w:right w:val="single" w:sz="4" w:space="0" w:color="auto"/>
            </w:tcBorders>
            <w:vAlign w:val="center"/>
          </w:tcPr>
          <w:p w14:paraId="1CC34307" w14:textId="7211D05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88.9</w:t>
            </w:r>
          </w:p>
        </w:tc>
        <w:tc>
          <w:tcPr>
            <w:tcW w:w="699" w:type="dxa"/>
            <w:tcBorders>
              <w:top w:val="single" w:sz="4" w:space="0" w:color="auto"/>
              <w:left w:val="single" w:sz="4" w:space="0" w:color="auto"/>
              <w:bottom w:val="single" w:sz="4" w:space="0" w:color="auto"/>
              <w:right w:val="single" w:sz="4" w:space="0" w:color="auto"/>
            </w:tcBorders>
            <w:vAlign w:val="center"/>
          </w:tcPr>
          <w:p w14:paraId="09EF1599" w14:textId="3073254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87.6</w:t>
            </w:r>
          </w:p>
        </w:tc>
        <w:tc>
          <w:tcPr>
            <w:tcW w:w="698" w:type="dxa"/>
            <w:tcBorders>
              <w:top w:val="single" w:sz="4" w:space="0" w:color="auto"/>
              <w:left w:val="single" w:sz="4" w:space="0" w:color="auto"/>
              <w:bottom w:val="single" w:sz="4" w:space="0" w:color="auto"/>
              <w:right w:val="single" w:sz="4" w:space="0" w:color="auto"/>
            </w:tcBorders>
            <w:vAlign w:val="center"/>
          </w:tcPr>
          <w:p w14:paraId="341C4EF2" w14:textId="4C68DB3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86.7</w:t>
            </w:r>
          </w:p>
        </w:tc>
        <w:tc>
          <w:tcPr>
            <w:tcW w:w="699" w:type="dxa"/>
            <w:tcBorders>
              <w:top w:val="single" w:sz="4" w:space="0" w:color="auto"/>
              <w:left w:val="single" w:sz="4" w:space="0" w:color="auto"/>
              <w:bottom w:val="single" w:sz="4" w:space="0" w:color="auto"/>
              <w:right w:val="single" w:sz="4" w:space="0" w:color="auto"/>
            </w:tcBorders>
            <w:vAlign w:val="center"/>
          </w:tcPr>
          <w:p w14:paraId="3D0D74E1" w14:textId="6DADE9E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84.5</w:t>
            </w:r>
          </w:p>
        </w:tc>
        <w:tc>
          <w:tcPr>
            <w:tcW w:w="698" w:type="dxa"/>
            <w:tcBorders>
              <w:top w:val="single" w:sz="4" w:space="0" w:color="auto"/>
              <w:left w:val="single" w:sz="4" w:space="0" w:color="auto"/>
              <w:bottom w:val="single" w:sz="4" w:space="0" w:color="auto"/>
              <w:right w:val="single" w:sz="4" w:space="0" w:color="auto"/>
            </w:tcBorders>
            <w:vAlign w:val="center"/>
          </w:tcPr>
          <w:p w14:paraId="4849A2D8" w14:textId="43F3FDF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87.5</w:t>
            </w:r>
          </w:p>
        </w:tc>
        <w:tc>
          <w:tcPr>
            <w:tcW w:w="699" w:type="dxa"/>
            <w:tcBorders>
              <w:top w:val="single" w:sz="4" w:space="0" w:color="auto"/>
              <w:left w:val="single" w:sz="4" w:space="0" w:color="auto"/>
              <w:bottom w:val="single" w:sz="4" w:space="0" w:color="auto"/>
              <w:right w:val="single" w:sz="4" w:space="0" w:color="auto"/>
            </w:tcBorders>
            <w:vAlign w:val="center"/>
          </w:tcPr>
          <w:p w14:paraId="4BF920C5" w14:textId="0263CB7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66.0</w:t>
            </w:r>
          </w:p>
        </w:tc>
        <w:tc>
          <w:tcPr>
            <w:tcW w:w="699" w:type="dxa"/>
            <w:tcBorders>
              <w:top w:val="single" w:sz="4" w:space="0" w:color="auto"/>
              <w:left w:val="single" w:sz="4" w:space="0" w:color="auto"/>
              <w:bottom w:val="single" w:sz="4" w:space="0" w:color="auto"/>
              <w:right w:val="single" w:sz="4" w:space="0" w:color="auto"/>
            </w:tcBorders>
            <w:vAlign w:val="center"/>
          </w:tcPr>
          <w:p w14:paraId="2F6AF96A" w14:textId="49819E6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61.8</w:t>
            </w:r>
          </w:p>
        </w:tc>
        <w:tc>
          <w:tcPr>
            <w:tcW w:w="698" w:type="dxa"/>
            <w:tcBorders>
              <w:top w:val="single" w:sz="4" w:space="0" w:color="auto"/>
              <w:left w:val="single" w:sz="4" w:space="0" w:color="auto"/>
              <w:bottom w:val="single" w:sz="4" w:space="0" w:color="auto"/>
              <w:right w:val="single" w:sz="4" w:space="0" w:color="auto"/>
            </w:tcBorders>
            <w:vAlign w:val="center"/>
          </w:tcPr>
          <w:p w14:paraId="35EF14CD" w14:textId="0CA686C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62.8</w:t>
            </w:r>
          </w:p>
        </w:tc>
        <w:tc>
          <w:tcPr>
            <w:tcW w:w="699" w:type="dxa"/>
            <w:tcBorders>
              <w:top w:val="single" w:sz="4" w:space="0" w:color="auto"/>
              <w:left w:val="single" w:sz="4" w:space="0" w:color="auto"/>
              <w:bottom w:val="single" w:sz="4" w:space="0" w:color="auto"/>
              <w:right w:val="single" w:sz="4" w:space="0" w:color="auto"/>
            </w:tcBorders>
            <w:vAlign w:val="center"/>
          </w:tcPr>
          <w:p w14:paraId="2FFDC647" w14:textId="4740FD0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54.7</w:t>
            </w:r>
          </w:p>
        </w:tc>
        <w:tc>
          <w:tcPr>
            <w:tcW w:w="698" w:type="dxa"/>
            <w:tcBorders>
              <w:top w:val="single" w:sz="4" w:space="0" w:color="auto"/>
              <w:left w:val="single" w:sz="4" w:space="0" w:color="auto"/>
              <w:bottom w:val="single" w:sz="4" w:space="0" w:color="auto"/>
              <w:right w:val="single" w:sz="4" w:space="0" w:color="auto"/>
            </w:tcBorders>
            <w:vAlign w:val="center"/>
          </w:tcPr>
          <w:p w14:paraId="35AC6869" w14:textId="233806D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53.3</w:t>
            </w:r>
          </w:p>
        </w:tc>
        <w:tc>
          <w:tcPr>
            <w:tcW w:w="699" w:type="dxa"/>
            <w:tcBorders>
              <w:top w:val="single" w:sz="4" w:space="0" w:color="auto"/>
              <w:left w:val="single" w:sz="4" w:space="0" w:color="auto"/>
              <w:bottom w:val="single" w:sz="4" w:space="0" w:color="auto"/>
              <w:right w:val="single" w:sz="4" w:space="0" w:color="auto"/>
            </w:tcBorders>
            <w:vAlign w:val="center"/>
          </w:tcPr>
          <w:p w14:paraId="322E5D16" w14:textId="376AD49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61.6</w:t>
            </w:r>
          </w:p>
        </w:tc>
        <w:tc>
          <w:tcPr>
            <w:tcW w:w="698" w:type="dxa"/>
            <w:tcBorders>
              <w:top w:val="single" w:sz="4" w:space="0" w:color="auto"/>
              <w:left w:val="single" w:sz="4" w:space="0" w:color="auto"/>
              <w:bottom w:val="single" w:sz="4" w:space="0" w:color="auto"/>
              <w:right w:val="single" w:sz="4" w:space="0" w:color="auto"/>
            </w:tcBorders>
            <w:vAlign w:val="center"/>
          </w:tcPr>
          <w:p w14:paraId="37B5DFC5" w14:textId="1869D1E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68.4</w:t>
            </w:r>
          </w:p>
        </w:tc>
        <w:tc>
          <w:tcPr>
            <w:tcW w:w="699" w:type="dxa"/>
            <w:tcBorders>
              <w:top w:val="single" w:sz="4" w:space="0" w:color="auto"/>
              <w:left w:val="single" w:sz="4" w:space="0" w:color="auto"/>
              <w:bottom w:val="single" w:sz="4" w:space="0" w:color="auto"/>
              <w:right w:val="single" w:sz="4" w:space="0" w:color="auto"/>
            </w:tcBorders>
            <w:vAlign w:val="center"/>
          </w:tcPr>
          <w:p w14:paraId="57566D0B" w14:textId="2EA6AE9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81.3</w:t>
            </w:r>
          </w:p>
        </w:tc>
        <w:tc>
          <w:tcPr>
            <w:tcW w:w="698" w:type="dxa"/>
            <w:tcBorders>
              <w:top w:val="single" w:sz="4" w:space="0" w:color="auto"/>
              <w:left w:val="single" w:sz="4" w:space="0" w:color="auto"/>
              <w:bottom w:val="single" w:sz="4" w:space="0" w:color="auto"/>
              <w:right w:val="single" w:sz="4" w:space="0" w:color="auto"/>
            </w:tcBorders>
            <w:vAlign w:val="center"/>
          </w:tcPr>
          <w:p w14:paraId="29A22F17" w14:textId="4B8398C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81.0</w:t>
            </w:r>
          </w:p>
        </w:tc>
        <w:tc>
          <w:tcPr>
            <w:tcW w:w="699" w:type="dxa"/>
            <w:tcBorders>
              <w:top w:val="single" w:sz="4" w:space="0" w:color="auto"/>
              <w:left w:val="single" w:sz="4" w:space="0" w:color="auto"/>
              <w:bottom w:val="single" w:sz="4" w:space="0" w:color="auto"/>
              <w:right w:val="single" w:sz="4" w:space="0" w:color="auto"/>
            </w:tcBorders>
            <w:vAlign w:val="center"/>
          </w:tcPr>
          <w:p w14:paraId="4DF55501" w14:textId="1288518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84.1</w:t>
            </w:r>
          </w:p>
        </w:tc>
        <w:tc>
          <w:tcPr>
            <w:tcW w:w="699" w:type="dxa"/>
            <w:tcBorders>
              <w:top w:val="single" w:sz="4" w:space="0" w:color="auto"/>
              <w:left w:val="single" w:sz="4" w:space="0" w:color="auto"/>
              <w:bottom w:val="single" w:sz="4" w:space="0" w:color="auto"/>
              <w:right w:val="single" w:sz="4" w:space="0" w:color="auto"/>
            </w:tcBorders>
            <w:vAlign w:val="center"/>
          </w:tcPr>
          <w:p w14:paraId="57CAE46C" w14:textId="52D3498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81.6</w:t>
            </w:r>
          </w:p>
        </w:tc>
      </w:tr>
      <w:tr w:rsidR="00586F7D" w:rsidRPr="00217865" w14:paraId="221915A0"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1C028C01" w14:textId="0EB92374"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Pharmacy</w:t>
            </w:r>
          </w:p>
        </w:tc>
        <w:tc>
          <w:tcPr>
            <w:tcW w:w="698" w:type="dxa"/>
            <w:tcBorders>
              <w:top w:val="single" w:sz="4" w:space="0" w:color="auto"/>
              <w:left w:val="single" w:sz="4" w:space="0" w:color="auto"/>
              <w:bottom w:val="single" w:sz="4" w:space="0" w:color="auto"/>
              <w:right w:val="single" w:sz="4" w:space="0" w:color="auto"/>
            </w:tcBorders>
            <w:vAlign w:val="center"/>
          </w:tcPr>
          <w:p w14:paraId="28C1BA56" w14:textId="48FEA89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80.6</w:t>
            </w:r>
          </w:p>
        </w:tc>
        <w:tc>
          <w:tcPr>
            <w:tcW w:w="699" w:type="dxa"/>
            <w:tcBorders>
              <w:top w:val="single" w:sz="4" w:space="0" w:color="auto"/>
              <w:left w:val="single" w:sz="4" w:space="0" w:color="auto"/>
              <w:bottom w:val="single" w:sz="4" w:space="0" w:color="auto"/>
              <w:right w:val="single" w:sz="4" w:space="0" w:color="auto"/>
            </w:tcBorders>
            <w:vAlign w:val="center"/>
          </w:tcPr>
          <w:p w14:paraId="2B164305" w14:textId="6C96015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89.5</w:t>
            </w:r>
          </w:p>
        </w:tc>
        <w:tc>
          <w:tcPr>
            <w:tcW w:w="698" w:type="dxa"/>
            <w:tcBorders>
              <w:top w:val="single" w:sz="4" w:space="0" w:color="auto"/>
              <w:left w:val="single" w:sz="4" w:space="0" w:color="auto"/>
              <w:bottom w:val="single" w:sz="4" w:space="0" w:color="auto"/>
              <w:right w:val="single" w:sz="4" w:space="0" w:color="auto"/>
            </w:tcBorders>
            <w:vAlign w:val="center"/>
          </w:tcPr>
          <w:p w14:paraId="1015DF20" w14:textId="51BF578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84.6</w:t>
            </w:r>
          </w:p>
        </w:tc>
        <w:tc>
          <w:tcPr>
            <w:tcW w:w="699" w:type="dxa"/>
            <w:tcBorders>
              <w:top w:val="single" w:sz="4" w:space="0" w:color="auto"/>
              <w:left w:val="single" w:sz="4" w:space="0" w:color="auto"/>
              <w:bottom w:val="single" w:sz="4" w:space="0" w:color="auto"/>
              <w:right w:val="single" w:sz="4" w:space="0" w:color="auto"/>
            </w:tcBorders>
            <w:vAlign w:val="center"/>
          </w:tcPr>
          <w:p w14:paraId="321D8CF7" w14:textId="5F6A1B1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81.5</w:t>
            </w:r>
          </w:p>
        </w:tc>
        <w:tc>
          <w:tcPr>
            <w:tcW w:w="698" w:type="dxa"/>
            <w:tcBorders>
              <w:top w:val="single" w:sz="4" w:space="0" w:color="auto"/>
              <w:left w:val="single" w:sz="4" w:space="0" w:color="auto"/>
              <w:bottom w:val="single" w:sz="4" w:space="0" w:color="auto"/>
              <w:right w:val="single" w:sz="4" w:space="0" w:color="auto"/>
            </w:tcBorders>
            <w:vAlign w:val="center"/>
          </w:tcPr>
          <w:p w14:paraId="32B5BE5E" w14:textId="049E912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84.2</w:t>
            </w:r>
          </w:p>
        </w:tc>
        <w:tc>
          <w:tcPr>
            <w:tcW w:w="699" w:type="dxa"/>
            <w:tcBorders>
              <w:top w:val="single" w:sz="4" w:space="0" w:color="auto"/>
              <w:left w:val="single" w:sz="4" w:space="0" w:color="auto"/>
              <w:bottom w:val="single" w:sz="4" w:space="0" w:color="auto"/>
              <w:right w:val="single" w:sz="4" w:space="0" w:color="auto"/>
            </w:tcBorders>
            <w:vAlign w:val="center"/>
          </w:tcPr>
          <w:p w14:paraId="0154DF70" w14:textId="5232934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85.1</w:t>
            </w:r>
          </w:p>
        </w:tc>
        <w:tc>
          <w:tcPr>
            <w:tcW w:w="698" w:type="dxa"/>
            <w:tcBorders>
              <w:top w:val="single" w:sz="4" w:space="0" w:color="auto"/>
              <w:left w:val="single" w:sz="4" w:space="0" w:color="auto"/>
              <w:bottom w:val="single" w:sz="4" w:space="0" w:color="auto"/>
              <w:right w:val="single" w:sz="4" w:space="0" w:color="auto"/>
            </w:tcBorders>
            <w:vAlign w:val="center"/>
          </w:tcPr>
          <w:p w14:paraId="300C8383" w14:textId="7948E10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87.4</w:t>
            </w:r>
          </w:p>
        </w:tc>
        <w:tc>
          <w:tcPr>
            <w:tcW w:w="699" w:type="dxa"/>
            <w:tcBorders>
              <w:top w:val="single" w:sz="4" w:space="0" w:color="auto"/>
              <w:left w:val="single" w:sz="4" w:space="0" w:color="auto"/>
              <w:bottom w:val="single" w:sz="4" w:space="0" w:color="auto"/>
              <w:right w:val="single" w:sz="4" w:space="0" w:color="auto"/>
            </w:tcBorders>
            <w:vAlign w:val="center"/>
          </w:tcPr>
          <w:p w14:paraId="6B1DF86D" w14:textId="7BEDF2B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61.3</w:t>
            </w:r>
          </w:p>
        </w:tc>
        <w:tc>
          <w:tcPr>
            <w:tcW w:w="699" w:type="dxa"/>
            <w:tcBorders>
              <w:top w:val="single" w:sz="4" w:space="0" w:color="auto"/>
              <w:left w:val="single" w:sz="4" w:space="0" w:color="auto"/>
              <w:bottom w:val="single" w:sz="4" w:space="0" w:color="auto"/>
              <w:right w:val="single" w:sz="4" w:space="0" w:color="auto"/>
            </w:tcBorders>
            <w:vAlign w:val="center"/>
          </w:tcPr>
          <w:p w14:paraId="77D07002" w14:textId="7285CF7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67.2</w:t>
            </w:r>
          </w:p>
        </w:tc>
        <w:tc>
          <w:tcPr>
            <w:tcW w:w="698" w:type="dxa"/>
            <w:tcBorders>
              <w:top w:val="single" w:sz="4" w:space="0" w:color="auto"/>
              <w:left w:val="single" w:sz="4" w:space="0" w:color="auto"/>
              <w:bottom w:val="single" w:sz="4" w:space="0" w:color="auto"/>
              <w:right w:val="single" w:sz="4" w:space="0" w:color="auto"/>
            </w:tcBorders>
            <w:vAlign w:val="center"/>
          </w:tcPr>
          <w:p w14:paraId="1265EF72" w14:textId="1274F8D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60.5</w:t>
            </w:r>
          </w:p>
        </w:tc>
        <w:tc>
          <w:tcPr>
            <w:tcW w:w="699" w:type="dxa"/>
            <w:tcBorders>
              <w:top w:val="single" w:sz="4" w:space="0" w:color="auto"/>
              <w:left w:val="single" w:sz="4" w:space="0" w:color="auto"/>
              <w:bottom w:val="single" w:sz="4" w:space="0" w:color="auto"/>
              <w:right w:val="single" w:sz="4" w:space="0" w:color="auto"/>
            </w:tcBorders>
            <w:vAlign w:val="center"/>
          </w:tcPr>
          <w:p w14:paraId="6B9F9F7C" w14:textId="2C7B76F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47.1</w:t>
            </w:r>
          </w:p>
        </w:tc>
        <w:tc>
          <w:tcPr>
            <w:tcW w:w="698" w:type="dxa"/>
            <w:tcBorders>
              <w:top w:val="single" w:sz="4" w:space="0" w:color="auto"/>
              <w:left w:val="single" w:sz="4" w:space="0" w:color="auto"/>
              <w:bottom w:val="single" w:sz="4" w:space="0" w:color="auto"/>
              <w:right w:val="single" w:sz="4" w:space="0" w:color="auto"/>
            </w:tcBorders>
            <w:vAlign w:val="center"/>
          </w:tcPr>
          <w:p w14:paraId="65B6454A" w14:textId="178FF5A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55.9</w:t>
            </w:r>
          </w:p>
        </w:tc>
        <w:tc>
          <w:tcPr>
            <w:tcW w:w="699" w:type="dxa"/>
            <w:tcBorders>
              <w:top w:val="single" w:sz="4" w:space="0" w:color="auto"/>
              <w:left w:val="single" w:sz="4" w:space="0" w:color="auto"/>
              <w:bottom w:val="single" w:sz="4" w:space="0" w:color="auto"/>
              <w:right w:val="single" w:sz="4" w:space="0" w:color="auto"/>
            </w:tcBorders>
            <w:vAlign w:val="center"/>
          </w:tcPr>
          <w:p w14:paraId="1C8D21CB" w14:textId="16422DC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77.6</w:t>
            </w:r>
          </w:p>
        </w:tc>
        <w:tc>
          <w:tcPr>
            <w:tcW w:w="698" w:type="dxa"/>
            <w:tcBorders>
              <w:top w:val="single" w:sz="4" w:space="0" w:color="auto"/>
              <w:left w:val="single" w:sz="4" w:space="0" w:color="auto"/>
              <w:bottom w:val="single" w:sz="4" w:space="0" w:color="auto"/>
              <w:right w:val="single" w:sz="4" w:space="0" w:color="auto"/>
            </w:tcBorders>
            <w:vAlign w:val="center"/>
          </w:tcPr>
          <w:p w14:paraId="6D563086" w14:textId="03E2C29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c>
          <w:tcPr>
            <w:tcW w:w="699" w:type="dxa"/>
            <w:tcBorders>
              <w:top w:val="single" w:sz="4" w:space="0" w:color="auto"/>
              <w:left w:val="single" w:sz="4" w:space="0" w:color="auto"/>
              <w:bottom w:val="single" w:sz="4" w:space="0" w:color="auto"/>
              <w:right w:val="single" w:sz="4" w:space="0" w:color="auto"/>
            </w:tcBorders>
            <w:vAlign w:val="center"/>
          </w:tcPr>
          <w:p w14:paraId="1E908555" w14:textId="2D502DD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77.4</w:t>
            </w:r>
          </w:p>
        </w:tc>
        <w:tc>
          <w:tcPr>
            <w:tcW w:w="698" w:type="dxa"/>
            <w:tcBorders>
              <w:top w:val="single" w:sz="4" w:space="0" w:color="auto"/>
              <w:left w:val="single" w:sz="4" w:space="0" w:color="auto"/>
              <w:bottom w:val="single" w:sz="4" w:space="0" w:color="auto"/>
              <w:right w:val="single" w:sz="4" w:space="0" w:color="auto"/>
            </w:tcBorders>
            <w:vAlign w:val="center"/>
          </w:tcPr>
          <w:p w14:paraId="2957E313" w14:textId="77FC5FA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86.4</w:t>
            </w:r>
          </w:p>
        </w:tc>
        <w:tc>
          <w:tcPr>
            <w:tcW w:w="699" w:type="dxa"/>
            <w:tcBorders>
              <w:top w:val="single" w:sz="4" w:space="0" w:color="auto"/>
              <w:left w:val="single" w:sz="4" w:space="0" w:color="auto"/>
              <w:bottom w:val="single" w:sz="4" w:space="0" w:color="auto"/>
              <w:right w:val="single" w:sz="4" w:space="0" w:color="auto"/>
            </w:tcBorders>
            <w:vAlign w:val="center"/>
          </w:tcPr>
          <w:p w14:paraId="2BAF1789" w14:textId="27EEB13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9" w:type="dxa"/>
            <w:tcBorders>
              <w:top w:val="single" w:sz="4" w:space="0" w:color="auto"/>
              <w:left w:val="single" w:sz="4" w:space="0" w:color="auto"/>
              <w:bottom w:val="single" w:sz="4" w:space="0" w:color="auto"/>
              <w:right w:val="single" w:sz="4" w:space="0" w:color="auto"/>
            </w:tcBorders>
            <w:vAlign w:val="center"/>
          </w:tcPr>
          <w:p w14:paraId="7726AF1E" w14:textId="0B111DC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84.3</w:t>
            </w:r>
          </w:p>
        </w:tc>
      </w:tr>
      <w:tr w:rsidR="00586F7D" w:rsidRPr="00217865" w14:paraId="4E03B95E" w14:textId="77777777" w:rsidTr="007301B9">
        <w:trPr>
          <w:trHeight w:val="471"/>
        </w:trPr>
        <w:tc>
          <w:tcPr>
            <w:tcW w:w="2555" w:type="dxa"/>
            <w:tcBorders>
              <w:top w:val="single" w:sz="4" w:space="0" w:color="auto"/>
              <w:left w:val="single" w:sz="4" w:space="0" w:color="auto"/>
              <w:bottom w:val="single" w:sz="4" w:space="0" w:color="auto"/>
              <w:right w:val="single" w:sz="4" w:space="0" w:color="auto"/>
            </w:tcBorders>
            <w:vAlign w:val="center"/>
            <w:hideMark/>
          </w:tcPr>
          <w:p w14:paraId="375F5B31" w14:textId="2AB09890"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Psychology</w:t>
            </w:r>
          </w:p>
        </w:tc>
        <w:tc>
          <w:tcPr>
            <w:tcW w:w="698" w:type="dxa"/>
            <w:tcBorders>
              <w:top w:val="single" w:sz="4" w:space="0" w:color="auto"/>
              <w:left w:val="single" w:sz="4" w:space="0" w:color="auto"/>
              <w:bottom w:val="single" w:sz="4" w:space="0" w:color="auto"/>
              <w:right w:val="single" w:sz="4" w:space="0" w:color="auto"/>
            </w:tcBorders>
            <w:vAlign w:val="center"/>
          </w:tcPr>
          <w:p w14:paraId="603A25E4" w14:textId="53D99F6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88.6</w:t>
            </w:r>
          </w:p>
        </w:tc>
        <w:tc>
          <w:tcPr>
            <w:tcW w:w="699" w:type="dxa"/>
            <w:tcBorders>
              <w:top w:val="single" w:sz="4" w:space="0" w:color="auto"/>
              <w:left w:val="single" w:sz="4" w:space="0" w:color="auto"/>
              <w:bottom w:val="single" w:sz="4" w:space="0" w:color="auto"/>
              <w:right w:val="single" w:sz="4" w:space="0" w:color="auto"/>
            </w:tcBorders>
            <w:vAlign w:val="center"/>
          </w:tcPr>
          <w:p w14:paraId="31CC736C" w14:textId="5EC5437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93.8</w:t>
            </w:r>
          </w:p>
        </w:tc>
        <w:tc>
          <w:tcPr>
            <w:tcW w:w="698" w:type="dxa"/>
            <w:tcBorders>
              <w:top w:val="single" w:sz="4" w:space="0" w:color="auto"/>
              <w:left w:val="single" w:sz="4" w:space="0" w:color="auto"/>
              <w:bottom w:val="single" w:sz="4" w:space="0" w:color="auto"/>
              <w:right w:val="single" w:sz="4" w:space="0" w:color="auto"/>
            </w:tcBorders>
            <w:vAlign w:val="center"/>
          </w:tcPr>
          <w:p w14:paraId="0B74B6AD" w14:textId="50BA925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87.2</w:t>
            </w:r>
          </w:p>
        </w:tc>
        <w:tc>
          <w:tcPr>
            <w:tcW w:w="699" w:type="dxa"/>
            <w:tcBorders>
              <w:top w:val="single" w:sz="4" w:space="0" w:color="auto"/>
              <w:left w:val="single" w:sz="4" w:space="0" w:color="auto"/>
              <w:bottom w:val="single" w:sz="4" w:space="0" w:color="auto"/>
              <w:right w:val="single" w:sz="4" w:space="0" w:color="auto"/>
            </w:tcBorders>
            <w:vAlign w:val="center"/>
          </w:tcPr>
          <w:p w14:paraId="1790C66B" w14:textId="208CC01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87.1</w:t>
            </w:r>
          </w:p>
        </w:tc>
        <w:tc>
          <w:tcPr>
            <w:tcW w:w="698" w:type="dxa"/>
            <w:tcBorders>
              <w:top w:val="single" w:sz="4" w:space="0" w:color="auto"/>
              <w:left w:val="single" w:sz="4" w:space="0" w:color="auto"/>
              <w:bottom w:val="single" w:sz="4" w:space="0" w:color="auto"/>
              <w:right w:val="single" w:sz="4" w:space="0" w:color="auto"/>
            </w:tcBorders>
            <w:vAlign w:val="center"/>
          </w:tcPr>
          <w:p w14:paraId="2818B9DC" w14:textId="52B2EE5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85.0</w:t>
            </w:r>
          </w:p>
        </w:tc>
        <w:tc>
          <w:tcPr>
            <w:tcW w:w="699" w:type="dxa"/>
            <w:tcBorders>
              <w:top w:val="single" w:sz="4" w:space="0" w:color="auto"/>
              <w:left w:val="single" w:sz="4" w:space="0" w:color="auto"/>
              <w:bottom w:val="single" w:sz="4" w:space="0" w:color="auto"/>
              <w:right w:val="single" w:sz="4" w:space="0" w:color="auto"/>
            </w:tcBorders>
            <w:vAlign w:val="center"/>
          </w:tcPr>
          <w:p w14:paraId="579EEF3B" w14:textId="356DE58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90.7</w:t>
            </w:r>
          </w:p>
        </w:tc>
        <w:tc>
          <w:tcPr>
            <w:tcW w:w="698" w:type="dxa"/>
            <w:tcBorders>
              <w:top w:val="single" w:sz="4" w:space="0" w:color="auto"/>
              <w:left w:val="single" w:sz="4" w:space="0" w:color="auto"/>
              <w:bottom w:val="single" w:sz="4" w:space="0" w:color="auto"/>
              <w:right w:val="single" w:sz="4" w:space="0" w:color="auto"/>
            </w:tcBorders>
            <w:vAlign w:val="center"/>
          </w:tcPr>
          <w:p w14:paraId="074CA120" w14:textId="540E0C8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88.8</w:t>
            </w:r>
          </w:p>
        </w:tc>
        <w:tc>
          <w:tcPr>
            <w:tcW w:w="699" w:type="dxa"/>
            <w:tcBorders>
              <w:top w:val="single" w:sz="4" w:space="0" w:color="auto"/>
              <w:left w:val="single" w:sz="4" w:space="0" w:color="auto"/>
              <w:bottom w:val="single" w:sz="4" w:space="0" w:color="auto"/>
              <w:right w:val="single" w:sz="4" w:space="0" w:color="auto"/>
            </w:tcBorders>
            <w:vAlign w:val="center"/>
          </w:tcPr>
          <w:p w14:paraId="21CDF150" w14:textId="3A03612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69.0</w:t>
            </w:r>
          </w:p>
        </w:tc>
        <w:tc>
          <w:tcPr>
            <w:tcW w:w="699" w:type="dxa"/>
            <w:tcBorders>
              <w:top w:val="single" w:sz="4" w:space="0" w:color="auto"/>
              <w:left w:val="single" w:sz="4" w:space="0" w:color="auto"/>
              <w:bottom w:val="single" w:sz="4" w:space="0" w:color="auto"/>
              <w:right w:val="single" w:sz="4" w:space="0" w:color="auto"/>
            </w:tcBorders>
            <w:vAlign w:val="center"/>
          </w:tcPr>
          <w:p w14:paraId="74AF55BD" w14:textId="19BA2B4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75.2</w:t>
            </w:r>
          </w:p>
        </w:tc>
        <w:tc>
          <w:tcPr>
            <w:tcW w:w="698" w:type="dxa"/>
            <w:tcBorders>
              <w:top w:val="single" w:sz="4" w:space="0" w:color="auto"/>
              <w:left w:val="single" w:sz="4" w:space="0" w:color="auto"/>
              <w:bottom w:val="single" w:sz="4" w:space="0" w:color="auto"/>
              <w:right w:val="single" w:sz="4" w:space="0" w:color="auto"/>
            </w:tcBorders>
            <w:vAlign w:val="center"/>
          </w:tcPr>
          <w:p w14:paraId="05791F09" w14:textId="161B357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71.7</w:t>
            </w:r>
          </w:p>
        </w:tc>
        <w:tc>
          <w:tcPr>
            <w:tcW w:w="699" w:type="dxa"/>
            <w:tcBorders>
              <w:top w:val="single" w:sz="4" w:space="0" w:color="auto"/>
              <w:left w:val="single" w:sz="4" w:space="0" w:color="auto"/>
              <w:bottom w:val="single" w:sz="4" w:space="0" w:color="auto"/>
              <w:right w:val="single" w:sz="4" w:space="0" w:color="auto"/>
            </w:tcBorders>
            <w:vAlign w:val="center"/>
          </w:tcPr>
          <w:p w14:paraId="12A85AFD" w14:textId="2CDDB9B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50.0</w:t>
            </w:r>
          </w:p>
        </w:tc>
        <w:tc>
          <w:tcPr>
            <w:tcW w:w="698" w:type="dxa"/>
            <w:tcBorders>
              <w:top w:val="single" w:sz="4" w:space="0" w:color="auto"/>
              <w:left w:val="single" w:sz="4" w:space="0" w:color="auto"/>
              <w:bottom w:val="single" w:sz="4" w:space="0" w:color="auto"/>
              <w:right w:val="single" w:sz="4" w:space="0" w:color="auto"/>
            </w:tcBorders>
            <w:vAlign w:val="center"/>
          </w:tcPr>
          <w:p w14:paraId="5FB750A8" w14:textId="512A8BE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44.5</w:t>
            </w:r>
          </w:p>
        </w:tc>
        <w:tc>
          <w:tcPr>
            <w:tcW w:w="699" w:type="dxa"/>
            <w:tcBorders>
              <w:top w:val="single" w:sz="4" w:space="0" w:color="auto"/>
              <w:left w:val="single" w:sz="4" w:space="0" w:color="auto"/>
              <w:bottom w:val="single" w:sz="4" w:space="0" w:color="auto"/>
              <w:right w:val="single" w:sz="4" w:space="0" w:color="auto"/>
            </w:tcBorders>
            <w:vAlign w:val="center"/>
          </w:tcPr>
          <w:p w14:paraId="169E3871" w14:textId="68450DE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62.2</w:t>
            </w:r>
          </w:p>
        </w:tc>
        <w:tc>
          <w:tcPr>
            <w:tcW w:w="698" w:type="dxa"/>
            <w:tcBorders>
              <w:top w:val="single" w:sz="4" w:space="0" w:color="auto"/>
              <w:left w:val="single" w:sz="4" w:space="0" w:color="auto"/>
              <w:bottom w:val="single" w:sz="4" w:space="0" w:color="auto"/>
              <w:right w:val="single" w:sz="4" w:space="0" w:color="auto"/>
            </w:tcBorders>
            <w:vAlign w:val="center"/>
          </w:tcPr>
          <w:p w14:paraId="4EE800BF" w14:textId="3C32541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66.8</w:t>
            </w:r>
          </w:p>
        </w:tc>
        <w:tc>
          <w:tcPr>
            <w:tcW w:w="699" w:type="dxa"/>
            <w:tcBorders>
              <w:top w:val="single" w:sz="4" w:space="0" w:color="auto"/>
              <w:left w:val="single" w:sz="4" w:space="0" w:color="auto"/>
              <w:bottom w:val="single" w:sz="4" w:space="0" w:color="auto"/>
              <w:right w:val="single" w:sz="4" w:space="0" w:color="auto"/>
            </w:tcBorders>
            <w:vAlign w:val="center"/>
          </w:tcPr>
          <w:p w14:paraId="357173FB" w14:textId="71D0F10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85.7</w:t>
            </w:r>
          </w:p>
        </w:tc>
        <w:tc>
          <w:tcPr>
            <w:tcW w:w="698" w:type="dxa"/>
            <w:tcBorders>
              <w:top w:val="single" w:sz="4" w:space="0" w:color="auto"/>
              <w:left w:val="single" w:sz="4" w:space="0" w:color="auto"/>
              <w:bottom w:val="single" w:sz="4" w:space="0" w:color="auto"/>
              <w:right w:val="single" w:sz="4" w:space="0" w:color="auto"/>
            </w:tcBorders>
            <w:vAlign w:val="center"/>
          </w:tcPr>
          <w:p w14:paraId="5C7B40CB" w14:textId="77BAE73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90.9</w:t>
            </w:r>
          </w:p>
        </w:tc>
        <w:tc>
          <w:tcPr>
            <w:tcW w:w="699" w:type="dxa"/>
            <w:tcBorders>
              <w:top w:val="single" w:sz="4" w:space="0" w:color="auto"/>
              <w:left w:val="single" w:sz="4" w:space="0" w:color="auto"/>
              <w:bottom w:val="single" w:sz="4" w:space="0" w:color="auto"/>
              <w:right w:val="single" w:sz="4" w:space="0" w:color="auto"/>
            </w:tcBorders>
            <w:vAlign w:val="center"/>
          </w:tcPr>
          <w:p w14:paraId="7F719910" w14:textId="58441A3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88.3</w:t>
            </w:r>
          </w:p>
        </w:tc>
        <w:tc>
          <w:tcPr>
            <w:tcW w:w="699" w:type="dxa"/>
            <w:tcBorders>
              <w:top w:val="single" w:sz="4" w:space="0" w:color="auto"/>
              <w:left w:val="single" w:sz="4" w:space="0" w:color="auto"/>
              <w:bottom w:val="single" w:sz="4" w:space="0" w:color="auto"/>
              <w:right w:val="single" w:sz="4" w:space="0" w:color="auto"/>
            </w:tcBorders>
            <w:vAlign w:val="center"/>
          </w:tcPr>
          <w:p w14:paraId="4409FB8A" w14:textId="47AF957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85.6</w:t>
            </w:r>
          </w:p>
        </w:tc>
      </w:tr>
      <w:tr w:rsidR="00586F7D" w:rsidRPr="00217865" w14:paraId="425C632B"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7FEB3BFD" w14:textId="3605C103"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Rehabilitation</w:t>
            </w:r>
          </w:p>
        </w:tc>
        <w:tc>
          <w:tcPr>
            <w:tcW w:w="698" w:type="dxa"/>
            <w:tcBorders>
              <w:top w:val="single" w:sz="4" w:space="0" w:color="auto"/>
              <w:left w:val="single" w:sz="4" w:space="0" w:color="auto"/>
              <w:bottom w:val="single" w:sz="4" w:space="0" w:color="auto"/>
              <w:right w:val="single" w:sz="4" w:space="0" w:color="auto"/>
            </w:tcBorders>
            <w:vAlign w:val="center"/>
          </w:tcPr>
          <w:p w14:paraId="7E6947E0" w14:textId="0D2710F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83.9</w:t>
            </w:r>
          </w:p>
        </w:tc>
        <w:tc>
          <w:tcPr>
            <w:tcW w:w="699" w:type="dxa"/>
            <w:tcBorders>
              <w:top w:val="single" w:sz="4" w:space="0" w:color="auto"/>
              <w:left w:val="single" w:sz="4" w:space="0" w:color="auto"/>
              <w:bottom w:val="single" w:sz="4" w:space="0" w:color="auto"/>
              <w:right w:val="single" w:sz="4" w:space="0" w:color="auto"/>
            </w:tcBorders>
            <w:vAlign w:val="center"/>
          </w:tcPr>
          <w:p w14:paraId="27F75D07" w14:textId="2EC3633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85.0</w:t>
            </w:r>
          </w:p>
        </w:tc>
        <w:tc>
          <w:tcPr>
            <w:tcW w:w="698" w:type="dxa"/>
            <w:tcBorders>
              <w:top w:val="single" w:sz="4" w:space="0" w:color="auto"/>
              <w:left w:val="single" w:sz="4" w:space="0" w:color="auto"/>
              <w:bottom w:val="single" w:sz="4" w:space="0" w:color="auto"/>
              <w:right w:val="single" w:sz="4" w:space="0" w:color="auto"/>
            </w:tcBorders>
            <w:vAlign w:val="center"/>
          </w:tcPr>
          <w:p w14:paraId="57B8AABC" w14:textId="18C1523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87.3</w:t>
            </w:r>
          </w:p>
        </w:tc>
        <w:tc>
          <w:tcPr>
            <w:tcW w:w="699" w:type="dxa"/>
            <w:tcBorders>
              <w:top w:val="single" w:sz="4" w:space="0" w:color="auto"/>
              <w:left w:val="single" w:sz="4" w:space="0" w:color="auto"/>
              <w:bottom w:val="single" w:sz="4" w:space="0" w:color="auto"/>
              <w:right w:val="single" w:sz="4" w:space="0" w:color="auto"/>
            </w:tcBorders>
            <w:vAlign w:val="center"/>
          </w:tcPr>
          <w:p w14:paraId="627ADC4A" w14:textId="79821AF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79.6</w:t>
            </w:r>
          </w:p>
        </w:tc>
        <w:tc>
          <w:tcPr>
            <w:tcW w:w="698" w:type="dxa"/>
            <w:tcBorders>
              <w:top w:val="single" w:sz="4" w:space="0" w:color="auto"/>
              <w:left w:val="single" w:sz="4" w:space="0" w:color="auto"/>
              <w:bottom w:val="single" w:sz="4" w:space="0" w:color="auto"/>
              <w:right w:val="single" w:sz="4" w:space="0" w:color="auto"/>
            </w:tcBorders>
            <w:vAlign w:val="center"/>
          </w:tcPr>
          <w:p w14:paraId="1E61F59A" w14:textId="0F51075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79.1</w:t>
            </w:r>
          </w:p>
        </w:tc>
        <w:tc>
          <w:tcPr>
            <w:tcW w:w="699" w:type="dxa"/>
            <w:tcBorders>
              <w:top w:val="single" w:sz="4" w:space="0" w:color="auto"/>
              <w:left w:val="single" w:sz="4" w:space="0" w:color="auto"/>
              <w:bottom w:val="single" w:sz="4" w:space="0" w:color="auto"/>
              <w:right w:val="single" w:sz="4" w:space="0" w:color="auto"/>
            </w:tcBorders>
            <w:vAlign w:val="center"/>
          </w:tcPr>
          <w:p w14:paraId="2F17CBF2" w14:textId="3293627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81.7</w:t>
            </w:r>
          </w:p>
        </w:tc>
        <w:tc>
          <w:tcPr>
            <w:tcW w:w="698" w:type="dxa"/>
            <w:tcBorders>
              <w:top w:val="single" w:sz="4" w:space="0" w:color="auto"/>
              <w:left w:val="single" w:sz="4" w:space="0" w:color="auto"/>
              <w:bottom w:val="single" w:sz="4" w:space="0" w:color="auto"/>
              <w:right w:val="single" w:sz="4" w:space="0" w:color="auto"/>
            </w:tcBorders>
            <w:vAlign w:val="center"/>
          </w:tcPr>
          <w:p w14:paraId="3EF7C2D4" w14:textId="5B34F1C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83.6</w:t>
            </w:r>
          </w:p>
        </w:tc>
        <w:tc>
          <w:tcPr>
            <w:tcW w:w="699" w:type="dxa"/>
            <w:tcBorders>
              <w:top w:val="single" w:sz="4" w:space="0" w:color="auto"/>
              <w:left w:val="single" w:sz="4" w:space="0" w:color="auto"/>
              <w:bottom w:val="single" w:sz="4" w:space="0" w:color="auto"/>
              <w:right w:val="single" w:sz="4" w:space="0" w:color="auto"/>
            </w:tcBorders>
            <w:vAlign w:val="center"/>
          </w:tcPr>
          <w:p w14:paraId="41FA1688" w14:textId="192C3FE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79.0</w:t>
            </w:r>
          </w:p>
        </w:tc>
        <w:tc>
          <w:tcPr>
            <w:tcW w:w="699" w:type="dxa"/>
            <w:tcBorders>
              <w:top w:val="single" w:sz="4" w:space="0" w:color="auto"/>
              <w:left w:val="single" w:sz="4" w:space="0" w:color="auto"/>
              <w:bottom w:val="single" w:sz="4" w:space="0" w:color="auto"/>
              <w:right w:val="single" w:sz="4" w:space="0" w:color="auto"/>
            </w:tcBorders>
            <w:vAlign w:val="center"/>
          </w:tcPr>
          <w:p w14:paraId="323F3F3E" w14:textId="519B536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67.7</w:t>
            </w:r>
          </w:p>
        </w:tc>
        <w:tc>
          <w:tcPr>
            <w:tcW w:w="698" w:type="dxa"/>
            <w:tcBorders>
              <w:top w:val="single" w:sz="4" w:space="0" w:color="auto"/>
              <w:left w:val="single" w:sz="4" w:space="0" w:color="auto"/>
              <w:bottom w:val="single" w:sz="4" w:space="0" w:color="auto"/>
              <w:right w:val="single" w:sz="4" w:space="0" w:color="auto"/>
            </w:tcBorders>
            <w:vAlign w:val="center"/>
          </w:tcPr>
          <w:p w14:paraId="3F69ED36" w14:textId="38871B8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73.2</w:t>
            </w:r>
          </w:p>
        </w:tc>
        <w:tc>
          <w:tcPr>
            <w:tcW w:w="699" w:type="dxa"/>
            <w:tcBorders>
              <w:top w:val="single" w:sz="4" w:space="0" w:color="auto"/>
              <w:left w:val="single" w:sz="4" w:space="0" w:color="auto"/>
              <w:bottom w:val="single" w:sz="4" w:space="0" w:color="auto"/>
              <w:right w:val="single" w:sz="4" w:space="0" w:color="auto"/>
            </w:tcBorders>
            <w:vAlign w:val="center"/>
          </w:tcPr>
          <w:p w14:paraId="5DBE1997" w14:textId="323758A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51.7</w:t>
            </w:r>
          </w:p>
        </w:tc>
        <w:tc>
          <w:tcPr>
            <w:tcW w:w="698" w:type="dxa"/>
            <w:tcBorders>
              <w:top w:val="single" w:sz="4" w:space="0" w:color="auto"/>
              <w:left w:val="single" w:sz="4" w:space="0" w:color="auto"/>
              <w:bottom w:val="single" w:sz="4" w:space="0" w:color="auto"/>
              <w:right w:val="single" w:sz="4" w:space="0" w:color="auto"/>
            </w:tcBorders>
            <w:vAlign w:val="center"/>
          </w:tcPr>
          <w:p w14:paraId="60E8A20D" w14:textId="1051571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49.2</w:t>
            </w:r>
          </w:p>
        </w:tc>
        <w:tc>
          <w:tcPr>
            <w:tcW w:w="699" w:type="dxa"/>
            <w:tcBorders>
              <w:top w:val="single" w:sz="4" w:space="0" w:color="auto"/>
              <w:left w:val="single" w:sz="4" w:space="0" w:color="auto"/>
              <w:bottom w:val="single" w:sz="4" w:space="0" w:color="auto"/>
              <w:right w:val="single" w:sz="4" w:space="0" w:color="auto"/>
            </w:tcBorders>
            <w:vAlign w:val="center"/>
          </w:tcPr>
          <w:p w14:paraId="579DB1A6" w14:textId="1B85CA7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71.1</w:t>
            </w:r>
          </w:p>
        </w:tc>
        <w:tc>
          <w:tcPr>
            <w:tcW w:w="698" w:type="dxa"/>
            <w:tcBorders>
              <w:top w:val="single" w:sz="4" w:space="0" w:color="auto"/>
              <w:left w:val="single" w:sz="4" w:space="0" w:color="auto"/>
              <w:bottom w:val="single" w:sz="4" w:space="0" w:color="auto"/>
              <w:right w:val="single" w:sz="4" w:space="0" w:color="auto"/>
            </w:tcBorders>
            <w:vAlign w:val="center"/>
          </w:tcPr>
          <w:p w14:paraId="57B520D8" w14:textId="76B5264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71.0</w:t>
            </w:r>
          </w:p>
        </w:tc>
        <w:tc>
          <w:tcPr>
            <w:tcW w:w="699" w:type="dxa"/>
            <w:tcBorders>
              <w:top w:val="single" w:sz="4" w:space="0" w:color="auto"/>
              <w:left w:val="single" w:sz="4" w:space="0" w:color="auto"/>
              <w:bottom w:val="single" w:sz="4" w:space="0" w:color="auto"/>
              <w:right w:val="single" w:sz="4" w:space="0" w:color="auto"/>
            </w:tcBorders>
            <w:vAlign w:val="center"/>
          </w:tcPr>
          <w:p w14:paraId="5AB9DBC1" w14:textId="1E8A2C9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72.0</w:t>
            </w:r>
          </w:p>
        </w:tc>
        <w:tc>
          <w:tcPr>
            <w:tcW w:w="698" w:type="dxa"/>
            <w:tcBorders>
              <w:top w:val="single" w:sz="4" w:space="0" w:color="auto"/>
              <w:left w:val="single" w:sz="4" w:space="0" w:color="auto"/>
              <w:bottom w:val="single" w:sz="4" w:space="0" w:color="auto"/>
              <w:right w:val="single" w:sz="4" w:space="0" w:color="auto"/>
            </w:tcBorders>
            <w:vAlign w:val="center"/>
          </w:tcPr>
          <w:p w14:paraId="27305A6D" w14:textId="35DE4D2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74.7</w:t>
            </w:r>
          </w:p>
        </w:tc>
        <w:tc>
          <w:tcPr>
            <w:tcW w:w="699" w:type="dxa"/>
            <w:tcBorders>
              <w:top w:val="single" w:sz="4" w:space="0" w:color="auto"/>
              <w:left w:val="single" w:sz="4" w:space="0" w:color="auto"/>
              <w:bottom w:val="single" w:sz="4" w:space="0" w:color="auto"/>
              <w:right w:val="single" w:sz="4" w:space="0" w:color="auto"/>
            </w:tcBorders>
            <w:vAlign w:val="center"/>
          </w:tcPr>
          <w:p w14:paraId="0509BCE0" w14:textId="0159FBB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79.2</w:t>
            </w:r>
          </w:p>
        </w:tc>
        <w:tc>
          <w:tcPr>
            <w:tcW w:w="699" w:type="dxa"/>
            <w:tcBorders>
              <w:top w:val="single" w:sz="4" w:space="0" w:color="auto"/>
              <w:left w:val="single" w:sz="4" w:space="0" w:color="auto"/>
              <w:bottom w:val="single" w:sz="4" w:space="0" w:color="auto"/>
              <w:right w:val="single" w:sz="4" w:space="0" w:color="auto"/>
            </w:tcBorders>
            <w:vAlign w:val="center"/>
          </w:tcPr>
          <w:p w14:paraId="619F9678" w14:textId="741A416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71.5</w:t>
            </w:r>
          </w:p>
        </w:tc>
      </w:tr>
      <w:tr w:rsidR="00586F7D" w:rsidRPr="00217865" w14:paraId="0A262AB9"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6D553FD6" w14:textId="2E4B9616"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Science and mathematics</w:t>
            </w:r>
          </w:p>
        </w:tc>
        <w:tc>
          <w:tcPr>
            <w:tcW w:w="698" w:type="dxa"/>
            <w:tcBorders>
              <w:top w:val="single" w:sz="4" w:space="0" w:color="auto"/>
              <w:left w:val="single" w:sz="4" w:space="0" w:color="auto"/>
              <w:bottom w:val="single" w:sz="4" w:space="0" w:color="auto"/>
              <w:right w:val="single" w:sz="4" w:space="0" w:color="auto"/>
            </w:tcBorders>
            <w:vAlign w:val="center"/>
          </w:tcPr>
          <w:p w14:paraId="7A7EDF10" w14:textId="651805A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84.0</w:t>
            </w:r>
          </w:p>
        </w:tc>
        <w:tc>
          <w:tcPr>
            <w:tcW w:w="699" w:type="dxa"/>
            <w:tcBorders>
              <w:top w:val="single" w:sz="4" w:space="0" w:color="auto"/>
              <w:left w:val="single" w:sz="4" w:space="0" w:color="auto"/>
              <w:bottom w:val="single" w:sz="4" w:space="0" w:color="auto"/>
              <w:right w:val="single" w:sz="4" w:space="0" w:color="auto"/>
            </w:tcBorders>
            <w:vAlign w:val="center"/>
          </w:tcPr>
          <w:p w14:paraId="70405F6C" w14:textId="659D2EF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84.9</w:t>
            </w:r>
          </w:p>
        </w:tc>
        <w:tc>
          <w:tcPr>
            <w:tcW w:w="698" w:type="dxa"/>
            <w:tcBorders>
              <w:top w:val="single" w:sz="4" w:space="0" w:color="auto"/>
              <w:left w:val="single" w:sz="4" w:space="0" w:color="auto"/>
              <w:bottom w:val="single" w:sz="4" w:space="0" w:color="auto"/>
              <w:right w:val="single" w:sz="4" w:space="0" w:color="auto"/>
            </w:tcBorders>
            <w:vAlign w:val="center"/>
          </w:tcPr>
          <w:p w14:paraId="7099A0C0" w14:textId="5A203B2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82.9</w:t>
            </w:r>
          </w:p>
        </w:tc>
        <w:tc>
          <w:tcPr>
            <w:tcW w:w="699" w:type="dxa"/>
            <w:tcBorders>
              <w:top w:val="single" w:sz="4" w:space="0" w:color="auto"/>
              <w:left w:val="single" w:sz="4" w:space="0" w:color="auto"/>
              <w:bottom w:val="single" w:sz="4" w:space="0" w:color="auto"/>
              <w:right w:val="single" w:sz="4" w:space="0" w:color="auto"/>
            </w:tcBorders>
            <w:vAlign w:val="center"/>
          </w:tcPr>
          <w:p w14:paraId="50B8E2F4" w14:textId="218B586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76.0</w:t>
            </w:r>
          </w:p>
        </w:tc>
        <w:tc>
          <w:tcPr>
            <w:tcW w:w="698" w:type="dxa"/>
            <w:tcBorders>
              <w:top w:val="single" w:sz="4" w:space="0" w:color="auto"/>
              <w:left w:val="single" w:sz="4" w:space="0" w:color="auto"/>
              <w:bottom w:val="single" w:sz="4" w:space="0" w:color="auto"/>
              <w:right w:val="single" w:sz="4" w:space="0" w:color="auto"/>
            </w:tcBorders>
            <w:vAlign w:val="center"/>
          </w:tcPr>
          <w:p w14:paraId="5FE7988F" w14:textId="79CB81E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78.0</w:t>
            </w:r>
          </w:p>
        </w:tc>
        <w:tc>
          <w:tcPr>
            <w:tcW w:w="699" w:type="dxa"/>
            <w:tcBorders>
              <w:top w:val="single" w:sz="4" w:space="0" w:color="auto"/>
              <w:left w:val="single" w:sz="4" w:space="0" w:color="auto"/>
              <w:bottom w:val="single" w:sz="4" w:space="0" w:color="auto"/>
              <w:right w:val="single" w:sz="4" w:space="0" w:color="auto"/>
            </w:tcBorders>
            <w:vAlign w:val="center"/>
          </w:tcPr>
          <w:p w14:paraId="52D491B2" w14:textId="0F44030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86.6</w:t>
            </w:r>
          </w:p>
        </w:tc>
        <w:tc>
          <w:tcPr>
            <w:tcW w:w="698" w:type="dxa"/>
            <w:tcBorders>
              <w:top w:val="single" w:sz="4" w:space="0" w:color="auto"/>
              <w:left w:val="single" w:sz="4" w:space="0" w:color="auto"/>
              <w:bottom w:val="single" w:sz="4" w:space="0" w:color="auto"/>
              <w:right w:val="single" w:sz="4" w:space="0" w:color="auto"/>
            </w:tcBorders>
            <w:vAlign w:val="center"/>
          </w:tcPr>
          <w:p w14:paraId="3FE63B25" w14:textId="3F357B6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85.2</w:t>
            </w:r>
          </w:p>
        </w:tc>
        <w:tc>
          <w:tcPr>
            <w:tcW w:w="699" w:type="dxa"/>
            <w:tcBorders>
              <w:top w:val="single" w:sz="4" w:space="0" w:color="auto"/>
              <w:left w:val="single" w:sz="4" w:space="0" w:color="auto"/>
              <w:bottom w:val="single" w:sz="4" w:space="0" w:color="auto"/>
              <w:right w:val="single" w:sz="4" w:space="0" w:color="auto"/>
            </w:tcBorders>
            <w:vAlign w:val="center"/>
          </w:tcPr>
          <w:p w14:paraId="7E77E057" w14:textId="01CC50C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59.3</w:t>
            </w:r>
          </w:p>
        </w:tc>
        <w:tc>
          <w:tcPr>
            <w:tcW w:w="699" w:type="dxa"/>
            <w:tcBorders>
              <w:top w:val="single" w:sz="4" w:space="0" w:color="auto"/>
              <w:left w:val="single" w:sz="4" w:space="0" w:color="auto"/>
              <w:bottom w:val="single" w:sz="4" w:space="0" w:color="auto"/>
              <w:right w:val="single" w:sz="4" w:space="0" w:color="auto"/>
            </w:tcBorders>
            <w:vAlign w:val="center"/>
          </w:tcPr>
          <w:p w14:paraId="57E66B01" w14:textId="164294E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56.1</w:t>
            </w:r>
          </w:p>
        </w:tc>
        <w:tc>
          <w:tcPr>
            <w:tcW w:w="698" w:type="dxa"/>
            <w:tcBorders>
              <w:top w:val="single" w:sz="4" w:space="0" w:color="auto"/>
              <w:left w:val="single" w:sz="4" w:space="0" w:color="auto"/>
              <w:bottom w:val="single" w:sz="4" w:space="0" w:color="auto"/>
              <w:right w:val="single" w:sz="4" w:space="0" w:color="auto"/>
            </w:tcBorders>
            <w:vAlign w:val="center"/>
          </w:tcPr>
          <w:p w14:paraId="3DA3F9E1" w14:textId="1357B39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59.0</w:t>
            </w:r>
          </w:p>
        </w:tc>
        <w:tc>
          <w:tcPr>
            <w:tcW w:w="699" w:type="dxa"/>
            <w:tcBorders>
              <w:top w:val="single" w:sz="4" w:space="0" w:color="auto"/>
              <w:left w:val="single" w:sz="4" w:space="0" w:color="auto"/>
              <w:bottom w:val="single" w:sz="4" w:space="0" w:color="auto"/>
              <w:right w:val="single" w:sz="4" w:space="0" w:color="auto"/>
            </w:tcBorders>
            <w:vAlign w:val="center"/>
          </w:tcPr>
          <w:p w14:paraId="56B5F185" w14:textId="2690BB5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40.5</w:t>
            </w:r>
          </w:p>
        </w:tc>
        <w:tc>
          <w:tcPr>
            <w:tcW w:w="698" w:type="dxa"/>
            <w:tcBorders>
              <w:top w:val="single" w:sz="4" w:space="0" w:color="auto"/>
              <w:left w:val="single" w:sz="4" w:space="0" w:color="auto"/>
              <w:bottom w:val="single" w:sz="4" w:space="0" w:color="auto"/>
              <w:right w:val="single" w:sz="4" w:space="0" w:color="auto"/>
            </w:tcBorders>
            <w:vAlign w:val="center"/>
          </w:tcPr>
          <w:p w14:paraId="1CFF71C8" w14:textId="197091A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41.6</w:t>
            </w:r>
          </w:p>
        </w:tc>
        <w:tc>
          <w:tcPr>
            <w:tcW w:w="699" w:type="dxa"/>
            <w:tcBorders>
              <w:top w:val="single" w:sz="4" w:space="0" w:color="auto"/>
              <w:left w:val="single" w:sz="4" w:space="0" w:color="auto"/>
              <w:bottom w:val="single" w:sz="4" w:space="0" w:color="auto"/>
              <w:right w:val="single" w:sz="4" w:space="0" w:color="auto"/>
            </w:tcBorders>
            <w:vAlign w:val="center"/>
          </w:tcPr>
          <w:p w14:paraId="0EBCBFCE" w14:textId="0E90E70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62.2</w:t>
            </w:r>
          </w:p>
        </w:tc>
        <w:tc>
          <w:tcPr>
            <w:tcW w:w="698" w:type="dxa"/>
            <w:tcBorders>
              <w:top w:val="single" w:sz="4" w:space="0" w:color="auto"/>
              <w:left w:val="single" w:sz="4" w:space="0" w:color="auto"/>
              <w:bottom w:val="single" w:sz="4" w:space="0" w:color="auto"/>
              <w:right w:val="single" w:sz="4" w:space="0" w:color="auto"/>
            </w:tcBorders>
            <w:vAlign w:val="center"/>
          </w:tcPr>
          <w:p w14:paraId="7A16F383" w14:textId="67FC8B5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68.8</w:t>
            </w:r>
          </w:p>
        </w:tc>
        <w:tc>
          <w:tcPr>
            <w:tcW w:w="699" w:type="dxa"/>
            <w:tcBorders>
              <w:top w:val="single" w:sz="4" w:space="0" w:color="auto"/>
              <w:left w:val="single" w:sz="4" w:space="0" w:color="auto"/>
              <w:bottom w:val="single" w:sz="4" w:space="0" w:color="auto"/>
              <w:right w:val="single" w:sz="4" w:space="0" w:color="auto"/>
            </w:tcBorders>
            <w:vAlign w:val="center"/>
          </w:tcPr>
          <w:p w14:paraId="5D88D2D6" w14:textId="5E7AED4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c>
          <w:tcPr>
            <w:tcW w:w="698" w:type="dxa"/>
            <w:tcBorders>
              <w:top w:val="single" w:sz="4" w:space="0" w:color="auto"/>
              <w:left w:val="single" w:sz="4" w:space="0" w:color="auto"/>
              <w:bottom w:val="single" w:sz="4" w:space="0" w:color="auto"/>
              <w:right w:val="single" w:sz="4" w:space="0" w:color="auto"/>
            </w:tcBorders>
            <w:vAlign w:val="center"/>
          </w:tcPr>
          <w:p w14:paraId="650D4B75" w14:textId="3F5479C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83.9</w:t>
            </w:r>
          </w:p>
        </w:tc>
        <w:tc>
          <w:tcPr>
            <w:tcW w:w="699" w:type="dxa"/>
            <w:tcBorders>
              <w:top w:val="single" w:sz="4" w:space="0" w:color="auto"/>
              <w:left w:val="single" w:sz="4" w:space="0" w:color="auto"/>
              <w:bottom w:val="single" w:sz="4" w:space="0" w:color="auto"/>
              <w:right w:val="single" w:sz="4" w:space="0" w:color="auto"/>
            </w:tcBorders>
            <w:vAlign w:val="center"/>
          </w:tcPr>
          <w:p w14:paraId="4A14C10A" w14:textId="26D0BF8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81.8</w:t>
            </w:r>
          </w:p>
        </w:tc>
        <w:tc>
          <w:tcPr>
            <w:tcW w:w="699" w:type="dxa"/>
            <w:tcBorders>
              <w:top w:val="single" w:sz="4" w:space="0" w:color="auto"/>
              <w:left w:val="single" w:sz="4" w:space="0" w:color="auto"/>
              <w:bottom w:val="single" w:sz="4" w:space="0" w:color="auto"/>
              <w:right w:val="single" w:sz="4" w:space="0" w:color="auto"/>
            </w:tcBorders>
            <w:vAlign w:val="center"/>
          </w:tcPr>
          <w:p w14:paraId="193E67F0" w14:textId="3151728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74.0</w:t>
            </w:r>
          </w:p>
        </w:tc>
      </w:tr>
      <w:tr w:rsidR="00586F7D" w:rsidRPr="00217865" w14:paraId="46AB235A"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7541A816" w14:textId="1CA31A2E"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Social work</w:t>
            </w:r>
          </w:p>
        </w:tc>
        <w:tc>
          <w:tcPr>
            <w:tcW w:w="698" w:type="dxa"/>
            <w:tcBorders>
              <w:top w:val="single" w:sz="4" w:space="0" w:color="auto"/>
              <w:left w:val="single" w:sz="4" w:space="0" w:color="auto"/>
              <w:bottom w:val="single" w:sz="4" w:space="0" w:color="auto"/>
              <w:right w:val="single" w:sz="4" w:space="0" w:color="auto"/>
            </w:tcBorders>
            <w:vAlign w:val="center"/>
          </w:tcPr>
          <w:p w14:paraId="72DA4CA0" w14:textId="3830239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83.7</w:t>
            </w:r>
          </w:p>
        </w:tc>
        <w:tc>
          <w:tcPr>
            <w:tcW w:w="699" w:type="dxa"/>
            <w:tcBorders>
              <w:top w:val="single" w:sz="4" w:space="0" w:color="auto"/>
              <w:left w:val="single" w:sz="4" w:space="0" w:color="auto"/>
              <w:bottom w:val="single" w:sz="4" w:space="0" w:color="auto"/>
              <w:right w:val="single" w:sz="4" w:space="0" w:color="auto"/>
            </w:tcBorders>
            <w:vAlign w:val="center"/>
          </w:tcPr>
          <w:p w14:paraId="3BBA810C" w14:textId="29D2194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79.7</w:t>
            </w:r>
          </w:p>
        </w:tc>
        <w:tc>
          <w:tcPr>
            <w:tcW w:w="698" w:type="dxa"/>
            <w:tcBorders>
              <w:top w:val="single" w:sz="4" w:space="0" w:color="auto"/>
              <w:left w:val="single" w:sz="4" w:space="0" w:color="auto"/>
              <w:bottom w:val="single" w:sz="4" w:space="0" w:color="auto"/>
              <w:right w:val="single" w:sz="4" w:space="0" w:color="auto"/>
            </w:tcBorders>
            <w:vAlign w:val="center"/>
          </w:tcPr>
          <w:p w14:paraId="7CF58AFD" w14:textId="7C20357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83.4</w:t>
            </w:r>
          </w:p>
        </w:tc>
        <w:tc>
          <w:tcPr>
            <w:tcW w:w="699" w:type="dxa"/>
            <w:tcBorders>
              <w:top w:val="single" w:sz="4" w:space="0" w:color="auto"/>
              <w:left w:val="single" w:sz="4" w:space="0" w:color="auto"/>
              <w:bottom w:val="single" w:sz="4" w:space="0" w:color="auto"/>
              <w:right w:val="single" w:sz="4" w:space="0" w:color="auto"/>
            </w:tcBorders>
            <w:vAlign w:val="center"/>
          </w:tcPr>
          <w:p w14:paraId="72E1FFBF" w14:textId="7AB1234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80.0</w:t>
            </w:r>
          </w:p>
        </w:tc>
        <w:tc>
          <w:tcPr>
            <w:tcW w:w="698" w:type="dxa"/>
            <w:tcBorders>
              <w:top w:val="single" w:sz="4" w:space="0" w:color="auto"/>
              <w:left w:val="single" w:sz="4" w:space="0" w:color="auto"/>
              <w:bottom w:val="single" w:sz="4" w:space="0" w:color="auto"/>
              <w:right w:val="single" w:sz="4" w:space="0" w:color="auto"/>
            </w:tcBorders>
            <w:vAlign w:val="center"/>
          </w:tcPr>
          <w:p w14:paraId="631D3BB2" w14:textId="78A3220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85.9</w:t>
            </w:r>
          </w:p>
        </w:tc>
        <w:tc>
          <w:tcPr>
            <w:tcW w:w="699" w:type="dxa"/>
            <w:tcBorders>
              <w:top w:val="single" w:sz="4" w:space="0" w:color="auto"/>
              <w:left w:val="single" w:sz="4" w:space="0" w:color="auto"/>
              <w:bottom w:val="single" w:sz="4" w:space="0" w:color="auto"/>
              <w:right w:val="single" w:sz="4" w:space="0" w:color="auto"/>
            </w:tcBorders>
            <w:vAlign w:val="center"/>
          </w:tcPr>
          <w:p w14:paraId="7387F87F" w14:textId="255E1CA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82.3</w:t>
            </w:r>
          </w:p>
        </w:tc>
        <w:tc>
          <w:tcPr>
            <w:tcW w:w="698" w:type="dxa"/>
            <w:tcBorders>
              <w:top w:val="single" w:sz="4" w:space="0" w:color="auto"/>
              <w:left w:val="single" w:sz="4" w:space="0" w:color="auto"/>
              <w:bottom w:val="single" w:sz="4" w:space="0" w:color="auto"/>
              <w:right w:val="single" w:sz="4" w:space="0" w:color="auto"/>
            </w:tcBorders>
            <w:vAlign w:val="center"/>
          </w:tcPr>
          <w:p w14:paraId="4255225D" w14:textId="267EC52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87.3</w:t>
            </w:r>
          </w:p>
        </w:tc>
        <w:tc>
          <w:tcPr>
            <w:tcW w:w="699" w:type="dxa"/>
            <w:tcBorders>
              <w:top w:val="single" w:sz="4" w:space="0" w:color="auto"/>
              <w:left w:val="single" w:sz="4" w:space="0" w:color="auto"/>
              <w:bottom w:val="single" w:sz="4" w:space="0" w:color="auto"/>
              <w:right w:val="single" w:sz="4" w:space="0" w:color="auto"/>
            </w:tcBorders>
            <w:vAlign w:val="center"/>
          </w:tcPr>
          <w:p w14:paraId="571417EF" w14:textId="685D6A3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60.0</w:t>
            </w:r>
          </w:p>
        </w:tc>
        <w:tc>
          <w:tcPr>
            <w:tcW w:w="699" w:type="dxa"/>
            <w:tcBorders>
              <w:top w:val="single" w:sz="4" w:space="0" w:color="auto"/>
              <w:left w:val="single" w:sz="4" w:space="0" w:color="auto"/>
              <w:bottom w:val="single" w:sz="4" w:space="0" w:color="auto"/>
              <w:right w:val="single" w:sz="4" w:space="0" w:color="auto"/>
            </w:tcBorders>
            <w:vAlign w:val="center"/>
          </w:tcPr>
          <w:p w14:paraId="38E716F9" w14:textId="62C18B8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57.9</w:t>
            </w:r>
          </w:p>
        </w:tc>
        <w:tc>
          <w:tcPr>
            <w:tcW w:w="698" w:type="dxa"/>
            <w:tcBorders>
              <w:top w:val="single" w:sz="4" w:space="0" w:color="auto"/>
              <w:left w:val="single" w:sz="4" w:space="0" w:color="auto"/>
              <w:bottom w:val="single" w:sz="4" w:space="0" w:color="auto"/>
              <w:right w:val="single" w:sz="4" w:space="0" w:color="auto"/>
            </w:tcBorders>
            <w:vAlign w:val="center"/>
          </w:tcPr>
          <w:p w14:paraId="14691E8F" w14:textId="3612FDC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60.4</w:t>
            </w:r>
          </w:p>
        </w:tc>
        <w:tc>
          <w:tcPr>
            <w:tcW w:w="699" w:type="dxa"/>
            <w:tcBorders>
              <w:top w:val="single" w:sz="4" w:space="0" w:color="auto"/>
              <w:left w:val="single" w:sz="4" w:space="0" w:color="auto"/>
              <w:bottom w:val="single" w:sz="4" w:space="0" w:color="auto"/>
              <w:right w:val="single" w:sz="4" w:space="0" w:color="auto"/>
            </w:tcBorders>
            <w:vAlign w:val="center"/>
          </w:tcPr>
          <w:p w14:paraId="1FC60E19" w14:textId="119DC00A"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48.7</w:t>
            </w:r>
          </w:p>
        </w:tc>
        <w:tc>
          <w:tcPr>
            <w:tcW w:w="698" w:type="dxa"/>
            <w:tcBorders>
              <w:top w:val="single" w:sz="4" w:space="0" w:color="auto"/>
              <w:left w:val="single" w:sz="4" w:space="0" w:color="auto"/>
              <w:bottom w:val="single" w:sz="4" w:space="0" w:color="auto"/>
              <w:right w:val="single" w:sz="4" w:space="0" w:color="auto"/>
            </w:tcBorders>
            <w:vAlign w:val="center"/>
          </w:tcPr>
          <w:p w14:paraId="0C1786C3" w14:textId="6BDCFAD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53.6</w:t>
            </w:r>
          </w:p>
        </w:tc>
        <w:tc>
          <w:tcPr>
            <w:tcW w:w="699" w:type="dxa"/>
            <w:tcBorders>
              <w:top w:val="single" w:sz="4" w:space="0" w:color="auto"/>
              <w:left w:val="single" w:sz="4" w:space="0" w:color="auto"/>
              <w:bottom w:val="single" w:sz="4" w:space="0" w:color="auto"/>
              <w:right w:val="single" w:sz="4" w:space="0" w:color="auto"/>
            </w:tcBorders>
            <w:vAlign w:val="center"/>
          </w:tcPr>
          <w:p w14:paraId="7D99AAB9" w14:textId="178F5D8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60.2</w:t>
            </w:r>
          </w:p>
        </w:tc>
        <w:tc>
          <w:tcPr>
            <w:tcW w:w="698" w:type="dxa"/>
            <w:tcBorders>
              <w:top w:val="single" w:sz="4" w:space="0" w:color="auto"/>
              <w:left w:val="single" w:sz="4" w:space="0" w:color="auto"/>
              <w:bottom w:val="single" w:sz="4" w:space="0" w:color="auto"/>
              <w:right w:val="single" w:sz="4" w:space="0" w:color="auto"/>
            </w:tcBorders>
            <w:vAlign w:val="center"/>
          </w:tcPr>
          <w:p w14:paraId="0B376AC7" w14:textId="7203B4A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76.5</w:t>
            </w:r>
          </w:p>
        </w:tc>
        <w:tc>
          <w:tcPr>
            <w:tcW w:w="699" w:type="dxa"/>
            <w:tcBorders>
              <w:top w:val="single" w:sz="4" w:space="0" w:color="auto"/>
              <w:left w:val="single" w:sz="4" w:space="0" w:color="auto"/>
              <w:bottom w:val="single" w:sz="4" w:space="0" w:color="auto"/>
              <w:right w:val="single" w:sz="4" w:space="0" w:color="auto"/>
            </w:tcBorders>
            <w:vAlign w:val="center"/>
          </w:tcPr>
          <w:p w14:paraId="68081999" w14:textId="1336FFE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76.4</w:t>
            </w:r>
          </w:p>
        </w:tc>
        <w:tc>
          <w:tcPr>
            <w:tcW w:w="698" w:type="dxa"/>
            <w:tcBorders>
              <w:top w:val="single" w:sz="4" w:space="0" w:color="auto"/>
              <w:left w:val="single" w:sz="4" w:space="0" w:color="auto"/>
              <w:bottom w:val="single" w:sz="4" w:space="0" w:color="auto"/>
              <w:right w:val="single" w:sz="4" w:space="0" w:color="auto"/>
            </w:tcBorders>
            <w:vAlign w:val="center"/>
          </w:tcPr>
          <w:p w14:paraId="19CB0376" w14:textId="40041D7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72.9</w:t>
            </w:r>
          </w:p>
        </w:tc>
        <w:tc>
          <w:tcPr>
            <w:tcW w:w="699" w:type="dxa"/>
            <w:tcBorders>
              <w:top w:val="single" w:sz="4" w:space="0" w:color="auto"/>
              <w:left w:val="single" w:sz="4" w:space="0" w:color="auto"/>
              <w:bottom w:val="single" w:sz="4" w:space="0" w:color="auto"/>
              <w:right w:val="single" w:sz="4" w:space="0" w:color="auto"/>
            </w:tcBorders>
            <w:vAlign w:val="center"/>
          </w:tcPr>
          <w:p w14:paraId="1C508988" w14:textId="78EAD17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73.4</w:t>
            </w:r>
          </w:p>
        </w:tc>
        <w:tc>
          <w:tcPr>
            <w:tcW w:w="699" w:type="dxa"/>
            <w:tcBorders>
              <w:top w:val="single" w:sz="4" w:space="0" w:color="auto"/>
              <w:left w:val="single" w:sz="4" w:space="0" w:color="auto"/>
              <w:bottom w:val="single" w:sz="4" w:space="0" w:color="auto"/>
              <w:right w:val="single" w:sz="4" w:space="0" w:color="auto"/>
            </w:tcBorders>
            <w:vAlign w:val="center"/>
          </w:tcPr>
          <w:p w14:paraId="58B8DAB4" w14:textId="67CA98C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75.3</w:t>
            </w:r>
          </w:p>
        </w:tc>
      </w:tr>
      <w:tr w:rsidR="00586F7D" w:rsidRPr="00217865" w14:paraId="203104B0"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2E78061E" w14:textId="62535E3C"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Teacher education</w:t>
            </w:r>
          </w:p>
        </w:tc>
        <w:tc>
          <w:tcPr>
            <w:tcW w:w="698" w:type="dxa"/>
            <w:tcBorders>
              <w:top w:val="single" w:sz="4" w:space="0" w:color="auto"/>
              <w:left w:val="single" w:sz="4" w:space="0" w:color="auto"/>
              <w:bottom w:val="single" w:sz="4" w:space="0" w:color="auto"/>
              <w:right w:val="single" w:sz="4" w:space="0" w:color="auto"/>
            </w:tcBorders>
            <w:vAlign w:val="center"/>
          </w:tcPr>
          <w:p w14:paraId="4D8F7F3E" w14:textId="3353052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85.4</w:t>
            </w:r>
          </w:p>
        </w:tc>
        <w:tc>
          <w:tcPr>
            <w:tcW w:w="699" w:type="dxa"/>
            <w:tcBorders>
              <w:top w:val="single" w:sz="4" w:space="0" w:color="auto"/>
              <w:left w:val="single" w:sz="4" w:space="0" w:color="auto"/>
              <w:bottom w:val="single" w:sz="4" w:space="0" w:color="auto"/>
              <w:right w:val="single" w:sz="4" w:space="0" w:color="auto"/>
            </w:tcBorders>
            <w:vAlign w:val="center"/>
          </w:tcPr>
          <w:p w14:paraId="15115F44" w14:textId="12F89AF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84.7</w:t>
            </w:r>
          </w:p>
        </w:tc>
        <w:tc>
          <w:tcPr>
            <w:tcW w:w="698" w:type="dxa"/>
            <w:tcBorders>
              <w:top w:val="single" w:sz="4" w:space="0" w:color="auto"/>
              <w:left w:val="single" w:sz="4" w:space="0" w:color="auto"/>
              <w:bottom w:val="single" w:sz="4" w:space="0" w:color="auto"/>
              <w:right w:val="single" w:sz="4" w:space="0" w:color="auto"/>
            </w:tcBorders>
            <w:vAlign w:val="center"/>
          </w:tcPr>
          <w:p w14:paraId="56808333" w14:textId="665D65E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82.8</w:t>
            </w:r>
          </w:p>
        </w:tc>
        <w:tc>
          <w:tcPr>
            <w:tcW w:w="699" w:type="dxa"/>
            <w:tcBorders>
              <w:top w:val="single" w:sz="4" w:space="0" w:color="auto"/>
              <w:left w:val="single" w:sz="4" w:space="0" w:color="auto"/>
              <w:bottom w:val="single" w:sz="4" w:space="0" w:color="auto"/>
              <w:right w:val="single" w:sz="4" w:space="0" w:color="auto"/>
            </w:tcBorders>
            <w:vAlign w:val="center"/>
          </w:tcPr>
          <w:p w14:paraId="1B363104" w14:textId="4FD616A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79.3</w:t>
            </w:r>
          </w:p>
        </w:tc>
        <w:tc>
          <w:tcPr>
            <w:tcW w:w="698" w:type="dxa"/>
            <w:tcBorders>
              <w:top w:val="single" w:sz="4" w:space="0" w:color="auto"/>
              <w:left w:val="single" w:sz="4" w:space="0" w:color="auto"/>
              <w:bottom w:val="single" w:sz="4" w:space="0" w:color="auto"/>
              <w:right w:val="single" w:sz="4" w:space="0" w:color="auto"/>
            </w:tcBorders>
            <w:vAlign w:val="center"/>
          </w:tcPr>
          <w:p w14:paraId="0903391A" w14:textId="63309B8D"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80.2</w:t>
            </w:r>
          </w:p>
        </w:tc>
        <w:tc>
          <w:tcPr>
            <w:tcW w:w="699" w:type="dxa"/>
            <w:tcBorders>
              <w:top w:val="single" w:sz="4" w:space="0" w:color="auto"/>
              <w:left w:val="single" w:sz="4" w:space="0" w:color="auto"/>
              <w:bottom w:val="single" w:sz="4" w:space="0" w:color="auto"/>
              <w:right w:val="single" w:sz="4" w:space="0" w:color="auto"/>
            </w:tcBorders>
            <w:vAlign w:val="center"/>
          </w:tcPr>
          <w:p w14:paraId="5BB25B55" w14:textId="5ACC4C9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c>
          <w:tcPr>
            <w:tcW w:w="698" w:type="dxa"/>
            <w:tcBorders>
              <w:top w:val="single" w:sz="4" w:space="0" w:color="auto"/>
              <w:left w:val="single" w:sz="4" w:space="0" w:color="auto"/>
              <w:bottom w:val="single" w:sz="4" w:space="0" w:color="auto"/>
              <w:right w:val="single" w:sz="4" w:space="0" w:color="auto"/>
            </w:tcBorders>
            <w:vAlign w:val="center"/>
          </w:tcPr>
          <w:p w14:paraId="6466B141" w14:textId="6AA3D51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86.6</w:t>
            </w:r>
          </w:p>
        </w:tc>
        <w:tc>
          <w:tcPr>
            <w:tcW w:w="699" w:type="dxa"/>
            <w:tcBorders>
              <w:top w:val="single" w:sz="4" w:space="0" w:color="auto"/>
              <w:left w:val="single" w:sz="4" w:space="0" w:color="auto"/>
              <w:bottom w:val="single" w:sz="4" w:space="0" w:color="auto"/>
              <w:right w:val="single" w:sz="4" w:space="0" w:color="auto"/>
            </w:tcBorders>
            <w:vAlign w:val="center"/>
          </w:tcPr>
          <w:p w14:paraId="52AB0199" w14:textId="2A3293B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56.1</w:t>
            </w:r>
          </w:p>
        </w:tc>
        <w:tc>
          <w:tcPr>
            <w:tcW w:w="699" w:type="dxa"/>
            <w:tcBorders>
              <w:top w:val="single" w:sz="4" w:space="0" w:color="auto"/>
              <w:left w:val="single" w:sz="4" w:space="0" w:color="auto"/>
              <w:bottom w:val="single" w:sz="4" w:space="0" w:color="auto"/>
              <w:right w:val="single" w:sz="4" w:space="0" w:color="auto"/>
            </w:tcBorders>
            <w:vAlign w:val="center"/>
          </w:tcPr>
          <w:p w14:paraId="05693582" w14:textId="7159D4C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56.3</w:t>
            </w:r>
          </w:p>
        </w:tc>
        <w:tc>
          <w:tcPr>
            <w:tcW w:w="698" w:type="dxa"/>
            <w:tcBorders>
              <w:top w:val="single" w:sz="4" w:space="0" w:color="auto"/>
              <w:left w:val="single" w:sz="4" w:space="0" w:color="auto"/>
              <w:bottom w:val="single" w:sz="4" w:space="0" w:color="auto"/>
              <w:right w:val="single" w:sz="4" w:space="0" w:color="auto"/>
            </w:tcBorders>
            <w:vAlign w:val="center"/>
          </w:tcPr>
          <w:p w14:paraId="3036776C" w14:textId="1E45D04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57.4</w:t>
            </w:r>
          </w:p>
        </w:tc>
        <w:tc>
          <w:tcPr>
            <w:tcW w:w="699" w:type="dxa"/>
            <w:tcBorders>
              <w:top w:val="single" w:sz="4" w:space="0" w:color="auto"/>
              <w:left w:val="single" w:sz="4" w:space="0" w:color="auto"/>
              <w:bottom w:val="single" w:sz="4" w:space="0" w:color="auto"/>
              <w:right w:val="single" w:sz="4" w:space="0" w:color="auto"/>
            </w:tcBorders>
            <w:vAlign w:val="center"/>
          </w:tcPr>
          <w:p w14:paraId="349030BE" w14:textId="775528B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41.7</w:t>
            </w:r>
          </w:p>
        </w:tc>
        <w:tc>
          <w:tcPr>
            <w:tcW w:w="698" w:type="dxa"/>
            <w:tcBorders>
              <w:top w:val="single" w:sz="4" w:space="0" w:color="auto"/>
              <w:left w:val="single" w:sz="4" w:space="0" w:color="auto"/>
              <w:bottom w:val="single" w:sz="4" w:space="0" w:color="auto"/>
              <w:right w:val="single" w:sz="4" w:space="0" w:color="auto"/>
            </w:tcBorders>
            <w:vAlign w:val="center"/>
          </w:tcPr>
          <w:p w14:paraId="1AAABFF1" w14:textId="1907A8E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42.3</w:t>
            </w:r>
          </w:p>
        </w:tc>
        <w:tc>
          <w:tcPr>
            <w:tcW w:w="699" w:type="dxa"/>
            <w:tcBorders>
              <w:top w:val="single" w:sz="4" w:space="0" w:color="auto"/>
              <w:left w:val="single" w:sz="4" w:space="0" w:color="auto"/>
              <w:bottom w:val="single" w:sz="4" w:space="0" w:color="auto"/>
              <w:right w:val="single" w:sz="4" w:space="0" w:color="auto"/>
            </w:tcBorders>
            <w:vAlign w:val="center"/>
          </w:tcPr>
          <w:p w14:paraId="23924F01" w14:textId="55E891F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56.0</w:t>
            </w:r>
          </w:p>
        </w:tc>
        <w:tc>
          <w:tcPr>
            <w:tcW w:w="698" w:type="dxa"/>
            <w:tcBorders>
              <w:top w:val="single" w:sz="4" w:space="0" w:color="auto"/>
              <w:left w:val="single" w:sz="4" w:space="0" w:color="auto"/>
              <w:bottom w:val="single" w:sz="4" w:space="0" w:color="auto"/>
              <w:right w:val="single" w:sz="4" w:space="0" w:color="auto"/>
            </w:tcBorders>
            <w:vAlign w:val="center"/>
          </w:tcPr>
          <w:p w14:paraId="3EED93A8" w14:textId="5635ADD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71.0</w:t>
            </w:r>
          </w:p>
        </w:tc>
        <w:tc>
          <w:tcPr>
            <w:tcW w:w="699" w:type="dxa"/>
            <w:tcBorders>
              <w:top w:val="single" w:sz="4" w:space="0" w:color="auto"/>
              <w:left w:val="single" w:sz="4" w:space="0" w:color="auto"/>
              <w:bottom w:val="single" w:sz="4" w:space="0" w:color="auto"/>
              <w:right w:val="single" w:sz="4" w:space="0" w:color="auto"/>
            </w:tcBorders>
            <w:vAlign w:val="center"/>
          </w:tcPr>
          <w:p w14:paraId="3B467A02" w14:textId="6459FE0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81.9</w:t>
            </w:r>
          </w:p>
        </w:tc>
        <w:tc>
          <w:tcPr>
            <w:tcW w:w="698" w:type="dxa"/>
            <w:tcBorders>
              <w:top w:val="single" w:sz="4" w:space="0" w:color="auto"/>
              <w:left w:val="single" w:sz="4" w:space="0" w:color="auto"/>
              <w:bottom w:val="single" w:sz="4" w:space="0" w:color="auto"/>
              <w:right w:val="single" w:sz="4" w:space="0" w:color="auto"/>
            </w:tcBorders>
            <w:vAlign w:val="center"/>
          </w:tcPr>
          <w:p w14:paraId="19C380BC" w14:textId="6B72F08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81.8</w:t>
            </w:r>
          </w:p>
        </w:tc>
        <w:tc>
          <w:tcPr>
            <w:tcW w:w="699" w:type="dxa"/>
            <w:tcBorders>
              <w:top w:val="single" w:sz="4" w:space="0" w:color="auto"/>
              <w:left w:val="single" w:sz="4" w:space="0" w:color="auto"/>
              <w:bottom w:val="single" w:sz="4" w:space="0" w:color="auto"/>
              <w:right w:val="single" w:sz="4" w:space="0" w:color="auto"/>
            </w:tcBorders>
            <w:vAlign w:val="center"/>
          </w:tcPr>
          <w:p w14:paraId="7C2E763F" w14:textId="3381C49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80.7</w:t>
            </w:r>
          </w:p>
        </w:tc>
        <w:tc>
          <w:tcPr>
            <w:tcW w:w="699" w:type="dxa"/>
            <w:tcBorders>
              <w:top w:val="single" w:sz="4" w:space="0" w:color="auto"/>
              <w:left w:val="single" w:sz="4" w:space="0" w:color="auto"/>
              <w:bottom w:val="single" w:sz="4" w:space="0" w:color="auto"/>
              <w:right w:val="single" w:sz="4" w:space="0" w:color="auto"/>
            </w:tcBorders>
            <w:vAlign w:val="center"/>
          </w:tcPr>
          <w:p w14:paraId="1D7B59CE" w14:textId="1460414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76.3</w:t>
            </w:r>
          </w:p>
        </w:tc>
      </w:tr>
      <w:tr w:rsidR="00586F7D" w:rsidRPr="00217865" w14:paraId="13E77726"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138D870B" w14:textId="4BB43760"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Tourism, hospitality, personal services, sport and recreation</w:t>
            </w:r>
          </w:p>
        </w:tc>
        <w:tc>
          <w:tcPr>
            <w:tcW w:w="698" w:type="dxa"/>
            <w:tcBorders>
              <w:top w:val="single" w:sz="4" w:space="0" w:color="auto"/>
              <w:left w:val="single" w:sz="4" w:space="0" w:color="auto"/>
              <w:bottom w:val="single" w:sz="4" w:space="0" w:color="auto"/>
              <w:right w:val="single" w:sz="4" w:space="0" w:color="auto"/>
            </w:tcBorders>
            <w:vAlign w:val="center"/>
          </w:tcPr>
          <w:p w14:paraId="37825FD4" w14:textId="5BBD32C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86.9</w:t>
            </w:r>
          </w:p>
        </w:tc>
        <w:tc>
          <w:tcPr>
            <w:tcW w:w="699" w:type="dxa"/>
            <w:tcBorders>
              <w:top w:val="single" w:sz="4" w:space="0" w:color="auto"/>
              <w:left w:val="single" w:sz="4" w:space="0" w:color="auto"/>
              <w:bottom w:val="single" w:sz="4" w:space="0" w:color="auto"/>
              <w:right w:val="single" w:sz="4" w:space="0" w:color="auto"/>
            </w:tcBorders>
            <w:vAlign w:val="center"/>
          </w:tcPr>
          <w:p w14:paraId="1FA30FA6" w14:textId="045181B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84.6</w:t>
            </w:r>
          </w:p>
        </w:tc>
        <w:tc>
          <w:tcPr>
            <w:tcW w:w="698" w:type="dxa"/>
            <w:tcBorders>
              <w:top w:val="single" w:sz="4" w:space="0" w:color="auto"/>
              <w:left w:val="single" w:sz="4" w:space="0" w:color="auto"/>
              <w:bottom w:val="single" w:sz="4" w:space="0" w:color="auto"/>
              <w:right w:val="single" w:sz="4" w:space="0" w:color="auto"/>
            </w:tcBorders>
            <w:vAlign w:val="center"/>
          </w:tcPr>
          <w:p w14:paraId="4D9C1FA8" w14:textId="45E919C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86.5</w:t>
            </w:r>
          </w:p>
        </w:tc>
        <w:tc>
          <w:tcPr>
            <w:tcW w:w="699" w:type="dxa"/>
            <w:tcBorders>
              <w:top w:val="single" w:sz="4" w:space="0" w:color="auto"/>
              <w:left w:val="single" w:sz="4" w:space="0" w:color="auto"/>
              <w:bottom w:val="single" w:sz="4" w:space="0" w:color="auto"/>
              <w:right w:val="single" w:sz="4" w:space="0" w:color="auto"/>
            </w:tcBorders>
            <w:vAlign w:val="center"/>
          </w:tcPr>
          <w:p w14:paraId="79774D64" w14:textId="1A8E9CC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68.5</w:t>
            </w:r>
          </w:p>
        </w:tc>
        <w:tc>
          <w:tcPr>
            <w:tcW w:w="698" w:type="dxa"/>
            <w:tcBorders>
              <w:top w:val="single" w:sz="4" w:space="0" w:color="auto"/>
              <w:left w:val="single" w:sz="4" w:space="0" w:color="auto"/>
              <w:bottom w:val="single" w:sz="4" w:space="0" w:color="auto"/>
              <w:right w:val="single" w:sz="4" w:space="0" w:color="auto"/>
            </w:tcBorders>
            <w:vAlign w:val="center"/>
          </w:tcPr>
          <w:p w14:paraId="70E0DB9A" w14:textId="6C21E5B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71.1</w:t>
            </w:r>
          </w:p>
        </w:tc>
        <w:tc>
          <w:tcPr>
            <w:tcW w:w="699" w:type="dxa"/>
            <w:tcBorders>
              <w:top w:val="single" w:sz="4" w:space="0" w:color="auto"/>
              <w:left w:val="single" w:sz="4" w:space="0" w:color="auto"/>
              <w:bottom w:val="single" w:sz="4" w:space="0" w:color="auto"/>
              <w:right w:val="single" w:sz="4" w:space="0" w:color="auto"/>
            </w:tcBorders>
            <w:vAlign w:val="center"/>
          </w:tcPr>
          <w:p w14:paraId="7D55A0E5" w14:textId="6B77AD9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76.6</w:t>
            </w:r>
          </w:p>
        </w:tc>
        <w:tc>
          <w:tcPr>
            <w:tcW w:w="698" w:type="dxa"/>
            <w:tcBorders>
              <w:top w:val="single" w:sz="4" w:space="0" w:color="auto"/>
              <w:left w:val="single" w:sz="4" w:space="0" w:color="auto"/>
              <w:bottom w:val="single" w:sz="4" w:space="0" w:color="auto"/>
              <w:right w:val="single" w:sz="4" w:space="0" w:color="auto"/>
            </w:tcBorders>
            <w:vAlign w:val="center"/>
          </w:tcPr>
          <w:p w14:paraId="590A7E6E" w14:textId="151CA39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85.9</w:t>
            </w:r>
          </w:p>
        </w:tc>
        <w:tc>
          <w:tcPr>
            <w:tcW w:w="699" w:type="dxa"/>
            <w:tcBorders>
              <w:top w:val="single" w:sz="4" w:space="0" w:color="auto"/>
              <w:left w:val="single" w:sz="4" w:space="0" w:color="auto"/>
              <w:bottom w:val="single" w:sz="4" w:space="0" w:color="auto"/>
              <w:right w:val="single" w:sz="4" w:space="0" w:color="auto"/>
            </w:tcBorders>
            <w:vAlign w:val="center"/>
          </w:tcPr>
          <w:p w14:paraId="02A12AF1" w14:textId="06BBD7B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66.4</w:t>
            </w:r>
          </w:p>
        </w:tc>
        <w:tc>
          <w:tcPr>
            <w:tcW w:w="699" w:type="dxa"/>
            <w:tcBorders>
              <w:top w:val="single" w:sz="4" w:space="0" w:color="auto"/>
              <w:left w:val="single" w:sz="4" w:space="0" w:color="auto"/>
              <w:bottom w:val="single" w:sz="4" w:space="0" w:color="auto"/>
              <w:right w:val="single" w:sz="4" w:space="0" w:color="auto"/>
            </w:tcBorders>
            <w:vAlign w:val="center"/>
          </w:tcPr>
          <w:p w14:paraId="7BF8FF04" w14:textId="6F4FE38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68.5</w:t>
            </w:r>
          </w:p>
        </w:tc>
        <w:tc>
          <w:tcPr>
            <w:tcW w:w="698" w:type="dxa"/>
            <w:tcBorders>
              <w:top w:val="single" w:sz="4" w:space="0" w:color="auto"/>
              <w:left w:val="single" w:sz="4" w:space="0" w:color="auto"/>
              <w:bottom w:val="single" w:sz="4" w:space="0" w:color="auto"/>
              <w:right w:val="single" w:sz="4" w:space="0" w:color="auto"/>
            </w:tcBorders>
            <w:vAlign w:val="center"/>
          </w:tcPr>
          <w:p w14:paraId="1A5C47C0" w14:textId="66D937B1"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66.7</w:t>
            </w:r>
          </w:p>
        </w:tc>
        <w:tc>
          <w:tcPr>
            <w:tcW w:w="699" w:type="dxa"/>
            <w:tcBorders>
              <w:top w:val="single" w:sz="4" w:space="0" w:color="auto"/>
              <w:left w:val="single" w:sz="4" w:space="0" w:color="auto"/>
              <w:bottom w:val="single" w:sz="4" w:space="0" w:color="auto"/>
              <w:right w:val="single" w:sz="4" w:space="0" w:color="auto"/>
            </w:tcBorders>
            <w:vAlign w:val="center"/>
          </w:tcPr>
          <w:p w14:paraId="61394E90" w14:textId="363A663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20.0</w:t>
            </w:r>
          </w:p>
        </w:tc>
        <w:tc>
          <w:tcPr>
            <w:tcW w:w="698" w:type="dxa"/>
            <w:tcBorders>
              <w:top w:val="single" w:sz="4" w:space="0" w:color="auto"/>
              <w:left w:val="single" w:sz="4" w:space="0" w:color="auto"/>
              <w:bottom w:val="single" w:sz="4" w:space="0" w:color="auto"/>
              <w:right w:val="single" w:sz="4" w:space="0" w:color="auto"/>
            </w:tcBorders>
            <w:vAlign w:val="center"/>
          </w:tcPr>
          <w:p w14:paraId="6E87E4E5" w14:textId="7970B29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32.3</w:t>
            </w:r>
          </w:p>
        </w:tc>
        <w:tc>
          <w:tcPr>
            <w:tcW w:w="699" w:type="dxa"/>
            <w:tcBorders>
              <w:top w:val="single" w:sz="4" w:space="0" w:color="auto"/>
              <w:left w:val="single" w:sz="4" w:space="0" w:color="auto"/>
              <w:bottom w:val="single" w:sz="4" w:space="0" w:color="auto"/>
              <w:right w:val="single" w:sz="4" w:space="0" w:color="auto"/>
            </w:tcBorders>
            <w:vAlign w:val="center"/>
          </w:tcPr>
          <w:p w14:paraId="6E650552" w14:textId="7380E7F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67.2</w:t>
            </w:r>
          </w:p>
        </w:tc>
        <w:tc>
          <w:tcPr>
            <w:tcW w:w="698" w:type="dxa"/>
            <w:tcBorders>
              <w:top w:val="single" w:sz="4" w:space="0" w:color="auto"/>
              <w:left w:val="single" w:sz="4" w:space="0" w:color="auto"/>
              <w:bottom w:val="single" w:sz="4" w:space="0" w:color="auto"/>
              <w:right w:val="single" w:sz="4" w:space="0" w:color="auto"/>
            </w:tcBorders>
            <w:vAlign w:val="center"/>
          </w:tcPr>
          <w:p w14:paraId="348A1CCA" w14:textId="334F8164"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80.3</w:t>
            </w:r>
          </w:p>
        </w:tc>
        <w:tc>
          <w:tcPr>
            <w:tcW w:w="699" w:type="dxa"/>
            <w:tcBorders>
              <w:top w:val="single" w:sz="4" w:space="0" w:color="auto"/>
              <w:left w:val="single" w:sz="4" w:space="0" w:color="auto"/>
              <w:bottom w:val="single" w:sz="4" w:space="0" w:color="auto"/>
              <w:right w:val="single" w:sz="4" w:space="0" w:color="auto"/>
            </w:tcBorders>
            <w:vAlign w:val="center"/>
          </w:tcPr>
          <w:p w14:paraId="317F50EB" w14:textId="0C2395A6"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83.1</w:t>
            </w:r>
          </w:p>
        </w:tc>
        <w:tc>
          <w:tcPr>
            <w:tcW w:w="698" w:type="dxa"/>
            <w:tcBorders>
              <w:top w:val="single" w:sz="4" w:space="0" w:color="auto"/>
              <w:left w:val="single" w:sz="4" w:space="0" w:color="auto"/>
              <w:bottom w:val="single" w:sz="4" w:space="0" w:color="auto"/>
              <w:right w:val="single" w:sz="4" w:space="0" w:color="auto"/>
            </w:tcBorders>
            <w:vAlign w:val="center"/>
          </w:tcPr>
          <w:p w14:paraId="7C50118C" w14:textId="4C30BD3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84.7</w:t>
            </w:r>
          </w:p>
        </w:tc>
        <w:tc>
          <w:tcPr>
            <w:tcW w:w="699" w:type="dxa"/>
            <w:tcBorders>
              <w:top w:val="single" w:sz="4" w:space="0" w:color="auto"/>
              <w:left w:val="single" w:sz="4" w:space="0" w:color="auto"/>
              <w:bottom w:val="single" w:sz="4" w:space="0" w:color="auto"/>
              <w:right w:val="single" w:sz="4" w:space="0" w:color="auto"/>
            </w:tcBorders>
            <w:vAlign w:val="center"/>
          </w:tcPr>
          <w:p w14:paraId="26BE2152" w14:textId="13D6E38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87.9</w:t>
            </w:r>
          </w:p>
        </w:tc>
        <w:tc>
          <w:tcPr>
            <w:tcW w:w="699" w:type="dxa"/>
            <w:tcBorders>
              <w:top w:val="single" w:sz="4" w:space="0" w:color="auto"/>
              <w:left w:val="single" w:sz="4" w:space="0" w:color="auto"/>
              <w:bottom w:val="single" w:sz="4" w:space="0" w:color="auto"/>
              <w:right w:val="single" w:sz="4" w:space="0" w:color="auto"/>
            </w:tcBorders>
            <w:vAlign w:val="center"/>
          </w:tcPr>
          <w:p w14:paraId="67110B32" w14:textId="35E46A6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68.8</w:t>
            </w:r>
          </w:p>
        </w:tc>
      </w:tr>
      <w:tr w:rsidR="00586F7D" w:rsidRPr="00217865" w14:paraId="1A17395D" w14:textId="77777777" w:rsidTr="007301B9">
        <w:trPr>
          <w:trHeight w:val="471"/>
        </w:trPr>
        <w:tc>
          <w:tcPr>
            <w:tcW w:w="2555" w:type="dxa"/>
            <w:tcBorders>
              <w:top w:val="single" w:sz="4" w:space="0" w:color="auto"/>
              <w:left w:val="single" w:sz="4" w:space="0" w:color="auto"/>
              <w:bottom w:val="single" w:sz="4" w:space="0" w:color="auto"/>
              <w:right w:val="single" w:sz="4" w:space="0" w:color="auto"/>
            </w:tcBorders>
            <w:vAlign w:val="center"/>
            <w:hideMark/>
          </w:tcPr>
          <w:p w14:paraId="31D2BB8E" w14:textId="16D36EAE" w:rsidR="00586F7D" w:rsidRPr="00217865" w:rsidRDefault="00586F7D" w:rsidP="00586F7D">
            <w:pPr>
              <w:spacing w:before="60" w:after="60"/>
              <w:rPr>
                <w:rFonts w:eastAsia="Times New Roman" w:cs="Arial"/>
                <w:color w:val="000000" w:themeColor="text1"/>
                <w:sz w:val="18"/>
                <w:lang w:eastAsia="en-AU"/>
              </w:rPr>
            </w:pPr>
            <w:r w:rsidRPr="00217865">
              <w:rPr>
                <w:rFonts w:cs="Arial"/>
                <w:color w:val="000000" w:themeColor="text1"/>
                <w:sz w:val="18"/>
              </w:rPr>
              <w:t>Veterinary science</w:t>
            </w:r>
          </w:p>
        </w:tc>
        <w:tc>
          <w:tcPr>
            <w:tcW w:w="698" w:type="dxa"/>
            <w:tcBorders>
              <w:top w:val="single" w:sz="4" w:space="0" w:color="auto"/>
              <w:left w:val="single" w:sz="4" w:space="0" w:color="auto"/>
              <w:bottom w:val="single" w:sz="4" w:space="0" w:color="auto"/>
              <w:right w:val="single" w:sz="4" w:space="0" w:color="auto"/>
            </w:tcBorders>
            <w:vAlign w:val="center"/>
          </w:tcPr>
          <w:p w14:paraId="7C720CC0" w14:textId="4849BA9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86.2</w:t>
            </w:r>
          </w:p>
        </w:tc>
        <w:tc>
          <w:tcPr>
            <w:tcW w:w="699" w:type="dxa"/>
            <w:tcBorders>
              <w:top w:val="single" w:sz="4" w:space="0" w:color="auto"/>
              <w:left w:val="single" w:sz="4" w:space="0" w:color="auto"/>
              <w:bottom w:val="single" w:sz="4" w:space="0" w:color="auto"/>
              <w:right w:val="single" w:sz="4" w:space="0" w:color="auto"/>
            </w:tcBorders>
            <w:vAlign w:val="center"/>
          </w:tcPr>
          <w:p w14:paraId="3E601D9B" w14:textId="4F88013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c>
          <w:tcPr>
            <w:tcW w:w="698" w:type="dxa"/>
            <w:tcBorders>
              <w:top w:val="single" w:sz="4" w:space="0" w:color="auto"/>
              <w:left w:val="single" w:sz="4" w:space="0" w:color="auto"/>
              <w:bottom w:val="single" w:sz="4" w:space="0" w:color="auto"/>
              <w:right w:val="single" w:sz="4" w:space="0" w:color="auto"/>
            </w:tcBorders>
            <w:vAlign w:val="center"/>
          </w:tcPr>
          <w:p w14:paraId="085CA6E4" w14:textId="43BEA55C"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85.5</w:t>
            </w:r>
          </w:p>
        </w:tc>
        <w:tc>
          <w:tcPr>
            <w:tcW w:w="699" w:type="dxa"/>
            <w:tcBorders>
              <w:top w:val="single" w:sz="4" w:space="0" w:color="auto"/>
              <w:left w:val="single" w:sz="4" w:space="0" w:color="auto"/>
              <w:bottom w:val="single" w:sz="4" w:space="0" w:color="auto"/>
              <w:right w:val="single" w:sz="4" w:space="0" w:color="auto"/>
            </w:tcBorders>
            <w:vAlign w:val="center"/>
          </w:tcPr>
          <w:p w14:paraId="657B3BAA" w14:textId="03DA9C0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73.1</w:t>
            </w:r>
          </w:p>
        </w:tc>
        <w:tc>
          <w:tcPr>
            <w:tcW w:w="698" w:type="dxa"/>
            <w:tcBorders>
              <w:top w:val="single" w:sz="4" w:space="0" w:color="auto"/>
              <w:left w:val="single" w:sz="4" w:space="0" w:color="auto"/>
              <w:bottom w:val="single" w:sz="4" w:space="0" w:color="auto"/>
              <w:right w:val="single" w:sz="4" w:space="0" w:color="auto"/>
            </w:tcBorders>
            <w:vAlign w:val="center"/>
          </w:tcPr>
          <w:p w14:paraId="43ACC37F" w14:textId="74A1928F"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87.5</w:t>
            </w:r>
          </w:p>
        </w:tc>
        <w:tc>
          <w:tcPr>
            <w:tcW w:w="699" w:type="dxa"/>
            <w:tcBorders>
              <w:top w:val="single" w:sz="4" w:space="0" w:color="auto"/>
              <w:left w:val="single" w:sz="4" w:space="0" w:color="auto"/>
              <w:bottom w:val="single" w:sz="4" w:space="0" w:color="auto"/>
              <w:right w:val="single" w:sz="4" w:space="0" w:color="auto"/>
            </w:tcBorders>
            <w:vAlign w:val="center"/>
          </w:tcPr>
          <w:p w14:paraId="55D4B7B3" w14:textId="7580711B"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88.2</w:t>
            </w:r>
          </w:p>
        </w:tc>
        <w:tc>
          <w:tcPr>
            <w:tcW w:w="698" w:type="dxa"/>
            <w:tcBorders>
              <w:top w:val="single" w:sz="4" w:space="0" w:color="auto"/>
              <w:left w:val="single" w:sz="4" w:space="0" w:color="auto"/>
              <w:bottom w:val="single" w:sz="4" w:space="0" w:color="auto"/>
              <w:right w:val="single" w:sz="4" w:space="0" w:color="auto"/>
            </w:tcBorders>
            <w:vAlign w:val="center"/>
          </w:tcPr>
          <w:p w14:paraId="5C9842B0" w14:textId="5B800E12"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82.7</w:t>
            </w:r>
          </w:p>
        </w:tc>
        <w:tc>
          <w:tcPr>
            <w:tcW w:w="699" w:type="dxa"/>
            <w:tcBorders>
              <w:top w:val="single" w:sz="4" w:space="0" w:color="auto"/>
              <w:left w:val="single" w:sz="4" w:space="0" w:color="auto"/>
              <w:bottom w:val="single" w:sz="4" w:space="0" w:color="auto"/>
              <w:right w:val="single" w:sz="4" w:space="0" w:color="auto"/>
            </w:tcBorders>
            <w:vAlign w:val="center"/>
          </w:tcPr>
          <w:p w14:paraId="58435305" w14:textId="5AA8ACB8"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75.4</w:t>
            </w:r>
          </w:p>
        </w:tc>
        <w:tc>
          <w:tcPr>
            <w:tcW w:w="699" w:type="dxa"/>
            <w:tcBorders>
              <w:top w:val="single" w:sz="4" w:space="0" w:color="auto"/>
              <w:left w:val="single" w:sz="4" w:space="0" w:color="auto"/>
              <w:bottom w:val="single" w:sz="4" w:space="0" w:color="auto"/>
              <w:right w:val="single" w:sz="4" w:space="0" w:color="auto"/>
            </w:tcBorders>
            <w:vAlign w:val="center"/>
          </w:tcPr>
          <w:p w14:paraId="29D4D50A" w14:textId="0171BCF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67.9</w:t>
            </w:r>
          </w:p>
        </w:tc>
        <w:tc>
          <w:tcPr>
            <w:tcW w:w="698" w:type="dxa"/>
            <w:tcBorders>
              <w:top w:val="single" w:sz="4" w:space="0" w:color="auto"/>
              <w:left w:val="single" w:sz="4" w:space="0" w:color="auto"/>
              <w:bottom w:val="single" w:sz="4" w:space="0" w:color="auto"/>
              <w:right w:val="single" w:sz="4" w:space="0" w:color="auto"/>
            </w:tcBorders>
            <w:vAlign w:val="center"/>
          </w:tcPr>
          <w:p w14:paraId="64FD9B86" w14:textId="24A9FFD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81.0</w:t>
            </w:r>
          </w:p>
        </w:tc>
        <w:tc>
          <w:tcPr>
            <w:tcW w:w="699" w:type="dxa"/>
            <w:tcBorders>
              <w:top w:val="single" w:sz="4" w:space="0" w:color="auto"/>
              <w:left w:val="single" w:sz="4" w:space="0" w:color="auto"/>
              <w:bottom w:val="single" w:sz="4" w:space="0" w:color="auto"/>
              <w:right w:val="single" w:sz="4" w:space="0" w:color="auto"/>
            </w:tcBorders>
            <w:vAlign w:val="center"/>
          </w:tcPr>
          <w:p w14:paraId="70445B0A" w14:textId="28C7A165"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52.9</w:t>
            </w:r>
          </w:p>
        </w:tc>
        <w:tc>
          <w:tcPr>
            <w:tcW w:w="698" w:type="dxa"/>
            <w:tcBorders>
              <w:top w:val="single" w:sz="4" w:space="0" w:color="auto"/>
              <w:left w:val="single" w:sz="4" w:space="0" w:color="auto"/>
              <w:bottom w:val="single" w:sz="4" w:space="0" w:color="auto"/>
              <w:right w:val="single" w:sz="4" w:space="0" w:color="auto"/>
            </w:tcBorders>
            <w:vAlign w:val="center"/>
          </w:tcPr>
          <w:p w14:paraId="0965760A" w14:textId="0D87572E"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32.3</w:t>
            </w:r>
          </w:p>
        </w:tc>
        <w:tc>
          <w:tcPr>
            <w:tcW w:w="699" w:type="dxa"/>
            <w:tcBorders>
              <w:top w:val="single" w:sz="4" w:space="0" w:color="auto"/>
              <w:left w:val="single" w:sz="4" w:space="0" w:color="auto"/>
              <w:bottom w:val="single" w:sz="4" w:space="0" w:color="auto"/>
              <w:right w:val="single" w:sz="4" w:space="0" w:color="auto"/>
            </w:tcBorders>
            <w:vAlign w:val="center"/>
          </w:tcPr>
          <w:p w14:paraId="146E0439" w14:textId="1C283360"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64.5</w:t>
            </w:r>
          </w:p>
        </w:tc>
        <w:tc>
          <w:tcPr>
            <w:tcW w:w="698" w:type="dxa"/>
            <w:tcBorders>
              <w:top w:val="single" w:sz="4" w:space="0" w:color="auto"/>
              <w:left w:val="single" w:sz="4" w:space="0" w:color="auto"/>
              <w:bottom w:val="single" w:sz="4" w:space="0" w:color="auto"/>
              <w:right w:val="single" w:sz="4" w:space="0" w:color="auto"/>
            </w:tcBorders>
            <w:vAlign w:val="center"/>
          </w:tcPr>
          <w:p w14:paraId="5BA4C716" w14:textId="4D47B9C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63.3</w:t>
            </w:r>
          </w:p>
        </w:tc>
        <w:tc>
          <w:tcPr>
            <w:tcW w:w="699" w:type="dxa"/>
            <w:tcBorders>
              <w:top w:val="single" w:sz="4" w:space="0" w:color="auto"/>
              <w:left w:val="single" w:sz="4" w:space="0" w:color="auto"/>
              <w:bottom w:val="single" w:sz="4" w:space="0" w:color="auto"/>
              <w:right w:val="single" w:sz="4" w:space="0" w:color="auto"/>
            </w:tcBorders>
            <w:vAlign w:val="center"/>
          </w:tcPr>
          <w:p w14:paraId="5B7682AA" w14:textId="53AF3649"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86.2</w:t>
            </w:r>
          </w:p>
        </w:tc>
        <w:tc>
          <w:tcPr>
            <w:tcW w:w="698" w:type="dxa"/>
            <w:tcBorders>
              <w:top w:val="single" w:sz="4" w:space="0" w:color="auto"/>
              <w:left w:val="single" w:sz="4" w:space="0" w:color="auto"/>
              <w:bottom w:val="single" w:sz="4" w:space="0" w:color="auto"/>
              <w:right w:val="single" w:sz="4" w:space="0" w:color="auto"/>
            </w:tcBorders>
            <w:vAlign w:val="center"/>
          </w:tcPr>
          <w:p w14:paraId="6C7F8E45" w14:textId="03C2840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75.5</w:t>
            </w:r>
          </w:p>
        </w:tc>
        <w:tc>
          <w:tcPr>
            <w:tcW w:w="699" w:type="dxa"/>
            <w:tcBorders>
              <w:top w:val="single" w:sz="4" w:space="0" w:color="auto"/>
              <w:left w:val="single" w:sz="4" w:space="0" w:color="auto"/>
              <w:bottom w:val="single" w:sz="4" w:space="0" w:color="auto"/>
              <w:right w:val="single" w:sz="4" w:space="0" w:color="auto"/>
            </w:tcBorders>
            <w:vAlign w:val="center"/>
          </w:tcPr>
          <w:p w14:paraId="7481D716" w14:textId="6CA70AC3"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78.9</w:t>
            </w:r>
          </w:p>
        </w:tc>
        <w:tc>
          <w:tcPr>
            <w:tcW w:w="699" w:type="dxa"/>
            <w:tcBorders>
              <w:top w:val="single" w:sz="4" w:space="0" w:color="auto"/>
              <w:left w:val="single" w:sz="4" w:space="0" w:color="auto"/>
              <w:bottom w:val="single" w:sz="4" w:space="0" w:color="auto"/>
              <w:right w:val="single" w:sz="4" w:space="0" w:color="auto"/>
            </w:tcBorders>
            <w:vAlign w:val="center"/>
          </w:tcPr>
          <w:p w14:paraId="34256818" w14:textId="5F54C037" w:rsidR="00586F7D" w:rsidRPr="00217865" w:rsidRDefault="00586F7D" w:rsidP="00586F7D">
            <w:pPr>
              <w:spacing w:before="60" w:after="60"/>
              <w:jc w:val="center"/>
              <w:rPr>
                <w:rFonts w:eastAsia="Times New Roman" w:cs="Arial"/>
                <w:color w:val="000000" w:themeColor="text1"/>
                <w:sz w:val="18"/>
                <w:lang w:eastAsia="en-AU"/>
              </w:rPr>
            </w:pPr>
            <w:r w:rsidRPr="00217865">
              <w:rPr>
                <w:rFonts w:cs="Arial"/>
                <w:color w:val="000000" w:themeColor="text1"/>
                <w:sz w:val="18"/>
              </w:rPr>
              <w:t>67.2</w:t>
            </w:r>
          </w:p>
        </w:tc>
      </w:tr>
      <w:tr w:rsidR="00586F7D" w:rsidRPr="00217865" w14:paraId="42EA18FB" w14:textId="77777777" w:rsidTr="007301B9">
        <w:trPr>
          <w:trHeight w:val="344"/>
        </w:trPr>
        <w:tc>
          <w:tcPr>
            <w:tcW w:w="2555" w:type="dxa"/>
            <w:tcBorders>
              <w:top w:val="single" w:sz="4" w:space="0" w:color="auto"/>
              <w:left w:val="single" w:sz="4" w:space="0" w:color="auto"/>
              <w:bottom w:val="single" w:sz="4" w:space="0" w:color="auto"/>
              <w:right w:val="single" w:sz="4" w:space="0" w:color="auto"/>
            </w:tcBorders>
            <w:vAlign w:val="center"/>
            <w:hideMark/>
          </w:tcPr>
          <w:p w14:paraId="080053B2" w14:textId="2115B74E" w:rsidR="00586F7D" w:rsidRPr="00217865" w:rsidRDefault="00586F7D" w:rsidP="00586F7D">
            <w:pPr>
              <w:spacing w:before="60" w:after="60"/>
              <w:rPr>
                <w:rFonts w:eastAsia="Times New Roman" w:cs="Arial"/>
                <w:b/>
                <w:color w:val="000000" w:themeColor="text1"/>
                <w:sz w:val="18"/>
                <w:lang w:eastAsia="en-AU"/>
              </w:rPr>
            </w:pPr>
            <w:r w:rsidRPr="00217865">
              <w:rPr>
                <w:rFonts w:cs="Arial"/>
                <w:b/>
                <w:color w:val="000000" w:themeColor="text1"/>
                <w:sz w:val="18"/>
              </w:rPr>
              <w:t>Total</w:t>
            </w:r>
          </w:p>
        </w:tc>
        <w:tc>
          <w:tcPr>
            <w:tcW w:w="698" w:type="dxa"/>
            <w:tcBorders>
              <w:top w:val="single" w:sz="4" w:space="0" w:color="auto"/>
              <w:left w:val="single" w:sz="4" w:space="0" w:color="auto"/>
              <w:bottom w:val="single" w:sz="4" w:space="0" w:color="auto"/>
              <w:right w:val="single" w:sz="4" w:space="0" w:color="auto"/>
            </w:tcBorders>
            <w:vAlign w:val="center"/>
          </w:tcPr>
          <w:p w14:paraId="0F977BE7" w14:textId="1E54728E"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82.2</w:t>
            </w:r>
          </w:p>
        </w:tc>
        <w:tc>
          <w:tcPr>
            <w:tcW w:w="699" w:type="dxa"/>
            <w:tcBorders>
              <w:top w:val="single" w:sz="4" w:space="0" w:color="auto"/>
              <w:left w:val="single" w:sz="4" w:space="0" w:color="auto"/>
              <w:bottom w:val="single" w:sz="4" w:space="0" w:color="auto"/>
              <w:right w:val="single" w:sz="4" w:space="0" w:color="auto"/>
            </w:tcBorders>
            <w:vAlign w:val="center"/>
          </w:tcPr>
          <w:p w14:paraId="41791526" w14:textId="38E17FD2"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82.0</w:t>
            </w:r>
          </w:p>
        </w:tc>
        <w:tc>
          <w:tcPr>
            <w:tcW w:w="698" w:type="dxa"/>
            <w:tcBorders>
              <w:top w:val="single" w:sz="4" w:space="0" w:color="auto"/>
              <w:left w:val="single" w:sz="4" w:space="0" w:color="auto"/>
              <w:bottom w:val="single" w:sz="4" w:space="0" w:color="auto"/>
              <w:right w:val="single" w:sz="4" w:space="0" w:color="auto"/>
            </w:tcBorders>
            <w:vAlign w:val="center"/>
          </w:tcPr>
          <w:p w14:paraId="5D2D308A" w14:textId="71F3B27F"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82.0</w:t>
            </w:r>
          </w:p>
        </w:tc>
        <w:tc>
          <w:tcPr>
            <w:tcW w:w="699" w:type="dxa"/>
            <w:tcBorders>
              <w:top w:val="single" w:sz="4" w:space="0" w:color="auto"/>
              <w:left w:val="single" w:sz="4" w:space="0" w:color="auto"/>
              <w:bottom w:val="single" w:sz="4" w:space="0" w:color="auto"/>
              <w:right w:val="single" w:sz="4" w:space="0" w:color="auto"/>
            </w:tcBorders>
            <w:vAlign w:val="center"/>
          </w:tcPr>
          <w:p w14:paraId="29AC00E4" w14:textId="64B3C7B2"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77.6</w:t>
            </w:r>
          </w:p>
        </w:tc>
        <w:tc>
          <w:tcPr>
            <w:tcW w:w="698" w:type="dxa"/>
            <w:tcBorders>
              <w:top w:val="single" w:sz="4" w:space="0" w:color="auto"/>
              <w:left w:val="single" w:sz="4" w:space="0" w:color="auto"/>
              <w:bottom w:val="single" w:sz="4" w:space="0" w:color="auto"/>
              <w:right w:val="single" w:sz="4" w:space="0" w:color="auto"/>
            </w:tcBorders>
            <w:vAlign w:val="center"/>
          </w:tcPr>
          <w:p w14:paraId="46AAEDBD" w14:textId="1F267D5A"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79.6</w:t>
            </w:r>
          </w:p>
        </w:tc>
        <w:tc>
          <w:tcPr>
            <w:tcW w:w="699" w:type="dxa"/>
            <w:tcBorders>
              <w:top w:val="single" w:sz="4" w:space="0" w:color="auto"/>
              <w:left w:val="single" w:sz="4" w:space="0" w:color="auto"/>
              <w:bottom w:val="single" w:sz="4" w:space="0" w:color="auto"/>
              <w:right w:val="single" w:sz="4" w:space="0" w:color="auto"/>
            </w:tcBorders>
            <w:vAlign w:val="center"/>
          </w:tcPr>
          <w:p w14:paraId="266F4D5E" w14:textId="79186013"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84.1</w:t>
            </w:r>
          </w:p>
        </w:tc>
        <w:tc>
          <w:tcPr>
            <w:tcW w:w="698" w:type="dxa"/>
            <w:tcBorders>
              <w:top w:val="single" w:sz="4" w:space="0" w:color="auto"/>
              <w:left w:val="single" w:sz="4" w:space="0" w:color="auto"/>
              <w:bottom w:val="single" w:sz="4" w:space="0" w:color="auto"/>
              <w:right w:val="single" w:sz="4" w:space="0" w:color="auto"/>
            </w:tcBorders>
            <w:vAlign w:val="center"/>
          </w:tcPr>
          <w:p w14:paraId="16F7E398" w14:textId="7E062760"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85.5</w:t>
            </w:r>
          </w:p>
        </w:tc>
        <w:tc>
          <w:tcPr>
            <w:tcW w:w="699" w:type="dxa"/>
            <w:tcBorders>
              <w:top w:val="single" w:sz="4" w:space="0" w:color="auto"/>
              <w:left w:val="single" w:sz="4" w:space="0" w:color="auto"/>
              <w:bottom w:val="single" w:sz="4" w:space="0" w:color="auto"/>
              <w:right w:val="single" w:sz="4" w:space="0" w:color="auto"/>
            </w:tcBorders>
            <w:vAlign w:val="center"/>
          </w:tcPr>
          <w:p w14:paraId="3EE30CE5" w14:textId="1B5D06B4"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59.4</w:t>
            </w:r>
          </w:p>
        </w:tc>
        <w:tc>
          <w:tcPr>
            <w:tcW w:w="699" w:type="dxa"/>
            <w:tcBorders>
              <w:top w:val="single" w:sz="4" w:space="0" w:color="auto"/>
              <w:left w:val="single" w:sz="4" w:space="0" w:color="auto"/>
              <w:bottom w:val="single" w:sz="4" w:space="0" w:color="auto"/>
              <w:right w:val="single" w:sz="4" w:space="0" w:color="auto"/>
            </w:tcBorders>
            <w:vAlign w:val="center"/>
          </w:tcPr>
          <w:p w14:paraId="27727C64" w14:textId="7FC26660"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59.5</w:t>
            </w:r>
          </w:p>
        </w:tc>
        <w:tc>
          <w:tcPr>
            <w:tcW w:w="698" w:type="dxa"/>
            <w:tcBorders>
              <w:top w:val="single" w:sz="4" w:space="0" w:color="auto"/>
              <w:left w:val="single" w:sz="4" w:space="0" w:color="auto"/>
              <w:bottom w:val="single" w:sz="4" w:space="0" w:color="auto"/>
              <w:right w:val="single" w:sz="4" w:space="0" w:color="auto"/>
            </w:tcBorders>
            <w:vAlign w:val="center"/>
          </w:tcPr>
          <w:p w14:paraId="6E1AE1F1" w14:textId="75CFA4FA"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60.6</w:t>
            </w:r>
          </w:p>
        </w:tc>
        <w:tc>
          <w:tcPr>
            <w:tcW w:w="699" w:type="dxa"/>
            <w:tcBorders>
              <w:top w:val="single" w:sz="4" w:space="0" w:color="auto"/>
              <w:left w:val="single" w:sz="4" w:space="0" w:color="auto"/>
              <w:bottom w:val="single" w:sz="4" w:space="0" w:color="auto"/>
              <w:right w:val="single" w:sz="4" w:space="0" w:color="auto"/>
            </w:tcBorders>
            <w:vAlign w:val="center"/>
          </w:tcPr>
          <w:p w14:paraId="185ABDAF" w14:textId="1DE18847"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47.9</w:t>
            </w:r>
          </w:p>
        </w:tc>
        <w:tc>
          <w:tcPr>
            <w:tcW w:w="698" w:type="dxa"/>
            <w:tcBorders>
              <w:top w:val="single" w:sz="4" w:space="0" w:color="auto"/>
              <w:left w:val="single" w:sz="4" w:space="0" w:color="auto"/>
              <w:bottom w:val="single" w:sz="4" w:space="0" w:color="auto"/>
              <w:right w:val="single" w:sz="4" w:space="0" w:color="auto"/>
            </w:tcBorders>
            <w:vAlign w:val="center"/>
          </w:tcPr>
          <w:p w14:paraId="6C2BA209" w14:textId="5A92993E"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48.8</w:t>
            </w:r>
          </w:p>
        </w:tc>
        <w:tc>
          <w:tcPr>
            <w:tcW w:w="699" w:type="dxa"/>
            <w:tcBorders>
              <w:top w:val="single" w:sz="4" w:space="0" w:color="auto"/>
              <w:left w:val="single" w:sz="4" w:space="0" w:color="auto"/>
              <w:bottom w:val="single" w:sz="4" w:space="0" w:color="auto"/>
              <w:right w:val="single" w:sz="4" w:space="0" w:color="auto"/>
            </w:tcBorders>
            <w:vAlign w:val="center"/>
          </w:tcPr>
          <w:p w14:paraId="60F42DB3" w14:textId="3E2A8CD1"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62.2</w:t>
            </w:r>
          </w:p>
        </w:tc>
        <w:tc>
          <w:tcPr>
            <w:tcW w:w="698" w:type="dxa"/>
            <w:tcBorders>
              <w:top w:val="single" w:sz="4" w:space="0" w:color="auto"/>
              <w:left w:val="single" w:sz="4" w:space="0" w:color="auto"/>
              <w:bottom w:val="single" w:sz="4" w:space="0" w:color="auto"/>
              <w:right w:val="single" w:sz="4" w:space="0" w:color="auto"/>
            </w:tcBorders>
            <w:vAlign w:val="center"/>
          </w:tcPr>
          <w:p w14:paraId="128A24BD" w14:textId="31E663B5"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74.3</w:t>
            </w:r>
          </w:p>
        </w:tc>
        <w:tc>
          <w:tcPr>
            <w:tcW w:w="699" w:type="dxa"/>
            <w:tcBorders>
              <w:top w:val="single" w:sz="4" w:space="0" w:color="auto"/>
              <w:left w:val="single" w:sz="4" w:space="0" w:color="auto"/>
              <w:bottom w:val="single" w:sz="4" w:space="0" w:color="auto"/>
              <w:right w:val="single" w:sz="4" w:space="0" w:color="auto"/>
            </w:tcBorders>
            <w:vAlign w:val="center"/>
          </w:tcPr>
          <w:p w14:paraId="58B03209" w14:textId="0A070F7B"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80.1</w:t>
            </w:r>
          </w:p>
        </w:tc>
        <w:tc>
          <w:tcPr>
            <w:tcW w:w="698" w:type="dxa"/>
            <w:tcBorders>
              <w:top w:val="single" w:sz="4" w:space="0" w:color="auto"/>
              <w:left w:val="single" w:sz="4" w:space="0" w:color="auto"/>
              <w:bottom w:val="single" w:sz="4" w:space="0" w:color="auto"/>
              <w:right w:val="single" w:sz="4" w:space="0" w:color="auto"/>
            </w:tcBorders>
            <w:vAlign w:val="center"/>
          </w:tcPr>
          <w:p w14:paraId="7A7C7921" w14:textId="5CB5846D"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79.7</w:t>
            </w:r>
          </w:p>
        </w:tc>
        <w:tc>
          <w:tcPr>
            <w:tcW w:w="699" w:type="dxa"/>
            <w:tcBorders>
              <w:top w:val="single" w:sz="4" w:space="0" w:color="auto"/>
              <w:left w:val="single" w:sz="4" w:space="0" w:color="auto"/>
              <w:bottom w:val="single" w:sz="4" w:space="0" w:color="auto"/>
              <w:right w:val="single" w:sz="4" w:space="0" w:color="auto"/>
            </w:tcBorders>
            <w:vAlign w:val="center"/>
          </w:tcPr>
          <w:p w14:paraId="143FDC7B" w14:textId="132E8B6A"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79.7</w:t>
            </w:r>
          </w:p>
        </w:tc>
        <w:tc>
          <w:tcPr>
            <w:tcW w:w="699" w:type="dxa"/>
            <w:tcBorders>
              <w:top w:val="single" w:sz="4" w:space="0" w:color="auto"/>
              <w:left w:val="single" w:sz="4" w:space="0" w:color="auto"/>
              <w:bottom w:val="single" w:sz="4" w:space="0" w:color="auto"/>
              <w:right w:val="single" w:sz="4" w:space="0" w:color="auto"/>
            </w:tcBorders>
            <w:vAlign w:val="center"/>
          </w:tcPr>
          <w:p w14:paraId="70FA06F7" w14:textId="5421D61D" w:rsidR="00586F7D" w:rsidRPr="00217865" w:rsidRDefault="00586F7D" w:rsidP="00586F7D">
            <w:pPr>
              <w:spacing w:before="60" w:after="60"/>
              <w:jc w:val="center"/>
              <w:rPr>
                <w:rFonts w:eastAsia="Times New Roman" w:cs="Arial"/>
                <w:b/>
                <w:color w:val="000000" w:themeColor="text1"/>
                <w:sz w:val="18"/>
                <w:lang w:eastAsia="en-AU"/>
              </w:rPr>
            </w:pPr>
            <w:r w:rsidRPr="00217865">
              <w:rPr>
                <w:rFonts w:cs="Arial"/>
                <w:b/>
                <w:color w:val="000000" w:themeColor="text1"/>
                <w:sz w:val="18"/>
              </w:rPr>
              <w:t>74.7</w:t>
            </w:r>
          </w:p>
        </w:tc>
      </w:tr>
    </w:tbl>
    <w:p w14:paraId="6CF6FBE8" w14:textId="77777777" w:rsidR="00821227" w:rsidRPr="00217865" w:rsidRDefault="00821227" w:rsidP="00821227">
      <w:pPr>
        <w:pStyle w:val="Body"/>
        <w:rPr>
          <w:rFonts w:cs="Arial"/>
          <w:color w:val="000000" w:themeColor="text1"/>
          <w:highlight w:val="yellow"/>
        </w:rPr>
        <w:sectPr w:rsidR="00821227" w:rsidRPr="00217865" w:rsidSect="007624C4">
          <w:headerReference w:type="default" r:id="rId47"/>
          <w:footerReference w:type="default" r:id="rId48"/>
          <w:pgSz w:w="16840" w:h="11900" w:orient="landscape"/>
          <w:pgMar w:top="710" w:right="852" w:bottom="560" w:left="994" w:header="397" w:footer="283" w:gutter="0"/>
          <w:cols w:space="708"/>
          <w:docGrid w:linePitch="360"/>
        </w:sectPr>
      </w:pPr>
    </w:p>
    <w:p w14:paraId="5A2AD403" w14:textId="71597973" w:rsidR="00821227" w:rsidRPr="00217865" w:rsidRDefault="00890892" w:rsidP="00E06AED">
      <w:pPr>
        <w:pStyle w:val="Heading2"/>
      </w:pPr>
      <w:bookmarkStart w:id="49" w:name="_Toc178599286"/>
      <w:r w:rsidRPr="00217865">
        <w:lastRenderedPageBreak/>
        <w:t>I</w:t>
      </w:r>
      <w:r w:rsidR="00821227" w:rsidRPr="00217865">
        <w:t>nstitution</w:t>
      </w:r>
      <w:bookmarkEnd w:id="49"/>
      <w:r w:rsidR="00821227" w:rsidRPr="00217865">
        <w:t xml:space="preserve"> </w:t>
      </w:r>
    </w:p>
    <w:p w14:paraId="3814641C" w14:textId="3F5015C7" w:rsidR="00821227" w:rsidRPr="00217865" w:rsidRDefault="00821227" w:rsidP="00821227">
      <w:pPr>
        <w:pStyle w:val="Body"/>
        <w:rPr>
          <w:rFonts w:cs="Arial"/>
          <w:color w:val="000000" w:themeColor="text1"/>
          <w:lang w:val="en-GB"/>
        </w:rPr>
      </w:pPr>
      <w:r w:rsidRPr="00217865">
        <w:rPr>
          <w:rFonts w:cs="Arial"/>
          <w:color w:val="000000" w:themeColor="text1"/>
        </w:rPr>
        <w:t xml:space="preserve">Ratings of the teaching and learning experience for international students disaggregated by institution are shown in </w:t>
      </w:r>
      <w:r w:rsidR="003F6F6C" w:rsidRPr="001E2723">
        <w:rPr>
          <w:rFonts w:cs="Arial"/>
          <w:b/>
          <w:bCs/>
          <w:color w:val="000000" w:themeColor="text1"/>
        </w:rPr>
        <w:fldChar w:fldCharType="begin"/>
      </w:r>
      <w:r w:rsidR="003F6F6C" w:rsidRPr="001E2723">
        <w:rPr>
          <w:rFonts w:cs="Arial"/>
          <w:b/>
          <w:bCs/>
          <w:color w:val="000000" w:themeColor="text1"/>
        </w:rPr>
        <w:instrText xml:space="preserve"> REF _Ref65791192 \h </w:instrText>
      </w:r>
      <w:r w:rsidR="00A6216F" w:rsidRPr="001E2723">
        <w:rPr>
          <w:rFonts w:cs="Arial"/>
          <w:b/>
          <w:bCs/>
          <w:color w:val="000000" w:themeColor="text1"/>
        </w:rPr>
        <w:instrText xml:space="preserve"> \* MERGEFORMAT </w:instrText>
      </w:r>
      <w:r w:rsidR="003F6F6C" w:rsidRPr="001E2723">
        <w:rPr>
          <w:rFonts w:cs="Arial"/>
          <w:b/>
          <w:bCs/>
          <w:color w:val="000000" w:themeColor="text1"/>
        </w:rPr>
      </w:r>
      <w:r w:rsidR="003F6F6C" w:rsidRPr="001E2723">
        <w:rPr>
          <w:rFonts w:cs="Arial"/>
          <w:b/>
          <w:bCs/>
          <w:color w:val="000000" w:themeColor="text1"/>
        </w:rPr>
        <w:fldChar w:fldCharType="separate"/>
      </w:r>
      <w:r w:rsidR="005D5678" w:rsidRPr="001E2723">
        <w:rPr>
          <w:rFonts w:cs="Arial"/>
          <w:b/>
          <w:bCs/>
          <w:color w:val="000000" w:themeColor="text1"/>
        </w:rPr>
        <w:t xml:space="preserve">Figure </w:t>
      </w:r>
      <w:r w:rsidR="005D5678" w:rsidRPr="001E2723">
        <w:rPr>
          <w:rFonts w:cs="Arial"/>
          <w:b/>
          <w:bCs/>
          <w:noProof/>
          <w:color w:val="000000" w:themeColor="text1"/>
        </w:rPr>
        <w:t>5</w:t>
      </w:r>
      <w:r w:rsidR="003F6F6C" w:rsidRPr="001E2723">
        <w:rPr>
          <w:rFonts w:cs="Arial"/>
          <w:b/>
          <w:bCs/>
          <w:color w:val="000000" w:themeColor="text1"/>
        </w:rPr>
        <w:fldChar w:fldCharType="end"/>
      </w:r>
      <w:r w:rsidRPr="00217865">
        <w:rPr>
          <w:rFonts w:cs="Arial"/>
          <w:color w:val="000000" w:themeColor="text1"/>
        </w:rPr>
        <w:t xml:space="preserve"> and </w:t>
      </w:r>
      <w:r w:rsidR="00D72867" w:rsidRPr="00217865">
        <w:rPr>
          <w:rFonts w:cs="Arial"/>
          <w:color w:val="000000" w:themeColor="text1"/>
        </w:rPr>
        <w:fldChar w:fldCharType="begin"/>
      </w:r>
      <w:r w:rsidR="00D72867" w:rsidRPr="00217865">
        <w:rPr>
          <w:rFonts w:cs="Arial"/>
          <w:color w:val="000000" w:themeColor="text1"/>
        </w:rPr>
        <w:instrText xml:space="preserve"> REF _Ref97269490 \h </w:instrText>
      </w:r>
      <w:r w:rsidR="00A6216F" w:rsidRPr="00217865">
        <w:rPr>
          <w:rFonts w:cs="Arial"/>
          <w:color w:val="000000" w:themeColor="text1"/>
        </w:rPr>
        <w:instrText xml:space="preserve"> \* MERGEFORMAT </w:instrText>
      </w:r>
      <w:r w:rsidR="00D72867" w:rsidRPr="00217865">
        <w:rPr>
          <w:rFonts w:cs="Arial"/>
          <w:color w:val="000000" w:themeColor="text1"/>
        </w:rPr>
      </w:r>
      <w:r w:rsidR="00D72867" w:rsidRPr="00217865">
        <w:rPr>
          <w:rFonts w:cs="Arial"/>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7</w:t>
      </w:r>
      <w:r w:rsidR="00D72867" w:rsidRPr="00217865">
        <w:rPr>
          <w:rFonts w:cs="Arial"/>
          <w:color w:val="000000" w:themeColor="text1"/>
        </w:rPr>
        <w:fldChar w:fldCharType="end"/>
      </w:r>
      <w:r w:rsidRPr="00217865">
        <w:rPr>
          <w:rFonts w:cs="Arial"/>
          <w:b/>
          <w:color w:val="000000" w:themeColor="text1"/>
        </w:rPr>
        <w:fldChar w:fldCharType="begin"/>
      </w:r>
      <w:r w:rsidRPr="00217865">
        <w:rPr>
          <w:rFonts w:cs="Arial"/>
          <w:b/>
          <w:color w:val="000000" w:themeColor="text1"/>
        </w:rPr>
        <w:instrText xml:space="preserve"> REF _Ref98845310 \h  \* MERGEFORMAT </w:instrText>
      </w:r>
      <w:r w:rsidRPr="00217865">
        <w:rPr>
          <w:rFonts w:cs="Arial"/>
          <w:b/>
          <w:color w:val="000000" w:themeColor="text1"/>
        </w:rPr>
      </w:r>
      <w:r w:rsidRPr="00217865">
        <w:rPr>
          <w:rFonts w:cs="Arial"/>
          <w:b/>
          <w:color w:val="000000" w:themeColor="text1"/>
        </w:rPr>
        <w:fldChar w:fldCharType="separate"/>
      </w:r>
      <w:r w:rsidRPr="00217865">
        <w:rPr>
          <w:rFonts w:cs="Arial"/>
          <w:b/>
          <w:color w:val="000000" w:themeColor="text1"/>
        </w:rPr>
        <w:fldChar w:fldCharType="end"/>
      </w:r>
      <w:r w:rsidRPr="00217865">
        <w:rPr>
          <w:rFonts w:cs="Arial"/>
          <w:color w:val="000000" w:themeColor="text1"/>
        </w:rPr>
        <w:t xml:space="preserve"> for universities, and</w:t>
      </w:r>
      <w:r w:rsidR="0014510A" w:rsidRPr="00217865">
        <w:rPr>
          <w:rFonts w:cs="Arial"/>
          <w:color w:val="000000" w:themeColor="text1"/>
        </w:rPr>
        <w:fldChar w:fldCharType="begin"/>
      </w:r>
      <w:r w:rsidR="0014510A" w:rsidRPr="00217865">
        <w:rPr>
          <w:rFonts w:cs="Arial"/>
          <w:color w:val="000000" w:themeColor="text1"/>
        </w:rPr>
        <w:instrText xml:space="preserve"> REF _Ref98844501 \h </w:instrText>
      </w:r>
      <w:r w:rsidR="00A6216F" w:rsidRPr="00217865">
        <w:rPr>
          <w:rFonts w:cs="Arial"/>
          <w:color w:val="000000" w:themeColor="text1"/>
        </w:rPr>
        <w:instrText xml:space="preserve"> \* MERGEFORMAT </w:instrText>
      </w:r>
      <w:r w:rsidR="0014510A" w:rsidRPr="00217865">
        <w:rPr>
          <w:rFonts w:cs="Arial"/>
          <w:color w:val="000000" w:themeColor="text1"/>
        </w:rPr>
      </w:r>
      <w:r w:rsidR="0014510A" w:rsidRPr="00217865">
        <w:rPr>
          <w:rFonts w:cs="Arial"/>
          <w:color w:val="000000" w:themeColor="text1"/>
        </w:rPr>
        <w:fldChar w:fldCharType="separate"/>
      </w:r>
      <w:r w:rsidR="0014510A" w:rsidRPr="00217865">
        <w:rPr>
          <w:rFonts w:cs="Arial"/>
          <w:color w:val="000000" w:themeColor="text1"/>
        </w:rPr>
        <w:fldChar w:fldCharType="end"/>
      </w:r>
      <w:r w:rsidRPr="00217865">
        <w:rPr>
          <w:rFonts w:cs="Arial"/>
          <w:color w:val="000000" w:themeColor="text1"/>
        </w:rPr>
        <w:t xml:space="preserve"> </w:t>
      </w:r>
      <w:r w:rsidRPr="00217865">
        <w:rPr>
          <w:rFonts w:cs="Arial"/>
          <w:b/>
          <w:color w:val="000000" w:themeColor="text1"/>
        </w:rPr>
        <w:fldChar w:fldCharType="begin"/>
      </w:r>
      <w:r w:rsidRPr="00217865">
        <w:rPr>
          <w:rFonts w:cs="Arial"/>
          <w:b/>
          <w:color w:val="000000" w:themeColor="text1"/>
        </w:rPr>
        <w:instrText xml:space="preserve"> REF _Ref98844501 \h  \* MERGEFORMAT </w:instrText>
      </w:r>
      <w:r w:rsidRPr="00217865">
        <w:rPr>
          <w:rFonts w:cs="Arial"/>
          <w:b/>
          <w:color w:val="000000" w:themeColor="text1"/>
        </w:rPr>
      </w:r>
      <w:r w:rsidRPr="00217865">
        <w:rPr>
          <w:rFonts w:cs="Arial"/>
          <w:b/>
          <w:color w:val="000000" w:themeColor="text1"/>
        </w:rPr>
        <w:fldChar w:fldCharType="separate"/>
      </w:r>
      <w:r w:rsidR="005D5678" w:rsidRPr="00217865">
        <w:rPr>
          <w:rFonts w:cs="Arial"/>
          <w:b/>
          <w:color w:val="000000" w:themeColor="text1"/>
          <w:lang w:val="en-GB"/>
        </w:rPr>
        <w:t xml:space="preserve">Figure </w:t>
      </w:r>
      <w:r w:rsidR="005D5678">
        <w:rPr>
          <w:rFonts w:cs="Arial"/>
          <w:b/>
          <w:noProof/>
          <w:color w:val="000000" w:themeColor="text1"/>
          <w:lang w:val="en-GB"/>
        </w:rPr>
        <w:t>7</w:t>
      </w:r>
      <w:r w:rsidRPr="00217865">
        <w:rPr>
          <w:rFonts w:cs="Arial"/>
          <w:b/>
          <w:color w:val="000000" w:themeColor="text1"/>
        </w:rPr>
        <w:fldChar w:fldCharType="end"/>
      </w:r>
      <w:r w:rsidR="001E2723">
        <w:rPr>
          <w:rFonts w:cs="Arial"/>
          <w:b/>
          <w:color w:val="000000" w:themeColor="text1"/>
        </w:rPr>
        <w:t xml:space="preserve"> </w:t>
      </w:r>
      <w:r w:rsidRPr="00217865">
        <w:rPr>
          <w:rFonts w:cs="Arial"/>
          <w:color w:val="000000" w:themeColor="text1"/>
        </w:rPr>
        <w:t xml:space="preserve">and </w:t>
      </w:r>
      <w:r w:rsidR="0014510A" w:rsidRPr="001E2723">
        <w:rPr>
          <w:rFonts w:cs="Arial"/>
          <w:b/>
          <w:bCs/>
          <w:color w:val="000000" w:themeColor="text1"/>
        </w:rPr>
        <w:fldChar w:fldCharType="begin"/>
      </w:r>
      <w:r w:rsidR="0014510A" w:rsidRPr="001E2723">
        <w:rPr>
          <w:rFonts w:cs="Arial"/>
          <w:b/>
          <w:bCs/>
          <w:color w:val="000000" w:themeColor="text1"/>
        </w:rPr>
        <w:instrText xml:space="preserve"> REF _Ref66189647 \h </w:instrText>
      </w:r>
      <w:r w:rsidR="00A6216F" w:rsidRPr="001E2723">
        <w:rPr>
          <w:rFonts w:cs="Arial"/>
          <w:b/>
          <w:bCs/>
          <w:color w:val="000000" w:themeColor="text1"/>
        </w:rPr>
        <w:instrText xml:space="preserve"> \* MERGEFORMAT </w:instrText>
      </w:r>
      <w:r w:rsidR="0014510A" w:rsidRPr="001E2723">
        <w:rPr>
          <w:rFonts w:cs="Arial"/>
          <w:b/>
          <w:bCs/>
          <w:color w:val="000000" w:themeColor="text1"/>
        </w:rPr>
      </w:r>
      <w:r w:rsidR="0014510A"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8</w:t>
      </w:r>
      <w:r w:rsidR="0014510A" w:rsidRPr="001E2723">
        <w:rPr>
          <w:rFonts w:cs="Arial"/>
          <w:b/>
          <w:bCs/>
          <w:color w:val="000000" w:themeColor="text1"/>
        </w:rPr>
        <w:fldChar w:fldCharType="end"/>
      </w:r>
      <w:r w:rsidRPr="001E2723">
        <w:rPr>
          <w:rFonts w:cs="Arial"/>
          <w:b/>
          <w:bCs/>
          <w:color w:val="000000" w:themeColor="text1"/>
        </w:rPr>
        <w:t xml:space="preserve"> f</w:t>
      </w:r>
      <w:r w:rsidRPr="00217865">
        <w:rPr>
          <w:rFonts w:cs="Arial"/>
          <w:color w:val="000000" w:themeColor="text1"/>
        </w:rPr>
        <w:t xml:space="preserve">or NUHEIs. It is important to acknowledge that factors beyond the quality of the educational experience, such as course offerings and the composition of the student population, might also impact on student ratings. Where confidence intervals overlap between two institutions, it cannot be inferred </w:t>
      </w:r>
      <w:r w:rsidR="00726E9F" w:rsidRPr="00217865">
        <w:rPr>
          <w:rFonts w:cs="Arial"/>
          <w:color w:val="000000" w:themeColor="text1"/>
        </w:rPr>
        <w:t>if</w:t>
      </w:r>
      <w:r w:rsidRPr="00217865">
        <w:rPr>
          <w:rFonts w:cs="Arial"/>
          <w:color w:val="000000" w:themeColor="text1"/>
        </w:rPr>
        <w:t xml:space="preserve"> there is a significant difference or not </w:t>
      </w:r>
      <w:r w:rsidR="00E147C8" w:rsidRPr="00217865">
        <w:rPr>
          <w:rFonts w:cs="Arial"/>
          <w:color w:val="000000" w:themeColor="text1"/>
        </w:rPr>
        <w:t>between</w:t>
      </w:r>
      <w:r w:rsidRPr="00217865">
        <w:rPr>
          <w:rFonts w:cs="Arial"/>
          <w:color w:val="000000" w:themeColor="text1"/>
        </w:rPr>
        <w:t xml:space="preserve"> the difference in student ratings in a statistical sense. </w:t>
      </w:r>
    </w:p>
    <w:p w14:paraId="01516B08" w14:textId="433F8812" w:rsidR="00821227" w:rsidRPr="00217865" w:rsidRDefault="00821227" w:rsidP="00821227">
      <w:pPr>
        <w:pStyle w:val="Body"/>
        <w:rPr>
          <w:rFonts w:cs="Arial"/>
          <w:color w:val="000000" w:themeColor="text1"/>
        </w:rPr>
      </w:pPr>
      <w:r w:rsidRPr="00217865">
        <w:rPr>
          <w:rFonts w:cs="Arial"/>
          <w:color w:val="000000" w:themeColor="text1"/>
        </w:rPr>
        <w:t xml:space="preserve">Results from institutions with small numbers of international students should be treated with caution. Refer </w:t>
      </w:r>
      <w:r w:rsidR="001E2723">
        <w:rPr>
          <w:rFonts w:cs="Arial"/>
          <w:color w:val="000000" w:themeColor="text1"/>
        </w:rPr>
        <w:t>to</w:t>
      </w:r>
      <w:r w:rsidRPr="00217865">
        <w:rPr>
          <w:rFonts w:cs="Arial"/>
          <w:color w:val="000000" w:themeColor="text1"/>
        </w:rPr>
        <w:t xml:space="preserve"> </w:t>
      </w:r>
      <w:r w:rsidR="008D161B" w:rsidRPr="001E2723">
        <w:rPr>
          <w:rFonts w:cs="Arial"/>
          <w:b/>
          <w:bCs/>
          <w:color w:val="000000" w:themeColor="text1"/>
        </w:rPr>
        <w:fldChar w:fldCharType="begin"/>
      </w:r>
      <w:r w:rsidR="008D161B" w:rsidRPr="001E2723">
        <w:rPr>
          <w:rFonts w:cs="Arial"/>
          <w:b/>
          <w:bCs/>
          <w:color w:val="000000" w:themeColor="text1"/>
        </w:rPr>
        <w:instrText xml:space="preserve"> REF _Ref71018209 \h </w:instrText>
      </w:r>
      <w:r w:rsidR="00A6216F" w:rsidRPr="001E2723">
        <w:rPr>
          <w:rFonts w:cs="Arial"/>
          <w:b/>
          <w:bCs/>
          <w:color w:val="000000" w:themeColor="text1"/>
        </w:rPr>
        <w:instrText xml:space="preserve"> \* MERGEFORMAT </w:instrText>
      </w:r>
      <w:r w:rsidR="008D161B" w:rsidRPr="001E2723">
        <w:rPr>
          <w:rFonts w:cs="Arial"/>
          <w:b/>
          <w:bCs/>
          <w:color w:val="000000" w:themeColor="text1"/>
        </w:rPr>
      </w:r>
      <w:r w:rsidR="008D161B" w:rsidRPr="001E2723">
        <w:rPr>
          <w:rFonts w:cs="Arial"/>
          <w:b/>
          <w:bCs/>
          <w:color w:val="000000" w:themeColor="text1"/>
        </w:rPr>
        <w:fldChar w:fldCharType="separate"/>
      </w:r>
      <w:r w:rsidR="005D5678" w:rsidRPr="001E2723">
        <w:rPr>
          <w:rFonts w:cs="Arial"/>
          <w:b/>
          <w:bCs/>
          <w:color w:val="000000" w:themeColor="text1"/>
          <w:lang w:val="en-GB"/>
        </w:rPr>
        <w:t xml:space="preserve">Table </w:t>
      </w:r>
      <w:r w:rsidR="005D5678" w:rsidRPr="001E2723">
        <w:rPr>
          <w:rFonts w:cs="Arial"/>
          <w:b/>
          <w:bCs/>
          <w:noProof/>
          <w:color w:val="000000" w:themeColor="text1"/>
          <w:lang w:val="en-GB"/>
        </w:rPr>
        <w:t>18</w:t>
      </w:r>
      <w:r w:rsidR="008D161B" w:rsidRPr="001E2723">
        <w:rPr>
          <w:rFonts w:cs="Arial"/>
          <w:b/>
          <w:bCs/>
          <w:color w:val="000000" w:themeColor="text1"/>
        </w:rPr>
        <w:fldChar w:fldCharType="end"/>
      </w:r>
      <w:r w:rsidR="008D161B" w:rsidRPr="001E2723">
        <w:rPr>
          <w:rFonts w:cs="Arial"/>
          <w:b/>
          <w:bCs/>
          <w:color w:val="000000" w:themeColor="text1"/>
        </w:rPr>
        <w:t xml:space="preserve"> </w:t>
      </w:r>
      <w:r w:rsidRPr="00217865">
        <w:rPr>
          <w:rFonts w:cs="Arial"/>
          <w:color w:val="000000" w:themeColor="text1"/>
        </w:rPr>
        <w:t xml:space="preserve">and </w:t>
      </w:r>
      <w:r w:rsidR="008D161B" w:rsidRPr="001E2723">
        <w:rPr>
          <w:rFonts w:cs="Arial"/>
          <w:b/>
          <w:bCs/>
          <w:color w:val="000000" w:themeColor="text1"/>
        </w:rPr>
        <w:fldChar w:fldCharType="begin"/>
      </w:r>
      <w:r w:rsidR="008D161B" w:rsidRPr="001E2723">
        <w:rPr>
          <w:rFonts w:cs="Arial"/>
          <w:b/>
          <w:bCs/>
          <w:color w:val="000000" w:themeColor="text1"/>
        </w:rPr>
        <w:instrText xml:space="preserve"> REF _Ref98232066 \h </w:instrText>
      </w:r>
      <w:r w:rsidR="00A6216F" w:rsidRPr="001E2723">
        <w:rPr>
          <w:rFonts w:cs="Arial"/>
          <w:b/>
          <w:bCs/>
          <w:color w:val="000000" w:themeColor="text1"/>
        </w:rPr>
        <w:instrText xml:space="preserve"> \* MERGEFORMAT </w:instrText>
      </w:r>
      <w:r w:rsidR="008D161B" w:rsidRPr="001E2723">
        <w:rPr>
          <w:rFonts w:cs="Arial"/>
          <w:b/>
          <w:bCs/>
          <w:color w:val="000000" w:themeColor="text1"/>
        </w:rPr>
      </w:r>
      <w:r w:rsidR="008D161B" w:rsidRPr="001E2723">
        <w:rPr>
          <w:rFonts w:cs="Arial"/>
          <w:b/>
          <w:bCs/>
          <w:color w:val="000000" w:themeColor="text1"/>
        </w:rPr>
        <w:fldChar w:fldCharType="separate"/>
      </w:r>
      <w:r w:rsidR="005D5678" w:rsidRPr="001E2723">
        <w:rPr>
          <w:rFonts w:cs="Arial"/>
          <w:b/>
          <w:bCs/>
          <w:color w:val="000000" w:themeColor="text1"/>
          <w:lang w:val="en-GB"/>
        </w:rPr>
        <w:t xml:space="preserve">Table </w:t>
      </w:r>
      <w:r w:rsidR="005D5678" w:rsidRPr="001E2723">
        <w:rPr>
          <w:rFonts w:cs="Arial"/>
          <w:b/>
          <w:bCs/>
          <w:noProof/>
          <w:color w:val="000000" w:themeColor="text1"/>
          <w:lang w:val="en-GB"/>
        </w:rPr>
        <w:t>19</w:t>
      </w:r>
      <w:r w:rsidR="008D161B" w:rsidRPr="001E2723">
        <w:rPr>
          <w:rFonts w:cs="Arial"/>
          <w:b/>
          <w:bCs/>
          <w:color w:val="000000" w:themeColor="text1"/>
        </w:rPr>
        <w:fldChar w:fldCharType="end"/>
      </w:r>
      <w:r w:rsidR="001E2723">
        <w:rPr>
          <w:rFonts w:cs="Arial"/>
          <w:color w:val="000000" w:themeColor="text1"/>
        </w:rPr>
        <w:t xml:space="preserve"> </w:t>
      </w:r>
      <w:r w:rsidRPr="00217865">
        <w:rPr>
          <w:rFonts w:cs="Arial"/>
          <w:color w:val="000000" w:themeColor="text1"/>
        </w:rPr>
        <w:t>for a breakdown of domestic and international undergraduate student populations for each institution.</w:t>
      </w:r>
    </w:p>
    <w:p w14:paraId="2B83B1C1" w14:textId="77777777" w:rsidR="00821227" w:rsidRPr="00217865" w:rsidRDefault="00821227" w:rsidP="00821227">
      <w:pPr>
        <w:pStyle w:val="Body"/>
        <w:rPr>
          <w:rFonts w:cs="Arial"/>
          <w:color w:val="000000" w:themeColor="text1"/>
        </w:rPr>
      </w:pPr>
      <w:proofErr w:type="gramStart"/>
      <w:r w:rsidRPr="00217865">
        <w:rPr>
          <w:rFonts w:cs="Arial"/>
          <w:color w:val="000000" w:themeColor="text1"/>
        </w:rPr>
        <w:t>Similar to</w:t>
      </w:r>
      <w:proofErr w:type="gramEnd"/>
      <w:r w:rsidRPr="00217865">
        <w:rPr>
          <w:rFonts w:cs="Arial"/>
          <w:color w:val="000000" w:themeColor="text1"/>
        </w:rPr>
        <w:t xml:space="preserve"> source country and study area, undergraduate international student responses are relatively clustered among a small number of institutions. For example, 10 out of 42 universities account for over 50 per cent of international student respondents. The largest of these are Monash University with 11.1 per cent of international respondents, followed by the University of New South Wales with 8.6 per cent, the University of Sydney with 5.2 per cent, and four institutions with over four per cent each including the University of Queensland, RMIT University, Macquarie University, and the University of Melbourne.</w:t>
      </w:r>
    </w:p>
    <w:p w14:paraId="7646F428" w14:textId="77777777" w:rsidR="00821227" w:rsidRPr="00217865" w:rsidRDefault="00821227" w:rsidP="00821227">
      <w:pPr>
        <w:pStyle w:val="Body"/>
        <w:rPr>
          <w:rFonts w:cs="Arial"/>
          <w:color w:val="000000" w:themeColor="text1"/>
        </w:rPr>
      </w:pPr>
      <w:r w:rsidRPr="00217865">
        <w:rPr>
          <w:rFonts w:cs="Arial"/>
          <w:color w:val="000000" w:themeColor="text1"/>
        </w:rPr>
        <w:t>For postgraduate coursework students, universities with the largest proportions of respondents included the University Melbourne with 10.1 per cent, the University of New South Wales with 8.7 per cent and Monash University with 6.0 per cent.</w:t>
      </w:r>
    </w:p>
    <w:p w14:paraId="1B118CF8" w14:textId="77777777" w:rsidR="00821227" w:rsidRPr="00217865" w:rsidRDefault="00821227" w:rsidP="00821227">
      <w:pPr>
        <w:pStyle w:val="Body"/>
        <w:rPr>
          <w:rFonts w:cs="Arial"/>
          <w:color w:val="000000" w:themeColor="text1"/>
        </w:rPr>
      </w:pPr>
      <w:r w:rsidRPr="00217865">
        <w:rPr>
          <w:rFonts w:cs="Arial"/>
          <w:color w:val="000000" w:themeColor="text1"/>
        </w:rPr>
        <w:t xml:space="preserve">NUHEIs represented a smaller number of international undergraduate respondents in comparison to universities, accounting for 25.2 per cent of the total. The NUHEI with the largest proportion of these respondents was Stott’s College, accounting for 14.3 per cent of international undergraduate respondents, followed by King’s Own Institute with 6.2 per cent, TAFE NSW with 5.5 per cent and Melbourne Institute of Technology with 5.3 per cent. </w:t>
      </w:r>
    </w:p>
    <w:p w14:paraId="0B59CDA7" w14:textId="77777777" w:rsidR="00821227" w:rsidRPr="00217865" w:rsidRDefault="00821227" w:rsidP="00890892">
      <w:pPr>
        <w:pStyle w:val="Heading3"/>
        <w:rPr>
          <w:color w:val="000000" w:themeColor="text1"/>
        </w:rPr>
      </w:pPr>
      <w:bookmarkStart w:id="50" w:name="_Toc178599287"/>
      <w:r w:rsidRPr="00217865">
        <w:rPr>
          <w:color w:val="000000" w:themeColor="text1"/>
        </w:rPr>
        <w:t>Universities</w:t>
      </w:r>
      <w:bookmarkEnd w:id="50"/>
    </w:p>
    <w:p w14:paraId="0F33450E" w14:textId="77777777" w:rsidR="00821227" w:rsidRPr="00217865" w:rsidRDefault="00821227" w:rsidP="00821227">
      <w:pPr>
        <w:pStyle w:val="Body"/>
        <w:rPr>
          <w:rFonts w:cs="Arial"/>
          <w:color w:val="000000" w:themeColor="text1"/>
          <w:highlight w:val="yellow"/>
        </w:rPr>
      </w:pPr>
      <w:r w:rsidRPr="00217865">
        <w:rPr>
          <w:rFonts w:cs="Arial"/>
          <w:color w:val="000000" w:themeColor="text1"/>
        </w:rPr>
        <w:t xml:space="preserve">The international student experience, at the institution level, has continued to recover from the impact of COVID-19. Most universities’ ratings for the Quality of entire educational experience improved by 2023. The universities with the highest positive ratings of the Quality of entire educational experience in 2023 were Bond University, 86.5 per cent, James Cook University, 84.3 per cent, the University of Notre Dame, 84.0 per cent, University of New England, 83.9 per cent, and Australian Catholic University, 83.2 per cent. </w:t>
      </w:r>
    </w:p>
    <w:p w14:paraId="3CECE534" w14:textId="77777777" w:rsidR="00821227" w:rsidRPr="00217865" w:rsidRDefault="00821227" w:rsidP="00821227">
      <w:pPr>
        <w:pStyle w:val="Body"/>
        <w:rPr>
          <w:rFonts w:cs="Arial"/>
          <w:color w:val="000000" w:themeColor="text1"/>
        </w:rPr>
      </w:pPr>
      <w:r w:rsidRPr="00217865">
        <w:rPr>
          <w:rFonts w:cs="Arial"/>
          <w:color w:val="000000" w:themeColor="text1"/>
        </w:rPr>
        <w:t>Those with the lowest ratings in 2023 were the University of Sydney, the Australian National University, and Monash University which all scored 70 per cent or under.</w:t>
      </w:r>
    </w:p>
    <w:p w14:paraId="7C653364" w14:textId="0ED42BA4" w:rsidR="00866C79" w:rsidRPr="00217865" w:rsidRDefault="00821227" w:rsidP="00821227">
      <w:pPr>
        <w:pStyle w:val="Body"/>
        <w:rPr>
          <w:rFonts w:cs="Arial"/>
          <w:color w:val="000000" w:themeColor="text1"/>
        </w:rPr>
        <w:sectPr w:rsidR="00866C79" w:rsidRPr="00217865" w:rsidSect="004F5328">
          <w:headerReference w:type="default" r:id="rId49"/>
          <w:footerReference w:type="default" r:id="rId50"/>
          <w:pgSz w:w="11900" w:h="16840"/>
          <w:pgMar w:top="852" w:right="560" w:bottom="994" w:left="710" w:header="397" w:footer="283" w:gutter="0"/>
          <w:cols w:space="708"/>
          <w:docGrid w:linePitch="360"/>
        </w:sectPr>
      </w:pPr>
      <w:r w:rsidRPr="00217865">
        <w:rPr>
          <w:rFonts w:cs="Arial"/>
          <w:color w:val="000000" w:themeColor="text1"/>
        </w:rPr>
        <w:t>Overall, the pattern of movement in ratings for individual universities from 2021-2023 was trending upwards. The University of Melbourne experienced increases each year to finish 29.8 percentage points above its 2020 score, thus see</w:t>
      </w:r>
      <w:r w:rsidR="00576763" w:rsidRPr="00217865">
        <w:rPr>
          <w:rFonts w:cs="Arial"/>
          <w:color w:val="000000" w:themeColor="text1"/>
        </w:rPr>
        <w:t>ing</w:t>
      </w:r>
      <w:r w:rsidRPr="00217865">
        <w:rPr>
          <w:rFonts w:cs="Arial"/>
          <w:color w:val="000000" w:themeColor="text1"/>
        </w:rPr>
        <w:t xml:space="preserve"> the largest improvement in ratings over these consecutive years. The Australian National University saw a 19.4 percentage point increase between 2020 and 2022 but has seen a small drop by 6.9 percentage points in 2023.</w:t>
      </w:r>
    </w:p>
    <w:p w14:paraId="19E003C9" w14:textId="5AFFB21D" w:rsidR="00821227" w:rsidRPr="00217865" w:rsidRDefault="00821227" w:rsidP="00B53DAC">
      <w:pPr>
        <w:pStyle w:val="Caption"/>
        <w:rPr>
          <w:color w:val="000000" w:themeColor="text1"/>
        </w:rPr>
      </w:pPr>
      <w:bookmarkStart w:id="51" w:name="_Ref65791192"/>
      <w:bookmarkStart w:id="52" w:name="_Toc208242362"/>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5</w:t>
      </w:r>
      <w:r w:rsidR="001706E8" w:rsidRPr="00217865">
        <w:rPr>
          <w:noProof/>
          <w:color w:val="000000" w:themeColor="text1"/>
        </w:rPr>
        <w:fldChar w:fldCharType="end"/>
      </w:r>
      <w:bookmarkEnd w:id="51"/>
      <w:r w:rsidR="0081215D">
        <w:rPr>
          <w:color w:val="000000" w:themeColor="text1"/>
        </w:rPr>
        <w:tab/>
      </w:r>
      <w:r w:rsidRPr="00217865">
        <w:rPr>
          <w:color w:val="000000" w:themeColor="text1"/>
        </w:rPr>
        <w:t>Quality of entire educational experience for international undergraduate university students, 2023 (% positive rating)</w:t>
      </w:r>
      <w:bookmarkEnd w:id="52"/>
    </w:p>
    <w:p w14:paraId="25B469CC" w14:textId="77777777" w:rsidR="00866C79" w:rsidRPr="00217865" w:rsidRDefault="00866C79" w:rsidP="00821227">
      <w:pPr>
        <w:pStyle w:val="Caption"/>
        <w:rPr>
          <w:color w:val="000000" w:themeColor="text1"/>
          <w:highlight w:val="yellow"/>
        </w:rPr>
      </w:pPr>
      <w:r w:rsidRPr="00217865">
        <w:rPr>
          <w:noProof/>
          <w:color w:val="000000" w:themeColor="text1"/>
        </w:rPr>
        <w:drawing>
          <wp:inline distT="0" distB="0" distL="0" distR="0" wp14:anchorId="7AA61DB7" wp14:editId="32E00B6C">
            <wp:extent cx="9363075" cy="4876800"/>
            <wp:effectExtent l="0" t="0" r="9525" b="0"/>
            <wp:docPr id="494814923" name="Chart 1">
              <a:extLst xmlns:a="http://schemas.openxmlformats.org/drawingml/2006/main">
                <a:ext uri="{FF2B5EF4-FFF2-40B4-BE49-F238E27FC236}">
                  <a16:creationId xmlns:a16="http://schemas.microsoft.com/office/drawing/2014/main" id="{47486FD7-1433-F93C-6AD3-69B2A9A0E2B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85C59B7" w14:textId="7C709F07" w:rsidR="001041A3" w:rsidRPr="00217865" w:rsidRDefault="001041A3" w:rsidP="00535E2A">
      <w:pPr>
        <w:spacing w:after="160" w:line="259" w:lineRule="auto"/>
        <w:rPr>
          <w:rFonts w:cs="Arial"/>
          <w:color w:val="000000" w:themeColor="text1"/>
        </w:rPr>
      </w:pPr>
    </w:p>
    <w:p w14:paraId="69EAB70A" w14:textId="081BA7B5" w:rsidR="001041A3" w:rsidRPr="00217865" w:rsidRDefault="001041A3" w:rsidP="001041A3">
      <w:pPr>
        <w:pStyle w:val="Caption"/>
        <w:rPr>
          <w:color w:val="000000" w:themeColor="text1"/>
        </w:rPr>
      </w:pPr>
      <w:bookmarkStart w:id="53" w:name="_Toc208242363"/>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6</w:t>
      </w:r>
      <w:r w:rsidR="001706E8" w:rsidRPr="00217865">
        <w:rPr>
          <w:noProof/>
          <w:color w:val="000000" w:themeColor="text1"/>
        </w:rPr>
        <w:fldChar w:fldCharType="end"/>
      </w:r>
      <w:r w:rsidR="0081215D">
        <w:rPr>
          <w:color w:val="000000" w:themeColor="text1"/>
        </w:rPr>
        <w:tab/>
      </w:r>
      <w:r w:rsidRPr="00217865">
        <w:rPr>
          <w:color w:val="000000" w:themeColor="text1"/>
        </w:rPr>
        <w:t>Quality of entire educational experience for international postgraduate coursework university students, 2023 (% positive rating)</w:t>
      </w:r>
      <w:bookmarkEnd w:id="53"/>
    </w:p>
    <w:p w14:paraId="1FBA7EBF" w14:textId="7AA99F97" w:rsidR="00D40774" w:rsidRPr="00217865" w:rsidRDefault="001041A3" w:rsidP="00535E2A">
      <w:pPr>
        <w:pStyle w:val="Body"/>
        <w:rPr>
          <w:rFonts w:cs="Arial"/>
          <w:color w:val="000000" w:themeColor="text1"/>
          <w:highlight w:val="yellow"/>
        </w:rPr>
        <w:sectPr w:rsidR="00D40774" w:rsidRPr="00217865" w:rsidSect="007624C4">
          <w:headerReference w:type="default" r:id="rId52"/>
          <w:footerReference w:type="default" r:id="rId53"/>
          <w:pgSz w:w="16840" w:h="11900" w:orient="landscape"/>
          <w:pgMar w:top="710" w:right="852" w:bottom="560" w:left="994" w:header="397" w:footer="283" w:gutter="0"/>
          <w:cols w:space="708"/>
          <w:docGrid w:linePitch="360"/>
        </w:sectPr>
      </w:pPr>
      <w:r w:rsidRPr="00217865">
        <w:rPr>
          <w:rFonts w:cs="Arial"/>
          <w:noProof/>
          <w:color w:val="000000" w:themeColor="text1"/>
        </w:rPr>
        <w:drawing>
          <wp:inline distT="0" distB="0" distL="0" distR="0" wp14:anchorId="67B3A272" wp14:editId="5CFD5092">
            <wp:extent cx="9363600" cy="4878000"/>
            <wp:effectExtent l="0" t="0" r="9525" b="18415"/>
            <wp:docPr id="760153140" name="Chart 1">
              <a:extLst xmlns:a="http://schemas.openxmlformats.org/drawingml/2006/main">
                <a:ext uri="{FF2B5EF4-FFF2-40B4-BE49-F238E27FC236}">
                  <a16:creationId xmlns:a16="http://schemas.microsoft.com/office/drawing/2014/main" id="{5F7C576C-A17C-4288-B88E-6D32C1775A2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8EFF0E6" w14:textId="6532F7F7" w:rsidR="00821227" w:rsidRPr="00217865" w:rsidRDefault="00821227" w:rsidP="00821227">
      <w:pPr>
        <w:pStyle w:val="Body"/>
        <w:rPr>
          <w:rFonts w:cs="Arial"/>
          <w:color w:val="000000" w:themeColor="text1"/>
        </w:rPr>
      </w:pPr>
      <w:bookmarkStart w:id="54" w:name="_Ref65791208"/>
      <w:r w:rsidRPr="00217865">
        <w:rPr>
          <w:rFonts w:cs="Arial"/>
          <w:color w:val="000000" w:themeColor="text1"/>
        </w:rPr>
        <w:lastRenderedPageBreak/>
        <w:t xml:space="preserve">Institution ratings for </w:t>
      </w:r>
      <w:r w:rsidR="00576763" w:rsidRPr="00217865">
        <w:rPr>
          <w:rFonts w:cs="Arial"/>
          <w:color w:val="000000" w:themeColor="text1"/>
        </w:rPr>
        <w:t xml:space="preserve">the new </w:t>
      </w:r>
      <w:r w:rsidRPr="00217865">
        <w:rPr>
          <w:rFonts w:cs="Arial"/>
          <w:color w:val="000000" w:themeColor="text1"/>
        </w:rPr>
        <w:t>Peer Engagement</w:t>
      </w:r>
      <w:r w:rsidR="00576763" w:rsidRPr="00217865">
        <w:rPr>
          <w:rFonts w:cs="Arial"/>
          <w:color w:val="000000" w:themeColor="text1"/>
        </w:rPr>
        <w:t xml:space="preserve"> focus area</w:t>
      </w:r>
      <w:r w:rsidRPr="00217865">
        <w:rPr>
          <w:rFonts w:cs="Arial"/>
          <w:color w:val="000000" w:themeColor="text1"/>
        </w:rPr>
        <w:t xml:space="preserve"> were broadly positive in 2023 with all institutions recording increases in ratings compared to</w:t>
      </w:r>
      <w:r w:rsidR="00576763" w:rsidRPr="00217865">
        <w:rPr>
          <w:rFonts w:cs="Arial"/>
          <w:color w:val="000000" w:themeColor="text1"/>
        </w:rPr>
        <w:t xml:space="preserve"> Learner Engagement ratings in</w:t>
      </w:r>
      <w:r w:rsidRPr="00217865">
        <w:rPr>
          <w:rFonts w:cs="Arial"/>
          <w:color w:val="000000" w:themeColor="text1"/>
        </w:rPr>
        <w:t xml:space="preserve"> 2021 and the majority rating Peer Engagement higher in 2023 than </w:t>
      </w:r>
      <w:r w:rsidR="00576763" w:rsidRPr="00217865">
        <w:rPr>
          <w:rFonts w:cs="Arial"/>
          <w:color w:val="000000" w:themeColor="text1"/>
        </w:rPr>
        <w:t xml:space="preserve">Learner Engagement scores in </w:t>
      </w:r>
      <w:r w:rsidRPr="00217865">
        <w:rPr>
          <w:rFonts w:cs="Arial"/>
          <w:color w:val="000000" w:themeColor="text1"/>
        </w:rPr>
        <w:t xml:space="preserve">2022. Seven universities saw an increase of over 10 percentage points between 2022 and 2023, including University of New England, Federation University Australia, University of Newcastle, Victoria University, the University of Melbourne, University of Tasmania, and University of Wollongong. </w:t>
      </w:r>
    </w:p>
    <w:p w14:paraId="37F97BC6" w14:textId="77777777" w:rsidR="00821227" w:rsidRPr="00217865" w:rsidRDefault="00821227" w:rsidP="00821227">
      <w:pPr>
        <w:pStyle w:val="Body"/>
        <w:rPr>
          <w:rFonts w:cs="Arial"/>
          <w:color w:val="000000" w:themeColor="text1"/>
        </w:rPr>
      </w:pPr>
      <w:r w:rsidRPr="00217865">
        <w:rPr>
          <w:rFonts w:cs="Arial"/>
          <w:color w:val="000000" w:themeColor="text1"/>
        </w:rPr>
        <w:t xml:space="preserve">This trend was also seen for Learning Resources, where all institutions recorded a score in 2023 that was higher than 2021. The highest increase between 2021 and 2023 was for the University of Melbourne, an increase of 25.6 percentage points. </w:t>
      </w:r>
    </w:p>
    <w:p w14:paraId="790E3B0F" w14:textId="4FF8F9A6" w:rsidR="00821227" w:rsidRPr="0081215D" w:rsidRDefault="00821227" w:rsidP="0081215D">
      <w:pPr>
        <w:pStyle w:val="Tabletitle"/>
      </w:pPr>
      <w:bookmarkStart w:id="55" w:name="_Ref97269490"/>
      <w:bookmarkStart w:id="56" w:name="_Ref98845310"/>
      <w:bookmarkStart w:id="57" w:name="_Toc178599372"/>
      <w:r w:rsidRPr="0081215D">
        <w:t xml:space="preserve">Table </w:t>
      </w:r>
      <w:r w:rsidRPr="0081215D">
        <w:fldChar w:fldCharType="begin"/>
      </w:r>
      <w:r w:rsidRPr="0081215D">
        <w:instrText xml:space="preserve"> SEQ Table \* ARABIC </w:instrText>
      </w:r>
      <w:r w:rsidRPr="0081215D">
        <w:fldChar w:fldCharType="separate"/>
      </w:r>
      <w:r w:rsidR="005D5678">
        <w:rPr>
          <w:noProof/>
        </w:rPr>
        <w:t>7</w:t>
      </w:r>
      <w:r w:rsidRPr="0081215D">
        <w:fldChar w:fldCharType="end"/>
      </w:r>
      <w:bookmarkEnd w:id="54"/>
      <w:bookmarkEnd w:id="55"/>
      <w:bookmarkEnd w:id="56"/>
      <w:r w:rsidR="0081215D" w:rsidRPr="0081215D">
        <w:tab/>
      </w:r>
      <w:r w:rsidRPr="0081215D">
        <w:t xml:space="preserve">International undergraduate student experience by university, 2022-2023 (% positive rating, with 90% confidence </w:t>
      </w:r>
      <w:proofErr w:type="gramStart"/>
      <w:r w:rsidRPr="0081215D">
        <w:t>intervals)*</w:t>
      </w:r>
      <w:bookmarkEnd w:id="57"/>
      <w:proofErr w:type="gramEnd"/>
    </w:p>
    <w:tbl>
      <w:tblPr>
        <w:tblW w:w="5000" w:type="pct"/>
        <w:tblLayout w:type="fixed"/>
        <w:tblCellMar>
          <w:left w:w="0" w:type="dxa"/>
          <w:right w:w="0" w:type="dxa"/>
        </w:tblCellMar>
        <w:tblLook w:val="0000" w:firstRow="0" w:lastRow="0" w:firstColumn="0" w:lastColumn="0" w:noHBand="0" w:noVBand="0"/>
      </w:tblPr>
      <w:tblGrid>
        <w:gridCol w:w="2402"/>
        <w:gridCol w:w="684"/>
        <w:gridCol w:w="686"/>
        <w:gridCol w:w="686"/>
        <w:gridCol w:w="686"/>
        <w:gridCol w:w="684"/>
        <w:gridCol w:w="686"/>
        <w:gridCol w:w="686"/>
        <w:gridCol w:w="686"/>
        <w:gridCol w:w="684"/>
        <w:gridCol w:w="686"/>
        <w:gridCol w:w="686"/>
        <w:gridCol w:w="678"/>
      </w:tblGrid>
      <w:tr w:rsidR="00217865" w:rsidRPr="00217865" w14:paraId="500322E7" w14:textId="77777777" w:rsidTr="007A503F">
        <w:trPr>
          <w:trHeight w:val="60"/>
          <w:tblHeader/>
        </w:trPr>
        <w:tc>
          <w:tcPr>
            <w:tcW w:w="1131" w:type="pct"/>
            <w:tcBorders>
              <w:top w:val="single" w:sz="4" w:space="0" w:color="auto"/>
              <w:left w:val="single" w:sz="4" w:space="0" w:color="000000"/>
              <w:bottom w:val="single" w:sz="4" w:space="0" w:color="000000"/>
              <w:right w:val="single" w:sz="4" w:space="0" w:color="auto"/>
            </w:tcBorders>
            <w:tcMar>
              <w:top w:w="113" w:type="dxa"/>
              <w:left w:w="80" w:type="dxa"/>
              <w:bottom w:w="113" w:type="dxa"/>
              <w:right w:w="0" w:type="dxa"/>
            </w:tcMar>
            <w:vAlign w:val="bottom"/>
          </w:tcPr>
          <w:p w14:paraId="48D882A6" w14:textId="62022C09" w:rsidR="00821227" w:rsidRPr="007624C4" w:rsidRDefault="007624C4" w:rsidP="007624C4">
            <w:pPr>
              <w:pStyle w:val="Tabletext"/>
              <w:rPr>
                <w:rFonts w:cs="Arial"/>
                <w:b/>
                <w:bCs/>
                <w:color w:val="000000" w:themeColor="text1"/>
                <w:sz w:val="16"/>
                <w:szCs w:val="16"/>
              </w:rPr>
            </w:pPr>
            <w:r w:rsidRPr="007624C4">
              <w:rPr>
                <w:rFonts w:cs="Arial"/>
                <w:b/>
                <w:bCs/>
                <w:color w:val="000000" w:themeColor="text1"/>
              </w:rPr>
              <w:t xml:space="preserve">University </w:t>
            </w:r>
            <w:bookmarkStart w:id="58" w:name="Title_7"/>
            <w:bookmarkEnd w:id="58"/>
          </w:p>
        </w:tc>
        <w:tc>
          <w:tcPr>
            <w:tcW w:w="322" w:type="pct"/>
            <w:tcBorders>
              <w:top w:val="single" w:sz="4" w:space="0" w:color="auto"/>
              <w:left w:val="single" w:sz="4" w:space="0" w:color="auto"/>
              <w:bottom w:val="single" w:sz="4" w:space="0" w:color="auto"/>
              <w:right w:val="single" w:sz="4" w:space="0" w:color="auto"/>
            </w:tcBorders>
            <w:tcMar>
              <w:top w:w="113" w:type="dxa"/>
              <w:left w:w="80" w:type="dxa"/>
              <w:bottom w:w="113" w:type="dxa"/>
              <w:right w:w="57" w:type="dxa"/>
            </w:tcMar>
            <w:vAlign w:val="bottom"/>
          </w:tcPr>
          <w:p w14:paraId="3518EEC0" w14:textId="171A60B0" w:rsidR="00821227" w:rsidRPr="00217865" w:rsidRDefault="00586F7D" w:rsidP="00E06AED">
            <w:pPr>
              <w:pStyle w:val="zz"/>
              <w:framePr w:wrap="around"/>
              <w:rPr>
                <w:rFonts w:ascii="Arial" w:hAnsi="Arial" w:cs="Arial"/>
                <w:color w:val="000000" w:themeColor="text1"/>
              </w:rPr>
            </w:pPr>
            <w:r w:rsidRPr="00217865">
              <w:rPr>
                <w:rFonts w:ascii="Arial" w:hAnsi="Arial" w:cs="Arial"/>
                <w:color w:val="000000" w:themeColor="text1"/>
              </w:rPr>
              <w:t xml:space="preserve">Skills Development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188C0A6D" w14:textId="0561F0E5" w:rsidR="00821227" w:rsidRPr="00217865" w:rsidRDefault="00586F7D" w:rsidP="00E06AED">
            <w:pPr>
              <w:pStyle w:val="zz"/>
              <w:framePr w:wrap="around"/>
              <w:rPr>
                <w:rFonts w:ascii="Arial" w:hAnsi="Arial" w:cs="Arial"/>
                <w:color w:val="000000" w:themeColor="text1"/>
              </w:rPr>
            </w:pPr>
            <w:r w:rsidRPr="00217865">
              <w:rPr>
                <w:rFonts w:ascii="Arial" w:hAnsi="Arial" w:cs="Arial"/>
                <w:color w:val="000000" w:themeColor="text1"/>
              </w:rPr>
              <w:t xml:space="preserve">Skills Development </w:t>
            </w:r>
            <w:r w:rsidR="00821227" w:rsidRPr="00586F7D">
              <w:rPr>
                <w:rFonts w:ascii="Arial" w:hAnsi="Arial" w:cs="Arial"/>
                <w:b w:val="0"/>
                <w:bCs w:val="0"/>
                <w:color w:val="000000" w:themeColor="text1"/>
              </w:rPr>
              <w:t>2023</w:t>
            </w:r>
          </w:p>
        </w:tc>
        <w:tc>
          <w:tcPr>
            <w:tcW w:w="323" w:type="pct"/>
            <w:tcBorders>
              <w:top w:val="single" w:sz="4" w:space="0" w:color="auto"/>
              <w:left w:val="single" w:sz="4" w:space="0" w:color="auto"/>
              <w:bottom w:val="single" w:sz="4" w:space="0" w:color="auto"/>
              <w:right w:val="single" w:sz="4" w:space="0" w:color="auto"/>
            </w:tcBorders>
            <w:vAlign w:val="bottom"/>
          </w:tcPr>
          <w:p w14:paraId="4F78C6CC" w14:textId="5BBEBCF4"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Peer Engagement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676F59B9" w14:textId="59099C8B"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Peer Engagement </w:t>
            </w:r>
            <w:r w:rsidR="00821227" w:rsidRPr="00586F7D">
              <w:rPr>
                <w:rFonts w:ascii="Arial" w:hAnsi="Arial" w:cs="Arial"/>
                <w:b w:val="0"/>
                <w:bCs w:val="0"/>
                <w:color w:val="000000" w:themeColor="text1"/>
              </w:rPr>
              <w:t>2023</w:t>
            </w:r>
          </w:p>
        </w:tc>
        <w:tc>
          <w:tcPr>
            <w:tcW w:w="322" w:type="pct"/>
            <w:tcBorders>
              <w:top w:val="single" w:sz="4" w:space="0" w:color="auto"/>
              <w:left w:val="single" w:sz="4" w:space="0" w:color="auto"/>
              <w:bottom w:val="single" w:sz="4" w:space="0" w:color="auto"/>
              <w:right w:val="single" w:sz="4" w:space="0" w:color="auto"/>
            </w:tcBorders>
            <w:vAlign w:val="bottom"/>
          </w:tcPr>
          <w:p w14:paraId="35D1F157" w14:textId="53E2238A"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Teaching Quality and Engagement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522455FE" w14:textId="5F77DE6B"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Teaching Quality and Engagement </w:t>
            </w:r>
            <w:r w:rsidR="00821227" w:rsidRPr="00586F7D">
              <w:rPr>
                <w:rFonts w:ascii="Arial" w:hAnsi="Arial" w:cs="Arial"/>
                <w:b w:val="0"/>
                <w:bCs w:val="0"/>
                <w:color w:val="000000" w:themeColor="text1"/>
              </w:rPr>
              <w:t>2023</w:t>
            </w:r>
          </w:p>
        </w:tc>
        <w:tc>
          <w:tcPr>
            <w:tcW w:w="323" w:type="pct"/>
            <w:tcBorders>
              <w:top w:val="single" w:sz="4" w:space="0" w:color="auto"/>
              <w:left w:val="single" w:sz="4" w:space="0" w:color="auto"/>
              <w:bottom w:val="single" w:sz="4" w:space="0" w:color="auto"/>
              <w:right w:val="single" w:sz="4" w:space="0" w:color="auto"/>
            </w:tcBorders>
            <w:vAlign w:val="bottom"/>
          </w:tcPr>
          <w:p w14:paraId="5703E4BD" w14:textId="54CA9936"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Student Support and Services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4B6AFCFA" w14:textId="5930F790"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Student Support and Services </w:t>
            </w:r>
            <w:r w:rsidR="00821227" w:rsidRPr="00586F7D">
              <w:rPr>
                <w:rFonts w:ascii="Arial" w:hAnsi="Arial" w:cs="Arial"/>
                <w:b w:val="0"/>
                <w:bCs w:val="0"/>
                <w:color w:val="000000" w:themeColor="text1"/>
              </w:rPr>
              <w:t>2023</w:t>
            </w:r>
          </w:p>
        </w:tc>
        <w:tc>
          <w:tcPr>
            <w:tcW w:w="322" w:type="pct"/>
            <w:tcBorders>
              <w:top w:val="single" w:sz="4" w:space="0" w:color="auto"/>
              <w:left w:val="single" w:sz="4" w:space="0" w:color="auto"/>
              <w:bottom w:val="single" w:sz="4" w:space="0" w:color="auto"/>
              <w:right w:val="single" w:sz="4" w:space="0" w:color="auto"/>
            </w:tcBorders>
            <w:vAlign w:val="bottom"/>
          </w:tcPr>
          <w:p w14:paraId="6277E640" w14:textId="607391A8"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Learning Resources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2CC90084" w14:textId="69B41427"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Learning Resources </w:t>
            </w:r>
            <w:r w:rsidR="00821227" w:rsidRPr="00586F7D">
              <w:rPr>
                <w:rFonts w:ascii="Arial" w:hAnsi="Arial" w:cs="Arial"/>
                <w:b w:val="0"/>
                <w:bCs w:val="0"/>
                <w:color w:val="000000" w:themeColor="text1"/>
              </w:rPr>
              <w:t>2023</w:t>
            </w:r>
          </w:p>
        </w:tc>
        <w:tc>
          <w:tcPr>
            <w:tcW w:w="323" w:type="pct"/>
            <w:tcBorders>
              <w:top w:val="single" w:sz="4" w:space="0" w:color="auto"/>
              <w:left w:val="single" w:sz="4" w:space="0" w:color="auto"/>
              <w:bottom w:val="single" w:sz="4" w:space="0" w:color="auto"/>
              <w:right w:val="single" w:sz="4" w:space="0" w:color="auto"/>
            </w:tcBorders>
            <w:vAlign w:val="bottom"/>
          </w:tcPr>
          <w:p w14:paraId="36258492" w14:textId="23459506"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Quality of entire educational experience </w:t>
            </w:r>
            <w:r w:rsidR="00821227" w:rsidRPr="00586F7D">
              <w:rPr>
                <w:rFonts w:ascii="Arial" w:hAnsi="Arial" w:cs="Arial"/>
                <w:b w:val="0"/>
                <w:bCs w:val="0"/>
                <w:color w:val="000000" w:themeColor="text1"/>
              </w:rPr>
              <w:t>2022</w:t>
            </w:r>
          </w:p>
        </w:tc>
        <w:tc>
          <w:tcPr>
            <w:tcW w:w="323" w:type="pct"/>
            <w:tcBorders>
              <w:top w:val="single" w:sz="4" w:space="0" w:color="auto"/>
              <w:left w:val="single" w:sz="4" w:space="0" w:color="auto"/>
              <w:bottom w:val="single" w:sz="4" w:space="0" w:color="auto"/>
              <w:right w:val="single" w:sz="4" w:space="0" w:color="auto"/>
            </w:tcBorders>
            <w:vAlign w:val="bottom"/>
          </w:tcPr>
          <w:p w14:paraId="585BACDB" w14:textId="438504A0" w:rsidR="00821227" w:rsidRPr="00217865" w:rsidRDefault="00586F7D" w:rsidP="00E06AED">
            <w:pPr>
              <w:pStyle w:val="zz"/>
              <w:framePr w:wrap="around"/>
              <w:rPr>
                <w:rFonts w:ascii="Arial" w:hAnsi="Arial" w:cs="Arial"/>
                <w:color w:val="000000" w:themeColor="text1"/>
                <w:highlight w:val="yellow"/>
              </w:rPr>
            </w:pPr>
            <w:r w:rsidRPr="00217865">
              <w:rPr>
                <w:rFonts w:ascii="Arial" w:hAnsi="Arial" w:cs="Arial"/>
                <w:color w:val="000000" w:themeColor="text1"/>
              </w:rPr>
              <w:t xml:space="preserve">Quality of entire educational experience </w:t>
            </w:r>
            <w:r w:rsidR="00821227" w:rsidRPr="00586F7D">
              <w:rPr>
                <w:rFonts w:ascii="Arial" w:hAnsi="Arial" w:cs="Arial"/>
                <w:b w:val="0"/>
                <w:bCs w:val="0"/>
                <w:color w:val="000000" w:themeColor="text1"/>
              </w:rPr>
              <w:t>2023</w:t>
            </w:r>
          </w:p>
        </w:tc>
      </w:tr>
      <w:tr w:rsidR="00217865" w:rsidRPr="00217865" w14:paraId="19E4794C"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35ECD7D" w14:textId="77777777" w:rsidR="00821227" w:rsidRPr="00217865" w:rsidRDefault="00821227" w:rsidP="002611FF">
            <w:pPr>
              <w:pStyle w:val="Z"/>
              <w:rPr>
                <w:color w:val="000000" w:themeColor="text1"/>
                <w:szCs w:val="18"/>
                <w:highlight w:val="yellow"/>
              </w:rPr>
            </w:pPr>
            <w:r w:rsidRPr="00217865">
              <w:rPr>
                <w:color w:val="000000" w:themeColor="text1"/>
              </w:rPr>
              <w:t>Australian Catholic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6FDF886" w14:textId="77777777" w:rsidR="00821227" w:rsidRPr="00217865" w:rsidRDefault="00821227" w:rsidP="00E06AED">
            <w:pPr>
              <w:pStyle w:val="Z"/>
              <w:jc w:val="center"/>
              <w:rPr>
                <w:color w:val="000000" w:themeColor="text1"/>
                <w:szCs w:val="18"/>
                <w:highlight w:val="yellow"/>
              </w:rPr>
            </w:pPr>
            <w:r w:rsidRPr="00217865">
              <w:rPr>
                <w:color w:val="000000" w:themeColor="text1"/>
              </w:rPr>
              <w:t>87.5 (86.1, 88.6)</w:t>
            </w:r>
          </w:p>
        </w:tc>
        <w:tc>
          <w:tcPr>
            <w:tcW w:w="323" w:type="pct"/>
            <w:tcBorders>
              <w:top w:val="single" w:sz="4" w:space="0" w:color="auto"/>
              <w:left w:val="single" w:sz="4" w:space="0" w:color="auto"/>
              <w:bottom w:val="single" w:sz="4" w:space="0" w:color="auto"/>
              <w:right w:val="single" w:sz="4" w:space="0" w:color="auto"/>
            </w:tcBorders>
            <w:vAlign w:val="center"/>
          </w:tcPr>
          <w:p w14:paraId="5833E46D" w14:textId="77777777" w:rsidR="00821227" w:rsidRPr="00217865" w:rsidRDefault="00821227" w:rsidP="00E06AED">
            <w:pPr>
              <w:pStyle w:val="Z"/>
              <w:jc w:val="center"/>
              <w:rPr>
                <w:color w:val="000000" w:themeColor="text1"/>
                <w:szCs w:val="18"/>
                <w:highlight w:val="yellow"/>
              </w:rPr>
            </w:pPr>
            <w:r w:rsidRPr="00217865">
              <w:rPr>
                <w:color w:val="000000" w:themeColor="text1"/>
              </w:rPr>
              <w:t>88.4 (86.8, 89.7)</w:t>
            </w:r>
          </w:p>
        </w:tc>
        <w:tc>
          <w:tcPr>
            <w:tcW w:w="323" w:type="pct"/>
            <w:tcBorders>
              <w:top w:val="single" w:sz="4" w:space="0" w:color="auto"/>
              <w:left w:val="single" w:sz="4" w:space="0" w:color="auto"/>
              <w:bottom w:val="single" w:sz="4" w:space="0" w:color="auto"/>
              <w:right w:val="single" w:sz="4" w:space="0" w:color="auto"/>
            </w:tcBorders>
            <w:vAlign w:val="center"/>
          </w:tcPr>
          <w:p w14:paraId="59CF08D5" w14:textId="77777777" w:rsidR="00821227" w:rsidRPr="00217865" w:rsidRDefault="00821227" w:rsidP="00E06AED">
            <w:pPr>
              <w:pStyle w:val="Z"/>
              <w:jc w:val="center"/>
              <w:rPr>
                <w:color w:val="000000" w:themeColor="text1"/>
                <w:szCs w:val="18"/>
                <w:highlight w:val="yellow"/>
              </w:rPr>
            </w:pPr>
            <w:r w:rsidRPr="00217865">
              <w:rPr>
                <w:color w:val="000000" w:themeColor="text1"/>
              </w:rPr>
              <w:t>63.9 (62.1, 65.6)</w:t>
            </w:r>
          </w:p>
        </w:tc>
        <w:tc>
          <w:tcPr>
            <w:tcW w:w="323" w:type="pct"/>
            <w:tcBorders>
              <w:top w:val="single" w:sz="4" w:space="0" w:color="auto"/>
              <w:left w:val="single" w:sz="4" w:space="0" w:color="auto"/>
              <w:bottom w:val="single" w:sz="4" w:space="0" w:color="auto"/>
              <w:right w:val="single" w:sz="4" w:space="0" w:color="auto"/>
            </w:tcBorders>
            <w:vAlign w:val="center"/>
          </w:tcPr>
          <w:p w14:paraId="7692A80B" w14:textId="77777777" w:rsidR="00821227" w:rsidRPr="00217865" w:rsidRDefault="00821227" w:rsidP="00E06AED">
            <w:pPr>
              <w:pStyle w:val="Z"/>
              <w:jc w:val="center"/>
              <w:rPr>
                <w:color w:val="000000" w:themeColor="text1"/>
                <w:szCs w:val="18"/>
                <w:highlight w:val="yellow"/>
              </w:rPr>
            </w:pPr>
            <w:r w:rsidRPr="00217865">
              <w:rPr>
                <w:color w:val="000000" w:themeColor="text1"/>
              </w:rPr>
              <w:t>67.4 (65.2, 69.4)</w:t>
            </w:r>
          </w:p>
        </w:tc>
        <w:tc>
          <w:tcPr>
            <w:tcW w:w="322" w:type="pct"/>
            <w:tcBorders>
              <w:top w:val="single" w:sz="4" w:space="0" w:color="auto"/>
              <w:left w:val="single" w:sz="4" w:space="0" w:color="auto"/>
              <w:bottom w:val="single" w:sz="4" w:space="0" w:color="auto"/>
              <w:right w:val="single" w:sz="4" w:space="0" w:color="auto"/>
            </w:tcBorders>
            <w:vAlign w:val="center"/>
          </w:tcPr>
          <w:p w14:paraId="7345B7F0" w14:textId="77777777" w:rsidR="00821227" w:rsidRPr="00217865" w:rsidRDefault="00821227" w:rsidP="00E06AED">
            <w:pPr>
              <w:pStyle w:val="Z"/>
              <w:jc w:val="center"/>
              <w:rPr>
                <w:color w:val="000000" w:themeColor="text1"/>
                <w:szCs w:val="18"/>
                <w:highlight w:val="yellow"/>
              </w:rPr>
            </w:pPr>
            <w:r w:rsidRPr="00217865">
              <w:rPr>
                <w:color w:val="000000" w:themeColor="text1"/>
              </w:rPr>
              <w:t>82.5 (81.0, 83.8)</w:t>
            </w:r>
          </w:p>
        </w:tc>
        <w:tc>
          <w:tcPr>
            <w:tcW w:w="323" w:type="pct"/>
            <w:tcBorders>
              <w:top w:val="single" w:sz="4" w:space="0" w:color="auto"/>
              <w:left w:val="single" w:sz="4" w:space="0" w:color="auto"/>
              <w:bottom w:val="single" w:sz="4" w:space="0" w:color="auto"/>
              <w:right w:val="single" w:sz="4" w:space="0" w:color="auto"/>
            </w:tcBorders>
            <w:vAlign w:val="center"/>
          </w:tcPr>
          <w:p w14:paraId="54AE5B76" w14:textId="77777777" w:rsidR="00821227" w:rsidRPr="00217865" w:rsidRDefault="00821227" w:rsidP="00E06AED">
            <w:pPr>
              <w:pStyle w:val="Z"/>
              <w:jc w:val="center"/>
              <w:rPr>
                <w:color w:val="000000" w:themeColor="text1"/>
                <w:szCs w:val="18"/>
                <w:highlight w:val="yellow"/>
              </w:rPr>
            </w:pPr>
            <w:r w:rsidRPr="00217865">
              <w:rPr>
                <w:color w:val="000000" w:themeColor="text1"/>
              </w:rPr>
              <w:t>85.8 (84.1, 87.2)</w:t>
            </w:r>
          </w:p>
        </w:tc>
        <w:tc>
          <w:tcPr>
            <w:tcW w:w="323" w:type="pct"/>
            <w:tcBorders>
              <w:top w:val="single" w:sz="4" w:space="0" w:color="auto"/>
              <w:left w:val="single" w:sz="4" w:space="0" w:color="auto"/>
              <w:bottom w:val="single" w:sz="4" w:space="0" w:color="auto"/>
              <w:right w:val="single" w:sz="4" w:space="0" w:color="auto"/>
            </w:tcBorders>
            <w:vAlign w:val="center"/>
          </w:tcPr>
          <w:p w14:paraId="3FF79FA6" w14:textId="77777777" w:rsidR="00821227" w:rsidRPr="00217865" w:rsidRDefault="00821227" w:rsidP="00E06AED">
            <w:pPr>
              <w:pStyle w:val="Z"/>
              <w:jc w:val="center"/>
              <w:rPr>
                <w:color w:val="000000" w:themeColor="text1"/>
                <w:szCs w:val="18"/>
                <w:highlight w:val="yellow"/>
              </w:rPr>
            </w:pPr>
            <w:r w:rsidRPr="00217865">
              <w:rPr>
                <w:color w:val="000000" w:themeColor="text1"/>
              </w:rPr>
              <w:t>81.5 (79.9, 82.9)</w:t>
            </w:r>
          </w:p>
        </w:tc>
        <w:tc>
          <w:tcPr>
            <w:tcW w:w="323" w:type="pct"/>
            <w:tcBorders>
              <w:top w:val="single" w:sz="4" w:space="0" w:color="auto"/>
              <w:left w:val="single" w:sz="4" w:space="0" w:color="auto"/>
              <w:bottom w:val="single" w:sz="4" w:space="0" w:color="auto"/>
              <w:right w:val="single" w:sz="4" w:space="0" w:color="auto"/>
            </w:tcBorders>
            <w:vAlign w:val="center"/>
          </w:tcPr>
          <w:p w14:paraId="19B47EB8" w14:textId="77777777" w:rsidR="00821227" w:rsidRPr="00217865" w:rsidRDefault="00821227" w:rsidP="00E06AED">
            <w:pPr>
              <w:pStyle w:val="Z"/>
              <w:jc w:val="center"/>
              <w:rPr>
                <w:color w:val="000000" w:themeColor="text1"/>
                <w:szCs w:val="18"/>
                <w:highlight w:val="yellow"/>
              </w:rPr>
            </w:pPr>
            <w:r w:rsidRPr="00217865">
              <w:rPr>
                <w:color w:val="000000" w:themeColor="text1"/>
              </w:rPr>
              <w:t>83.8 (81.9, 85.5)</w:t>
            </w:r>
          </w:p>
        </w:tc>
        <w:tc>
          <w:tcPr>
            <w:tcW w:w="322" w:type="pct"/>
            <w:tcBorders>
              <w:top w:val="single" w:sz="4" w:space="0" w:color="auto"/>
              <w:left w:val="single" w:sz="4" w:space="0" w:color="auto"/>
              <w:bottom w:val="single" w:sz="4" w:space="0" w:color="auto"/>
              <w:right w:val="single" w:sz="4" w:space="0" w:color="auto"/>
            </w:tcBorders>
            <w:vAlign w:val="center"/>
          </w:tcPr>
          <w:p w14:paraId="3C6E2366" w14:textId="77777777" w:rsidR="00821227" w:rsidRPr="00217865" w:rsidRDefault="00821227" w:rsidP="00E06AED">
            <w:pPr>
              <w:pStyle w:val="Z"/>
              <w:jc w:val="center"/>
              <w:rPr>
                <w:color w:val="000000" w:themeColor="text1"/>
                <w:szCs w:val="18"/>
                <w:highlight w:val="yellow"/>
              </w:rPr>
            </w:pPr>
            <w:r w:rsidRPr="00217865">
              <w:rPr>
                <w:color w:val="000000" w:themeColor="text1"/>
              </w:rPr>
              <w:t>86.1 (84.7, 87.3)</w:t>
            </w:r>
          </w:p>
        </w:tc>
        <w:tc>
          <w:tcPr>
            <w:tcW w:w="323" w:type="pct"/>
            <w:tcBorders>
              <w:top w:val="single" w:sz="4" w:space="0" w:color="auto"/>
              <w:left w:val="single" w:sz="4" w:space="0" w:color="auto"/>
              <w:bottom w:val="single" w:sz="4" w:space="0" w:color="auto"/>
              <w:right w:val="single" w:sz="4" w:space="0" w:color="auto"/>
            </w:tcBorders>
            <w:vAlign w:val="center"/>
          </w:tcPr>
          <w:p w14:paraId="6850CFA0" w14:textId="77777777" w:rsidR="00821227" w:rsidRPr="00217865" w:rsidRDefault="00821227" w:rsidP="00E06AED">
            <w:pPr>
              <w:pStyle w:val="Z"/>
              <w:jc w:val="center"/>
              <w:rPr>
                <w:color w:val="000000" w:themeColor="text1"/>
                <w:szCs w:val="18"/>
                <w:highlight w:val="yellow"/>
              </w:rPr>
            </w:pPr>
            <w:r w:rsidRPr="00217865">
              <w:rPr>
                <w:color w:val="000000" w:themeColor="text1"/>
              </w:rPr>
              <w:t>88.0 (86.4, 89.3)</w:t>
            </w:r>
          </w:p>
        </w:tc>
        <w:tc>
          <w:tcPr>
            <w:tcW w:w="323" w:type="pct"/>
            <w:tcBorders>
              <w:top w:val="single" w:sz="4" w:space="0" w:color="auto"/>
              <w:left w:val="single" w:sz="4" w:space="0" w:color="auto"/>
              <w:bottom w:val="single" w:sz="4" w:space="0" w:color="auto"/>
              <w:right w:val="single" w:sz="4" w:space="0" w:color="auto"/>
            </w:tcBorders>
            <w:vAlign w:val="center"/>
          </w:tcPr>
          <w:p w14:paraId="7F3A2994" w14:textId="77777777" w:rsidR="00821227" w:rsidRPr="00217865" w:rsidRDefault="00821227" w:rsidP="00E06AED">
            <w:pPr>
              <w:pStyle w:val="Z"/>
              <w:jc w:val="center"/>
              <w:rPr>
                <w:color w:val="000000" w:themeColor="text1"/>
                <w:szCs w:val="18"/>
                <w:highlight w:val="yellow"/>
              </w:rPr>
            </w:pPr>
            <w:r w:rsidRPr="00217865">
              <w:rPr>
                <w:color w:val="000000" w:themeColor="text1"/>
              </w:rPr>
              <w:t>74.3 (72.6, 75.8)</w:t>
            </w:r>
          </w:p>
        </w:tc>
        <w:tc>
          <w:tcPr>
            <w:tcW w:w="323" w:type="pct"/>
            <w:tcBorders>
              <w:top w:val="single" w:sz="4" w:space="0" w:color="auto"/>
              <w:left w:val="single" w:sz="4" w:space="0" w:color="auto"/>
              <w:bottom w:val="single" w:sz="4" w:space="0" w:color="auto"/>
              <w:right w:val="single" w:sz="4" w:space="0" w:color="auto"/>
            </w:tcBorders>
            <w:vAlign w:val="center"/>
          </w:tcPr>
          <w:p w14:paraId="755A07A7" w14:textId="77777777" w:rsidR="00821227" w:rsidRPr="00217865" w:rsidRDefault="00821227" w:rsidP="00E06AED">
            <w:pPr>
              <w:pStyle w:val="Z"/>
              <w:jc w:val="center"/>
              <w:rPr>
                <w:color w:val="000000" w:themeColor="text1"/>
                <w:szCs w:val="18"/>
                <w:highlight w:val="yellow"/>
              </w:rPr>
            </w:pPr>
            <w:r w:rsidRPr="00217865">
              <w:rPr>
                <w:color w:val="000000" w:themeColor="text1"/>
              </w:rPr>
              <w:t>83.2 (81.4, 84.7)</w:t>
            </w:r>
          </w:p>
        </w:tc>
      </w:tr>
      <w:tr w:rsidR="00217865" w:rsidRPr="00217865" w14:paraId="5E43956E"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D0E142D" w14:textId="77777777" w:rsidR="00821227" w:rsidRPr="00217865" w:rsidRDefault="00821227" w:rsidP="002611FF">
            <w:pPr>
              <w:pStyle w:val="Z"/>
              <w:rPr>
                <w:color w:val="000000" w:themeColor="text1"/>
                <w:szCs w:val="18"/>
                <w:highlight w:val="yellow"/>
              </w:rPr>
            </w:pPr>
            <w:r w:rsidRPr="00217865">
              <w:rPr>
                <w:color w:val="000000" w:themeColor="text1"/>
              </w:rPr>
              <w:t>Avondale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028EBB2" w14:textId="77777777" w:rsidR="00821227" w:rsidRPr="00217865" w:rsidRDefault="00821227" w:rsidP="00E06AED">
            <w:pPr>
              <w:pStyle w:val="Z"/>
              <w:jc w:val="center"/>
              <w:rPr>
                <w:color w:val="000000" w:themeColor="text1"/>
                <w:szCs w:val="18"/>
                <w:highlight w:val="yellow"/>
              </w:rPr>
            </w:pPr>
            <w:r w:rsidRPr="00217865">
              <w:rPr>
                <w:color w:val="000000" w:themeColor="text1"/>
              </w:rPr>
              <w:t>100.0 (91.0, 99.2)</w:t>
            </w:r>
          </w:p>
        </w:tc>
        <w:tc>
          <w:tcPr>
            <w:tcW w:w="323" w:type="pct"/>
            <w:tcBorders>
              <w:top w:val="single" w:sz="4" w:space="0" w:color="auto"/>
              <w:left w:val="single" w:sz="4" w:space="0" w:color="auto"/>
              <w:bottom w:val="single" w:sz="4" w:space="0" w:color="auto"/>
              <w:right w:val="single" w:sz="4" w:space="0" w:color="auto"/>
            </w:tcBorders>
            <w:vAlign w:val="center"/>
          </w:tcPr>
          <w:p w14:paraId="4CE6F47D"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533E3DAB" w14:textId="77777777" w:rsidR="00821227" w:rsidRPr="00217865" w:rsidRDefault="00821227" w:rsidP="00E06AED">
            <w:pPr>
              <w:pStyle w:val="Z"/>
              <w:jc w:val="center"/>
              <w:rPr>
                <w:color w:val="000000" w:themeColor="text1"/>
                <w:szCs w:val="18"/>
                <w:highlight w:val="yellow"/>
              </w:rPr>
            </w:pPr>
            <w:r w:rsidRPr="00217865">
              <w:rPr>
                <w:color w:val="000000" w:themeColor="text1"/>
              </w:rPr>
              <w:t>80.0 (69.0, 85.1)</w:t>
            </w:r>
          </w:p>
        </w:tc>
        <w:tc>
          <w:tcPr>
            <w:tcW w:w="323" w:type="pct"/>
            <w:tcBorders>
              <w:top w:val="single" w:sz="4" w:space="0" w:color="auto"/>
              <w:left w:val="single" w:sz="4" w:space="0" w:color="auto"/>
              <w:bottom w:val="single" w:sz="4" w:space="0" w:color="auto"/>
              <w:right w:val="single" w:sz="4" w:space="0" w:color="auto"/>
            </w:tcBorders>
            <w:vAlign w:val="center"/>
          </w:tcPr>
          <w:p w14:paraId="15D0B64B"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2" w:type="pct"/>
            <w:tcBorders>
              <w:top w:val="single" w:sz="4" w:space="0" w:color="auto"/>
              <w:left w:val="single" w:sz="4" w:space="0" w:color="auto"/>
              <w:bottom w:val="single" w:sz="4" w:space="0" w:color="auto"/>
              <w:right w:val="single" w:sz="4" w:space="0" w:color="auto"/>
            </w:tcBorders>
            <w:vAlign w:val="center"/>
          </w:tcPr>
          <w:p w14:paraId="02EE27AD" w14:textId="77777777" w:rsidR="00821227" w:rsidRPr="00217865" w:rsidRDefault="00821227" w:rsidP="00E06AED">
            <w:pPr>
              <w:pStyle w:val="Z"/>
              <w:jc w:val="center"/>
              <w:rPr>
                <w:color w:val="000000" w:themeColor="text1"/>
                <w:szCs w:val="18"/>
                <w:highlight w:val="yellow"/>
              </w:rPr>
            </w:pPr>
            <w:r w:rsidRPr="00217865">
              <w:rPr>
                <w:color w:val="000000" w:themeColor="text1"/>
              </w:rPr>
              <w:t>100.0 (91.0, 99.2)</w:t>
            </w:r>
          </w:p>
        </w:tc>
        <w:tc>
          <w:tcPr>
            <w:tcW w:w="323" w:type="pct"/>
            <w:tcBorders>
              <w:top w:val="single" w:sz="4" w:space="0" w:color="auto"/>
              <w:left w:val="single" w:sz="4" w:space="0" w:color="auto"/>
              <w:bottom w:val="single" w:sz="4" w:space="0" w:color="auto"/>
              <w:right w:val="single" w:sz="4" w:space="0" w:color="auto"/>
            </w:tcBorders>
            <w:vAlign w:val="center"/>
          </w:tcPr>
          <w:p w14:paraId="0574D5D1"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6E3B6EB8"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791377BA"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2" w:type="pct"/>
            <w:tcBorders>
              <w:top w:val="single" w:sz="4" w:space="0" w:color="auto"/>
              <w:left w:val="single" w:sz="4" w:space="0" w:color="auto"/>
              <w:bottom w:val="single" w:sz="4" w:space="0" w:color="auto"/>
              <w:right w:val="single" w:sz="4" w:space="0" w:color="auto"/>
            </w:tcBorders>
            <w:vAlign w:val="center"/>
          </w:tcPr>
          <w:p w14:paraId="7AE5050A" w14:textId="77777777" w:rsidR="00821227" w:rsidRPr="00217865" w:rsidRDefault="00821227" w:rsidP="00E06AED">
            <w:pPr>
              <w:pStyle w:val="Z"/>
              <w:jc w:val="center"/>
              <w:rPr>
                <w:color w:val="000000" w:themeColor="text1"/>
                <w:szCs w:val="18"/>
                <w:highlight w:val="yellow"/>
              </w:rPr>
            </w:pPr>
            <w:r w:rsidRPr="00217865">
              <w:rPr>
                <w:color w:val="000000" w:themeColor="text1"/>
              </w:rPr>
              <w:t>88.0 (77.3, 91.3)</w:t>
            </w:r>
          </w:p>
        </w:tc>
        <w:tc>
          <w:tcPr>
            <w:tcW w:w="323" w:type="pct"/>
            <w:tcBorders>
              <w:top w:val="single" w:sz="4" w:space="0" w:color="auto"/>
              <w:left w:val="single" w:sz="4" w:space="0" w:color="auto"/>
              <w:bottom w:val="single" w:sz="4" w:space="0" w:color="auto"/>
              <w:right w:val="single" w:sz="4" w:space="0" w:color="auto"/>
            </w:tcBorders>
            <w:vAlign w:val="center"/>
          </w:tcPr>
          <w:p w14:paraId="3EFF552E"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6473ABFC" w14:textId="77777777" w:rsidR="00821227" w:rsidRPr="00217865" w:rsidRDefault="00821227" w:rsidP="00E06AED">
            <w:pPr>
              <w:pStyle w:val="Z"/>
              <w:jc w:val="center"/>
              <w:rPr>
                <w:color w:val="000000" w:themeColor="text1"/>
                <w:szCs w:val="18"/>
                <w:highlight w:val="yellow"/>
              </w:rPr>
            </w:pPr>
            <w:r w:rsidRPr="00217865">
              <w:rPr>
                <w:color w:val="000000" w:themeColor="text1"/>
              </w:rPr>
              <w:t>92.0 (81.7, 94.1)</w:t>
            </w:r>
          </w:p>
        </w:tc>
        <w:tc>
          <w:tcPr>
            <w:tcW w:w="323" w:type="pct"/>
            <w:tcBorders>
              <w:top w:val="single" w:sz="4" w:space="0" w:color="auto"/>
              <w:left w:val="single" w:sz="4" w:space="0" w:color="auto"/>
              <w:bottom w:val="single" w:sz="4" w:space="0" w:color="auto"/>
              <w:right w:val="single" w:sz="4" w:space="0" w:color="auto"/>
            </w:tcBorders>
            <w:vAlign w:val="center"/>
          </w:tcPr>
          <w:p w14:paraId="4499E06D" w14:textId="77777777" w:rsidR="00821227" w:rsidRPr="00217865" w:rsidRDefault="00821227" w:rsidP="00E06AED">
            <w:pPr>
              <w:pStyle w:val="Z"/>
              <w:jc w:val="center"/>
              <w:rPr>
                <w:color w:val="000000" w:themeColor="text1"/>
                <w:szCs w:val="18"/>
                <w:highlight w:val="yellow"/>
              </w:rPr>
            </w:pPr>
            <w:r w:rsidRPr="00217865">
              <w:rPr>
                <w:color w:val="000000" w:themeColor="text1"/>
              </w:rPr>
              <w:t>n/a</w:t>
            </w:r>
          </w:p>
        </w:tc>
      </w:tr>
      <w:tr w:rsidR="00217865" w:rsidRPr="00217865" w14:paraId="5928EFE1"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1C88303" w14:textId="77777777" w:rsidR="00821227" w:rsidRPr="00217865" w:rsidRDefault="00821227" w:rsidP="002611FF">
            <w:pPr>
              <w:pStyle w:val="Z"/>
              <w:rPr>
                <w:color w:val="000000" w:themeColor="text1"/>
                <w:szCs w:val="18"/>
                <w:highlight w:val="yellow"/>
              </w:rPr>
            </w:pPr>
            <w:r w:rsidRPr="00217865">
              <w:rPr>
                <w:color w:val="000000" w:themeColor="text1"/>
              </w:rPr>
              <w:t>Bond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456F310" w14:textId="77777777" w:rsidR="00821227" w:rsidRPr="00217865" w:rsidRDefault="00821227" w:rsidP="00E06AED">
            <w:pPr>
              <w:pStyle w:val="Z"/>
              <w:jc w:val="center"/>
              <w:rPr>
                <w:color w:val="000000" w:themeColor="text1"/>
                <w:szCs w:val="18"/>
                <w:highlight w:val="yellow"/>
              </w:rPr>
            </w:pPr>
            <w:r w:rsidRPr="00217865">
              <w:rPr>
                <w:color w:val="000000" w:themeColor="text1"/>
              </w:rPr>
              <w:t>89.9 (84.5, 93.2)</w:t>
            </w:r>
          </w:p>
        </w:tc>
        <w:tc>
          <w:tcPr>
            <w:tcW w:w="323" w:type="pct"/>
            <w:tcBorders>
              <w:top w:val="single" w:sz="4" w:space="0" w:color="auto"/>
              <w:left w:val="single" w:sz="4" w:space="0" w:color="auto"/>
              <w:bottom w:val="single" w:sz="4" w:space="0" w:color="auto"/>
              <w:right w:val="single" w:sz="4" w:space="0" w:color="auto"/>
            </w:tcBorders>
            <w:vAlign w:val="center"/>
          </w:tcPr>
          <w:p w14:paraId="76B79902" w14:textId="77777777" w:rsidR="00821227" w:rsidRPr="00217865" w:rsidRDefault="00821227" w:rsidP="00E06AED">
            <w:pPr>
              <w:pStyle w:val="Z"/>
              <w:jc w:val="center"/>
              <w:rPr>
                <w:color w:val="000000" w:themeColor="text1"/>
                <w:szCs w:val="18"/>
                <w:highlight w:val="yellow"/>
              </w:rPr>
            </w:pPr>
            <w:r w:rsidRPr="00217865">
              <w:rPr>
                <w:color w:val="000000" w:themeColor="text1"/>
              </w:rPr>
              <w:t>89.4 (83.8, 92.7)</w:t>
            </w:r>
          </w:p>
        </w:tc>
        <w:tc>
          <w:tcPr>
            <w:tcW w:w="323" w:type="pct"/>
            <w:tcBorders>
              <w:top w:val="single" w:sz="4" w:space="0" w:color="auto"/>
              <w:left w:val="single" w:sz="4" w:space="0" w:color="auto"/>
              <w:bottom w:val="single" w:sz="4" w:space="0" w:color="auto"/>
              <w:right w:val="single" w:sz="4" w:space="0" w:color="auto"/>
            </w:tcBorders>
            <w:vAlign w:val="center"/>
          </w:tcPr>
          <w:p w14:paraId="7C75C6A7" w14:textId="77777777" w:rsidR="00821227" w:rsidRPr="00217865" w:rsidRDefault="00821227" w:rsidP="00E06AED">
            <w:pPr>
              <w:pStyle w:val="Z"/>
              <w:jc w:val="center"/>
              <w:rPr>
                <w:color w:val="000000" w:themeColor="text1"/>
                <w:szCs w:val="18"/>
                <w:highlight w:val="yellow"/>
              </w:rPr>
            </w:pPr>
            <w:r w:rsidRPr="00217865">
              <w:rPr>
                <w:color w:val="000000" w:themeColor="text1"/>
              </w:rPr>
              <w:t>71.6 (64.9, 77.1)</w:t>
            </w:r>
          </w:p>
        </w:tc>
        <w:tc>
          <w:tcPr>
            <w:tcW w:w="323" w:type="pct"/>
            <w:tcBorders>
              <w:top w:val="single" w:sz="4" w:space="0" w:color="auto"/>
              <w:left w:val="single" w:sz="4" w:space="0" w:color="auto"/>
              <w:bottom w:val="single" w:sz="4" w:space="0" w:color="auto"/>
              <w:right w:val="single" w:sz="4" w:space="0" w:color="auto"/>
            </w:tcBorders>
            <w:vAlign w:val="center"/>
          </w:tcPr>
          <w:p w14:paraId="4D52E848" w14:textId="77777777" w:rsidR="00821227" w:rsidRPr="00217865" w:rsidRDefault="00821227" w:rsidP="00E06AED">
            <w:pPr>
              <w:pStyle w:val="Z"/>
              <w:jc w:val="center"/>
              <w:rPr>
                <w:color w:val="000000" w:themeColor="text1"/>
                <w:szCs w:val="18"/>
                <w:highlight w:val="yellow"/>
              </w:rPr>
            </w:pPr>
            <w:r w:rsidRPr="00217865">
              <w:rPr>
                <w:color w:val="000000" w:themeColor="text1"/>
              </w:rPr>
              <w:t>79.4 (73.0, 84.2)</w:t>
            </w:r>
          </w:p>
        </w:tc>
        <w:tc>
          <w:tcPr>
            <w:tcW w:w="322" w:type="pct"/>
            <w:tcBorders>
              <w:top w:val="single" w:sz="4" w:space="0" w:color="auto"/>
              <w:left w:val="single" w:sz="4" w:space="0" w:color="auto"/>
              <w:bottom w:val="single" w:sz="4" w:space="0" w:color="auto"/>
              <w:right w:val="single" w:sz="4" w:space="0" w:color="auto"/>
            </w:tcBorders>
            <w:vAlign w:val="center"/>
          </w:tcPr>
          <w:p w14:paraId="00A5F67D" w14:textId="77777777" w:rsidR="00821227" w:rsidRPr="00217865" w:rsidRDefault="00821227" w:rsidP="00E06AED">
            <w:pPr>
              <w:pStyle w:val="Z"/>
              <w:jc w:val="center"/>
              <w:rPr>
                <w:color w:val="000000" w:themeColor="text1"/>
                <w:szCs w:val="18"/>
                <w:highlight w:val="yellow"/>
              </w:rPr>
            </w:pPr>
            <w:r w:rsidRPr="00217865">
              <w:rPr>
                <w:color w:val="000000" w:themeColor="text1"/>
              </w:rPr>
              <w:t>88.9 (83.3, 92.4)</w:t>
            </w:r>
          </w:p>
        </w:tc>
        <w:tc>
          <w:tcPr>
            <w:tcW w:w="323" w:type="pct"/>
            <w:tcBorders>
              <w:top w:val="single" w:sz="4" w:space="0" w:color="auto"/>
              <w:left w:val="single" w:sz="4" w:space="0" w:color="auto"/>
              <w:bottom w:val="single" w:sz="4" w:space="0" w:color="auto"/>
              <w:right w:val="single" w:sz="4" w:space="0" w:color="auto"/>
            </w:tcBorders>
            <w:vAlign w:val="center"/>
          </w:tcPr>
          <w:p w14:paraId="79EDD533" w14:textId="77777777" w:rsidR="00821227" w:rsidRPr="00217865" w:rsidRDefault="00821227" w:rsidP="00E06AED">
            <w:pPr>
              <w:pStyle w:val="Z"/>
              <w:jc w:val="center"/>
              <w:rPr>
                <w:color w:val="000000" w:themeColor="text1"/>
                <w:szCs w:val="18"/>
                <w:highlight w:val="yellow"/>
              </w:rPr>
            </w:pPr>
            <w:r w:rsidRPr="00217865">
              <w:rPr>
                <w:color w:val="000000" w:themeColor="text1"/>
              </w:rPr>
              <w:t>90.7 (85.5, 93.8)</w:t>
            </w:r>
          </w:p>
        </w:tc>
        <w:tc>
          <w:tcPr>
            <w:tcW w:w="323" w:type="pct"/>
            <w:tcBorders>
              <w:top w:val="single" w:sz="4" w:space="0" w:color="auto"/>
              <w:left w:val="single" w:sz="4" w:space="0" w:color="auto"/>
              <w:bottom w:val="single" w:sz="4" w:space="0" w:color="auto"/>
              <w:right w:val="single" w:sz="4" w:space="0" w:color="auto"/>
            </w:tcBorders>
            <w:vAlign w:val="center"/>
          </w:tcPr>
          <w:p w14:paraId="341903C9" w14:textId="77777777" w:rsidR="00821227" w:rsidRPr="00217865" w:rsidRDefault="00821227" w:rsidP="00E06AED">
            <w:pPr>
              <w:pStyle w:val="Z"/>
              <w:jc w:val="center"/>
              <w:rPr>
                <w:color w:val="000000" w:themeColor="text1"/>
                <w:szCs w:val="18"/>
                <w:highlight w:val="yellow"/>
              </w:rPr>
            </w:pPr>
            <w:r w:rsidRPr="00217865">
              <w:rPr>
                <w:color w:val="000000" w:themeColor="text1"/>
              </w:rPr>
              <w:t>90.4 (84.9, 93.7)</w:t>
            </w:r>
          </w:p>
        </w:tc>
        <w:tc>
          <w:tcPr>
            <w:tcW w:w="323" w:type="pct"/>
            <w:tcBorders>
              <w:top w:val="single" w:sz="4" w:space="0" w:color="auto"/>
              <w:left w:val="single" w:sz="4" w:space="0" w:color="auto"/>
              <w:bottom w:val="single" w:sz="4" w:space="0" w:color="auto"/>
              <w:right w:val="single" w:sz="4" w:space="0" w:color="auto"/>
            </w:tcBorders>
            <w:vAlign w:val="center"/>
          </w:tcPr>
          <w:p w14:paraId="3EB2F795" w14:textId="77777777" w:rsidR="00821227" w:rsidRPr="00217865" w:rsidRDefault="00821227" w:rsidP="00E06AED">
            <w:pPr>
              <w:pStyle w:val="Z"/>
              <w:jc w:val="center"/>
              <w:rPr>
                <w:color w:val="000000" w:themeColor="text1"/>
                <w:szCs w:val="18"/>
                <w:highlight w:val="yellow"/>
              </w:rPr>
            </w:pPr>
            <w:r w:rsidRPr="00217865">
              <w:rPr>
                <w:color w:val="000000" w:themeColor="text1"/>
              </w:rPr>
              <w:t>83.9 (77.4, 88.4)</w:t>
            </w:r>
          </w:p>
        </w:tc>
        <w:tc>
          <w:tcPr>
            <w:tcW w:w="322" w:type="pct"/>
            <w:tcBorders>
              <w:top w:val="single" w:sz="4" w:space="0" w:color="auto"/>
              <w:left w:val="single" w:sz="4" w:space="0" w:color="auto"/>
              <w:bottom w:val="single" w:sz="4" w:space="0" w:color="auto"/>
              <w:right w:val="single" w:sz="4" w:space="0" w:color="auto"/>
            </w:tcBorders>
            <w:vAlign w:val="center"/>
          </w:tcPr>
          <w:p w14:paraId="72D0E67E" w14:textId="77777777" w:rsidR="00821227" w:rsidRPr="00217865" w:rsidRDefault="00821227" w:rsidP="00E06AED">
            <w:pPr>
              <w:pStyle w:val="Z"/>
              <w:jc w:val="center"/>
              <w:rPr>
                <w:color w:val="000000" w:themeColor="text1"/>
                <w:szCs w:val="18"/>
                <w:highlight w:val="yellow"/>
              </w:rPr>
            </w:pPr>
            <w:r w:rsidRPr="00217865">
              <w:rPr>
                <w:color w:val="000000" w:themeColor="text1"/>
              </w:rPr>
              <w:t>92.2 (86.8, 95.2)</w:t>
            </w:r>
          </w:p>
        </w:tc>
        <w:tc>
          <w:tcPr>
            <w:tcW w:w="323" w:type="pct"/>
            <w:tcBorders>
              <w:top w:val="single" w:sz="4" w:space="0" w:color="auto"/>
              <w:left w:val="single" w:sz="4" w:space="0" w:color="auto"/>
              <w:bottom w:val="single" w:sz="4" w:space="0" w:color="auto"/>
              <w:right w:val="single" w:sz="4" w:space="0" w:color="auto"/>
            </w:tcBorders>
            <w:vAlign w:val="center"/>
          </w:tcPr>
          <w:p w14:paraId="53276808" w14:textId="77777777" w:rsidR="00821227" w:rsidRPr="00217865" w:rsidRDefault="00821227" w:rsidP="00E06AED">
            <w:pPr>
              <w:pStyle w:val="Z"/>
              <w:jc w:val="center"/>
              <w:rPr>
                <w:color w:val="000000" w:themeColor="text1"/>
                <w:szCs w:val="18"/>
                <w:highlight w:val="yellow"/>
              </w:rPr>
            </w:pPr>
            <w:r w:rsidRPr="00217865">
              <w:rPr>
                <w:color w:val="000000" w:themeColor="text1"/>
              </w:rPr>
              <w:t>94.8 (90.2, 96.9)</w:t>
            </w:r>
          </w:p>
        </w:tc>
        <w:tc>
          <w:tcPr>
            <w:tcW w:w="323" w:type="pct"/>
            <w:tcBorders>
              <w:top w:val="single" w:sz="4" w:space="0" w:color="auto"/>
              <w:left w:val="single" w:sz="4" w:space="0" w:color="auto"/>
              <w:bottom w:val="single" w:sz="4" w:space="0" w:color="auto"/>
              <w:right w:val="single" w:sz="4" w:space="0" w:color="auto"/>
            </w:tcBorders>
            <w:vAlign w:val="center"/>
          </w:tcPr>
          <w:p w14:paraId="29CEE947" w14:textId="77777777" w:rsidR="00821227" w:rsidRPr="00217865" w:rsidRDefault="00821227" w:rsidP="00E06AED">
            <w:pPr>
              <w:pStyle w:val="Z"/>
              <w:jc w:val="center"/>
              <w:rPr>
                <w:color w:val="000000" w:themeColor="text1"/>
                <w:szCs w:val="18"/>
                <w:highlight w:val="yellow"/>
              </w:rPr>
            </w:pPr>
            <w:r w:rsidRPr="00217865">
              <w:rPr>
                <w:color w:val="000000" w:themeColor="text1"/>
              </w:rPr>
              <w:t>83.3 (77.3, 87.6)</w:t>
            </w:r>
          </w:p>
        </w:tc>
        <w:tc>
          <w:tcPr>
            <w:tcW w:w="323" w:type="pct"/>
            <w:tcBorders>
              <w:top w:val="single" w:sz="4" w:space="0" w:color="auto"/>
              <w:left w:val="single" w:sz="4" w:space="0" w:color="auto"/>
              <w:bottom w:val="single" w:sz="4" w:space="0" w:color="auto"/>
              <w:right w:val="single" w:sz="4" w:space="0" w:color="auto"/>
            </w:tcBorders>
            <w:vAlign w:val="center"/>
          </w:tcPr>
          <w:p w14:paraId="01D811A1" w14:textId="77777777" w:rsidR="00821227" w:rsidRPr="00217865" w:rsidRDefault="00821227" w:rsidP="00E06AED">
            <w:pPr>
              <w:pStyle w:val="Z"/>
              <w:jc w:val="center"/>
              <w:rPr>
                <w:color w:val="000000" w:themeColor="text1"/>
                <w:szCs w:val="18"/>
                <w:highlight w:val="yellow"/>
              </w:rPr>
            </w:pPr>
            <w:r w:rsidRPr="00217865">
              <w:rPr>
                <w:color w:val="000000" w:themeColor="text1"/>
              </w:rPr>
              <w:t>86.5 (80.6, 90.3)</w:t>
            </w:r>
          </w:p>
        </w:tc>
      </w:tr>
      <w:tr w:rsidR="00217865" w:rsidRPr="00217865" w14:paraId="539619EE"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28772E5" w14:textId="77777777" w:rsidR="00821227" w:rsidRPr="00217865" w:rsidRDefault="00821227" w:rsidP="002611FF">
            <w:pPr>
              <w:pStyle w:val="Z"/>
              <w:rPr>
                <w:color w:val="000000" w:themeColor="text1"/>
                <w:szCs w:val="18"/>
                <w:highlight w:val="yellow"/>
              </w:rPr>
            </w:pPr>
            <w:r w:rsidRPr="00217865">
              <w:rPr>
                <w:color w:val="000000" w:themeColor="text1"/>
              </w:rPr>
              <w:t>Central Queensland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4F71BD" w14:textId="77777777" w:rsidR="00821227" w:rsidRPr="00217865" w:rsidRDefault="00821227" w:rsidP="00E06AED">
            <w:pPr>
              <w:pStyle w:val="Z"/>
              <w:jc w:val="center"/>
              <w:rPr>
                <w:color w:val="000000" w:themeColor="text1"/>
                <w:szCs w:val="18"/>
                <w:highlight w:val="yellow"/>
              </w:rPr>
            </w:pPr>
            <w:r w:rsidRPr="00217865">
              <w:rPr>
                <w:color w:val="000000" w:themeColor="text1"/>
              </w:rPr>
              <w:t>88.0 (82.5, 91.5)</w:t>
            </w:r>
          </w:p>
        </w:tc>
        <w:tc>
          <w:tcPr>
            <w:tcW w:w="323" w:type="pct"/>
            <w:tcBorders>
              <w:top w:val="single" w:sz="4" w:space="0" w:color="auto"/>
              <w:left w:val="single" w:sz="4" w:space="0" w:color="auto"/>
              <w:bottom w:val="single" w:sz="4" w:space="0" w:color="auto"/>
              <w:right w:val="single" w:sz="4" w:space="0" w:color="auto"/>
            </w:tcBorders>
            <w:vAlign w:val="center"/>
          </w:tcPr>
          <w:p w14:paraId="0FCB427E" w14:textId="77777777" w:rsidR="00821227" w:rsidRPr="00217865" w:rsidRDefault="00821227" w:rsidP="00E06AED">
            <w:pPr>
              <w:pStyle w:val="Z"/>
              <w:jc w:val="center"/>
              <w:rPr>
                <w:color w:val="000000" w:themeColor="text1"/>
                <w:szCs w:val="18"/>
                <w:highlight w:val="yellow"/>
              </w:rPr>
            </w:pPr>
            <w:r w:rsidRPr="00217865">
              <w:rPr>
                <w:color w:val="000000" w:themeColor="text1"/>
              </w:rPr>
              <w:t>82.9 (77.2, 87.1)</w:t>
            </w:r>
          </w:p>
        </w:tc>
        <w:tc>
          <w:tcPr>
            <w:tcW w:w="323" w:type="pct"/>
            <w:tcBorders>
              <w:top w:val="single" w:sz="4" w:space="0" w:color="auto"/>
              <w:left w:val="single" w:sz="4" w:space="0" w:color="auto"/>
              <w:bottom w:val="single" w:sz="4" w:space="0" w:color="auto"/>
              <w:right w:val="single" w:sz="4" w:space="0" w:color="auto"/>
            </w:tcBorders>
            <w:vAlign w:val="center"/>
          </w:tcPr>
          <w:p w14:paraId="03C2A5BB" w14:textId="77777777" w:rsidR="00821227" w:rsidRPr="00217865" w:rsidRDefault="00821227" w:rsidP="00E06AED">
            <w:pPr>
              <w:pStyle w:val="Z"/>
              <w:jc w:val="center"/>
              <w:rPr>
                <w:color w:val="000000" w:themeColor="text1"/>
                <w:szCs w:val="18"/>
                <w:highlight w:val="yellow"/>
              </w:rPr>
            </w:pPr>
            <w:r w:rsidRPr="00217865">
              <w:rPr>
                <w:color w:val="000000" w:themeColor="text1"/>
              </w:rPr>
              <w:t>66.7 (60.0, 72.5)</w:t>
            </w:r>
          </w:p>
        </w:tc>
        <w:tc>
          <w:tcPr>
            <w:tcW w:w="323" w:type="pct"/>
            <w:tcBorders>
              <w:top w:val="single" w:sz="4" w:space="0" w:color="auto"/>
              <w:left w:val="single" w:sz="4" w:space="0" w:color="auto"/>
              <w:bottom w:val="single" w:sz="4" w:space="0" w:color="auto"/>
              <w:right w:val="single" w:sz="4" w:space="0" w:color="auto"/>
            </w:tcBorders>
            <w:vAlign w:val="center"/>
          </w:tcPr>
          <w:p w14:paraId="5D5CB51F" w14:textId="77777777" w:rsidR="00821227" w:rsidRPr="00217865" w:rsidRDefault="00821227" w:rsidP="00E06AED">
            <w:pPr>
              <w:pStyle w:val="Z"/>
              <w:jc w:val="center"/>
              <w:rPr>
                <w:color w:val="000000" w:themeColor="text1"/>
                <w:szCs w:val="18"/>
                <w:highlight w:val="yellow"/>
              </w:rPr>
            </w:pPr>
            <w:r w:rsidRPr="00217865">
              <w:rPr>
                <w:color w:val="000000" w:themeColor="text1"/>
              </w:rPr>
              <w:t>61.9 (55.7, 67.6)</w:t>
            </w:r>
          </w:p>
        </w:tc>
        <w:tc>
          <w:tcPr>
            <w:tcW w:w="322" w:type="pct"/>
            <w:tcBorders>
              <w:top w:val="single" w:sz="4" w:space="0" w:color="auto"/>
              <w:left w:val="single" w:sz="4" w:space="0" w:color="auto"/>
              <w:bottom w:val="single" w:sz="4" w:space="0" w:color="auto"/>
              <w:right w:val="single" w:sz="4" w:space="0" w:color="auto"/>
            </w:tcBorders>
            <w:vAlign w:val="center"/>
          </w:tcPr>
          <w:p w14:paraId="489D5D53" w14:textId="77777777" w:rsidR="00821227" w:rsidRPr="00217865" w:rsidRDefault="00821227" w:rsidP="00E06AED">
            <w:pPr>
              <w:pStyle w:val="Z"/>
              <w:jc w:val="center"/>
              <w:rPr>
                <w:color w:val="000000" w:themeColor="text1"/>
                <w:szCs w:val="18"/>
                <w:highlight w:val="yellow"/>
              </w:rPr>
            </w:pPr>
            <w:r w:rsidRPr="00217865">
              <w:rPr>
                <w:color w:val="000000" w:themeColor="text1"/>
              </w:rPr>
              <w:t>87.1 (81.6, 90.8)</w:t>
            </w:r>
          </w:p>
        </w:tc>
        <w:tc>
          <w:tcPr>
            <w:tcW w:w="323" w:type="pct"/>
            <w:tcBorders>
              <w:top w:val="single" w:sz="4" w:space="0" w:color="auto"/>
              <w:left w:val="single" w:sz="4" w:space="0" w:color="auto"/>
              <w:bottom w:val="single" w:sz="4" w:space="0" w:color="auto"/>
              <w:right w:val="single" w:sz="4" w:space="0" w:color="auto"/>
            </w:tcBorders>
            <w:vAlign w:val="center"/>
          </w:tcPr>
          <w:p w14:paraId="581204AE" w14:textId="77777777" w:rsidR="00821227" w:rsidRPr="00217865" w:rsidRDefault="00821227" w:rsidP="00E06AED">
            <w:pPr>
              <w:pStyle w:val="Z"/>
              <w:jc w:val="center"/>
              <w:rPr>
                <w:color w:val="000000" w:themeColor="text1"/>
                <w:szCs w:val="18"/>
                <w:highlight w:val="yellow"/>
              </w:rPr>
            </w:pPr>
            <w:r w:rsidRPr="00217865">
              <w:rPr>
                <w:color w:val="000000" w:themeColor="text1"/>
              </w:rPr>
              <w:t>83.2 (77.8, 87.2)</w:t>
            </w:r>
          </w:p>
        </w:tc>
        <w:tc>
          <w:tcPr>
            <w:tcW w:w="323" w:type="pct"/>
            <w:tcBorders>
              <w:top w:val="single" w:sz="4" w:space="0" w:color="auto"/>
              <w:left w:val="single" w:sz="4" w:space="0" w:color="auto"/>
              <w:bottom w:val="single" w:sz="4" w:space="0" w:color="auto"/>
              <w:right w:val="single" w:sz="4" w:space="0" w:color="auto"/>
            </w:tcBorders>
            <w:vAlign w:val="center"/>
          </w:tcPr>
          <w:p w14:paraId="464A64A5" w14:textId="77777777" w:rsidR="00821227" w:rsidRPr="00217865" w:rsidRDefault="00821227" w:rsidP="00E06AED">
            <w:pPr>
              <w:pStyle w:val="Z"/>
              <w:jc w:val="center"/>
              <w:rPr>
                <w:color w:val="000000" w:themeColor="text1"/>
                <w:szCs w:val="18"/>
                <w:highlight w:val="yellow"/>
              </w:rPr>
            </w:pPr>
            <w:r w:rsidRPr="00217865">
              <w:rPr>
                <w:color w:val="000000" w:themeColor="text1"/>
              </w:rPr>
              <w:t>88.5 (82.9, 92.1)</w:t>
            </w:r>
          </w:p>
        </w:tc>
        <w:tc>
          <w:tcPr>
            <w:tcW w:w="323" w:type="pct"/>
            <w:tcBorders>
              <w:top w:val="single" w:sz="4" w:space="0" w:color="auto"/>
              <w:left w:val="single" w:sz="4" w:space="0" w:color="auto"/>
              <w:bottom w:val="single" w:sz="4" w:space="0" w:color="auto"/>
              <w:right w:val="single" w:sz="4" w:space="0" w:color="auto"/>
            </w:tcBorders>
            <w:vAlign w:val="center"/>
          </w:tcPr>
          <w:p w14:paraId="2F03FB30" w14:textId="77777777" w:rsidR="00821227" w:rsidRPr="00217865" w:rsidRDefault="00821227" w:rsidP="00E06AED">
            <w:pPr>
              <w:pStyle w:val="Z"/>
              <w:jc w:val="center"/>
              <w:rPr>
                <w:color w:val="000000" w:themeColor="text1"/>
                <w:szCs w:val="18"/>
                <w:highlight w:val="yellow"/>
              </w:rPr>
            </w:pPr>
            <w:r w:rsidRPr="00217865">
              <w:rPr>
                <w:color w:val="000000" w:themeColor="text1"/>
              </w:rPr>
              <w:t>81.7 (75.5, 86.4)</w:t>
            </w:r>
          </w:p>
        </w:tc>
        <w:tc>
          <w:tcPr>
            <w:tcW w:w="322" w:type="pct"/>
            <w:tcBorders>
              <w:top w:val="single" w:sz="4" w:space="0" w:color="auto"/>
              <w:left w:val="single" w:sz="4" w:space="0" w:color="auto"/>
              <w:bottom w:val="single" w:sz="4" w:space="0" w:color="auto"/>
              <w:right w:val="single" w:sz="4" w:space="0" w:color="auto"/>
            </w:tcBorders>
            <w:vAlign w:val="center"/>
          </w:tcPr>
          <w:p w14:paraId="46C833D5" w14:textId="77777777" w:rsidR="00821227" w:rsidRPr="00217865" w:rsidRDefault="00821227" w:rsidP="00E06AED">
            <w:pPr>
              <w:pStyle w:val="Z"/>
              <w:jc w:val="center"/>
              <w:rPr>
                <w:color w:val="000000" w:themeColor="text1"/>
                <w:szCs w:val="18"/>
                <w:highlight w:val="yellow"/>
              </w:rPr>
            </w:pPr>
            <w:r w:rsidRPr="00217865">
              <w:rPr>
                <w:color w:val="000000" w:themeColor="text1"/>
              </w:rPr>
              <w:t>87.1 (81.6, 90.8)</w:t>
            </w:r>
          </w:p>
        </w:tc>
        <w:tc>
          <w:tcPr>
            <w:tcW w:w="323" w:type="pct"/>
            <w:tcBorders>
              <w:top w:val="single" w:sz="4" w:space="0" w:color="auto"/>
              <w:left w:val="single" w:sz="4" w:space="0" w:color="auto"/>
              <w:bottom w:val="single" w:sz="4" w:space="0" w:color="auto"/>
              <w:right w:val="single" w:sz="4" w:space="0" w:color="auto"/>
            </w:tcBorders>
            <w:vAlign w:val="center"/>
          </w:tcPr>
          <w:p w14:paraId="09795297" w14:textId="77777777" w:rsidR="00821227" w:rsidRPr="00217865" w:rsidRDefault="00821227" w:rsidP="00E06AED">
            <w:pPr>
              <w:pStyle w:val="Z"/>
              <w:jc w:val="center"/>
              <w:rPr>
                <w:color w:val="000000" w:themeColor="text1"/>
                <w:szCs w:val="18"/>
                <w:highlight w:val="yellow"/>
              </w:rPr>
            </w:pPr>
            <w:r w:rsidRPr="00217865">
              <w:rPr>
                <w:color w:val="000000" w:themeColor="text1"/>
              </w:rPr>
              <w:t>86.6 (81.3, 90.2)</w:t>
            </w:r>
          </w:p>
        </w:tc>
        <w:tc>
          <w:tcPr>
            <w:tcW w:w="323" w:type="pct"/>
            <w:tcBorders>
              <w:top w:val="single" w:sz="4" w:space="0" w:color="auto"/>
              <w:left w:val="single" w:sz="4" w:space="0" w:color="auto"/>
              <w:bottom w:val="single" w:sz="4" w:space="0" w:color="auto"/>
              <w:right w:val="single" w:sz="4" w:space="0" w:color="auto"/>
            </w:tcBorders>
            <w:vAlign w:val="center"/>
          </w:tcPr>
          <w:p w14:paraId="0E622707" w14:textId="77777777" w:rsidR="00821227" w:rsidRPr="00217865" w:rsidRDefault="00821227" w:rsidP="00E06AED">
            <w:pPr>
              <w:pStyle w:val="Z"/>
              <w:jc w:val="center"/>
              <w:rPr>
                <w:color w:val="000000" w:themeColor="text1"/>
                <w:szCs w:val="18"/>
                <w:highlight w:val="yellow"/>
              </w:rPr>
            </w:pPr>
            <w:r w:rsidRPr="00217865">
              <w:rPr>
                <w:color w:val="000000" w:themeColor="text1"/>
              </w:rPr>
              <w:t>82.4 (76.4, 86.6)</w:t>
            </w:r>
          </w:p>
        </w:tc>
        <w:tc>
          <w:tcPr>
            <w:tcW w:w="323" w:type="pct"/>
            <w:tcBorders>
              <w:top w:val="single" w:sz="4" w:space="0" w:color="auto"/>
              <w:left w:val="single" w:sz="4" w:space="0" w:color="auto"/>
              <w:bottom w:val="single" w:sz="4" w:space="0" w:color="auto"/>
              <w:right w:val="single" w:sz="4" w:space="0" w:color="auto"/>
            </w:tcBorders>
            <w:vAlign w:val="center"/>
          </w:tcPr>
          <w:p w14:paraId="667FE58C" w14:textId="77777777" w:rsidR="00821227" w:rsidRPr="00217865" w:rsidRDefault="00821227" w:rsidP="00E06AED">
            <w:pPr>
              <w:pStyle w:val="Z"/>
              <w:jc w:val="center"/>
              <w:rPr>
                <w:color w:val="000000" w:themeColor="text1"/>
                <w:szCs w:val="18"/>
                <w:highlight w:val="yellow"/>
              </w:rPr>
            </w:pPr>
            <w:r w:rsidRPr="00217865">
              <w:rPr>
                <w:color w:val="000000" w:themeColor="text1"/>
              </w:rPr>
              <w:t>81.6 (76.1, 85.8)</w:t>
            </w:r>
          </w:p>
        </w:tc>
      </w:tr>
      <w:tr w:rsidR="00217865" w:rsidRPr="00217865" w14:paraId="35B7DFC3"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06D92C8" w14:textId="77777777" w:rsidR="00821227" w:rsidRPr="00217865" w:rsidRDefault="00821227" w:rsidP="002611FF">
            <w:pPr>
              <w:pStyle w:val="Z"/>
              <w:rPr>
                <w:color w:val="000000" w:themeColor="text1"/>
                <w:szCs w:val="18"/>
                <w:highlight w:val="yellow"/>
              </w:rPr>
            </w:pPr>
            <w:r w:rsidRPr="00217865">
              <w:rPr>
                <w:color w:val="000000" w:themeColor="text1"/>
              </w:rPr>
              <w:t>Charles Darwin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6A4DBE5" w14:textId="77777777" w:rsidR="00821227" w:rsidRPr="00217865" w:rsidRDefault="00821227" w:rsidP="00E06AED">
            <w:pPr>
              <w:pStyle w:val="Z"/>
              <w:jc w:val="center"/>
              <w:rPr>
                <w:color w:val="000000" w:themeColor="text1"/>
                <w:szCs w:val="18"/>
                <w:highlight w:val="yellow"/>
              </w:rPr>
            </w:pPr>
            <w:r w:rsidRPr="00217865">
              <w:rPr>
                <w:color w:val="000000" w:themeColor="text1"/>
              </w:rPr>
              <w:t>84.1 (79.5, 87.5)</w:t>
            </w:r>
          </w:p>
        </w:tc>
        <w:tc>
          <w:tcPr>
            <w:tcW w:w="323" w:type="pct"/>
            <w:tcBorders>
              <w:top w:val="single" w:sz="4" w:space="0" w:color="auto"/>
              <w:left w:val="single" w:sz="4" w:space="0" w:color="auto"/>
              <w:bottom w:val="single" w:sz="4" w:space="0" w:color="auto"/>
              <w:right w:val="single" w:sz="4" w:space="0" w:color="auto"/>
            </w:tcBorders>
            <w:vAlign w:val="center"/>
          </w:tcPr>
          <w:p w14:paraId="3D94C6D8" w14:textId="77777777" w:rsidR="00821227" w:rsidRPr="00217865" w:rsidRDefault="00821227" w:rsidP="00E06AED">
            <w:pPr>
              <w:pStyle w:val="Z"/>
              <w:jc w:val="center"/>
              <w:rPr>
                <w:color w:val="000000" w:themeColor="text1"/>
                <w:szCs w:val="18"/>
                <w:highlight w:val="yellow"/>
              </w:rPr>
            </w:pPr>
            <w:r w:rsidRPr="00217865">
              <w:rPr>
                <w:color w:val="000000" w:themeColor="text1"/>
              </w:rPr>
              <w:t>84.0 (79.8, 87.2)</w:t>
            </w:r>
          </w:p>
        </w:tc>
        <w:tc>
          <w:tcPr>
            <w:tcW w:w="323" w:type="pct"/>
            <w:tcBorders>
              <w:top w:val="single" w:sz="4" w:space="0" w:color="auto"/>
              <w:left w:val="single" w:sz="4" w:space="0" w:color="auto"/>
              <w:bottom w:val="single" w:sz="4" w:space="0" w:color="auto"/>
              <w:right w:val="single" w:sz="4" w:space="0" w:color="auto"/>
            </w:tcBorders>
            <w:vAlign w:val="center"/>
          </w:tcPr>
          <w:p w14:paraId="0F9D2077" w14:textId="77777777" w:rsidR="00821227" w:rsidRPr="00217865" w:rsidRDefault="00821227" w:rsidP="00E06AED">
            <w:pPr>
              <w:pStyle w:val="Z"/>
              <w:jc w:val="center"/>
              <w:rPr>
                <w:color w:val="000000" w:themeColor="text1"/>
                <w:szCs w:val="18"/>
                <w:highlight w:val="yellow"/>
              </w:rPr>
            </w:pPr>
            <w:r w:rsidRPr="00217865">
              <w:rPr>
                <w:color w:val="000000" w:themeColor="text1"/>
              </w:rPr>
              <w:t>64.2 (58.8, 69.0)</w:t>
            </w:r>
          </w:p>
        </w:tc>
        <w:tc>
          <w:tcPr>
            <w:tcW w:w="323" w:type="pct"/>
            <w:tcBorders>
              <w:top w:val="single" w:sz="4" w:space="0" w:color="auto"/>
              <w:left w:val="single" w:sz="4" w:space="0" w:color="auto"/>
              <w:bottom w:val="single" w:sz="4" w:space="0" w:color="auto"/>
              <w:right w:val="single" w:sz="4" w:space="0" w:color="auto"/>
            </w:tcBorders>
            <w:vAlign w:val="center"/>
          </w:tcPr>
          <w:p w14:paraId="19F34076" w14:textId="77777777" w:rsidR="00821227" w:rsidRPr="00217865" w:rsidRDefault="00821227" w:rsidP="00E06AED">
            <w:pPr>
              <w:pStyle w:val="Z"/>
              <w:jc w:val="center"/>
              <w:rPr>
                <w:color w:val="000000" w:themeColor="text1"/>
                <w:szCs w:val="18"/>
                <w:highlight w:val="yellow"/>
              </w:rPr>
            </w:pPr>
            <w:r w:rsidRPr="00217865">
              <w:rPr>
                <w:color w:val="000000" w:themeColor="text1"/>
              </w:rPr>
              <w:t>70.4 (65.6, 74.5)</w:t>
            </w:r>
          </w:p>
        </w:tc>
        <w:tc>
          <w:tcPr>
            <w:tcW w:w="322" w:type="pct"/>
            <w:tcBorders>
              <w:top w:val="single" w:sz="4" w:space="0" w:color="auto"/>
              <w:left w:val="single" w:sz="4" w:space="0" w:color="auto"/>
              <w:bottom w:val="single" w:sz="4" w:space="0" w:color="auto"/>
              <w:right w:val="single" w:sz="4" w:space="0" w:color="auto"/>
            </w:tcBorders>
            <w:vAlign w:val="center"/>
          </w:tcPr>
          <w:p w14:paraId="23FCB06E" w14:textId="77777777" w:rsidR="00821227" w:rsidRPr="00217865" w:rsidRDefault="00821227" w:rsidP="00E06AED">
            <w:pPr>
              <w:pStyle w:val="Z"/>
              <w:jc w:val="center"/>
              <w:rPr>
                <w:color w:val="000000" w:themeColor="text1"/>
                <w:szCs w:val="18"/>
                <w:highlight w:val="yellow"/>
              </w:rPr>
            </w:pPr>
            <w:r w:rsidRPr="00217865">
              <w:rPr>
                <w:color w:val="000000" w:themeColor="text1"/>
              </w:rPr>
              <w:t>78.0 (73.1, 81.9)</w:t>
            </w:r>
          </w:p>
        </w:tc>
        <w:tc>
          <w:tcPr>
            <w:tcW w:w="323" w:type="pct"/>
            <w:tcBorders>
              <w:top w:val="single" w:sz="4" w:space="0" w:color="auto"/>
              <w:left w:val="single" w:sz="4" w:space="0" w:color="auto"/>
              <w:bottom w:val="single" w:sz="4" w:space="0" w:color="auto"/>
              <w:right w:val="single" w:sz="4" w:space="0" w:color="auto"/>
            </w:tcBorders>
            <w:vAlign w:val="center"/>
          </w:tcPr>
          <w:p w14:paraId="30094354" w14:textId="77777777" w:rsidR="00821227" w:rsidRPr="00217865" w:rsidRDefault="00821227" w:rsidP="00E06AED">
            <w:pPr>
              <w:pStyle w:val="Z"/>
              <w:jc w:val="center"/>
              <w:rPr>
                <w:color w:val="000000" w:themeColor="text1"/>
                <w:szCs w:val="18"/>
                <w:highlight w:val="yellow"/>
              </w:rPr>
            </w:pPr>
            <w:r w:rsidRPr="00217865">
              <w:rPr>
                <w:color w:val="000000" w:themeColor="text1"/>
              </w:rPr>
              <w:t>82.6 (78.3, 85.9)</w:t>
            </w:r>
          </w:p>
        </w:tc>
        <w:tc>
          <w:tcPr>
            <w:tcW w:w="323" w:type="pct"/>
            <w:tcBorders>
              <w:top w:val="single" w:sz="4" w:space="0" w:color="auto"/>
              <w:left w:val="single" w:sz="4" w:space="0" w:color="auto"/>
              <w:bottom w:val="single" w:sz="4" w:space="0" w:color="auto"/>
              <w:right w:val="single" w:sz="4" w:space="0" w:color="auto"/>
            </w:tcBorders>
            <w:vAlign w:val="center"/>
          </w:tcPr>
          <w:p w14:paraId="6E68BF69" w14:textId="77777777" w:rsidR="00821227" w:rsidRPr="00217865" w:rsidRDefault="00821227" w:rsidP="00E06AED">
            <w:pPr>
              <w:pStyle w:val="Z"/>
              <w:jc w:val="center"/>
              <w:rPr>
                <w:color w:val="000000" w:themeColor="text1"/>
                <w:szCs w:val="18"/>
                <w:highlight w:val="yellow"/>
              </w:rPr>
            </w:pPr>
            <w:r w:rsidRPr="00217865">
              <w:rPr>
                <w:color w:val="000000" w:themeColor="text1"/>
              </w:rPr>
              <w:t>78.7 (73.6, 82.7)</w:t>
            </w:r>
          </w:p>
        </w:tc>
        <w:tc>
          <w:tcPr>
            <w:tcW w:w="323" w:type="pct"/>
            <w:tcBorders>
              <w:top w:val="single" w:sz="4" w:space="0" w:color="auto"/>
              <w:left w:val="single" w:sz="4" w:space="0" w:color="auto"/>
              <w:bottom w:val="single" w:sz="4" w:space="0" w:color="auto"/>
              <w:right w:val="single" w:sz="4" w:space="0" w:color="auto"/>
            </w:tcBorders>
            <w:vAlign w:val="center"/>
          </w:tcPr>
          <w:p w14:paraId="43840D70" w14:textId="77777777" w:rsidR="00821227" w:rsidRPr="00217865" w:rsidRDefault="00821227" w:rsidP="00E06AED">
            <w:pPr>
              <w:pStyle w:val="Z"/>
              <w:jc w:val="center"/>
              <w:rPr>
                <w:color w:val="000000" w:themeColor="text1"/>
                <w:szCs w:val="18"/>
                <w:highlight w:val="yellow"/>
              </w:rPr>
            </w:pPr>
            <w:r w:rsidRPr="00217865">
              <w:rPr>
                <w:color w:val="000000" w:themeColor="text1"/>
              </w:rPr>
              <w:t>86.9 (82.7, 89.9)</w:t>
            </w:r>
          </w:p>
        </w:tc>
        <w:tc>
          <w:tcPr>
            <w:tcW w:w="322" w:type="pct"/>
            <w:tcBorders>
              <w:top w:val="single" w:sz="4" w:space="0" w:color="auto"/>
              <w:left w:val="single" w:sz="4" w:space="0" w:color="auto"/>
              <w:bottom w:val="single" w:sz="4" w:space="0" w:color="auto"/>
              <w:right w:val="single" w:sz="4" w:space="0" w:color="auto"/>
            </w:tcBorders>
            <w:vAlign w:val="center"/>
          </w:tcPr>
          <w:p w14:paraId="3C0469EA" w14:textId="77777777" w:rsidR="00821227" w:rsidRPr="00217865" w:rsidRDefault="00821227" w:rsidP="00E06AED">
            <w:pPr>
              <w:pStyle w:val="Z"/>
              <w:jc w:val="center"/>
              <w:rPr>
                <w:color w:val="000000" w:themeColor="text1"/>
                <w:szCs w:val="18"/>
                <w:highlight w:val="yellow"/>
              </w:rPr>
            </w:pPr>
            <w:r w:rsidRPr="00217865">
              <w:rPr>
                <w:color w:val="000000" w:themeColor="text1"/>
              </w:rPr>
              <w:t>84.6 (80.1, 88.0)</w:t>
            </w:r>
          </w:p>
        </w:tc>
        <w:tc>
          <w:tcPr>
            <w:tcW w:w="323" w:type="pct"/>
            <w:tcBorders>
              <w:top w:val="single" w:sz="4" w:space="0" w:color="auto"/>
              <w:left w:val="single" w:sz="4" w:space="0" w:color="auto"/>
              <w:bottom w:val="single" w:sz="4" w:space="0" w:color="auto"/>
              <w:right w:val="single" w:sz="4" w:space="0" w:color="auto"/>
            </w:tcBorders>
            <w:vAlign w:val="center"/>
          </w:tcPr>
          <w:p w14:paraId="106002E3" w14:textId="77777777" w:rsidR="00821227" w:rsidRPr="00217865" w:rsidRDefault="00821227" w:rsidP="00E06AED">
            <w:pPr>
              <w:pStyle w:val="Z"/>
              <w:jc w:val="center"/>
              <w:rPr>
                <w:color w:val="000000" w:themeColor="text1"/>
                <w:szCs w:val="18"/>
                <w:highlight w:val="yellow"/>
              </w:rPr>
            </w:pPr>
            <w:r w:rsidRPr="00217865">
              <w:rPr>
                <w:color w:val="000000" w:themeColor="text1"/>
              </w:rPr>
              <w:t>86.7 (82.6, 89.6)</w:t>
            </w:r>
          </w:p>
        </w:tc>
        <w:tc>
          <w:tcPr>
            <w:tcW w:w="323" w:type="pct"/>
            <w:tcBorders>
              <w:top w:val="single" w:sz="4" w:space="0" w:color="auto"/>
              <w:left w:val="single" w:sz="4" w:space="0" w:color="auto"/>
              <w:bottom w:val="single" w:sz="4" w:space="0" w:color="auto"/>
              <w:right w:val="single" w:sz="4" w:space="0" w:color="auto"/>
            </w:tcBorders>
            <w:vAlign w:val="center"/>
          </w:tcPr>
          <w:p w14:paraId="4E5B7FE0" w14:textId="77777777" w:rsidR="00821227" w:rsidRPr="00217865" w:rsidRDefault="00821227" w:rsidP="00E06AED">
            <w:pPr>
              <w:pStyle w:val="Z"/>
              <w:jc w:val="center"/>
              <w:rPr>
                <w:color w:val="000000" w:themeColor="text1"/>
                <w:szCs w:val="18"/>
                <w:highlight w:val="yellow"/>
              </w:rPr>
            </w:pPr>
            <w:r w:rsidRPr="00217865">
              <w:rPr>
                <w:color w:val="000000" w:themeColor="text1"/>
              </w:rPr>
              <w:t>75.3 (70.3, 79.5)</w:t>
            </w:r>
          </w:p>
        </w:tc>
        <w:tc>
          <w:tcPr>
            <w:tcW w:w="323" w:type="pct"/>
            <w:tcBorders>
              <w:top w:val="single" w:sz="4" w:space="0" w:color="auto"/>
              <w:left w:val="single" w:sz="4" w:space="0" w:color="auto"/>
              <w:bottom w:val="single" w:sz="4" w:space="0" w:color="auto"/>
              <w:right w:val="single" w:sz="4" w:space="0" w:color="auto"/>
            </w:tcBorders>
            <w:vAlign w:val="center"/>
          </w:tcPr>
          <w:p w14:paraId="2745A42B" w14:textId="77777777" w:rsidR="00821227" w:rsidRPr="00217865" w:rsidRDefault="00821227" w:rsidP="00E06AED">
            <w:pPr>
              <w:pStyle w:val="Z"/>
              <w:jc w:val="center"/>
              <w:rPr>
                <w:color w:val="000000" w:themeColor="text1"/>
                <w:szCs w:val="18"/>
                <w:highlight w:val="yellow"/>
              </w:rPr>
            </w:pPr>
            <w:r w:rsidRPr="00217865">
              <w:rPr>
                <w:color w:val="000000" w:themeColor="text1"/>
              </w:rPr>
              <w:t>79.5 (75.0, 83.0)</w:t>
            </w:r>
          </w:p>
        </w:tc>
      </w:tr>
      <w:tr w:rsidR="00217865" w:rsidRPr="00217865" w14:paraId="2D0DC442"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A100305" w14:textId="77777777" w:rsidR="00821227" w:rsidRPr="00217865" w:rsidRDefault="00821227" w:rsidP="002611FF">
            <w:pPr>
              <w:pStyle w:val="Z"/>
              <w:rPr>
                <w:color w:val="000000" w:themeColor="text1"/>
                <w:szCs w:val="18"/>
                <w:highlight w:val="yellow"/>
              </w:rPr>
            </w:pPr>
            <w:r w:rsidRPr="00217865">
              <w:rPr>
                <w:color w:val="000000" w:themeColor="text1"/>
              </w:rPr>
              <w:t>Charles Sturt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350C617" w14:textId="77777777" w:rsidR="00821227" w:rsidRPr="00217865" w:rsidRDefault="00821227" w:rsidP="00E06AED">
            <w:pPr>
              <w:pStyle w:val="Z"/>
              <w:jc w:val="center"/>
              <w:rPr>
                <w:color w:val="000000" w:themeColor="text1"/>
                <w:szCs w:val="18"/>
                <w:highlight w:val="yellow"/>
              </w:rPr>
            </w:pPr>
            <w:r w:rsidRPr="00217865">
              <w:rPr>
                <w:color w:val="000000" w:themeColor="text1"/>
              </w:rPr>
              <w:t>85.5 (79.0, 89.8)</w:t>
            </w:r>
          </w:p>
        </w:tc>
        <w:tc>
          <w:tcPr>
            <w:tcW w:w="323" w:type="pct"/>
            <w:tcBorders>
              <w:top w:val="single" w:sz="4" w:space="0" w:color="auto"/>
              <w:left w:val="single" w:sz="4" w:space="0" w:color="auto"/>
              <w:bottom w:val="single" w:sz="4" w:space="0" w:color="auto"/>
              <w:right w:val="single" w:sz="4" w:space="0" w:color="auto"/>
            </w:tcBorders>
            <w:vAlign w:val="center"/>
          </w:tcPr>
          <w:p w14:paraId="4CCC09B7" w14:textId="77777777" w:rsidR="00821227" w:rsidRPr="00217865" w:rsidRDefault="00821227" w:rsidP="00E06AED">
            <w:pPr>
              <w:pStyle w:val="Z"/>
              <w:jc w:val="center"/>
              <w:rPr>
                <w:color w:val="000000" w:themeColor="text1"/>
                <w:szCs w:val="18"/>
                <w:highlight w:val="yellow"/>
              </w:rPr>
            </w:pPr>
            <w:r w:rsidRPr="00217865">
              <w:rPr>
                <w:color w:val="000000" w:themeColor="text1"/>
              </w:rPr>
              <w:t>89.4 (82.6, 93.0)</w:t>
            </w:r>
          </w:p>
        </w:tc>
        <w:tc>
          <w:tcPr>
            <w:tcW w:w="323" w:type="pct"/>
            <w:tcBorders>
              <w:top w:val="single" w:sz="4" w:space="0" w:color="auto"/>
              <w:left w:val="single" w:sz="4" w:space="0" w:color="auto"/>
              <w:bottom w:val="single" w:sz="4" w:space="0" w:color="auto"/>
              <w:right w:val="single" w:sz="4" w:space="0" w:color="auto"/>
            </w:tcBorders>
            <w:vAlign w:val="center"/>
          </w:tcPr>
          <w:p w14:paraId="4A9D9583" w14:textId="77777777" w:rsidR="00821227" w:rsidRPr="00217865" w:rsidRDefault="00821227" w:rsidP="00E06AED">
            <w:pPr>
              <w:pStyle w:val="Z"/>
              <w:jc w:val="center"/>
              <w:rPr>
                <w:color w:val="000000" w:themeColor="text1"/>
                <w:szCs w:val="18"/>
                <w:highlight w:val="yellow"/>
              </w:rPr>
            </w:pPr>
            <w:r w:rsidRPr="00217865">
              <w:rPr>
                <w:color w:val="000000" w:themeColor="text1"/>
              </w:rPr>
              <w:t>55.8 (48.4, 62.9)</w:t>
            </w:r>
          </w:p>
        </w:tc>
        <w:tc>
          <w:tcPr>
            <w:tcW w:w="323" w:type="pct"/>
            <w:tcBorders>
              <w:top w:val="single" w:sz="4" w:space="0" w:color="auto"/>
              <w:left w:val="single" w:sz="4" w:space="0" w:color="auto"/>
              <w:bottom w:val="single" w:sz="4" w:space="0" w:color="auto"/>
              <w:right w:val="single" w:sz="4" w:space="0" w:color="auto"/>
            </w:tcBorders>
            <w:vAlign w:val="center"/>
          </w:tcPr>
          <w:p w14:paraId="1A7D9FE1" w14:textId="77777777" w:rsidR="00821227" w:rsidRPr="00217865" w:rsidRDefault="00821227" w:rsidP="00E06AED">
            <w:pPr>
              <w:pStyle w:val="Z"/>
              <w:jc w:val="center"/>
              <w:rPr>
                <w:color w:val="000000" w:themeColor="text1"/>
                <w:szCs w:val="18"/>
                <w:highlight w:val="yellow"/>
              </w:rPr>
            </w:pPr>
            <w:r w:rsidRPr="00217865">
              <w:rPr>
                <w:color w:val="000000" w:themeColor="text1"/>
              </w:rPr>
              <w:t>59.4 (51.5, 66.6)</w:t>
            </w:r>
          </w:p>
        </w:tc>
        <w:tc>
          <w:tcPr>
            <w:tcW w:w="322" w:type="pct"/>
            <w:tcBorders>
              <w:top w:val="single" w:sz="4" w:space="0" w:color="auto"/>
              <w:left w:val="single" w:sz="4" w:space="0" w:color="auto"/>
              <w:bottom w:val="single" w:sz="4" w:space="0" w:color="auto"/>
              <w:right w:val="single" w:sz="4" w:space="0" w:color="auto"/>
            </w:tcBorders>
            <w:vAlign w:val="center"/>
          </w:tcPr>
          <w:p w14:paraId="606B33AF" w14:textId="77777777" w:rsidR="00821227" w:rsidRPr="00217865" w:rsidRDefault="00821227" w:rsidP="00E06AED">
            <w:pPr>
              <w:pStyle w:val="Z"/>
              <w:jc w:val="center"/>
              <w:rPr>
                <w:color w:val="000000" w:themeColor="text1"/>
                <w:szCs w:val="18"/>
                <w:highlight w:val="yellow"/>
              </w:rPr>
            </w:pPr>
            <w:r w:rsidRPr="00217865">
              <w:rPr>
                <w:color w:val="000000" w:themeColor="text1"/>
              </w:rPr>
              <w:t>80.7 (73.8, 85.8)</w:t>
            </w:r>
          </w:p>
        </w:tc>
        <w:tc>
          <w:tcPr>
            <w:tcW w:w="323" w:type="pct"/>
            <w:tcBorders>
              <w:top w:val="single" w:sz="4" w:space="0" w:color="auto"/>
              <w:left w:val="single" w:sz="4" w:space="0" w:color="auto"/>
              <w:bottom w:val="single" w:sz="4" w:space="0" w:color="auto"/>
              <w:right w:val="single" w:sz="4" w:space="0" w:color="auto"/>
            </w:tcBorders>
            <w:vAlign w:val="center"/>
          </w:tcPr>
          <w:p w14:paraId="0BAA9C37" w14:textId="77777777" w:rsidR="00821227" w:rsidRPr="00217865" w:rsidRDefault="00821227" w:rsidP="00E06AED">
            <w:pPr>
              <w:pStyle w:val="Z"/>
              <w:jc w:val="center"/>
              <w:rPr>
                <w:color w:val="000000" w:themeColor="text1"/>
                <w:szCs w:val="18"/>
                <w:highlight w:val="yellow"/>
              </w:rPr>
            </w:pPr>
            <w:r w:rsidRPr="00217865">
              <w:rPr>
                <w:color w:val="000000" w:themeColor="text1"/>
              </w:rPr>
              <w:t>80.6 (73.0, 85.8)</w:t>
            </w:r>
          </w:p>
        </w:tc>
        <w:tc>
          <w:tcPr>
            <w:tcW w:w="323" w:type="pct"/>
            <w:tcBorders>
              <w:top w:val="single" w:sz="4" w:space="0" w:color="auto"/>
              <w:left w:val="single" w:sz="4" w:space="0" w:color="auto"/>
              <w:bottom w:val="single" w:sz="4" w:space="0" w:color="auto"/>
              <w:right w:val="single" w:sz="4" w:space="0" w:color="auto"/>
            </w:tcBorders>
            <w:vAlign w:val="center"/>
          </w:tcPr>
          <w:p w14:paraId="2B37A314" w14:textId="77777777" w:rsidR="00821227" w:rsidRPr="00217865" w:rsidRDefault="00821227" w:rsidP="00E06AED">
            <w:pPr>
              <w:pStyle w:val="Z"/>
              <w:jc w:val="center"/>
              <w:rPr>
                <w:color w:val="000000" w:themeColor="text1"/>
                <w:szCs w:val="18"/>
                <w:highlight w:val="yellow"/>
              </w:rPr>
            </w:pPr>
            <w:r w:rsidRPr="00217865">
              <w:rPr>
                <w:color w:val="000000" w:themeColor="text1"/>
              </w:rPr>
              <w:t>75.3 (67.9, 81.1)</w:t>
            </w:r>
          </w:p>
        </w:tc>
        <w:tc>
          <w:tcPr>
            <w:tcW w:w="323" w:type="pct"/>
            <w:tcBorders>
              <w:top w:val="single" w:sz="4" w:space="0" w:color="auto"/>
              <w:left w:val="single" w:sz="4" w:space="0" w:color="auto"/>
              <w:bottom w:val="single" w:sz="4" w:space="0" w:color="auto"/>
              <w:right w:val="single" w:sz="4" w:space="0" w:color="auto"/>
            </w:tcBorders>
            <w:vAlign w:val="center"/>
          </w:tcPr>
          <w:p w14:paraId="1077F97B" w14:textId="77777777" w:rsidR="00821227" w:rsidRPr="00217865" w:rsidRDefault="00821227" w:rsidP="00E06AED">
            <w:pPr>
              <w:pStyle w:val="Z"/>
              <w:jc w:val="center"/>
              <w:rPr>
                <w:color w:val="000000" w:themeColor="text1"/>
                <w:szCs w:val="18"/>
                <w:highlight w:val="yellow"/>
              </w:rPr>
            </w:pPr>
            <w:r w:rsidRPr="00217865">
              <w:rPr>
                <w:color w:val="000000" w:themeColor="text1"/>
              </w:rPr>
              <w:t>76.8 (67.8, 83.3)</w:t>
            </w:r>
          </w:p>
        </w:tc>
        <w:tc>
          <w:tcPr>
            <w:tcW w:w="322" w:type="pct"/>
            <w:tcBorders>
              <w:top w:val="single" w:sz="4" w:space="0" w:color="auto"/>
              <w:left w:val="single" w:sz="4" w:space="0" w:color="auto"/>
              <w:bottom w:val="single" w:sz="4" w:space="0" w:color="auto"/>
              <w:right w:val="single" w:sz="4" w:space="0" w:color="auto"/>
            </w:tcBorders>
            <w:vAlign w:val="center"/>
          </w:tcPr>
          <w:p w14:paraId="65AA9489" w14:textId="77777777" w:rsidR="00821227" w:rsidRPr="00217865" w:rsidRDefault="00821227" w:rsidP="00E06AED">
            <w:pPr>
              <w:pStyle w:val="Z"/>
              <w:jc w:val="center"/>
              <w:rPr>
                <w:color w:val="000000" w:themeColor="text1"/>
                <w:szCs w:val="18"/>
                <w:highlight w:val="yellow"/>
              </w:rPr>
            </w:pPr>
            <w:r w:rsidRPr="00217865">
              <w:rPr>
                <w:color w:val="000000" w:themeColor="text1"/>
              </w:rPr>
              <w:t>82.1 (74.9, 87.1)</w:t>
            </w:r>
          </w:p>
        </w:tc>
        <w:tc>
          <w:tcPr>
            <w:tcW w:w="323" w:type="pct"/>
            <w:tcBorders>
              <w:top w:val="single" w:sz="4" w:space="0" w:color="auto"/>
              <w:left w:val="single" w:sz="4" w:space="0" w:color="auto"/>
              <w:bottom w:val="single" w:sz="4" w:space="0" w:color="auto"/>
              <w:right w:val="single" w:sz="4" w:space="0" w:color="auto"/>
            </w:tcBorders>
            <w:vAlign w:val="center"/>
          </w:tcPr>
          <w:p w14:paraId="5C113617" w14:textId="77777777" w:rsidR="00821227" w:rsidRPr="00217865" w:rsidRDefault="00821227" w:rsidP="00E06AED">
            <w:pPr>
              <w:pStyle w:val="Z"/>
              <w:jc w:val="center"/>
              <w:rPr>
                <w:color w:val="000000" w:themeColor="text1"/>
                <w:szCs w:val="18"/>
                <w:highlight w:val="yellow"/>
              </w:rPr>
            </w:pPr>
            <w:r w:rsidRPr="00217865">
              <w:rPr>
                <w:color w:val="000000" w:themeColor="text1"/>
              </w:rPr>
              <w:t>85.5 (77.9, 90.1)</w:t>
            </w:r>
          </w:p>
        </w:tc>
        <w:tc>
          <w:tcPr>
            <w:tcW w:w="323" w:type="pct"/>
            <w:tcBorders>
              <w:top w:val="single" w:sz="4" w:space="0" w:color="auto"/>
              <w:left w:val="single" w:sz="4" w:space="0" w:color="auto"/>
              <w:bottom w:val="single" w:sz="4" w:space="0" w:color="auto"/>
              <w:right w:val="single" w:sz="4" w:space="0" w:color="auto"/>
            </w:tcBorders>
            <w:vAlign w:val="center"/>
          </w:tcPr>
          <w:p w14:paraId="1B5506E5" w14:textId="77777777" w:rsidR="00821227" w:rsidRPr="00217865" w:rsidRDefault="00821227" w:rsidP="00E06AED">
            <w:pPr>
              <w:pStyle w:val="Z"/>
              <w:jc w:val="center"/>
              <w:rPr>
                <w:color w:val="000000" w:themeColor="text1"/>
                <w:szCs w:val="18"/>
                <w:highlight w:val="yellow"/>
              </w:rPr>
            </w:pPr>
            <w:r w:rsidRPr="00217865">
              <w:rPr>
                <w:color w:val="000000" w:themeColor="text1"/>
              </w:rPr>
              <w:t>73.3 (66.0, 79.0)</w:t>
            </w:r>
          </w:p>
        </w:tc>
        <w:tc>
          <w:tcPr>
            <w:tcW w:w="323" w:type="pct"/>
            <w:tcBorders>
              <w:top w:val="single" w:sz="4" w:space="0" w:color="auto"/>
              <w:left w:val="single" w:sz="4" w:space="0" w:color="auto"/>
              <w:bottom w:val="single" w:sz="4" w:space="0" w:color="auto"/>
              <w:right w:val="single" w:sz="4" w:space="0" w:color="auto"/>
            </w:tcBorders>
            <w:vAlign w:val="center"/>
          </w:tcPr>
          <w:p w14:paraId="27F6404E" w14:textId="77777777" w:rsidR="00821227" w:rsidRPr="00217865" w:rsidRDefault="00821227" w:rsidP="00E06AED">
            <w:pPr>
              <w:pStyle w:val="Z"/>
              <w:jc w:val="center"/>
              <w:rPr>
                <w:color w:val="000000" w:themeColor="text1"/>
                <w:szCs w:val="18"/>
                <w:highlight w:val="yellow"/>
              </w:rPr>
            </w:pPr>
            <w:r w:rsidRPr="00217865">
              <w:rPr>
                <w:color w:val="000000" w:themeColor="text1"/>
              </w:rPr>
              <w:t>76.8 (69.2, 82.4)</w:t>
            </w:r>
          </w:p>
        </w:tc>
      </w:tr>
      <w:tr w:rsidR="00217865" w:rsidRPr="00217865" w14:paraId="0EB57F6C"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42EDC3D" w14:textId="77777777" w:rsidR="00821227" w:rsidRPr="00217865" w:rsidRDefault="00821227" w:rsidP="002611FF">
            <w:pPr>
              <w:pStyle w:val="Z"/>
              <w:rPr>
                <w:color w:val="000000" w:themeColor="text1"/>
                <w:szCs w:val="18"/>
                <w:highlight w:val="yellow"/>
              </w:rPr>
            </w:pPr>
            <w:r w:rsidRPr="00217865">
              <w:rPr>
                <w:color w:val="000000" w:themeColor="text1"/>
              </w:rPr>
              <w:t>Curtin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4C3D5D9" w14:textId="77777777" w:rsidR="00821227" w:rsidRPr="00217865" w:rsidRDefault="00821227" w:rsidP="00E06AED">
            <w:pPr>
              <w:pStyle w:val="Z"/>
              <w:jc w:val="center"/>
              <w:rPr>
                <w:color w:val="000000" w:themeColor="text1"/>
                <w:szCs w:val="18"/>
                <w:highlight w:val="yellow"/>
              </w:rPr>
            </w:pPr>
            <w:r w:rsidRPr="00217865">
              <w:rPr>
                <w:color w:val="000000" w:themeColor="text1"/>
              </w:rPr>
              <w:t>79.5 (76.7, 82.0)</w:t>
            </w:r>
          </w:p>
        </w:tc>
        <w:tc>
          <w:tcPr>
            <w:tcW w:w="323" w:type="pct"/>
            <w:tcBorders>
              <w:top w:val="single" w:sz="4" w:space="0" w:color="auto"/>
              <w:left w:val="single" w:sz="4" w:space="0" w:color="auto"/>
              <w:bottom w:val="single" w:sz="4" w:space="0" w:color="auto"/>
              <w:right w:val="single" w:sz="4" w:space="0" w:color="auto"/>
            </w:tcBorders>
            <w:vAlign w:val="center"/>
          </w:tcPr>
          <w:p w14:paraId="37EF9676" w14:textId="77777777" w:rsidR="00821227" w:rsidRPr="00217865" w:rsidRDefault="00821227" w:rsidP="00E06AED">
            <w:pPr>
              <w:pStyle w:val="Z"/>
              <w:jc w:val="center"/>
              <w:rPr>
                <w:color w:val="000000" w:themeColor="text1"/>
                <w:szCs w:val="18"/>
                <w:highlight w:val="yellow"/>
              </w:rPr>
            </w:pPr>
            <w:r w:rsidRPr="00217865">
              <w:rPr>
                <w:color w:val="000000" w:themeColor="text1"/>
              </w:rPr>
              <w:t>84.3 (82.1, 86.1)</w:t>
            </w:r>
          </w:p>
        </w:tc>
        <w:tc>
          <w:tcPr>
            <w:tcW w:w="323" w:type="pct"/>
            <w:tcBorders>
              <w:top w:val="single" w:sz="4" w:space="0" w:color="auto"/>
              <w:left w:val="single" w:sz="4" w:space="0" w:color="auto"/>
              <w:bottom w:val="single" w:sz="4" w:space="0" w:color="auto"/>
              <w:right w:val="single" w:sz="4" w:space="0" w:color="auto"/>
            </w:tcBorders>
            <w:vAlign w:val="center"/>
          </w:tcPr>
          <w:p w14:paraId="7D6C0248" w14:textId="77777777" w:rsidR="00821227" w:rsidRPr="00217865" w:rsidRDefault="00821227" w:rsidP="00E06AED">
            <w:pPr>
              <w:pStyle w:val="Z"/>
              <w:jc w:val="center"/>
              <w:rPr>
                <w:color w:val="000000" w:themeColor="text1"/>
                <w:szCs w:val="18"/>
                <w:highlight w:val="yellow"/>
              </w:rPr>
            </w:pPr>
            <w:r w:rsidRPr="00217865">
              <w:rPr>
                <w:color w:val="000000" w:themeColor="text1"/>
              </w:rPr>
              <w:t>57.7 (54.5, 60.8)</w:t>
            </w:r>
          </w:p>
        </w:tc>
        <w:tc>
          <w:tcPr>
            <w:tcW w:w="323" w:type="pct"/>
            <w:tcBorders>
              <w:top w:val="single" w:sz="4" w:space="0" w:color="auto"/>
              <w:left w:val="single" w:sz="4" w:space="0" w:color="auto"/>
              <w:bottom w:val="single" w:sz="4" w:space="0" w:color="auto"/>
              <w:right w:val="single" w:sz="4" w:space="0" w:color="auto"/>
            </w:tcBorders>
            <w:vAlign w:val="center"/>
          </w:tcPr>
          <w:p w14:paraId="33A0870F" w14:textId="77777777" w:rsidR="00821227" w:rsidRPr="00217865" w:rsidRDefault="00821227" w:rsidP="00E06AED">
            <w:pPr>
              <w:pStyle w:val="Z"/>
              <w:jc w:val="center"/>
              <w:rPr>
                <w:color w:val="000000" w:themeColor="text1"/>
                <w:szCs w:val="18"/>
                <w:highlight w:val="yellow"/>
              </w:rPr>
            </w:pPr>
            <w:r w:rsidRPr="00217865">
              <w:rPr>
                <w:color w:val="000000" w:themeColor="text1"/>
              </w:rPr>
              <w:t>66.5 (63.9, 69.0)</w:t>
            </w:r>
          </w:p>
        </w:tc>
        <w:tc>
          <w:tcPr>
            <w:tcW w:w="322" w:type="pct"/>
            <w:tcBorders>
              <w:top w:val="single" w:sz="4" w:space="0" w:color="auto"/>
              <w:left w:val="single" w:sz="4" w:space="0" w:color="auto"/>
              <w:bottom w:val="single" w:sz="4" w:space="0" w:color="auto"/>
              <w:right w:val="single" w:sz="4" w:space="0" w:color="auto"/>
            </w:tcBorders>
            <w:vAlign w:val="center"/>
          </w:tcPr>
          <w:p w14:paraId="306A0A84" w14:textId="77777777" w:rsidR="00821227" w:rsidRPr="00217865" w:rsidRDefault="00821227" w:rsidP="00E06AED">
            <w:pPr>
              <w:pStyle w:val="Z"/>
              <w:jc w:val="center"/>
              <w:rPr>
                <w:color w:val="000000" w:themeColor="text1"/>
                <w:szCs w:val="18"/>
                <w:highlight w:val="yellow"/>
              </w:rPr>
            </w:pPr>
            <w:r w:rsidRPr="00217865">
              <w:rPr>
                <w:color w:val="000000" w:themeColor="text1"/>
              </w:rPr>
              <w:t>78.3 (75.5, 80.8)</w:t>
            </w:r>
          </w:p>
        </w:tc>
        <w:tc>
          <w:tcPr>
            <w:tcW w:w="323" w:type="pct"/>
            <w:tcBorders>
              <w:top w:val="single" w:sz="4" w:space="0" w:color="auto"/>
              <w:left w:val="single" w:sz="4" w:space="0" w:color="auto"/>
              <w:bottom w:val="single" w:sz="4" w:space="0" w:color="auto"/>
              <w:right w:val="single" w:sz="4" w:space="0" w:color="auto"/>
            </w:tcBorders>
            <w:vAlign w:val="center"/>
          </w:tcPr>
          <w:p w14:paraId="6F22290A" w14:textId="77777777" w:rsidR="00821227" w:rsidRPr="00217865" w:rsidRDefault="00821227" w:rsidP="00E06AED">
            <w:pPr>
              <w:pStyle w:val="Z"/>
              <w:jc w:val="center"/>
              <w:rPr>
                <w:color w:val="000000" w:themeColor="text1"/>
                <w:szCs w:val="18"/>
                <w:highlight w:val="yellow"/>
              </w:rPr>
            </w:pPr>
            <w:r w:rsidRPr="00217865">
              <w:rPr>
                <w:color w:val="000000" w:themeColor="text1"/>
              </w:rPr>
              <w:t>83.3 (81.1, 85.2)</w:t>
            </w:r>
          </w:p>
        </w:tc>
        <w:tc>
          <w:tcPr>
            <w:tcW w:w="323" w:type="pct"/>
            <w:tcBorders>
              <w:top w:val="single" w:sz="4" w:space="0" w:color="auto"/>
              <w:left w:val="single" w:sz="4" w:space="0" w:color="auto"/>
              <w:bottom w:val="single" w:sz="4" w:space="0" w:color="auto"/>
              <w:right w:val="single" w:sz="4" w:space="0" w:color="auto"/>
            </w:tcBorders>
            <w:vAlign w:val="center"/>
          </w:tcPr>
          <w:p w14:paraId="0C8D6297" w14:textId="77777777" w:rsidR="00821227" w:rsidRPr="00217865" w:rsidRDefault="00821227" w:rsidP="00E06AED">
            <w:pPr>
              <w:pStyle w:val="Z"/>
              <w:jc w:val="center"/>
              <w:rPr>
                <w:color w:val="000000" w:themeColor="text1"/>
                <w:szCs w:val="18"/>
                <w:highlight w:val="yellow"/>
              </w:rPr>
            </w:pPr>
            <w:r w:rsidRPr="00217865">
              <w:rPr>
                <w:color w:val="000000" w:themeColor="text1"/>
              </w:rPr>
              <w:t>70.1 (66.8, 73.1)</w:t>
            </w:r>
          </w:p>
        </w:tc>
        <w:tc>
          <w:tcPr>
            <w:tcW w:w="323" w:type="pct"/>
            <w:tcBorders>
              <w:top w:val="single" w:sz="4" w:space="0" w:color="auto"/>
              <w:left w:val="single" w:sz="4" w:space="0" w:color="auto"/>
              <w:bottom w:val="single" w:sz="4" w:space="0" w:color="auto"/>
              <w:right w:val="single" w:sz="4" w:space="0" w:color="auto"/>
            </w:tcBorders>
            <w:vAlign w:val="center"/>
          </w:tcPr>
          <w:p w14:paraId="270BFB5F" w14:textId="77777777" w:rsidR="00821227" w:rsidRPr="00217865" w:rsidRDefault="00821227" w:rsidP="00E06AED">
            <w:pPr>
              <w:pStyle w:val="Z"/>
              <w:jc w:val="center"/>
              <w:rPr>
                <w:color w:val="000000" w:themeColor="text1"/>
                <w:szCs w:val="18"/>
                <w:highlight w:val="yellow"/>
              </w:rPr>
            </w:pPr>
            <w:r w:rsidRPr="00217865">
              <w:rPr>
                <w:color w:val="000000" w:themeColor="text1"/>
              </w:rPr>
              <w:t>78.3 (75.6, 80.7)</w:t>
            </w:r>
          </w:p>
        </w:tc>
        <w:tc>
          <w:tcPr>
            <w:tcW w:w="322" w:type="pct"/>
            <w:tcBorders>
              <w:top w:val="single" w:sz="4" w:space="0" w:color="auto"/>
              <w:left w:val="single" w:sz="4" w:space="0" w:color="auto"/>
              <w:bottom w:val="single" w:sz="4" w:space="0" w:color="auto"/>
              <w:right w:val="single" w:sz="4" w:space="0" w:color="auto"/>
            </w:tcBorders>
            <w:vAlign w:val="center"/>
          </w:tcPr>
          <w:p w14:paraId="11B72E0D" w14:textId="77777777" w:rsidR="00821227" w:rsidRPr="00217865" w:rsidRDefault="00821227" w:rsidP="00E06AED">
            <w:pPr>
              <w:pStyle w:val="Z"/>
              <w:jc w:val="center"/>
              <w:rPr>
                <w:color w:val="000000" w:themeColor="text1"/>
                <w:szCs w:val="18"/>
                <w:highlight w:val="yellow"/>
              </w:rPr>
            </w:pPr>
            <w:r w:rsidRPr="00217865">
              <w:rPr>
                <w:color w:val="000000" w:themeColor="text1"/>
              </w:rPr>
              <w:t>82.0 (79.2, 84.4)</w:t>
            </w:r>
          </w:p>
        </w:tc>
        <w:tc>
          <w:tcPr>
            <w:tcW w:w="323" w:type="pct"/>
            <w:tcBorders>
              <w:top w:val="single" w:sz="4" w:space="0" w:color="auto"/>
              <w:left w:val="single" w:sz="4" w:space="0" w:color="auto"/>
              <w:bottom w:val="single" w:sz="4" w:space="0" w:color="auto"/>
              <w:right w:val="single" w:sz="4" w:space="0" w:color="auto"/>
            </w:tcBorders>
            <w:vAlign w:val="center"/>
          </w:tcPr>
          <w:p w14:paraId="3B6E6797" w14:textId="77777777" w:rsidR="00821227" w:rsidRPr="00217865" w:rsidRDefault="00821227" w:rsidP="00E06AED">
            <w:pPr>
              <w:pStyle w:val="Z"/>
              <w:jc w:val="center"/>
              <w:rPr>
                <w:color w:val="000000" w:themeColor="text1"/>
                <w:szCs w:val="18"/>
                <w:highlight w:val="yellow"/>
              </w:rPr>
            </w:pPr>
            <w:r w:rsidRPr="00217865">
              <w:rPr>
                <w:color w:val="000000" w:themeColor="text1"/>
              </w:rPr>
              <w:t>91.0 (89.1, 92.4)</w:t>
            </w:r>
          </w:p>
        </w:tc>
        <w:tc>
          <w:tcPr>
            <w:tcW w:w="323" w:type="pct"/>
            <w:tcBorders>
              <w:top w:val="single" w:sz="4" w:space="0" w:color="auto"/>
              <w:left w:val="single" w:sz="4" w:space="0" w:color="auto"/>
              <w:bottom w:val="single" w:sz="4" w:space="0" w:color="auto"/>
              <w:right w:val="single" w:sz="4" w:space="0" w:color="auto"/>
            </w:tcBorders>
            <w:vAlign w:val="center"/>
          </w:tcPr>
          <w:p w14:paraId="1588CE8B" w14:textId="77777777" w:rsidR="00821227" w:rsidRPr="00217865" w:rsidRDefault="00821227" w:rsidP="00E06AED">
            <w:pPr>
              <w:pStyle w:val="Z"/>
              <w:jc w:val="center"/>
              <w:rPr>
                <w:color w:val="000000" w:themeColor="text1"/>
                <w:szCs w:val="18"/>
                <w:highlight w:val="yellow"/>
              </w:rPr>
            </w:pPr>
            <w:r w:rsidRPr="00217865">
              <w:rPr>
                <w:color w:val="000000" w:themeColor="text1"/>
              </w:rPr>
              <w:t>73.0 (70.0, 75.7)</w:t>
            </w:r>
          </w:p>
        </w:tc>
        <w:tc>
          <w:tcPr>
            <w:tcW w:w="323" w:type="pct"/>
            <w:tcBorders>
              <w:top w:val="single" w:sz="4" w:space="0" w:color="auto"/>
              <w:left w:val="single" w:sz="4" w:space="0" w:color="auto"/>
              <w:bottom w:val="single" w:sz="4" w:space="0" w:color="auto"/>
              <w:right w:val="single" w:sz="4" w:space="0" w:color="auto"/>
            </w:tcBorders>
            <w:vAlign w:val="center"/>
          </w:tcPr>
          <w:p w14:paraId="3C68774C" w14:textId="77777777" w:rsidR="00821227" w:rsidRPr="00217865" w:rsidRDefault="00821227" w:rsidP="00E06AED">
            <w:pPr>
              <w:pStyle w:val="Z"/>
              <w:jc w:val="center"/>
              <w:rPr>
                <w:color w:val="000000" w:themeColor="text1"/>
                <w:szCs w:val="18"/>
                <w:highlight w:val="yellow"/>
              </w:rPr>
            </w:pPr>
            <w:r w:rsidRPr="00217865">
              <w:rPr>
                <w:color w:val="000000" w:themeColor="text1"/>
              </w:rPr>
              <w:t>79.5 (77.2, 81.6)</w:t>
            </w:r>
          </w:p>
        </w:tc>
      </w:tr>
      <w:tr w:rsidR="00217865" w:rsidRPr="00217865" w14:paraId="095AB123"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3E5F96C" w14:textId="77777777" w:rsidR="00821227" w:rsidRPr="00217865" w:rsidRDefault="00821227" w:rsidP="002611FF">
            <w:pPr>
              <w:pStyle w:val="Z"/>
              <w:rPr>
                <w:color w:val="000000" w:themeColor="text1"/>
                <w:szCs w:val="18"/>
                <w:highlight w:val="yellow"/>
              </w:rPr>
            </w:pPr>
            <w:r w:rsidRPr="00217865">
              <w:rPr>
                <w:color w:val="000000" w:themeColor="text1"/>
              </w:rPr>
              <w:t>Deakin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89E7E01" w14:textId="77777777" w:rsidR="00821227" w:rsidRPr="00217865" w:rsidRDefault="00821227" w:rsidP="00E06AED">
            <w:pPr>
              <w:pStyle w:val="Z"/>
              <w:jc w:val="center"/>
              <w:rPr>
                <w:color w:val="000000" w:themeColor="text1"/>
                <w:szCs w:val="18"/>
                <w:highlight w:val="yellow"/>
              </w:rPr>
            </w:pPr>
            <w:r w:rsidRPr="00217865">
              <w:rPr>
                <w:color w:val="000000" w:themeColor="text1"/>
              </w:rPr>
              <w:t>86.5 (84.5, 88.2)</w:t>
            </w:r>
          </w:p>
        </w:tc>
        <w:tc>
          <w:tcPr>
            <w:tcW w:w="323" w:type="pct"/>
            <w:tcBorders>
              <w:top w:val="single" w:sz="4" w:space="0" w:color="auto"/>
              <w:left w:val="single" w:sz="4" w:space="0" w:color="auto"/>
              <w:bottom w:val="single" w:sz="4" w:space="0" w:color="auto"/>
              <w:right w:val="single" w:sz="4" w:space="0" w:color="auto"/>
            </w:tcBorders>
            <w:vAlign w:val="center"/>
          </w:tcPr>
          <w:p w14:paraId="435490B4" w14:textId="77777777" w:rsidR="00821227" w:rsidRPr="00217865" w:rsidRDefault="00821227" w:rsidP="00E06AED">
            <w:pPr>
              <w:pStyle w:val="Z"/>
              <w:jc w:val="center"/>
              <w:rPr>
                <w:color w:val="000000" w:themeColor="text1"/>
                <w:szCs w:val="18"/>
                <w:highlight w:val="yellow"/>
              </w:rPr>
            </w:pPr>
            <w:r w:rsidRPr="00217865">
              <w:rPr>
                <w:color w:val="000000" w:themeColor="text1"/>
              </w:rPr>
              <w:t>88.0 (85.8, 89.8)</w:t>
            </w:r>
          </w:p>
        </w:tc>
        <w:tc>
          <w:tcPr>
            <w:tcW w:w="323" w:type="pct"/>
            <w:tcBorders>
              <w:top w:val="single" w:sz="4" w:space="0" w:color="auto"/>
              <w:left w:val="single" w:sz="4" w:space="0" w:color="auto"/>
              <w:bottom w:val="single" w:sz="4" w:space="0" w:color="auto"/>
              <w:right w:val="single" w:sz="4" w:space="0" w:color="auto"/>
            </w:tcBorders>
            <w:vAlign w:val="center"/>
          </w:tcPr>
          <w:p w14:paraId="1E4026E7" w14:textId="77777777" w:rsidR="00821227" w:rsidRPr="00217865" w:rsidRDefault="00821227" w:rsidP="00E06AED">
            <w:pPr>
              <w:pStyle w:val="Z"/>
              <w:jc w:val="center"/>
              <w:rPr>
                <w:color w:val="000000" w:themeColor="text1"/>
                <w:szCs w:val="18"/>
                <w:highlight w:val="yellow"/>
              </w:rPr>
            </w:pPr>
            <w:r w:rsidRPr="00217865">
              <w:rPr>
                <w:color w:val="000000" w:themeColor="text1"/>
              </w:rPr>
              <w:t>60.7 (58.1, 63.2)</w:t>
            </w:r>
          </w:p>
        </w:tc>
        <w:tc>
          <w:tcPr>
            <w:tcW w:w="323" w:type="pct"/>
            <w:tcBorders>
              <w:top w:val="single" w:sz="4" w:space="0" w:color="auto"/>
              <w:left w:val="single" w:sz="4" w:space="0" w:color="auto"/>
              <w:bottom w:val="single" w:sz="4" w:space="0" w:color="auto"/>
              <w:right w:val="single" w:sz="4" w:space="0" w:color="auto"/>
            </w:tcBorders>
            <w:vAlign w:val="center"/>
          </w:tcPr>
          <w:p w14:paraId="1E2139C5" w14:textId="77777777" w:rsidR="00821227" w:rsidRPr="00217865" w:rsidRDefault="00821227" w:rsidP="00E06AED">
            <w:pPr>
              <w:pStyle w:val="Z"/>
              <w:jc w:val="center"/>
              <w:rPr>
                <w:color w:val="000000" w:themeColor="text1"/>
                <w:szCs w:val="18"/>
                <w:highlight w:val="yellow"/>
              </w:rPr>
            </w:pPr>
            <w:r w:rsidRPr="00217865">
              <w:rPr>
                <w:color w:val="000000" w:themeColor="text1"/>
              </w:rPr>
              <w:t>64.6 (61.8, 67.4)</w:t>
            </w:r>
          </w:p>
        </w:tc>
        <w:tc>
          <w:tcPr>
            <w:tcW w:w="322" w:type="pct"/>
            <w:tcBorders>
              <w:top w:val="single" w:sz="4" w:space="0" w:color="auto"/>
              <w:left w:val="single" w:sz="4" w:space="0" w:color="auto"/>
              <w:bottom w:val="single" w:sz="4" w:space="0" w:color="auto"/>
              <w:right w:val="single" w:sz="4" w:space="0" w:color="auto"/>
            </w:tcBorders>
            <w:vAlign w:val="center"/>
          </w:tcPr>
          <w:p w14:paraId="7BB209D6" w14:textId="77777777" w:rsidR="00821227" w:rsidRPr="00217865" w:rsidRDefault="00821227" w:rsidP="00E06AED">
            <w:pPr>
              <w:pStyle w:val="Z"/>
              <w:jc w:val="center"/>
              <w:rPr>
                <w:color w:val="000000" w:themeColor="text1"/>
                <w:szCs w:val="18"/>
                <w:highlight w:val="yellow"/>
              </w:rPr>
            </w:pPr>
            <w:r w:rsidRPr="00217865">
              <w:rPr>
                <w:color w:val="000000" w:themeColor="text1"/>
              </w:rPr>
              <w:t>81.9 (79.7, 83.8)</w:t>
            </w:r>
          </w:p>
        </w:tc>
        <w:tc>
          <w:tcPr>
            <w:tcW w:w="323" w:type="pct"/>
            <w:tcBorders>
              <w:top w:val="single" w:sz="4" w:space="0" w:color="auto"/>
              <w:left w:val="single" w:sz="4" w:space="0" w:color="auto"/>
              <w:bottom w:val="single" w:sz="4" w:space="0" w:color="auto"/>
              <w:right w:val="single" w:sz="4" w:space="0" w:color="auto"/>
            </w:tcBorders>
            <w:vAlign w:val="center"/>
          </w:tcPr>
          <w:p w14:paraId="78305DAF" w14:textId="77777777" w:rsidR="00821227" w:rsidRPr="00217865" w:rsidRDefault="00821227" w:rsidP="00E06AED">
            <w:pPr>
              <w:pStyle w:val="Z"/>
              <w:jc w:val="center"/>
              <w:rPr>
                <w:color w:val="000000" w:themeColor="text1"/>
                <w:szCs w:val="18"/>
                <w:highlight w:val="yellow"/>
              </w:rPr>
            </w:pPr>
            <w:r w:rsidRPr="00217865">
              <w:rPr>
                <w:color w:val="000000" w:themeColor="text1"/>
              </w:rPr>
              <w:t>85.2 (82.9, 87.2)</w:t>
            </w:r>
          </w:p>
        </w:tc>
        <w:tc>
          <w:tcPr>
            <w:tcW w:w="323" w:type="pct"/>
            <w:tcBorders>
              <w:top w:val="single" w:sz="4" w:space="0" w:color="auto"/>
              <w:left w:val="single" w:sz="4" w:space="0" w:color="auto"/>
              <w:bottom w:val="single" w:sz="4" w:space="0" w:color="auto"/>
              <w:right w:val="single" w:sz="4" w:space="0" w:color="auto"/>
            </w:tcBorders>
            <w:vAlign w:val="center"/>
          </w:tcPr>
          <w:p w14:paraId="72870805" w14:textId="77777777" w:rsidR="00821227" w:rsidRPr="00217865" w:rsidRDefault="00821227" w:rsidP="00E06AED">
            <w:pPr>
              <w:pStyle w:val="Z"/>
              <w:jc w:val="center"/>
              <w:rPr>
                <w:color w:val="000000" w:themeColor="text1"/>
                <w:szCs w:val="18"/>
                <w:highlight w:val="yellow"/>
              </w:rPr>
            </w:pPr>
            <w:r w:rsidRPr="00217865">
              <w:rPr>
                <w:color w:val="000000" w:themeColor="text1"/>
              </w:rPr>
              <w:t>81.9 (79.7, 83.9)</w:t>
            </w:r>
          </w:p>
        </w:tc>
        <w:tc>
          <w:tcPr>
            <w:tcW w:w="323" w:type="pct"/>
            <w:tcBorders>
              <w:top w:val="single" w:sz="4" w:space="0" w:color="auto"/>
              <w:left w:val="single" w:sz="4" w:space="0" w:color="auto"/>
              <w:bottom w:val="single" w:sz="4" w:space="0" w:color="auto"/>
              <w:right w:val="single" w:sz="4" w:space="0" w:color="auto"/>
            </w:tcBorders>
            <w:vAlign w:val="center"/>
          </w:tcPr>
          <w:p w14:paraId="414B94FD" w14:textId="77777777" w:rsidR="00821227" w:rsidRPr="00217865" w:rsidRDefault="00821227" w:rsidP="00E06AED">
            <w:pPr>
              <w:pStyle w:val="Z"/>
              <w:jc w:val="center"/>
              <w:rPr>
                <w:color w:val="000000" w:themeColor="text1"/>
                <w:szCs w:val="18"/>
                <w:highlight w:val="yellow"/>
              </w:rPr>
            </w:pPr>
            <w:r w:rsidRPr="00217865">
              <w:rPr>
                <w:color w:val="000000" w:themeColor="text1"/>
              </w:rPr>
              <w:t>85.2 (82.6, 87.3)</w:t>
            </w:r>
          </w:p>
        </w:tc>
        <w:tc>
          <w:tcPr>
            <w:tcW w:w="322" w:type="pct"/>
            <w:tcBorders>
              <w:top w:val="single" w:sz="4" w:space="0" w:color="auto"/>
              <w:left w:val="single" w:sz="4" w:space="0" w:color="auto"/>
              <w:bottom w:val="single" w:sz="4" w:space="0" w:color="auto"/>
              <w:right w:val="single" w:sz="4" w:space="0" w:color="auto"/>
            </w:tcBorders>
            <w:vAlign w:val="center"/>
          </w:tcPr>
          <w:p w14:paraId="0B9F7A6A" w14:textId="77777777" w:rsidR="00821227" w:rsidRPr="00217865" w:rsidRDefault="00821227" w:rsidP="00E06AED">
            <w:pPr>
              <w:pStyle w:val="Z"/>
              <w:jc w:val="center"/>
              <w:rPr>
                <w:color w:val="000000" w:themeColor="text1"/>
                <w:szCs w:val="18"/>
                <w:highlight w:val="yellow"/>
              </w:rPr>
            </w:pPr>
            <w:r w:rsidRPr="00217865">
              <w:rPr>
                <w:color w:val="000000" w:themeColor="text1"/>
              </w:rPr>
              <w:t>90.1 (88.3, 91.5)</w:t>
            </w:r>
          </w:p>
        </w:tc>
        <w:tc>
          <w:tcPr>
            <w:tcW w:w="323" w:type="pct"/>
            <w:tcBorders>
              <w:top w:val="single" w:sz="4" w:space="0" w:color="auto"/>
              <w:left w:val="single" w:sz="4" w:space="0" w:color="auto"/>
              <w:bottom w:val="single" w:sz="4" w:space="0" w:color="auto"/>
              <w:right w:val="single" w:sz="4" w:space="0" w:color="auto"/>
            </w:tcBorders>
            <w:vAlign w:val="center"/>
          </w:tcPr>
          <w:p w14:paraId="0027F972" w14:textId="77777777" w:rsidR="00821227" w:rsidRPr="00217865" w:rsidRDefault="00821227" w:rsidP="00E06AED">
            <w:pPr>
              <w:pStyle w:val="Z"/>
              <w:jc w:val="center"/>
              <w:rPr>
                <w:color w:val="000000" w:themeColor="text1"/>
                <w:szCs w:val="18"/>
                <w:highlight w:val="yellow"/>
              </w:rPr>
            </w:pPr>
            <w:r w:rsidRPr="00217865">
              <w:rPr>
                <w:color w:val="000000" w:themeColor="text1"/>
              </w:rPr>
              <w:t>92.2 (90.4, 93.7)</w:t>
            </w:r>
          </w:p>
        </w:tc>
        <w:tc>
          <w:tcPr>
            <w:tcW w:w="323" w:type="pct"/>
            <w:tcBorders>
              <w:top w:val="single" w:sz="4" w:space="0" w:color="auto"/>
              <w:left w:val="single" w:sz="4" w:space="0" w:color="auto"/>
              <w:bottom w:val="single" w:sz="4" w:space="0" w:color="auto"/>
              <w:right w:val="single" w:sz="4" w:space="0" w:color="auto"/>
            </w:tcBorders>
            <w:vAlign w:val="center"/>
          </w:tcPr>
          <w:p w14:paraId="18994217" w14:textId="77777777" w:rsidR="00821227" w:rsidRPr="00217865" w:rsidRDefault="00821227" w:rsidP="00E06AED">
            <w:pPr>
              <w:pStyle w:val="Z"/>
              <w:jc w:val="center"/>
              <w:rPr>
                <w:color w:val="000000" w:themeColor="text1"/>
                <w:szCs w:val="18"/>
                <w:highlight w:val="yellow"/>
              </w:rPr>
            </w:pPr>
            <w:r w:rsidRPr="00217865">
              <w:rPr>
                <w:color w:val="000000" w:themeColor="text1"/>
              </w:rPr>
              <w:t>78.9 (76.6, 80.9)</w:t>
            </w:r>
          </w:p>
        </w:tc>
        <w:tc>
          <w:tcPr>
            <w:tcW w:w="323" w:type="pct"/>
            <w:tcBorders>
              <w:top w:val="single" w:sz="4" w:space="0" w:color="auto"/>
              <w:left w:val="single" w:sz="4" w:space="0" w:color="auto"/>
              <w:bottom w:val="single" w:sz="4" w:space="0" w:color="auto"/>
              <w:right w:val="single" w:sz="4" w:space="0" w:color="auto"/>
            </w:tcBorders>
            <w:vAlign w:val="center"/>
          </w:tcPr>
          <w:p w14:paraId="4A891E42" w14:textId="77777777" w:rsidR="00821227" w:rsidRPr="00217865" w:rsidRDefault="00821227" w:rsidP="00E06AED">
            <w:pPr>
              <w:pStyle w:val="Z"/>
              <w:jc w:val="center"/>
              <w:rPr>
                <w:color w:val="000000" w:themeColor="text1"/>
                <w:szCs w:val="18"/>
                <w:highlight w:val="yellow"/>
              </w:rPr>
            </w:pPr>
            <w:r w:rsidRPr="00217865">
              <w:rPr>
                <w:color w:val="000000" w:themeColor="text1"/>
              </w:rPr>
              <w:t>82.4 (80.0, 84.5)</w:t>
            </w:r>
          </w:p>
        </w:tc>
      </w:tr>
      <w:tr w:rsidR="00217865" w:rsidRPr="00217865" w14:paraId="4ABB583B"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74A4BA0" w14:textId="77777777" w:rsidR="00821227" w:rsidRPr="00217865" w:rsidRDefault="00821227" w:rsidP="002611FF">
            <w:pPr>
              <w:pStyle w:val="Z"/>
              <w:rPr>
                <w:color w:val="000000" w:themeColor="text1"/>
                <w:szCs w:val="18"/>
                <w:highlight w:val="yellow"/>
              </w:rPr>
            </w:pPr>
            <w:r w:rsidRPr="00217865">
              <w:rPr>
                <w:color w:val="000000" w:themeColor="text1"/>
              </w:rPr>
              <w:t>Edith Cowan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8443700" w14:textId="77777777" w:rsidR="00821227" w:rsidRPr="00217865" w:rsidRDefault="00821227" w:rsidP="00E06AED">
            <w:pPr>
              <w:pStyle w:val="Z"/>
              <w:jc w:val="center"/>
              <w:rPr>
                <w:color w:val="000000" w:themeColor="text1"/>
                <w:szCs w:val="18"/>
                <w:highlight w:val="yellow"/>
              </w:rPr>
            </w:pPr>
            <w:r w:rsidRPr="00217865">
              <w:rPr>
                <w:color w:val="000000" w:themeColor="text1"/>
              </w:rPr>
              <w:t>88.3 (85.9, 90.2)</w:t>
            </w:r>
          </w:p>
        </w:tc>
        <w:tc>
          <w:tcPr>
            <w:tcW w:w="323" w:type="pct"/>
            <w:tcBorders>
              <w:top w:val="single" w:sz="4" w:space="0" w:color="auto"/>
              <w:left w:val="single" w:sz="4" w:space="0" w:color="auto"/>
              <w:bottom w:val="single" w:sz="4" w:space="0" w:color="auto"/>
              <w:right w:val="single" w:sz="4" w:space="0" w:color="auto"/>
            </w:tcBorders>
            <w:vAlign w:val="center"/>
          </w:tcPr>
          <w:p w14:paraId="6BFF0132" w14:textId="77777777" w:rsidR="00821227" w:rsidRPr="00217865" w:rsidRDefault="00821227" w:rsidP="00E06AED">
            <w:pPr>
              <w:pStyle w:val="Z"/>
              <w:jc w:val="center"/>
              <w:rPr>
                <w:color w:val="000000" w:themeColor="text1"/>
                <w:szCs w:val="18"/>
                <w:highlight w:val="yellow"/>
              </w:rPr>
            </w:pPr>
            <w:r w:rsidRPr="00217865">
              <w:rPr>
                <w:color w:val="000000" w:themeColor="text1"/>
              </w:rPr>
              <w:t>88.4 (86.4, 90.0)</w:t>
            </w:r>
          </w:p>
        </w:tc>
        <w:tc>
          <w:tcPr>
            <w:tcW w:w="323" w:type="pct"/>
            <w:tcBorders>
              <w:top w:val="single" w:sz="4" w:space="0" w:color="auto"/>
              <w:left w:val="single" w:sz="4" w:space="0" w:color="auto"/>
              <w:bottom w:val="single" w:sz="4" w:space="0" w:color="auto"/>
              <w:right w:val="single" w:sz="4" w:space="0" w:color="auto"/>
            </w:tcBorders>
            <w:vAlign w:val="center"/>
          </w:tcPr>
          <w:p w14:paraId="30DDC14B" w14:textId="77777777" w:rsidR="00821227" w:rsidRPr="00217865" w:rsidRDefault="00821227" w:rsidP="00E06AED">
            <w:pPr>
              <w:pStyle w:val="Z"/>
              <w:jc w:val="center"/>
              <w:rPr>
                <w:color w:val="000000" w:themeColor="text1"/>
                <w:szCs w:val="18"/>
                <w:highlight w:val="yellow"/>
              </w:rPr>
            </w:pPr>
            <w:r w:rsidRPr="00217865">
              <w:rPr>
                <w:color w:val="000000" w:themeColor="text1"/>
              </w:rPr>
              <w:t>67.8 (64.8, 70.6)</w:t>
            </w:r>
          </w:p>
        </w:tc>
        <w:tc>
          <w:tcPr>
            <w:tcW w:w="323" w:type="pct"/>
            <w:tcBorders>
              <w:top w:val="single" w:sz="4" w:space="0" w:color="auto"/>
              <w:left w:val="single" w:sz="4" w:space="0" w:color="auto"/>
              <w:bottom w:val="single" w:sz="4" w:space="0" w:color="auto"/>
              <w:right w:val="single" w:sz="4" w:space="0" w:color="auto"/>
            </w:tcBorders>
            <w:vAlign w:val="center"/>
          </w:tcPr>
          <w:p w14:paraId="464D23E7" w14:textId="77777777" w:rsidR="00821227" w:rsidRPr="00217865" w:rsidRDefault="00821227" w:rsidP="00E06AED">
            <w:pPr>
              <w:pStyle w:val="Z"/>
              <w:jc w:val="center"/>
              <w:rPr>
                <w:color w:val="000000" w:themeColor="text1"/>
                <w:szCs w:val="18"/>
                <w:highlight w:val="yellow"/>
              </w:rPr>
            </w:pPr>
            <w:r w:rsidRPr="00217865">
              <w:rPr>
                <w:color w:val="000000" w:themeColor="text1"/>
              </w:rPr>
              <w:t>62.6 (59.9, 65.2)</w:t>
            </w:r>
          </w:p>
        </w:tc>
        <w:tc>
          <w:tcPr>
            <w:tcW w:w="322" w:type="pct"/>
            <w:tcBorders>
              <w:top w:val="single" w:sz="4" w:space="0" w:color="auto"/>
              <w:left w:val="single" w:sz="4" w:space="0" w:color="auto"/>
              <w:bottom w:val="single" w:sz="4" w:space="0" w:color="auto"/>
              <w:right w:val="single" w:sz="4" w:space="0" w:color="auto"/>
            </w:tcBorders>
            <w:vAlign w:val="center"/>
          </w:tcPr>
          <w:p w14:paraId="18671D9A" w14:textId="77777777" w:rsidR="00821227" w:rsidRPr="00217865" w:rsidRDefault="00821227" w:rsidP="00E06AED">
            <w:pPr>
              <w:pStyle w:val="Z"/>
              <w:jc w:val="center"/>
              <w:rPr>
                <w:color w:val="000000" w:themeColor="text1"/>
                <w:szCs w:val="18"/>
                <w:highlight w:val="yellow"/>
              </w:rPr>
            </w:pPr>
            <w:r w:rsidRPr="00217865">
              <w:rPr>
                <w:color w:val="000000" w:themeColor="text1"/>
              </w:rPr>
              <w:t>83.3 (80.7, 85.5)</w:t>
            </w:r>
          </w:p>
        </w:tc>
        <w:tc>
          <w:tcPr>
            <w:tcW w:w="323" w:type="pct"/>
            <w:tcBorders>
              <w:top w:val="single" w:sz="4" w:space="0" w:color="auto"/>
              <w:left w:val="single" w:sz="4" w:space="0" w:color="auto"/>
              <w:bottom w:val="single" w:sz="4" w:space="0" w:color="auto"/>
              <w:right w:val="single" w:sz="4" w:space="0" w:color="auto"/>
            </w:tcBorders>
            <w:vAlign w:val="center"/>
          </w:tcPr>
          <w:p w14:paraId="46E757C4" w14:textId="77777777" w:rsidR="00821227" w:rsidRPr="00217865" w:rsidRDefault="00821227" w:rsidP="00E06AED">
            <w:pPr>
              <w:pStyle w:val="Z"/>
              <w:jc w:val="center"/>
              <w:rPr>
                <w:color w:val="000000" w:themeColor="text1"/>
                <w:szCs w:val="18"/>
                <w:highlight w:val="yellow"/>
              </w:rPr>
            </w:pPr>
            <w:r w:rsidRPr="00217865">
              <w:rPr>
                <w:color w:val="000000" w:themeColor="text1"/>
              </w:rPr>
              <w:t>86.9 (84.8, 88.6)</w:t>
            </w:r>
          </w:p>
        </w:tc>
        <w:tc>
          <w:tcPr>
            <w:tcW w:w="323" w:type="pct"/>
            <w:tcBorders>
              <w:top w:val="single" w:sz="4" w:space="0" w:color="auto"/>
              <w:left w:val="single" w:sz="4" w:space="0" w:color="auto"/>
              <w:bottom w:val="single" w:sz="4" w:space="0" w:color="auto"/>
              <w:right w:val="single" w:sz="4" w:space="0" w:color="auto"/>
            </w:tcBorders>
            <w:vAlign w:val="center"/>
          </w:tcPr>
          <w:p w14:paraId="341EC43C" w14:textId="77777777" w:rsidR="00821227" w:rsidRPr="00217865" w:rsidRDefault="00821227" w:rsidP="00E06AED">
            <w:pPr>
              <w:pStyle w:val="Z"/>
              <w:jc w:val="center"/>
              <w:rPr>
                <w:color w:val="000000" w:themeColor="text1"/>
                <w:szCs w:val="18"/>
                <w:highlight w:val="yellow"/>
              </w:rPr>
            </w:pPr>
            <w:r w:rsidRPr="00217865">
              <w:rPr>
                <w:color w:val="000000" w:themeColor="text1"/>
              </w:rPr>
              <w:t>82.1 (79.2, 84.5)</w:t>
            </w:r>
          </w:p>
        </w:tc>
        <w:tc>
          <w:tcPr>
            <w:tcW w:w="323" w:type="pct"/>
            <w:tcBorders>
              <w:top w:val="single" w:sz="4" w:space="0" w:color="auto"/>
              <w:left w:val="single" w:sz="4" w:space="0" w:color="auto"/>
              <w:bottom w:val="single" w:sz="4" w:space="0" w:color="auto"/>
              <w:right w:val="single" w:sz="4" w:space="0" w:color="auto"/>
            </w:tcBorders>
            <w:vAlign w:val="center"/>
          </w:tcPr>
          <w:p w14:paraId="1B5AF6F5" w14:textId="77777777" w:rsidR="00821227" w:rsidRPr="00217865" w:rsidRDefault="00821227" w:rsidP="00E06AED">
            <w:pPr>
              <w:pStyle w:val="Z"/>
              <w:jc w:val="center"/>
              <w:rPr>
                <w:color w:val="000000" w:themeColor="text1"/>
                <w:szCs w:val="18"/>
                <w:highlight w:val="yellow"/>
              </w:rPr>
            </w:pPr>
            <w:r w:rsidRPr="00217865">
              <w:rPr>
                <w:color w:val="000000" w:themeColor="text1"/>
              </w:rPr>
              <w:t>87.2 (85.0, 89.1)</w:t>
            </w:r>
          </w:p>
        </w:tc>
        <w:tc>
          <w:tcPr>
            <w:tcW w:w="322" w:type="pct"/>
            <w:tcBorders>
              <w:top w:val="single" w:sz="4" w:space="0" w:color="auto"/>
              <w:left w:val="single" w:sz="4" w:space="0" w:color="auto"/>
              <w:bottom w:val="single" w:sz="4" w:space="0" w:color="auto"/>
              <w:right w:val="single" w:sz="4" w:space="0" w:color="auto"/>
            </w:tcBorders>
            <w:vAlign w:val="center"/>
          </w:tcPr>
          <w:p w14:paraId="0BC0E196" w14:textId="77777777" w:rsidR="00821227" w:rsidRPr="00217865" w:rsidRDefault="00821227" w:rsidP="00E06AED">
            <w:pPr>
              <w:pStyle w:val="Z"/>
              <w:jc w:val="center"/>
              <w:rPr>
                <w:color w:val="000000" w:themeColor="text1"/>
                <w:szCs w:val="18"/>
                <w:highlight w:val="yellow"/>
              </w:rPr>
            </w:pPr>
            <w:r w:rsidRPr="00217865">
              <w:rPr>
                <w:color w:val="000000" w:themeColor="text1"/>
              </w:rPr>
              <w:t>90.0 (87.8, 91.8)</w:t>
            </w:r>
          </w:p>
        </w:tc>
        <w:tc>
          <w:tcPr>
            <w:tcW w:w="323" w:type="pct"/>
            <w:tcBorders>
              <w:top w:val="single" w:sz="4" w:space="0" w:color="auto"/>
              <w:left w:val="single" w:sz="4" w:space="0" w:color="auto"/>
              <w:bottom w:val="single" w:sz="4" w:space="0" w:color="auto"/>
              <w:right w:val="single" w:sz="4" w:space="0" w:color="auto"/>
            </w:tcBorders>
            <w:vAlign w:val="center"/>
          </w:tcPr>
          <w:p w14:paraId="019ADD09" w14:textId="77777777" w:rsidR="00821227" w:rsidRPr="00217865" w:rsidRDefault="00821227" w:rsidP="00E06AED">
            <w:pPr>
              <w:pStyle w:val="Z"/>
              <w:jc w:val="center"/>
              <w:rPr>
                <w:color w:val="000000" w:themeColor="text1"/>
                <w:szCs w:val="18"/>
                <w:highlight w:val="yellow"/>
              </w:rPr>
            </w:pPr>
            <w:r w:rsidRPr="00217865">
              <w:rPr>
                <w:color w:val="000000" w:themeColor="text1"/>
              </w:rPr>
              <w:t>92.4 (90.7, 93.7)</w:t>
            </w:r>
          </w:p>
        </w:tc>
        <w:tc>
          <w:tcPr>
            <w:tcW w:w="323" w:type="pct"/>
            <w:tcBorders>
              <w:top w:val="single" w:sz="4" w:space="0" w:color="auto"/>
              <w:left w:val="single" w:sz="4" w:space="0" w:color="auto"/>
              <w:bottom w:val="single" w:sz="4" w:space="0" w:color="auto"/>
              <w:right w:val="single" w:sz="4" w:space="0" w:color="auto"/>
            </w:tcBorders>
            <w:vAlign w:val="center"/>
          </w:tcPr>
          <w:p w14:paraId="2D1E55D2" w14:textId="77777777" w:rsidR="00821227" w:rsidRPr="00217865" w:rsidRDefault="00821227" w:rsidP="00E06AED">
            <w:pPr>
              <w:pStyle w:val="Z"/>
              <w:jc w:val="center"/>
              <w:rPr>
                <w:color w:val="000000" w:themeColor="text1"/>
                <w:szCs w:val="18"/>
                <w:highlight w:val="yellow"/>
              </w:rPr>
            </w:pPr>
            <w:r w:rsidRPr="00217865">
              <w:rPr>
                <w:color w:val="000000" w:themeColor="text1"/>
              </w:rPr>
              <w:t>78.1 (75.3, 80.5)</w:t>
            </w:r>
          </w:p>
        </w:tc>
        <w:tc>
          <w:tcPr>
            <w:tcW w:w="323" w:type="pct"/>
            <w:tcBorders>
              <w:top w:val="single" w:sz="4" w:space="0" w:color="auto"/>
              <w:left w:val="single" w:sz="4" w:space="0" w:color="auto"/>
              <w:bottom w:val="single" w:sz="4" w:space="0" w:color="auto"/>
              <w:right w:val="single" w:sz="4" w:space="0" w:color="auto"/>
            </w:tcBorders>
            <w:vAlign w:val="center"/>
          </w:tcPr>
          <w:p w14:paraId="7FCF31ED" w14:textId="77777777" w:rsidR="00821227" w:rsidRPr="00217865" w:rsidRDefault="00821227" w:rsidP="00E06AED">
            <w:pPr>
              <w:pStyle w:val="Z"/>
              <w:jc w:val="center"/>
              <w:rPr>
                <w:color w:val="000000" w:themeColor="text1"/>
                <w:szCs w:val="18"/>
                <w:highlight w:val="yellow"/>
              </w:rPr>
            </w:pPr>
            <w:r w:rsidRPr="00217865">
              <w:rPr>
                <w:color w:val="000000" w:themeColor="text1"/>
              </w:rPr>
              <w:t>82.2 (80.0, 84.2)</w:t>
            </w:r>
          </w:p>
        </w:tc>
      </w:tr>
      <w:tr w:rsidR="00217865" w:rsidRPr="00217865" w14:paraId="3A254141"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034ACB9" w14:textId="77777777" w:rsidR="00821227" w:rsidRPr="00217865" w:rsidRDefault="00821227" w:rsidP="002611FF">
            <w:pPr>
              <w:pStyle w:val="Z"/>
              <w:rPr>
                <w:color w:val="000000" w:themeColor="text1"/>
                <w:szCs w:val="18"/>
                <w:highlight w:val="yellow"/>
              </w:rPr>
            </w:pPr>
            <w:r w:rsidRPr="00217865">
              <w:rPr>
                <w:color w:val="000000" w:themeColor="text1"/>
              </w:rPr>
              <w:t>Federation University Australia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FD2EE27" w14:textId="77777777" w:rsidR="00821227" w:rsidRPr="00217865" w:rsidRDefault="00821227" w:rsidP="00E06AED">
            <w:pPr>
              <w:pStyle w:val="Z"/>
              <w:jc w:val="center"/>
              <w:rPr>
                <w:color w:val="000000" w:themeColor="text1"/>
                <w:szCs w:val="18"/>
                <w:highlight w:val="yellow"/>
              </w:rPr>
            </w:pPr>
            <w:r w:rsidRPr="00217865">
              <w:rPr>
                <w:color w:val="000000" w:themeColor="text1"/>
              </w:rPr>
              <w:t>83.5 (79.7, 86.6)</w:t>
            </w:r>
          </w:p>
        </w:tc>
        <w:tc>
          <w:tcPr>
            <w:tcW w:w="323" w:type="pct"/>
            <w:tcBorders>
              <w:top w:val="single" w:sz="4" w:space="0" w:color="auto"/>
              <w:left w:val="single" w:sz="4" w:space="0" w:color="auto"/>
              <w:bottom w:val="single" w:sz="4" w:space="0" w:color="auto"/>
              <w:right w:val="single" w:sz="4" w:space="0" w:color="auto"/>
            </w:tcBorders>
            <w:vAlign w:val="center"/>
          </w:tcPr>
          <w:p w14:paraId="6A0729CE" w14:textId="77777777" w:rsidR="00821227" w:rsidRPr="00217865" w:rsidRDefault="00821227" w:rsidP="00E06AED">
            <w:pPr>
              <w:pStyle w:val="Z"/>
              <w:jc w:val="center"/>
              <w:rPr>
                <w:color w:val="000000" w:themeColor="text1"/>
                <w:szCs w:val="18"/>
                <w:highlight w:val="yellow"/>
              </w:rPr>
            </w:pPr>
            <w:r w:rsidRPr="00217865">
              <w:rPr>
                <w:color w:val="000000" w:themeColor="text1"/>
              </w:rPr>
              <w:t>88.6 (85.6, 90.9)</w:t>
            </w:r>
          </w:p>
        </w:tc>
        <w:tc>
          <w:tcPr>
            <w:tcW w:w="323" w:type="pct"/>
            <w:tcBorders>
              <w:top w:val="single" w:sz="4" w:space="0" w:color="auto"/>
              <w:left w:val="single" w:sz="4" w:space="0" w:color="auto"/>
              <w:bottom w:val="single" w:sz="4" w:space="0" w:color="auto"/>
              <w:right w:val="single" w:sz="4" w:space="0" w:color="auto"/>
            </w:tcBorders>
            <w:vAlign w:val="center"/>
          </w:tcPr>
          <w:p w14:paraId="2FDBA34C" w14:textId="77777777" w:rsidR="00821227" w:rsidRPr="00217865" w:rsidRDefault="00821227" w:rsidP="00E06AED">
            <w:pPr>
              <w:pStyle w:val="Z"/>
              <w:jc w:val="center"/>
              <w:rPr>
                <w:color w:val="000000" w:themeColor="text1"/>
                <w:szCs w:val="18"/>
                <w:highlight w:val="yellow"/>
              </w:rPr>
            </w:pPr>
            <w:r w:rsidRPr="00217865">
              <w:rPr>
                <w:color w:val="000000" w:themeColor="text1"/>
              </w:rPr>
              <w:t>65.9 (61.5, 70.0)</w:t>
            </w:r>
          </w:p>
        </w:tc>
        <w:tc>
          <w:tcPr>
            <w:tcW w:w="323" w:type="pct"/>
            <w:tcBorders>
              <w:top w:val="single" w:sz="4" w:space="0" w:color="auto"/>
              <w:left w:val="single" w:sz="4" w:space="0" w:color="auto"/>
              <w:bottom w:val="single" w:sz="4" w:space="0" w:color="auto"/>
              <w:right w:val="single" w:sz="4" w:space="0" w:color="auto"/>
            </w:tcBorders>
            <w:vAlign w:val="center"/>
          </w:tcPr>
          <w:p w14:paraId="18145DD3" w14:textId="77777777" w:rsidR="00821227" w:rsidRPr="00217865" w:rsidRDefault="00821227" w:rsidP="00E06AED">
            <w:pPr>
              <w:pStyle w:val="Z"/>
              <w:jc w:val="center"/>
              <w:rPr>
                <w:color w:val="000000" w:themeColor="text1"/>
                <w:szCs w:val="18"/>
                <w:highlight w:val="yellow"/>
              </w:rPr>
            </w:pPr>
            <w:r w:rsidRPr="00217865">
              <w:rPr>
                <w:color w:val="000000" w:themeColor="text1"/>
              </w:rPr>
              <w:t>79.6 (76.1, 82.5)</w:t>
            </w:r>
          </w:p>
        </w:tc>
        <w:tc>
          <w:tcPr>
            <w:tcW w:w="322" w:type="pct"/>
            <w:tcBorders>
              <w:top w:val="single" w:sz="4" w:space="0" w:color="auto"/>
              <w:left w:val="single" w:sz="4" w:space="0" w:color="auto"/>
              <w:bottom w:val="single" w:sz="4" w:space="0" w:color="auto"/>
              <w:right w:val="single" w:sz="4" w:space="0" w:color="auto"/>
            </w:tcBorders>
            <w:vAlign w:val="center"/>
          </w:tcPr>
          <w:p w14:paraId="60601881" w14:textId="77777777" w:rsidR="00821227" w:rsidRPr="00217865" w:rsidRDefault="00821227" w:rsidP="00E06AED">
            <w:pPr>
              <w:pStyle w:val="Z"/>
              <w:jc w:val="center"/>
              <w:rPr>
                <w:color w:val="000000" w:themeColor="text1"/>
                <w:szCs w:val="18"/>
                <w:highlight w:val="yellow"/>
              </w:rPr>
            </w:pPr>
            <w:r w:rsidRPr="00217865">
              <w:rPr>
                <w:color w:val="000000" w:themeColor="text1"/>
              </w:rPr>
              <w:t>81.1 (77.2, 84.3)</w:t>
            </w:r>
          </w:p>
        </w:tc>
        <w:tc>
          <w:tcPr>
            <w:tcW w:w="323" w:type="pct"/>
            <w:tcBorders>
              <w:top w:val="single" w:sz="4" w:space="0" w:color="auto"/>
              <w:left w:val="single" w:sz="4" w:space="0" w:color="auto"/>
              <w:bottom w:val="single" w:sz="4" w:space="0" w:color="auto"/>
              <w:right w:val="single" w:sz="4" w:space="0" w:color="auto"/>
            </w:tcBorders>
            <w:vAlign w:val="center"/>
          </w:tcPr>
          <w:p w14:paraId="6198F72F" w14:textId="77777777" w:rsidR="00821227" w:rsidRPr="00217865" w:rsidRDefault="00821227" w:rsidP="00E06AED">
            <w:pPr>
              <w:pStyle w:val="Z"/>
              <w:jc w:val="center"/>
              <w:rPr>
                <w:color w:val="000000" w:themeColor="text1"/>
                <w:szCs w:val="18"/>
                <w:highlight w:val="yellow"/>
              </w:rPr>
            </w:pPr>
            <w:r w:rsidRPr="00217865">
              <w:rPr>
                <w:color w:val="000000" w:themeColor="text1"/>
              </w:rPr>
              <w:t>85.8 (82.6, 88.3)</w:t>
            </w:r>
          </w:p>
        </w:tc>
        <w:tc>
          <w:tcPr>
            <w:tcW w:w="323" w:type="pct"/>
            <w:tcBorders>
              <w:top w:val="single" w:sz="4" w:space="0" w:color="auto"/>
              <w:left w:val="single" w:sz="4" w:space="0" w:color="auto"/>
              <w:bottom w:val="single" w:sz="4" w:space="0" w:color="auto"/>
              <w:right w:val="single" w:sz="4" w:space="0" w:color="auto"/>
            </w:tcBorders>
            <w:vAlign w:val="center"/>
          </w:tcPr>
          <w:p w14:paraId="444FBC9C" w14:textId="77777777" w:rsidR="00821227" w:rsidRPr="00217865" w:rsidRDefault="00821227" w:rsidP="00E06AED">
            <w:pPr>
              <w:pStyle w:val="Z"/>
              <w:jc w:val="center"/>
              <w:rPr>
                <w:color w:val="000000" w:themeColor="text1"/>
                <w:szCs w:val="18"/>
                <w:highlight w:val="yellow"/>
              </w:rPr>
            </w:pPr>
            <w:r w:rsidRPr="00217865">
              <w:rPr>
                <w:color w:val="000000" w:themeColor="text1"/>
              </w:rPr>
              <w:t>78.4 (74.2, 81.9)</w:t>
            </w:r>
          </w:p>
        </w:tc>
        <w:tc>
          <w:tcPr>
            <w:tcW w:w="323" w:type="pct"/>
            <w:tcBorders>
              <w:top w:val="single" w:sz="4" w:space="0" w:color="auto"/>
              <w:left w:val="single" w:sz="4" w:space="0" w:color="auto"/>
              <w:bottom w:val="single" w:sz="4" w:space="0" w:color="auto"/>
              <w:right w:val="single" w:sz="4" w:space="0" w:color="auto"/>
            </w:tcBorders>
            <w:vAlign w:val="center"/>
          </w:tcPr>
          <w:p w14:paraId="42039426" w14:textId="77777777" w:rsidR="00821227" w:rsidRPr="00217865" w:rsidRDefault="00821227" w:rsidP="00E06AED">
            <w:pPr>
              <w:pStyle w:val="Z"/>
              <w:jc w:val="center"/>
              <w:rPr>
                <w:color w:val="000000" w:themeColor="text1"/>
                <w:szCs w:val="18"/>
                <w:highlight w:val="yellow"/>
              </w:rPr>
            </w:pPr>
            <w:r w:rsidRPr="00217865">
              <w:rPr>
                <w:color w:val="000000" w:themeColor="text1"/>
              </w:rPr>
              <w:t>84.6 (81.1, 87.4)</w:t>
            </w:r>
          </w:p>
        </w:tc>
        <w:tc>
          <w:tcPr>
            <w:tcW w:w="322" w:type="pct"/>
            <w:tcBorders>
              <w:top w:val="single" w:sz="4" w:space="0" w:color="auto"/>
              <w:left w:val="single" w:sz="4" w:space="0" w:color="auto"/>
              <w:bottom w:val="single" w:sz="4" w:space="0" w:color="auto"/>
              <w:right w:val="single" w:sz="4" w:space="0" w:color="auto"/>
            </w:tcBorders>
            <w:vAlign w:val="center"/>
          </w:tcPr>
          <w:p w14:paraId="1E5749BA" w14:textId="77777777" w:rsidR="00821227" w:rsidRPr="00217865" w:rsidRDefault="00821227" w:rsidP="00E06AED">
            <w:pPr>
              <w:pStyle w:val="Z"/>
              <w:jc w:val="center"/>
              <w:rPr>
                <w:color w:val="000000" w:themeColor="text1"/>
                <w:szCs w:val="18"/>
                <w:highlight w:val="yellow"/>
              </w:rPr>
            </w:pPr>
            <w:r w:rsidRPr="00217865">
              <w:rPr>
                <w:color w:val="000000" w:themeColor="text1"/>
              </w:rPr>
              <w:t>83.1 (79.3, 86.3)</w:t>
            </w:r>
          </w:p>
        </w:tc>
        <w:tc>
          <w:tcPr>
            <w:tcW w:w="323" w:type="pct"/>
            <w:tcBorders>
              <w:top w:val="single" w:sz="4" w:space="0" w:color="auto"/>
              <w:left w:val="single" w:sz="4" w:space="0" w:color="auto"/>
              <w:bottom w:val="single" w:sz="4" w:space="0" w:color="auto"/>
              <w:right w:val="single" w:sz="4" w:space="0" w:color="auto"/>
            </w:tcBorders>
            <w:vAlign w:val="center"/>
          </w:tcPr>
          <w:p w14:paraId="15B428D5" w14:textId="77777777" w:rsidR="00821227" w:rsidRPr="00217865" w:rsidRDefault="00821227" w:rsidP="00E06AED">
            <w:pPr>
              <w:pStyle w:val="Z"/>
              <w:jc w:val="center"/>
              <w:rPr>
                <w:color w:val="000000" w:themeColor="text1"/>
                <w:szCs w:val="18"/>
                <w:highlight w:val="yellow"/>
              </w:rPr>
            </w:pPr>
            <w:r w:rsidRPr="00217865">
              <w:rPr>
                <w:color w:val="000000" w:themeColor="text1"/>
              </w:rPr>
              <w:t>86.7 (83.6, 89.2)</w:t>
            </w:r>
          </w:p>
        </w:tc>
        <w:tc>
          <w:tcPr>
            <w:tcW w:w="323" w:type="pct"/>
            <w:tcBorders>
              <w:top w:val="single" w:sz="4" w:space="0" w:color="auto"/>
              <w:left w:val="single" w:sz="4" w:space="0" w:color="auto"/>
              <w:bottom w:val="single" w:sz="4" w:space="0" w:color="auto"/>
              <w:right w:val="single" w:sz="4" w:space="0" w:color="auto"/>
            </w:tcBorders>
            <w:vAlign w:val="center"/>
          </w:tcPr>
          <w:p w14:paraId="3B8F3910" w14:textId="77777777" w:rsidR="00821227" w:rsidRPr="00217865" w:rsidRDefault="00821227" w:rsidP="00E06AED">
            <w:pPr>
              <w:pStyle w:val="Z"/>
              <w:jc w:val="center"/>
              <w:rPr>
                <w:color w:val="000000" w:themeColor="text1"/>
                <w:szCs w:val="18"/>
                <w:highlight w:val="yellow"/>
              </w:rPr>
            </w:pPr>
            <w:r w:rsidRPr="00217865">
              <w:rPr>
                <w:color w:val="000000" w:themeColor="text1"/>
              </w:rPr>
              <w:t>75.7 (71.6, 79.2)</w:t>
            </w:r>
          </w:p>
        </w:tc>
        <w:tc>
          <w:tcPr>
            <w:tcW w:w="323" w:type="pct"/>
            <w:tcBorders>
              <w:top w:val="single" w:sz="4" w:space="0" w:color="auto"/>
              <w:left w:val="single" w:sz="4" w:space="0" w:color="auto"/>
              <w:bottom w:val="single" w:sz="4" w:space="0" w:color="auto"/>
              <w:right w:val="single" w:sz="4" w:space="0" w:color="auto"/>
            </w:tcBorders>
            <w:vAlign w:val="center"/>
          </w:tcPr>
          <w:p w14:paraId="008CF1CF" w14:textId="77777777" w:rsidR="00821227" w:rsidRPr="00217865" w:rsidRDefault="00821227" w:rsidP="00E06AED">
            <w:pPr>
              <w:pStyle w:val="Z"/>
              <w:jc w:val="center"/>
              <w:rPr>
                <w:color w:val="000000" w:themeColor="text1"/>
                <w:szCs w:val="18"/>
                <w:highlight w:val="yellow"/>
              </w:rPr>
            </w:pPr>
            <w:r w:rsidRPr="00217865">
              <w:rPr>
                <w:color w:val="000000" w:themeColor="text1"/>
              </w:rPr>
              <w:t>80.4 (77.0, 83.3)</w:t>
            </w:r>
          </w:p>
        </w:tc>
      </w:tr>
      <w:tr w:rsidR="00217865" w:rsidRPr="00217865" w14:paraId="076B9D59"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2453727" w14:textId="77777777" w:rsidR="00821227" w:rsidRPr="00217865" w:rsidRDefault="00821227" w:rsidP="002611FF">
            <w:pPr>
              <w:pStyle w:val="Z"/>
              <w:rPr>
                <w:color w:val="000000" w:themeColor="text1"/>
                <w:szCs w:val="18"/>
                <w:highlight w:val="yellow"/>
              </w:rPr>
            </w:pPr>
            <w:r w:rsidRPr="00217865">
              <w:rPr>
                <w:color w:val="000000" w:themeColor="text1"/>
              </w:rPr>
              <w:t>Flinders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4619E9E" w14:textId="77777777" w:rsidR="00821227" w:rsidRPr="00217865" w:rsidRDefault="00821227" w:rsidP="00E06AED">
            <w:pPr>
              <w:pStyle w:val="Z"/>
              <w:jc w:val="center"/>
              <w:rPr>
                <w:color w:val="000000" w:themeColor="text1"/>
                <w:szCs w:val="18"/>
                <w:highlight w:val="yellow"/>
              </w:rPr>
            </w:pPr>
            <w:r w:rsidRPr="00217865">
              <w:rPr>
                <w:color w:val="000000" w:themeColor="text1"/>
              </w:rPr>
              <w:t>79.6 (75.9, 82.7)</w:t>
            </w:r>
          </w:p>
        </w:tc>
        <w:tc>
          <w:tcPr>
            <w:tcW w:w="323" w:type="pct"/>
            <w:tcBorders>
              <w:top w:val="single" w:sz="4" w:space="0" w:color="auto"/>
              <w:left w:val="single" w:sz="4" w:space="0" w:color="auto"/>
              <w:bottom w:val="single" w:sz="4" w:space="0" w:color="auto"/>
              <w:right w:val="single" w:sz="4" w:space="0" w:color="auto"/>
            </w:tcBorders>
            <w:vAlign w:val="center"/>
          </w:tcPr>
          <w:p w14:paraId="600F103A" w14:textId="77777777" w:rsidR="00821227" w:rsidRPr="00217865" w:rsidRDefault="00821227" w:rsidP="00E06AED">
            <w:pPr>
              <w:pStyle w:val="Z"/>
              <w:jc w:val="center"/>
              <w:rPr>
                <w:color w:val="000000" w:themeColor="text1"/>
                <w:szCs w:val="18"/>
                <w:highlight w:val="yellow"/>
              </w:rPr>
            </w:pPr>
            <w:r w:rsidRPr="00217865">
              <w:rPr>
                <w:color w:val="000000" w:themeColor="text1"/>
              </w:rPr>
              <w:t>85.0 (82.0, 87.4)</w:t>
            </w:r>
          </w:p>
        </w:tc>
        <w:tc>
          <w:tcPr>
            <w:tcW w:w="323" w:type="pct"/>
            <w:tcBorders>
              <w:top w:val="single" w:sz="4" w:space="0" w:color="auto"/>
              <w:left w:val="single" w:sz="4" w:space="0" w:color="auto"/>
              <w:bottom w:val="single" w:sz="4" w:space="0" w:color="auto"/>
              <w:right w:val="single" w:sz="4" w:space="0" w:color="auto"/>
            </w:tcBorders>
            <w:vAlign w:val="center"/>
          </w:tcPr>
          <w:p w14:paraId="3CEE7296" w14:textId="77777777" w:rsidR="00821227" w:rsidRPr="00217865" w:rsidRDefault="00821227" w:rsidP="00E06AED">
            <w:pPr>
              <w:pStyle w:val="Z"/>
              <w:jc w:val="center"/>
              <w:rPr>
                <w:color w:val="000000" w:themeColor="text1"/>
                <w:szCs w:val="18"/>
                <w:highlight w:val="yellow"/>
              </w:rPr>
            </w:pPr>
            <w:r w:rsidRPr="00217865">
              <w:rPr>
                <w:color w:val="000000" w:themeColor="text1"/>
              </w:rPr>
              <w:t>61.2 (57.2, 65.0)</w:t>
            </w:r>
          </w:p>
        </w:tc>
        <w:tc>
          <w:tcPr>
            <w:tcW w:w="323" w:type="pct"/>
            <w:tcBorders>
              <w:top w:val="single" w:sz="4" w:space="0" w:color="auto"/>
              <w:left w:val="single" w:sz="4" w:space="0" w:color="auto"/>
              <w:bottom w:val="single" w:sz="4" w:space="0" w:color="auto"/>
              <w:right w:val="single" w:sz="4" w:space="0" w:color="auto"/>
            </w:tcBorders>
            <w:vAlign w:val="center"/>
          </w:tcPr>
          <w:p w14:paraId="22AEC574" w14:textId="77777777" w:rsidR="00821227" w:rsidRPr="00217865" w:rsidRDefault="00821227" w:rsidP="00E06AED">
            <w:pPr>
              <w:pStyle w:val="Z"/>
              <w:jc w:val="center"/>
              <w:rPr>
                <w:color w:val="000000" w:themeColor="text1"/>
                <w:szCs w:val="18"/>
                <w:highlight w:val="yellow"/>
              </w:rPr>
            </w:pPr>
            <w:r w:rsidRPr="00217865">
              <w:rPr>
                <w:color w:val="000000" w:themeColor="text1"/>
              </w:rPr>
              <w:t>70.1 (66.7, 73.2)</w:t>
            </w:r>
          </w:p>
        </w:tc>
        <w:tc>
          <w:tcPr>
            <w:tcW w:w="322" w:type="pct"/>
            <w:tcBorders>
              <w:top w:val="single" w:sz="4" w:space="0" w:color="auto"/>
              <w:left w:val="single" w:sz="4" w:space="0" w:color="auto"/>
              <w:bottom w:val="single" w:sz="4" w:space="0" w:color="auto"/>
              <w:right w:val="single" w:sz="4" w:space="0" w:color="auto"/>
            </w:tcBorders>
            <w:vAlign w:val="center"/>
          </w:tcPr>
          <w:p w14:paraId="25D9A844" w14:textId="77777777" w:rsidR="00821227" w:rsidRPr="00217865" w:rsidRDefault="00821227" w:rsidP="00E06AED">
            <w:pPr>
              <w:pStyle w:val="Z"/>
              <w:jc w:val="center"/>
              <w:rPr>
                <w:color w:val="000000" w:themeColor="text1"/>
                <w:szCs w:val="18"/>
                <w:highlight w:val="yellow"/>
              </w:rPr>
            </w:pPr>
            <w:r w:rsidRPr="00217865">
              <w:rPr>
                <w:color w:val="000000" w:themeColor="text1"/>
              </w:rPr>
              <w:t>78.0 (74.3, 81.2)</w:t>
            </w:r>
          </w:p>
        </w:tc>
        <w:tc>
          <w:tcPr>
            <w:tcW w:w="323" w:type="pct"/>
            <w:tcBorders>
              <w:top w:val="single" w:sz="4" w:space="0" w:color="auto"/>
              <w:left w:val="single" w:sz="4" w:space="0" w:color="auto"/>
              <w:bottom w:val="single" w:sz="4" w:space="0" w:color="auto"/>
              <w:right w:val="single" w:sz="4" w:space="0" w:color="auto"/>
            </w:tcBorders>
            <w:vAlign w:val="center"/>
          </w:tcPr>
          <w:p w14:paraId="2A190A3A" w14:textId="77777777" w:rsidR="00821227" w:rsidRPr="00217865" w:rsidRDefault="00821227" w:rsidP="00E06AED">
            <w:pPr>
              <w:pStyle w:val="Z"/>
              <w:jc w:val="center"/>
              <w:rPr>
                <w:color w:val="000000" w:themeColor="text1"/>
                <w:szCs w:val="18"/>
                <w:highlight w:val="yellow"/>
              </w:rPr>
            </w:pPr>
            <w:r w:rsidRPr="00217865">
              <w:rPr>
                <w:color w:val="000000" w:themeColor="text1"/>
              </w:rPr>
              <w:t>83.4 (80.3, 85.9)</w:t>
            </w:r>
          </w:p>
        </w:tc>
        <w:tc>
          <w:tcPr>
            <w:tcW w:w="323" w:type="pct"/>
            <w:tcBorders>
              <w:top w:val="single" w:sz="4" w:space="0" w:color="auto"/>
              <w:left w:val="single" w:sz="4" w:space="0" w:color="auto"/>
              <w:bottom w:val="single" w:sz="4" w:space="0" w:color="auto"/>
              <w:right w:val="single" w:sz="4" w:space="0" w:color="auto"/>
            </w:tcBorders>
            <w:vAlign w:val="center"/>
          </w:tcPr>
          <w:p w14:paraId="1DAA1E87" w14:textId="77777777" w:rsidR="00821227" w:rsidRPr="00217865" w:rsidRDefault="00821227" w:rsidP="00E06AED">
            <w:pPr>
              <w:pStyle w:val="Z"/>
              <w:jc w:val="center"/>
              <w:rPr>
                <w:color w:val="000000" w:themeColor="text1"/>
                <w:szCs w:val="18"/>
                <w:highlight w:val="yellow"/>
              </w:rPr>
            </w:pPr>
            <w:r w:rsidRPr="00217865">
              <w:rPr>
                <w:color w:val="000000" w:themeColor="text1"/>
              </w:rPr>
              <w:t>74.7 (70.7, 78.2)</w:t>
            </w:r>
          </w:p>
        </w:tc>
        <w:tc>
          <w:tcPr>
            <w:tcW w:w="323" w:type="pct"/>
            <w:tcBorders>
              <w:top w:val="single" w:sz="4" w:space="0" w:color="auto"/>
              <w:left w:val="single" w:sz="4" w:space="0" w:color="auto"/>
              <w:bottom w:val="single" w:sz="4" w:space="0" w:color="auto"/>
              <w:right w:val="single" w:sz="4" w:space="0" w:color="auto"/>
            </w:tcBorders>
            <w:vAlign w:val="center"/>
          </w:tcPr>
          <w:p w14:paraId="2261D126" w14:textId="77777777" w:rsidR="00821227" w:rsidRPr="00217865" w:rsidRDefault="00821227" w:rsidP="00E06AED">
            <w:pPr>
              <w:pStyle w:val="Z"/>
              <w:jc w:val="center"/>
              <w:rPr>
                <w:color w:val="000000" w:themeColor="text1"/>
                <w:szCs w:val="18"/>
                <w:highlight w:val="yellow"/>
              </w:rPr>
            </w:pPr>
            <w:r w:rsidRPr="00217865">
              <w:rPr>
                <w:color w:val="000000" w:themeColor="text1"/>
              </w:rPr>
              <w:t>84.6 (81.2, 87.3)</w:t>
            </w:r>
          </w:p>
        </w:tc>
        <w:tc>
          <w:tcPr>
            <w:tcW w:w="322" w:type="pct"/>
            <w:tcBorders>
              <w:top w:val="single" w:sz="4" w:space="0" w:color="auto"/>
              <w:left w:val="single" w:sz="4" w:space="0" w:color="auto"/>
              <w:bottom w:val="single" w:sz="4" w:space="0" w:color="auto"/>
              <w:right w:val="single" w:sz="4" w:space="0" w:color="auto"/>
            </w:tcBorders>
            <w:vAlign w:val="center"/>
          </w:tcPr>
          <w:p w14:paraId="1DA169CF" w14:textId="77777777" w:rsidR="00821227" w:rsidRPr="00217865" w:rsidRDefault="00821227" w:rsidP="00E06AED">
            <w:pPr>
              <w:pStyle w:val="Z"/>
              <w:jc w:val="center"/>
              <w:rPr>
                <w:color w:val="000000" w:themeColor="text1"/>
                <w:szCs w:val="18"/>
                <w:highlight w:val="yellow"/>
              </w:rPr>
            </w:pPr>
            <w:r w:rsidRPr="00217865">
              <w:rPr>
                <w:color w:val="000000" w:themeColor="text1"/>
              </w:rPr>
              <w:t>84.0 (80.6, 86.8)</w:t>
            </w:r>
          </w:p>
        </w:tc>
        <w:tc>
          <w:tcPr>
            <w:tcW w:w="323" w:type="pct"/>
            <w:tcBorders>
              <w:top w:val="single" w:sz="4" w:space="0" w:color="auto"/>
              <w:left w:val="single" w:sz="4" w:space="0" w:color="auto"/>
              <w:bottom w:val="single" w:sz="4" w:space="0" w:color="auto"/>
              <w:right w:val="single" w:sz="4" w:space="0" w:color="auto"/>
            </w:tcBorders>
            <w:vAlign w:val="center"/>
          </w:tcPr>
          <w:p w14:paraId="5464FD38" w14:textId="77777777" w:rsidR="00821227" w:rsidRPr="00217865" w:rsidRDefault="00821227" w:rsidP="00E06AED">
            <w:pPr>
              <w:pStyle w:val="Z"/>
              <w:jc w:val="center"/>
              <w:rPr>
                <w:color w:val="000000" w:themeColor="text1"/>
                <w:szCs w:val="18"/>
                <w:highlight w:val="yellow"/>
              </w:rPr>
            </w:pPr>
            <w:r w:rsidRPr="00217865">
              <w:rPr>
                <w:color w:val="000000" w:themeColor="text1"/>
              </w:rPr>
              <w:t>87.8 (85.0, 90.0)</w:t>
            </w:r>
          </w:p>
        </w:tc>
        <w:tc>
          <w:tcPr>
            <w:tcW w:w="323" w:type="pct"/>
            <w:tcBorders>
              <w:top w:val="single" w:sz="4" w:space="0" w:color="auto"/>
              <w:left w:val="single" w:sz="4" w:space="0" w:color="auto"/>
              <w:bottom w:val="single" w:sz="4" w:space="0" w:color="auto"/>
              <w:right w:val="single" w:sz="4" w:space="0" w:color="auto"/>
            </w:tcBorders>
            <w:vAlign w:val="center"/>
          </w:tcPr>
          <w:p w14:paraId="41533113" w14:textId="77777777" w:rsidR="00821227" w:rsidRPr="00217865" w:rsidRDefault="00821227" w:rsidP="00E06AED">
            <w:pPr>
              <w:pStyle w:val="Z"/>
              <w:jc w:val="center"/>
              <w:rPr>
                <w:color w:val="000000" w:themeColor="text1"/>
                <w:szCs w:val="18"/>
                <w:highlight w:val="yellow"/>
              </w:rPr>
            </w:pPr>
            <w:r w:rsidRPr="00217865">
              <w:rPr>
                <w:color w:val="000000" w:themeColor="text1"/>
              </w:rPr>
              <w:t>74.0 (70.3, 77.3)</w:t>
            </w:r>
          </w:p>
        </w:tc>
        <w:tc>
          <w:tcPr>
            <w:tcW w:w="323" w:type="pct"/>
            <w:tcBorders>
              <w:top w:val="single" w:sz="4" w:space="0" w:color="auto"/>
              <w:left w:val="single" w:sz="4" w:space="0" w:color="auto"/>
              <w:bottom w:val="single" w:sz="4" w:space="0" w:color="auto"/>
              <w:right w:val="single" w:sz="4" w:space="0" w:color="auto"/>
            </w:tcBorders>
            <w:vAlign w:val="center"/>
          </w:tcPr>
          <w:p w14:paraId="2F8E76AD" w14:textId="77777777" w:rsidR="00821227" w:rsidRPr="00217865" w:rsidRDefault="00821227" w:rsidP="00E06AED">
            <w:pPr>
              <w:pStyle w:val="Z"/>
              <w:jc w:val="center"/>
              <w:rPr>
                <w:color w:val="000000" w:themeColor="text1"/>
                <w:szCs w:val="18"/>
                <w:highlight w:val="yellow"/>
              </w:rPr>
            </w:pPr>
            <w:r w:rsidRPr="00217865">
              <w:rPr>
                <w:color w:val="000000" w:themeColor="text1"/>
              </w:rPr>
              <w:t>77.7 (74.5, 80.5)</w:t>
            </w:r>
          </w:p>
        </w:tc>
      </w:tr>
      <w:tr w:rsidR="00217865" w:rsidRPr="00217865" w14:paraId="0B808EFA"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6801248" w14:textId="77777777" w:rsidR="00821227" w:rsidRPr="00217865" w:rsidRDefault="00821227" w:rsidP="002611FF">
            <w:pPr>
              <w:pStyle w:val="Z"/>
              <w:rPr>
                <w:color w:val="000000" w:themeColor="text1"/>
                <w:szCs w:val="18"/>
                <w:highlight w:val="yellow"/>
              </w:rPr>
            </w:pPr>
            <w:r w:rsidRPr="00217865">
              <w:rPr>
                <w:color w:val="000000" w:themeColor="text1"/>
              </w:rPr>
              <w:lastRenderedPageBreak/>
              <w:t>Griffith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A4A41C7" w14:textId="77777777" w:rsidR="00821227" w:rsidRPr="00217865" w:rsidRDefault="00821227" w:rsidP="00E06AED">
            <w:pPr>
              <w:pStyle w:val="Z"/>
              <w:jc w:val="center"/>
              <w:rPr>
                <w:color w:val="000000" w:themeColor="text1"/>
                <w:szCs w:val="18"/>
                <w:highlight w:val="yellow"/>
              </w:rPr>
            </w:pPr>
            <w:r w:rsidRPr="00217865">
              <w:rPr>
                <w:color w:val="000000" w:themeColor="text1"/>
              </w:rPr>
              <w:t>84.7 (82.3, 86.8)</w:t>
            </w:r>
          </w:p>
        </w:tc>
        <w:tc>
          <w:tcPr>
            <w:tcW w:w="323" w:type="pct"/>
            <w:tcBorders>
              <w:top w:val="single" w:sz="4" w:space="0" w:color="auto"/>
              <w:left w:val="single" w:sz="4" w:space="0" w:color="auto"/>
              <w:bottom w:val="single" w:sz="4" w:space="0" w:color="auto"/>
              <w:right w:val="single" w:sz="4" w:space="0" w:color="auto"/>
            </w:tcBorders>
            <w:vAlign w:val="center"/>
          </w:tcPr>
          <w:p w14:paraId="4DCA3F2A" w14:textId="77777777" w:rsidR="00821227" w:rsidRPr="00217865" w:rsidRDefault="00821227" w:rsidP="00E06AED">
            <w:pPr>
              <w:pStyle w:val="Z"/>
              <w:jc w:val="center"/>
              <w:rPr>
                <w:color w:val="000000" w:themeColor="text1"/>
                <w:szCs w:val="18"/>
                <w:highlight w:val="yellow"/>
              </w:rPr>
            </w:pPr>
            <w:r w:rsidRPr="00217865">
              <w:rPr>
                <w:color w:val="000000" w:themeColor="text1"/>
              </w:rPr>
              <w:t>84.6 (82.7, 86.2)</w:t>
            </w:r>
          </w:p>
        </w:tc>
        <w:tc>
          <w:tcPr>
            <w:tcW w:w="323" w:type="pct"/>
            <w:tcBorders>
              <w:top w:val="single" w:sz="4" w:space="0" w:color="auto"/>
              <w:left w:val="single" w:sz="4" w:space="0" w:color="auto"/>
              <w:bottom w:val="single" w:sz="4" w:space="0" w:color="auto"/>
              <w:right w:val="single" w:sz="4" w:space="0" w:color="auto"/>
            </w:tcBorders>
            <w:vAlign w:val="center"/>
          </w:tcPr>
          <w:p w14:paraId="62E62039" w14:textId="77777777" w:rsidR="00821227" w:rsidRPr="00217865" w:rsidRDefault="00821227" w:rsidP="00E06AED">
            <w:pPr>
              <w:pStyle w:val="Z"/>
              <w:jc w:val="center"/>
              <w:rPr>
                <w:color w:val="000000" w:themeColor="text1"/>
                <w:szCs w:val="18"/>
                <w:highlight w:val="yellow"/>
              </w:rPr>
            </w:pPr>
            <w:r w:rsidRPr="00217865">
              <w:rPr>
                <w:color w:val="000000" w:themeColor="text1"/>
              </w:rPr>
              <w:t>61.3 (58.3, 64.1)</w:t>
            </w:r>
          </w:p>
        </w:tc>
        <w:tc>
          <w:tcPr>
            <w:tcW w:w="323" w:type="pct"/>
            <w:tcBorders>
              <w:top w:val="single" w:sz="4" w:space="0" w:color="auto"/>
              <w:left w:val="single" w:sz="4" w:space="0" w:color="auto"/>
              <w:bottom w:val="single" w:sz="4" w:space="0" w:color="auto"/>
              <w:right w:val="single" w:sz="4" w:space="0" w:color="auto"/>
            </w:tcBorders>
            <w:vAlign w:val="center"/>
          </w:tcPr>
          <w:p w14:paraId="316F0F1D" w14:textId="77777777" w:rsidR="00821227" w:rsidRPr="00217865" w:rsidRDefault="00821227" w:rsidP="00E06AED">
            <w:pPr>
              <w:pStyle w:val="Z"/>
              <w:jc w:val="center"/>
              <w:rPr>
                <w:color w:val="000000" w:themeColor="text1"/>
                <w:szCs w:val="18"/>
                <w:highlight w:val="yellow"/>
              </w:rPr>
            </w:pPr>
            <w:r w:rsidRPr="00217865">
              <w:rPr>
                <w:color w:val="000000" w:themeColor="text1"/>
              </w:rPr>
              <w:t>64.6 (62.3, 66.8)</w:t>
            </w:r>
          </w:p>
        </w:tc>
        <w:tc>
          <w:tcPr>
            <w:tcW w:w="322" w:type="pct"/>
            <w:tcBorders>
              <w:top w:val="single" w:sz="4" w:space="0" w:color="auto"/>
              <w:left w:val="single" w:sz="4" w:space="0" w:color="auto"/>
              <w:bottom w:val="single" w:sz="4" w:space="0" w:color="auto"/>
              <w:right w:val="single" w:sz="4" w:space="0" w:color="auto"/>
            </w:tcBorders>
            <w:vAlign w:val="center"/>
          </w:tcPr>
          <w:p w14:paraId="0CA38E4D" w14:textId="77777777" w:rsidR="00821227" w:rsidRPr="00217865" w:rsidRDefault="00821227" w:rsidP="00E06AED">
            <w:pPr>
              <w:pStyle w:val="Z"/>
              <w:jc w:val="center"/>
              <w:rPr>
                <w:color w:val="000000" w:themeColor="text1"/>
                <w:szCs w:val="18"/>
                <w:highlight w:val="yellow"/>
              </w:rPr>
            </w:pPr>
            <w:r w:rsidRPr="00217865">
              <w:rPr>
                <w:color w:val="000000" w:themeColor="text1"/>
              </w:rPr>
              <w:t>83.7 (81.3, 85.8)</w:t>
            </w:r>
          </w:p>
        </w:tc>
        <w:tc>
          <w:tcPr>
            <w:tcW w:w="323" w:type="pct"/>
            <w:tcBorders>
              <w:top w:val="single" w:sz="4" w:space="0" w:color="auto"/>
              <w:left w:val="single" w:sz="4" w:space="0" w:color="auto"/>
              <w:bottom w:val="single" w:sz="4" w:space="0" w:color="auto"/>
              <w:right w:val="single" w:sz="4" w:space="0" w:color="auto"/>
            </w:tcBorders>
            <w:vAlign w:val="center"/>
          </w:tcPr>
          <w:p w14:paraId="7996CD60" w14:textId="77777777" w:rsidR="00821227" w:rsidRPr="00217865" w:rsidRDefault="00821227" w:rsidP="00E06AED">
            <w:pPr>
              <w:pStyle w:val="Z"/>
              <w:jc w:val="center"/>
              <w:rPr>
                <w:color w:val="000000" w:themeColor="text1"/>
                <w:szCs w:val="18"/>
                <w:highlight w:val="yellow"/>
              </w:rPr>
            </w:pPr>
            <w:r w:rsidRPr="00217865">
              <w:rPr>
                <w:color w:val="000000" w:themeColor="text1"/>
              </w:rPr>
              <w:t>84.1 (82.3, 85.7)</w:t>
            </w:r>
          </w:p>
        </w:tc>
        <w:tc>
          <w:tcPr>
            <w:tcW w:w="323" w:type="pct"/>
            <w:tcBorders>
              <w:top w:val="single" w:sz="4" w:space="0" w:color="auto"/>
              <w:left w:val="single" w:sz="4" w:space="0" w:color="auto"/>
              <w:bottom w:val="single" w:sz="4" w:space="0" w:color="auto"/>
              <w:right w:val="single" w:sz="4" w:space="0" w:color="auto"/>
            </w:tcBorders>
            <w:vAlign w:val="center"/>
          </w:tcPr>
          <w:p w14:paraId="2951DEED" w14:textId="77777777" w:rsidR="00821227" w:rsidRPr="00217865" w:rsidRDefault="00821227" w:rsidP="00E06AED">
            <w:pPr>
              <w:pStyle w:val="Z"/>
              <w:jc w:val="center"/>
              <w:rPr>
                <w:color w:val="000000" w:themeColor="text1"/>
                <w:szCs w:val="18"/>
                <w:highlight w:val="yellow"/>
              </w:rPr>
            </w:pPr>
            <w:r w:rsidRPr="00217865">
              <w:rPr>
                <w:color w:val="000000" w:themeColor="text1"/>
              </w:rPr>
              <w:t>75.4 (72.5, 78.0)</w:t>
            </w:r>
          </w:p>
        </w:tc>
        <w:tc>
          <w:tcPr>
            <w:tcW w:w="323" w:type="pct"/>
            <w:tcBorders>
              <w:top w:val="single" w:sz="4" w:space="0" w:color="auto"/>
              <w:left w:val="single" w:sz="4" w:space="0" w:color="auto"/>
              <w:bottom w:val="single" w:sz="4" w:space="0" w:color="auto"/>
              <w:right w:val="single" w:sz="4" w:space="0" w:color="auto"/>
            </w:tcBorders>
            <w:vAlign w:val="center"/>
          </w:tcPr>
          <w:p w14:paraId="44E1F819" w14:textId="77777777" w:rsidR="00821227" w:rsidRPr="00217865" w:rsidRDefault="00821227" w:rsidP="00E06AED">
            <w:pPr>
              <w:pStyle w:val="Z"/>
              <w:jc w:val="center"/>
              <w:rPr>
                <w:color w:val="000000" w:themeColor="text1"/>
                <w:szCs w:val="18"/>
                <w:highlight w:val="yellow"/>
              </w:rPr>
            </w:pPr>
            <w:r w:rsidRPr="00217865">
              <w:rPr>
                <w:color w:val="000000" w:themeColor="text1"/>
              </w:rPr>
              <w:t>80.7 (78.5, 82.6)</w:t>
            </w:r>
          </w:p>
        </w:tc>
        <w:tc>
          <w:tcPr>
            <w:tcW w:w="322" w:type="pct"/>
            <w:tcBorders>
              <w:top w:val="single" w:sz="4" w:space="0" w:color="auto"/>
              <w:left w:val="single" w:sz="4" w:space="0" w:color="auto"/>
              <w:bottom w:val="single" w:sz="4" w:space="0" w:color="auto"/>
              <w:right w:val="single" w:sz="4" w:space="0" w:color="auto"/>
            </w:tcBorders>
            <w:vAlign w:val="center"/>
          </w:tcPr>
          <w:p w14:paraId="2BF7B44B" w14:textId="77777777" w:rsidR="00821227" w:rsidRPr="00217865" w:rsidRDefault="00821227" w:rsidP="00E06AED">
            <w:pPr>
              <w:pStyle w:val="Z"/>
              <w:jc w:val="center"/>
              <w:rPr>
                <w:color w:val="000000" w:themeColor="text1"/>
                <w:szCs w:val="18"/>
                <w:highlight w:val="yellow"/>
              </w:rPr>
            </w:pPr>
            <w:r w:rsidRPr="00217865">
              <w:rPr>
                <w:color w:val="000000" w:themeColor="text1"/>
              </w:rPr>
              <w:t>85.8 (83.4, 87.8)</w:t>
            </w:r>
          </w:p>
        </w:tc>
        <w:tc>
          <w:tcPr>
            <w:tcW w:w="323" w:type="pct"/>
            <w:tcBorders>
              <w:top w:val="single" w:sz="4" w:space="0" w:color="auto"/>
              <w:left w:val="single" w:sz="4" w:space="0" w:color="auto"/>
              <w:bottom w:val="single" w:sz="4" w:space="0" w:color="auto"/>
              <w:right w:val="single" w:sz="4" w:space="0" w:color="auto"/>
            </w:tcBorders>
            <w:vAlign w:val="center"/>
          </w:tcPr>
          <w:p w14:paraId="58CC7996" w14:textId="77777777" w:rsidR="00821227" w:rsidRPr="00217865" w:rsidRDefault="00821227" w:rsidP="00E06AED">
            <w:pPr>
              <w:pStyle w:val="Z"/>
              <w:jc w:val="center"/>
              <w:rPr>
                <w:color w:val="000000" w:themeColor="text1"/>
                <w:szCs w:val="18"/>
                <w:highlight w:val="yellow"/>
              </w:rPr>
            </w:pPr>
            <w:r w:rsidRPr="00217865">
              <w:rPr>
                <w:color w:val="000000" w:themeColor="text1"/>
              </w:rPr>
              <w:t>88.7 (87.1, 90.1)</w:t>
            </w:r>
          </w:p>
        </w:tc>
        <w:tc>
          <w:tcPr>
            <w:tcW w:w="323" w:type="pct"/>
            <w:tcBorders>
              <w:top w:val="single" w:sz="4" w:space="0" w:color="auto"/>
              <w:left w:val="single" w:sz="4" w:space="0" w:color="auto"/>
              <w:bottom w:val="single" w:sz="4" w:space="0" w:color="auto"/>
              <w:right w:val="single" w:sz="4" w:space="0" w:color="auto"/>
            </w:tcBorders>
            <w:vAlign w:val="center"/>
          </w:tcPr>
          <w:p w14:paraId="37614F40" w14:textId="77777777" w:rsidR="00821227" w:rsidRPr="00217865" w:rsidRDefault="00821227" w:rsidP="00E06AED">
            <w:pPr>
              <w:pStyle w:val="Z"/>
              <w:jc w:val="center"/>
              <w:rPr>
                <w:color w:val="000000" w:themeColor="text1"/>
                <w:szCs w:val="18"/>
                <w:highlight w:val="yellow"/>
              </w:rPr>
            </w:pPr>
            <w:r w:rsidRPr="00217865">
              <w:rPr>
                <w:color w:val="000000" w:themeColor="text1"/>
              </w:rPr>
              <w:t>77.8 (75.2, 80.2)</w:t>
            </w:r>
          </w:p>
        </w:tc>
        <w:tc>
          <w:tcPr>
            <w:tcW w:w="323" w:type="pct"/>
            <w:tcBorders>
              <w:top w:val="single" w:sz="4" w:space="0" w:color="auto"/>
              <w:left w:val="single" w:sz="4" w:space="0" w:color="auto"/>
              <w:bottom w:val="single" w:sz="4" w:space="0" w:color="auto"/>
              <w:right w:val="single" w:sz="4" w:space="0" w:color="auto"/>
            </w:tcBorders>
            <w:vAlign w:val="center"/>
          </w:tcPr>
          <w:p w14:paraId="2B2A2956" w14:textId="77777777" w:rsidR="00821227" w:rsidRPr="00217865" w:rsidRDefault="00821227" w:rsidP="00E06AED">
            <w:pPr>
              <w:pStyle w:val="Z"/>
              <w:jc w:val="center"/>
              <w:rPr>
                <w:color w:val="000000" w:themeColor="text1"/>
                <w:szCs w:val="18"/>
                <w:highlight w:val="yellow"/>
              </w:rPr>
            </w:pPr>
            <w:r w:rsidRPr="00217865">
              <w:rPr>
                <w:color w:val="000000" w:themeColor="text1"/>
              </w:rPr>
              <w:t>78.5 (76.5, 80.3)</w:t>
            </w:r>
          </w:p>
        </w:tc>
      </w:tr>
      <w:tr w:rsidR="00217865" w:rsidRPr="00217865" w14:paraId="206ECA37"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DF9D247" w14:textId="77777777" w:rsidR="00821227" w:rsidRPr="00217865" w:rsidRDefault="00821227" w:rsidP="002611FF">
            <w:pPr>
              <w:pStyle w:val="Z"/>
              <w:rPr>
                <w:color w:val="000000" w:themeColor="text1"/>
                <w:szCs w:val="18"/>
                <w:highlight w:val="yellow"/>
              </w:rPr>
            </w:pPr>
            <w:r w:rsidRPr="00217865">
              <w:rPr>
                <w:color w:val="000000" w:themeColor="text1"/>
              </w:rPr>
              <w:t>James Cook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404D63E" w14:textId="77777777" w:rsidR="00821227" w:rsidRPr="00217865" w:rsidRDefault="00821227" w:rsidP="00E06AED">
            <w:pPr>
              <w:pStyle w:val="Z"/>
              <w:jc w:val="center"/>
              <w:rPr>
                <w:color w:val="000000" w:themeColor="text1"/>
                <w:szCs w:val="18"/>
                <w:highlight w:val="yellow"/>
              </w:rPr>
            </w:pPr>
            <w:r w:rsidRPr="00217865">
              <w:rPr>
                <w:color w:val="000000" w:themeColor="text1"/>
              </w:rPr>
              <w:t>82.6 (78.1, 86.0)</w:t>
            </w:r>
          </w:p>
        </w:tc>
        <w:tc>
          <w:tcPr>
            <w:tcW w:w="323" w:type="pct"/>
            <w:tcBorders>
              <w:top w:val="single" w:sz="4" w:space="0" w:color="auto"/>
              <w:left w:val="single" w:sz="4" w:space="0" w:color="auto"/>
              <w:bottom w:val="single" w:sz="4" w:space="0" w:color="auto"/>
              <w:right w:val="single" w:sz="4" w:space="0" w:color="auto"/>
            </w:tcBorders>
            <w:vAlign w:val="center"/>
          </w:tcPr>
          <w:p w14:paraId="589BEA4E" w14:textId="77777777" w:rsidR="00821227" w:rsidRPr="00217865" w:rsidRDefault="00821227" w:rsidP="00E06AED">
            <w:pPr>
              <w:pStyle w:val="Z"/>
              <w:jc w:val="center"/>
              <w:rPr>
                <w:color w:val="000000" w:themeColor="text1"/>
                <w:szCs w:val="18"/>
                <w:highlight w:val="yellow"/>
              </w:rPr>
            </w:pPr>
            <w:r w:rsidRPr="00217865">
              <w:rPr>
                <w:color w:val="000000" w:themeColor="text1"/>
              </w:rPr>
              <w:t>85.3 (82.0, 87.8)</w:t>
            </w:r>
          </w:p>
        </w:tc>
        <w:tc>
          <w:tcPr>
            <w:tcW w:w="323" w:type="pct"/>
            <w:tcBorders>
              <w:top w:val="single" w:sz="4" w:space="0" w:color="auto"/>
              <w:left w:val="single" w:sz="4" w:space="0" w:color="auto"/>
              <w:bottom w:val="single" w:sz="4" w:space="0" w:color="auto"/>
              <w:right w:val="single" w:sz="4" w:space="0" w:color="auto"/>
            </w:tcBorders>
            <w:vAlign w:val="center"/>
          </w:tcPr>
          <w:p w14:paraId="70788DBF" w14:textId="77777777" w:rsidR="00821227" w:rsidRPr="00217865" w:rsidRDefault="00821227" w:rsidP="00E06AED">
            <w:pPr>
              <w:pStyle w:val="Z"/>
              <w:jc w:val="center"/>
              <w:rPr>
                <w:color w:val="000000" w:themeColor="text1"/>
                <w:szCs w:val="18"/>
                <w:highlight w:val="yellow"/>
              </w:rPr>
            </w:pPr>
            <w:r w:rsidRPr="00217865">
              <w:rPr>
                <w:color w:val="000000" w:themeColor="text1"/>
              </w:rPr>
              <w:t>69.1 (64.1, 73.5)</w:t>
            </w:r>
          </w:p>
        </w:tc>
        <w:tc>
          <w:tcPr>
            <w:tcW w:w="323" w:type="pct"/>
            <w:tcBorders>
              <w:top w:val="single" w:sz="4" w:space="0" w:color="auto"/>
              <w:left w:val="single" w:sz="4" w:space="0" w:color="auto"/>
              <w:bottom w:val="single" w:sz="4" w:space="0" w:color="auto"/>
              <w:right w:val="single" w:sz="4" w:space="0" w:color="auto"/>
            </w:tcBorders>
            <w:vAlign w:val="center"/>
          </w:tcPr>
          <w:p w14:paraId="5BE2C94D" w14:textId="77777777" w:rsidR="00821227" w:rsidRPr="00217865" w:rsidRDefault="00821227" w:rsidP="00E06AED">
            <w:pPr>
              <w:pStyle w:val="Z"/>
              <w:jc w:val="center"/>
              <w:rPr>
                <w:color w:val="000000" w:themeColor="text1"/>
                <w:szCs w:val="18"/>
                <w:highlight w:val="yellow"/>
              </w:rPr>
            </w:pPr>
            <w:r w:rsidRPr="00217865">
              <w:rPr>
                <w:color w:val="000000" w:themeColor="text1"/>
              </w:rPr>
              <w:t>69.4 (65.6, 72.9)</w:t>
            </w:r>
          </w:p>
        </w:tc>
        <w:tc>
          <w:tcPr>
            <w:tcW w:w="322" w:type="pct"/>
            <w:tcBorders>
              <w:top w:val="single" w:sz="4" w:space="0" w:color="auto"/>
              <w:left w:val="single" w:sz="4" w:space="0" w:color="auto"/>
              <w:bottom w:val="single" w:sz="4" w:space="0" w:color="auto"/>
              <w:right w:val="single" w:sz="4" w:space="0" w:color="auto"/>
            </w:tcBorders>
            <w:vAlign w:val="center"/>
          </w:tcPr>
          <w:p w14:paraId="265184FD" w14:textId="77777777" w:rsidR="00821227" w:rsidRPr="00217865" w:rsidRDefault="00821227" w:rsidP="00E06AED">
            <w:pPr>
              <w:pStyle w:val="Z"/>
              <w:jc w:val="center"/>
              <w:rPr>
                <w:color w:val="000000" w:themeColor="text1"/>
                <w:szCs w:val="18"/>
                <w:highlight w:val="yellow"/>
              </w:rPr>
            </w:pPr>
            <w:r w:rsidRPr="00217865">
              <w:rPr>
                <w:color w:val="000000" w:themeColor="text1"/>
              </w:rPr>
              <w:t>81.0 (76.4, 84.5)</w:t>
            </w:r>
          </w:p>
        </w:tc>
        <w:tc>
          <w:tcPr>
            <w:tcW w:w="323" w:type="pct"/>
            <w:tcBorders>
              <w:top w:val="single" w:sz="4" w:space="0" w:color="auto"/>
              <w:left w:val="single" w:sz="4" w:space="0" w:color="auto"/>
              <w:bottom w:val="single" w:sz="4" w:space="0" w:color="auto"/>
              <w:right w:val="single" w:sz="4" w:space="0" w:color="auto"/>
            </w:tcBorders>
            <w:vAlign w:val="center"/>
          </w:tcPr>
          <w:p w14:paraId="2067949C" w14:textId="77777777" w:rsidR="00821227" w:rsidRPr="00217865" w:rsidRDefault="00821227" w:rsidP="00E06AED">
            <w:pPr>
              <w:pStyle w:val="Z"/>
              <w:jc w:val="center"/>
              <w:rPr>
                <w:color w:val="000000" w:themeColor="text1"/>
                <w:szCs w:val="18"/>
                <w:highlight w:val="yellow"/>
              </w:rPr>
            </w:pPr>
            <w:r w:rsidRPr="00217865">
              <w:rPr>
                <w:color w:val="000000" w:themeColor="text1"/>
              </w:rPr>
              <w:t>84.4 (81.1, 87.0)</w:t>
            </w:r>
          </w:p>
        </w:tc>
        <w:tc>
          <w:tcPr>
            <w:tcW w:w="323" w:type="pct"/>
            <w:tcBorders>
              <w:top w:val="single" w:sz="4" w:space="0" w:color="auto"/>
              <w:left w:val="single" w:sz="4" w:space="0" w:color="auto"/>
              <w:bottom w:val="single" w:sz="4" w:space="0" w:color="auto"/>
              <w:right w:val="single" w:sz="4" w:space="0" w:color="auto"/>
            </w:tcBorders>
            <w:vAlign w:val="center"/>
          </w:tcPr>
          <w:p w14:paraId="40BCEF13" w14:textId="77777777" w:rsidR="00821227" w:rsidRPr="00217865" w:rsidRDefault="00821227" w:rsidP="00E06AED">
            <w:pPr>
              <w:pStyle w:val="Z"/>
              <w:jc w:val="center"/>
              <w:rPr>
                <w:color w:val="000000" w:themeColor="text1"/>
                <w:szCs w:val="18"/>
                <w:highlight w:val="yellow"/>
              </w:rPr>
            </w:pPr>
            <w:r w:rsidRPr="00217865">
              <w:rPr>
                <w:color w:val="000000" w:themeColor="text1"/>
              </w:rPr>
              <w:t>77.3 (72.3, 81.3)</w:t>
            </w:r>
          </w:p>
        </w:tc>
        <w:tc>
          <w:tcPr>
            <w:tcW w:w="323" w:type="pct"/>
            <w:tcBorders>
              <w:top w:val="single" w:sz="4" w:space="0" w:color="auto"/>
              <w:left w:val="single" w:sz="4" w:space="0" w:color="auto"/>
              <w:bottom w:val="single" w:sz="4" w:space="0" w:color="auto"/>
              <w:right w:val="single" w:sz="4" w:space="0" w:color="auto"/>
            </w:tcBorders>
            <w:vAlign w:val="center"/>
          </w:tcPr>
          <w:p w14:paraId="2B2C93E8" w14:textId="77777777" w:rsidR="00821227" w:rsidRPr="00217865" w:rsidRDefault="00821227" w:rsidP="00E06AED">
            <w:pPr>
              <w:pStyle w:val="Z"/>
              <w:jc w:val="center"/>
              <w:rPr>
                <w:color w:val="000000" w:themeColor="text1"/>
                <w:szCs w:val="18"/>
                <w:highlight w:val="yellow"/>
              </w:rPr>
            </w:pPr>
            <w:r w:rsidRPr="00217865">
              <w:rPr>
                <w:color w:val="000000" w:themeColor="text1"/>
              </w:rPr>
              <w:t>85.5 (81.8, 88.3)</w:t>
            </w:r>
          </w:p>
        </w:tc>
        <w:tc>
          <w:tcPr>
            <w:tcW w:w="322" w:type="pct"/>
            <w:tcBorders>
              <w:top w:val="single" w:sz="4" w:space="0" w:color="auto"/>
              <w:left w:val="single" w:sz="4" w:space="0" w:color="auto"/>
              <w:bottom w:val="single" w:sz="4" w:space="0" w:color="auto"/>
              <w:right w:val="single" w:sz="4" w:space="0" w:color="auto"/>
            </w:tcBorders>
            <w:vAlign w:val="center"/>
          </w:tcPr>
          <w:p w14:paraId="6832E340" w14:textId="77777777" w:rsidR="00821227" w:rsidRPr="00217865" w:rsidRDefault="00821227" w:rsidP="00E06AED">
            <w:pPr>
              <w:pStyle w:val="Z"/>
              <w:jc w:val="center"/>
              <w:rPr>
                <w:color w:val="000000" w:themeColor="text1"/>
                <w:szCs w:val="18"/>
                <w:highlight w:val="yellow"/>
              </w:rPr>
            </w:pPr>
            <w:r w:rsidRPr="00217865">
              <w:rPr>
                <w:color w:val="000000" w:themeColor="text1"/>
              </w:rPr>
              <w:t>91.3 (87.6, 93.6)</w:t>
            </w:r>
          </w:p>
        </w:tc>
        <w:tc>
          <w:tcPr>
            <w:tcW w:w="323" w:type="pct"/>
            <w:tcBorders>
              <w:top w:val="single" w:sz="4" w:space="0" w:color="auto"/>
              <w:left w:val="single" w:sz="4" w:space="0" w:color="auto"/>
              <w:bottom w:val="single" w:sz="4" w:space="0" w:color="auto"/>
              <w:right w:val="single" w:sz="4" w:space="0" w:color="auto"/>
            </w:tcBorders>
            <w:vAlign w:val="center"/>
          </w:tcPr>
          <w:p w14:paraId="03450265" w14:textId="77777777" w:rsidR="00821227" w:rsidRPr="00217865" w:rsidRDefault="00821227" w:rsidP="00E06AED">
            <w:pPr>
              <w:pStyle w:val="Z"/>
              <w:jc w:val="center"/>
              <w:rPr>
                <w:color w:val="000000" w:themeColor="text1"/>
                <w:szCs w:val="18"/>
                <w:highlight w:val="yellow"/>
              </w:rPr>
            </w:pPr>
            <w:r w:rsidRPr="00217865">
              <w:rPr>
                <w:color w:val="000000" w:themeColor="text1"/>
              </w:rPr>
              <w:t>89.3 (86.3, 91.5)</w:t>
            </w:r>
          </w:p>
        </w:tc>
        <w:tc>
          <w:tcPr>
            <w:tcW w:w="323" w:type="pct"/>
            <w:tcBorders>
              <w:top w:val="single" w:sz="4" w:space="0" w:color="auto"/>
              <w:left w:val="single" w:sz="4" w:space="0" w:color="auto"/>
              <w:bottom w:val="single" w:sz="4" w:space="0" w:color="auto"/>
              <w:right w:val="single" w:sz="4" w:space="0" w:color="auto"/>
            </w:tcBorders>
            <w:vAlign w:val="center"/>
          </w:tcPr>
          <w:p w14:paraId="09797EA3" w14:textId="77777777" w:rsidR="00821227" w:rsidRPr="00217865" w:rsidRDefault="00821227" w:rsidP="00E06AED">
            <w:pPr>
              <w:pStyle w:val="Z"/>
              <w:jc w:val="center"/>
              <w:rPr>
                <w:color w:val="000000" w:themeColor="text1"/>
                <w:szCs w:val="18"/>
                <w:highlight w:val="yellow"/>
              </w:rPr>
            </w:pPr>
            <w:r w:rsidRPr="00217865">
              <w:rPr>
                <w:color w:val="000000" w:themeColor="text1"/>
              </w:rPr>
              <w:t>81.2 (76.7, 84.7)</w:t>
            </w:r>
          </w:p>
        </w:tc>
        <w:tc>
          <w:tcPr>
            <w:tcW w:w="323" w:type="pct"/>
            <w:tcBorders>
              <w:top w:val="single" w:sz="4" w:space="0" w:color="auto"/>
              <w:left w:val="single" w:sz="4" w:space="0" w:color="auto"/>
              <w:bottom w:val="single" w:sz="4" w:space="0" w:color="auto"/>
              <w:right w:val="single" w:sz="4" w:space="0" w:color="auto"/>
            </w:tcBorders>
            <w:vAlign w:val="center"/>
          </w:tcPr>
          <w:p w14:paraId="14FBF18F" w14:textId="77777777" w:rsidR="00821227" w:rsidRPr="00217865" w:rsidRDefault="00821227" w:rsidP="00E06AED">
            <w:pPr>
              <w:pStyle w:val="Z"/>
              <w:jc w:val="center"/>
              <w:rPr>
                <w:color w:val="000000" w:themeColor="text1"/>
                <w:szCs w:val="18"/>
                <w:highlight w:val="yellow"/>
              </w:rPr>
            </w:pPr>
            <w:r w:rsidRPr="00217865">
              <w:rPr>
                <w:color w:val="000000" w:themeColor="text1"/>
              </w:rPr>
              <w:t>84.3 (81.0, 86.8)</w:t>
            </w:r>
          </w:p>
        </w:tc>
      </w:tr>
      <w:tr w:rsidR="00217865" w:rsidRPr="00217865" w14:paraId="76954E01"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5507150" w14:textId="77777777" w:rsidR="00821227" w:rsidRPr="00217865" w:rsidRDefault="00821227" w:rsidP="002611FF">
            <w:pPr>
              <w:pStyle w:val="Z"/>
              <w:rPr>
                <w:color w:val="000000" w:themeColor="text1"/>
                <w:szCs w:val="18"/>
                <w:highlight w:val="yellow"/>
              </w:rPr>
            </w:pPr>
            <w:r w:rsidRPr="00217865">
              <w:rPr>
                <w:color w:val="000000" w:themeColor="text1"/>
              </w:rPr>
              <w:t>La Trobe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A17FDA5" w14:textId="77777777" w:rsidR="00821227" w:rsidRPr="00217865" w:rsidRDefault="00821227" w:rsidP="00E06AED">
            <w:pPr>
              <w:pStyle w:val="Z"/>
              <w:jc w:val="center"/>
              <w:rPr>
                <w:color w:val="000000" w:themeColor="text1"/>
                <w:szCs w:val="18"/>
                <w:highlight w:val="yellow"/>
              </w:rPr>
            </w:pPr>
            <w:r w:rsidRPr="00217865">
              <w:rPr>
                <w:color w:val="000000" w:themeColor="text1"/>
              </w:rPr>
              <w:t>78.9 (75.6, 81.8)</w:t>
            </w:r>
          </w:p>
        </w:tc>
        <w:tc>
          <w:tcPr>
            <w:tcW w:w="323" w:type="pct"/>
            <w:tcBorders>
              <w:top w:val="single" w:sz="4" w:space="0" w:color="auto"/>
              <w:left w:val="single" w:sz="4" w:space="0" w:color="auto"/>
              <w:bottom w:val="single" w:sz="4" w:space="0" w:color="auto"/>
              <w:right w:val="single" w:sz="4" w:space="0" w:color="auto"/>
            </w:tcBorders>
            <w:vAlign w:val="center"/>
          </w:tcPr>
          <w:p w14:paraId="556A4A34" w14:textId="77777777" w:rsidR="00821227" w:rsidRPr="00217865" w:rsidRDefault="00821227" w:rsidP="00E06AED">
            <w:pPr>
              <w:pStyle w:val="Z"/>
              <w:jc w:val="center"/>
              <w:rPr>
                <w:color w:val="000000" w:themeColor="text1"/>
                <w:szCs w:val="18"/>
                <w:highlight w:val="yellow"/>
              </w:rPr>
            </w:pPr>
            <w:r w:rsidRPr="00217865">
              <w:rPr>
                <w:color w:val="000000" w:themeColor="text1"/>
              </w:rPr>
              <w:t>78.0 (74.9, 80.7)</w:t>
            </w:r>
          </w:p>
        </w:tc>
        <w:tc>
          <w:tcPr>
            <w:tcW w:w="323" w:type="pct"/>
            <w:tcBorders>
              <w:top w:val="single" w:sz="4" w:space="0" w:color="auto"/>
              <w:left w:val="single" w:sz="4" w:space="0" w:color="auto"/>
              <w:bottom w:val="single" w:sz="4" w:space="0" w:color="auto"/>
              <w:right w:val="single" w:sz="4" w:space="0" w:color="auto"/>
            </w:tcBorders>
            <w:vAlign w:val="center"/>
          </w:tcPr>
          <w:p w14:paraId="69AD8D9F" w14:textId="77777777" w:rsidR="00821227" w:rsidRPr="00217865" w:rsidRDefault="00821227" w:rsidP="00E06AED">
            <w:pPr>
              <w:pStyle w:val="Z"/>
              <w:jc w:val="center"/>
              <w:rPr>
                <w:color w:val="000000" w:themeColor="text1"/>
                <w:szCs w:val="18"/>
                <w:highlight w:val="yellow"/>
              </w:rPr>
            </w:pPr>
            <w:r w:rsidRPr="00217865">
              <w:rPr>
                <w:color w:val="000000" w:themeColor="text1"/>
              </w:rPr>
              <w:t>58.9 (55.3, 62.5)</w:t>
            </w:r>
          </w:p>
        </w:tc>
        <w:tc>
          <w:tcPr>
            <w:tcW w:w="323" w:type="pct"/>
            <w:tcBorders>
              <w:top w:val="single" w:sz="4" w:space="0" w:color="auto"/>
              <w:left w:val="single" w:sz="4" w:space="0" w:color="auto"/>
              <w:bottom w:val="single" w:sz="4" w:space="0" w:color="auto"/>
              <w:right w:val="single" w:sz="4" w:space="0" w:color="auto"/>
            </w:tcBorders>
            <w:vAlign w:val="center"/>
          </w:tcPr>
          <w:p w14:paraId="421EF9B5" w14:textId="77777777" w:rsidR="00821227" w:rsidRPr="00217865" w:rsidRDefault="00821227" w:rsidP="00E06AED">
            <w:pPr>
              <w:pStyle w:val="Z"/>
              <w:jc w:val="center"/>
              <w:rPr>
                <w:color w:val="000000" w:themeColor="text1"/>
                <w:szCs w:val="18"/>
                <w:highlight w:val="yellow"/>
              </w:rPr>
            </w:pPr>
            <w:r w:rsidRPr="00217865">
              <w:rPr>
                <w:color w:val="000000" w:themeColor="text1"/>
              </w:rPr>
              <w:t>59.3 (55.9, 62.6)</w:t>
            </w:r>
          </w:p>
        </w:tc>
        <w:tc>
          <w:tcPr>
            <w:tcW w:w="322" w:type="pct"/>
            <w:tcBorders>
              <w:top w:val="single" w:sz="4" w:space="0" w:color="auto"/>
              <w:left w:val="single" w:sz="4" w:space="0" w:color="auto"/>
              <w:bottom w:val="single" w:sz="4" w:space="0" w:color="auto"/>
              <w:right w:val="single" w:sz="4" w:space="0" w:color="auto"/>
            </w:tcBorders>
            <w:vAlign w:val="center"/>
          </w:tcPr>
          <w:p w14:paraId="395E72A4" w14:textId="77777777" w:rsidR="00821227" w:rsidRPr="00217865" w:rsidRDefault="00821227" w:rsidP="00E06AED">
            <w:pPr>
              <w:pStyle w:val="Z"/>
              <w:jc w:val="center"/>
              <w:rPr>
                <w:color w:val="000000" w:themeColor="text1"/>
                <w:szCs w:val="18"/>
                <w:highlight w:val="yellow"/>
              </w:rPr>
            </w:pPr>
            <w:r w:rsidRPr="00217865">
              <w:rPr>
                <w:color w:val="000000" w:themeColor="text1"/>
              </w:rPr>
              <w:t>80.5 (77.3, 83.2)</w:t>
            </w:r>
          </w:p>
        </w:tc>
        <w:tc>
          <w:tcPr>
            <w:tcW w:w="323" w:type="pct"/>
            <w:tcBorders>
              <w:top w:val="single" w:sz="4" w:space="0" w:color="auto"/>
              <w:left w:val="single" w:sz="4" w:space="0" w:color="auto"/>
              <w:bottom w:val="single" w:sz="4" w:space="0" w:color="auto"/>
              <w:right w:val="single" w:sz="4" w:space="0" w:color="auto"/>
            </w:tcBorders>
            <w:vAlign w:val="center"/>
          </w:tcPr>
          <w:p w14:paraId="7760C7E7" w14:textId="77777777" w:rsidR="00821227" w:rsidRPr="00217865" w:rsidRDefault="00821227" w:rsidP="00E06AED">
            <w:pPr>
              <w:pStyle w:val="Z"/>
              <w:jc w:val="center"/>
              <w:rPr>
                <w:color w:val="000000" w:themeColor="text1"/>
                <w:szCs w:val="18"/>
                <w:highlight w:val="yellow"/>
              </w:rPr>
            </w:pPr>
            <w:r w:rsidRPr="00217865">
              <w:rPr>
                <w:color w:val="000000" w:themeColor="text1"/>
              </w:rPr>
              <w:t>77.6 (74.6, 80.2)</w:t>
            </w:r>
          </w:p>
        </w:tc>
        <w:tc>
          <w:tcPr>
            <w:tcW w:w="323" w:type="pct"/>
            <w:tcBorders>
              <w:top w:val="single" w:sz="4" w:space="0" w:color="auto"/>
              <w:left w:val="single" w:sz="4" w:space="0" w:color="auto"/>
              <w:bottom w:val="single" w:sz="4" w:space="0" w:color="auto"/>
              <w:right w:val="single" w:sz="4" w:space="0" w:color="auto"/>
            </w:tcBorders>
            <w:vAlign w:val="center"/>
          </w:tcPr>
          <w:p w14:paraId="56E1F050" w14:textId="77777777" w:rsidR="00821227" w:rsidRPr="00217865" w:rsidRDefault="00821227" w:rsidP="00E06AED">
            <w:pPr>
              <w:pStyle w:val="Z"/>
              <w:jc w:val="center"/>
              <w:rPr>
                <w:color w:val="000000" w:themeColor="text1"/>
                <w:szCs w:val="18"/>
                <w:highlight w:val="yellow"/>
              </w:rPr>
            </w:pPr>
            <w:r w:rsidRPr="00217865">
              <w:rPr>
                <w:color w:val="000000" w:themeColor="text1"/>
              </w:rPr>
              <w:t>77.2 (73.7, 80.4)</w:t>
            </w:r>
          </w:p>
        </w:tc>
        <w:tc>
          <w:tcPr>
            <w:tcW w:w="323" w:type="pct"/>
            <w:tcBorders>
              <w:top w:val="single" w:sz="4" w:space="0" w:color="auto"/>
              <w:left w:val="single" w:sz="4" w:space="0" w:color="auto"/>
              <w:bottom w:val="single" w:sz="4" w:space="0" w:color="auto"/>
              <w:right w:val="single" w:sz="4" w:space="0" w:color="auto"/>
            </w:tcBorders>
            <w:vAlign w:val="center"/>
          </w:tcPr>
          <w:p w14:paraId="34CD0F98" w14:textId="77777777" w:rsidR="00821227" w:rsidRPr="00217865" w:rsidRDefault="00821227" w:rsidP="00E06AED">
            <w:pPr>
              <w:pStyle w:val="Z"/>
              <w:jc w:val="center"/>
              <w:rPr>
                <w:color w:val="000000" w:themeColor="text1"/>
                <w:szCs w:val="18"/>
                <w:highlight w:val="yellow"/>
              </w:rPr>
            </w:pPr>
            <w:r w:rsidRPr="00217865">
              <w:rPr>
                <w:color w:val="000000" w:themeColor="text1"/>
              </w:rPr>
              <w:t>75.3 (72.0, 78.3)</w:t>
            </w:r>
          </w:p>
        </w:tc>
        <w:tc>
          <w:tcPr>
            <w:tcW w:w="322" w:type="pct"/>
            <w:tcBorders>
              <w:top w:val="single" w:sz="4" w:space="0" w:color="auto"/>
              <w:left w:val="single" w:sz="4" w:space="0" w:color="auto"/>
              <w:bottom w:val="single" w:sz="4" w:space="0" w:color="auto"/>
              <w:right w:val="single" w:sz="4" w:space="0" w:color="auto"/>
            </w:tcBorders>
            <w:vAlign w:val="center"/>
          </w:tcPr>
          <w:p w14:paraId="39DC0E97" w14:textId="77777777" w:rsidR="00821227" w:rsidRPr="00217865" w:rsidRDefault="00821227" w:rsidP="00E06AED">
            <w:pPr>
              <w:pStyle w:val="Z"/>
              <w:jc w:val="center"/>
              <w:rPr>
                <w:color w:val="000000" w:themeColor="text1"/>
                <w:szCs w:val="18"/>
                <w:highlight w:val="yellow"/>
              </w:rPr>
            </w:pPr>
            <w:r w:rsidRPr="00217865">
              <w:rPr>
                <w:color w:val="000000" w:themeColor="text1"/>
              </w:rPr>
              <w:t>84.1 (81.0, 86.7)</w:t>
            </w:r>
          </w:p>
        </w:tc>
        <w:tc>
          <w:tcPr>
            <w:tcW w:w="323" w:type="pct"/>
            <w:tcBorders>
              <w:top w:val="single" w:sz="4" w:space="0" w:color="auto"/>
              <w:left w:val="single" w:sz="4" w:space="0" w:color="auto"/>
              <w:bottom w:val="single" w:sz="4" w:space="0" w:color="auto"/>
              <w:right w:val="single" w:sz="4" w:space="0" w:color="auto"/>
            </w:tcBorders>
            <w:vAlign w:val="center"/>
          </w:tcPr>
          <w:p w14:paraId="4A287E90" w14:textId="77777777" w:rsidR="00821227" w:rsidRPr="00217865" w:rsidRDefault="00821227" w:rsidP="00E06AED">
            <w:pPr>
              <w:pStyle w:val="Z"/>
              <w:jc w:val="center"/>
              <w:rPr>
                <w:color w:val="000000" w:themeColor="text1"/>
                <w:szCs w:val="18"/>
                <w:highlight w:val="yellow"/>
              </w:rPr>
            </w:pPr>
            <w:r w:rsidRPr="00217865">
              <w:rPr>
                <w:color w:val="000000" w:themeColor="text1"/>
              </w:rPr>
              <w:t>85.3 (82.6, 87.5)</w:t>
            </w:r>
          </w:p>
        </w:tc>
        <w:tc>
          <w:tcPr>
            <w:tcW w:w="323" w:type="pct"/>
            <w:tcBorders>
              <w:top w:val="single" w:sz="4" w:space="0" w:color="auto"/>
              <w:left w:val="single" w:sz="4" w:space="0" w:color="auto"/>
              <w:bottom w:val="single" w:sz="4" w:space="0" w:color="auto"/>
              <w:right w:val="single" w:sz="4" w:space="0" w:color="auto"/>
            </w:tcBorders>
            <w:vAlign w:val="center"/>
          </w:tcPr>
          <w:p w14:paraId="0E8C2DA3" w14:textId="77777777" w:rsidR="00821227" w:rsidRPr="00217865" w:rsidRDefault="00821227" w:rsidP="00E06AED">
            <w:pPr>
              <w:pStyle w:val="Z"/>
              <w:jc w:val="center"/>
              <w:rPr>
                <w:color w:val="000000" w:themeColor="text1"/>
                <w:szCs w:val="18"/>
                <w:highlight w:val="yellow"/>
              </w:rPr>
            </w:pPr>
            <w:r w:rsidRPr="00217865">
              <w:rPr>
                <w:color w:val="000000" w:themeColor="text1"/>
              </w:rPr>
              <w:t>74.9 (71.6, 77.9)</w:t>
            </w:r>
          </w:p>
        </w:tc>
        <w:tc>
          <w:tcPr>
            <w:tcW w:w="323" w:type="pct"/>
            <w:tcBorders>
              <w:top w:val="single" w:sz="4" w:space="0" w:color="auto"/>
              <w:left w:val="single" w:sz="4" w:space="0" w:color="auto"/>
              <w:bottom w:val="single" w:sz="4" w:space="0" w:color="auto"/>
              <w:right w:val="single" w:sz="4" w:space="0" w:color="auto"/>
            </w:tcBorders>
            <w:vAlign w:val="center"/>
          </w:tcPr>
          <w:p w14:paraId="32BF7918" w14:textId="77777777" w:rsidR="00821227" w:rsidRPr="00217865" w:rsidRDefault="00821227" w:rsidP="00E06AED">
            <w:pPr>
              <w:pStyle w:val="Z"/>
              <w:jc w:val="center"/>
              <w:rPr>
                <w:color w:val="000000" w:themeColor="text1"/>
                <w:szCs w:val="18"/>
                <w:highlight w:val="yellow"/>
              </w:rPr>
            </w:pPr>
            <w:r w:rsidRPr="00217865">
              <w:rPr>
                <w:color w:val="000000" w:themeColor="text1"/>
              </w:rPr>
              <w:t>71.3 (68.2, 74.2)</w:t>
            </w:r>
          </w:p>
        </w:tc>
      </w:tr>
      <w:tr w:rsidR="00217865" w:rsidRPr="00217865" w14:paraId="138915F7"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8DE76B8" w14:textId="77777777" w:rsidR="00821227" w:rsidRPr="00217865" w:rsidRDefault="00821227" w:rsidP="002611FF">
            <w:pPr>
              <w:pStyle w:val="Z"/>
              <w:rPr>
                <w:color w:val="000000" w:themeColor="text1"/>
                <w:szCs w:val="18"/>
                <w:highlight w:val="yellow"/>
              </w:rPr>
            </w:pPr>
            <w:r w:rsidRPr="00217865">
              <w:rPr>
                <w:color w:val="000000" w:themeColor="text1"/>
              </w:rPr>
              <w:t>Macquarie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7D6282" w14:textId="77777777" w:rsidR="00821227" w:rsidRPr="00217865" w:rsidRDefault="00821227" w:rsidP="00E06AED">
            <w:pPr>
              <w:pStyle w:val="Z"/>
              <w:jc w:val="center"/>
              <w:rPr>
                <w:color w:val="000000" w:themeColor="text1"/>
                <w:szCs w:val="18"/>
                <w:highlight w:val="yellow"/>
              </w:rPr>
            </w:pPr>
            <w:r w:rsidRPr="00217865">
              <w:rPr>
                <w:color w:val="000000" w:themeColor="text1"/>
              </w:rPr>
              <w:t>79.1 (76.8, 81.1)</w:t>
            </w:r>
          </w:p>
        </w:tc>
        <w:tc>
          <w:tcPr>
            <w:tcW w:w="323" w:type="pct"/>
            <w:tcBorders>
              <w:top w:val="single" w:sz="4" w:space="0" w:color="auto"/>
              <w:left w:val="single" w:sz="4" w:space="0" w:color="auto"/>
              <w:bottom w:val="single" w:sz="4" w:space="0" w:color="auto"/>
              <w:right w:val="single" w:sz="4" w:space="0" w:color="auto"/>
            </w:tcBorders>
            <w:vAlign w:val="center"/>
          </w:tcPr>
          <w:p w14:paraId="0A390420" w14:textId="77777777" w:rsidR="00821227" w:rsidRPr="00217865" w:rsidRDefault="00821227" w:rsidP="00E06AED">
            <w:pPr>
              <w:pStyle w:val="Z"/>
              <w:jc w:val="center"/>
              <w:rPr>
                <w:color w:val="000000" w:themeColor="text1"/>
                <w:szCs w:val="18"/>
                <w:highlight w:val="yellow"/>
              </w:rPr>
            </w:pPr>
            <w:r w:rsidRPr="00217865">
              <w:rPr>
                <w:color w:val="000000" w:themeColor="text1"/>
              </w:rPr>
              <w:t>82.3 (80.5, 83.8)</w:t>
            </w:r>
          </w:p>
        </w:tc>
        <w:tc>
          <w:tcPr>
            <w:tcW w:w="323" w:type="pct"/>
            <w:tcBorders>
              <w:top w:val="single" w:sz="4" w:space="0" w:color="auto"/>
              <w:left w:val="single" w:sz="4" w:space="0" w:color="auto"/>
              <w:bottom w:val="single" w:sz="4" w:space="0" w:color="auto"/>
              <w:right w:val="single" w:sz="4" w:space="0" w:color="auto"/>
            </w:tcBorders>
            <w:vAlign w:val="center"/>
          </w:tcPr>
          <w:p w14:paraId="485FEC82" w14:textId="77777777" w:rsidR="00821227" w:rsidRPr="00217865" w:rsidRDefault="00821227" w:rsidP="00E06AED">
            <w:pPr>
              <w:pStyle w:val="Z"/>
              <w:jc w:val="center"/>
              <w:rPr>
                <w:color w:val="000000" w:themeColor="text1"/>
                <w:szCs w:val="18"/>
                <w:highlight w:val="yellow"/>
              </w:rPr>
            </w:pPr>
            <w:r w:rsidRPr="00217865">
              <w:rPr>
                <w:color w:val="000000" w:themeColor="text1"/>
              </w:rPr>
              <w:t>60.5 (58.0, 62.9)</w:t>
            </w:r>
          </w:p>
        </w:tc>
        <w:tc>
          <w:tcPr>
            <w:tcW w:w="323" w:type="pct"/>
            <w:tcBorders>
              <w:top w:val="single" w:sz="4" w:space="0" w:color="auto"/>
              <w:left w:val="single" w:sz="4" w:space="0" w:color="auto"/>
              <w:bottom w:val="single" w:sz="4" w:space="0" w:color="auto"/>
              <w:right w:val="single" w:sz="4" w:space="0" w:color="auto"/>
            </w:tcBorders>
            <w:vAlign w:val="center"/>
          </w:tcPr>
          <w:p w14:paraId="23010980" w14:textId="77777777" w:rsidR="00821227" w:rsidRPr="00217865" w:rsidRDefault="00821227" w:rsidP="00E06AED">
            <w:pPr>
              <w:pStyle w:val="Z"/>
              <w:jc w:val="center"/>
              <w:rPr>
                <w:color w:val="000000" w:themeColor="text1"/>
                <w:szCs w:val="18"/>
                <w:highlight w:val="yellow"/>
              </w:rPr>
            </w:pPr>
            <w:r w:rsidRPr="00217865">
              <w:rPr>
                <w:color w:val="000000" w:themeColor="text1"/>
              </w:rPr>
              <w:t>63.7 (61.6, 65.6)</w:t>
            </w:r>
          </w:p>
        </w:tc>
        <w:tc>
          <w:tcPr>
            <w:tcW w:w="322" w:type="pct"/>
            <w:tcBorders>
              <w:top w:val="single" w:sz="4" w:space="0" w:color="auto"/>
              <w:left w:val="single" w:sz="4" w:space="0" w:color="auto"/>
              <w:bottom w:val="single" w:sz="4" w:space="0" w:color="auto"/>
              <w:right w:val="single" w:sz="4" w:space="0" w:color="auto"/>
            </w:tcBorders>
            <w:vAlign w:val="center"/>
          </w:tcPr>
          <w:p w14:paraId="79D637E8" w14:textId="77777777" w:rsidR="00821227" w:rsidRPr="00217865" w:rsidRDefault="00821227" w:rsidP="00E06AED">
            <w:pPr>
              <w:pStyle w:val="Z"/>
              <w:jc w:val="center"/>
              <w:rPr>
                <w:color w:val="000000" w:themeColor="text1"/>
                <w:szCs w:val="18"/>
                <w:highlight w:val="yellow"/>
              </w:rPr>
            </w:pPr>
            <w:r w:rsidRPr="00217865">
              <w:rPr>
                <w:color w:val="000000" w:themeColor="text1"/>
              </w:rPr>
              <w:t>77.6 (75.4, 79.7)</w:t>
            </w:r>
          </w:p>
        </w:tc>
        <w:tc>
          <w:tcPr>
            <w:tcW w:w="323" w:type="pct"/>
            <w:tcBorders>
              <w:top w:val="single" w:sz="4" w:space="0" w:color="auto"/>
              <w:left w:val="single" w:sz="4" w:space="0" w:color="auto"/>
              <w:bottom w:val="single" w:sz="4" w:space="0" w:color="auto"/>
              <w:right w:val="single" w:sz="4" w:space="0" w:color="auto"/>
            </w:tcBorders>
            <w:vAlign w:val="center"/>
          </w:tcPr>
          <w:p w14:paraId="2A2BB944" w14:textId="77777777" w:rsidR="00821227" w:rsidRPr="00217865" w:rsidRDefault="00821227" w:rsidP="00E06AED">
            <w:pPr>
              <w:pStyle w:val="Z"/>
              <w:jc w:val="center"/>
              <w:rPr>
                <w:color w:val="000000" w:themeColor="text1"/>
                <w:szCs w:val="18"/>
                <w:highlight w:val="yellow"/>
              </w:rPr>
            </w:pPr>
            <w:r w:rsidRPr="00217865">
              <w:rPr>
                <w:color w:val="000000" w:themeColor="text1"/>
              </w:rPr>
              <w:t>81.5 (79.8, 83.0)</w:t>
            </w:r>
          </w:p>
        </w:tc>
        <w:tc>
          <w:tcPr>
            <w:tcW w:w="323" w:type="pct"/>
            <w:tcBorders>
              <w:top w:val="single" w:sz="4" w:space="0" w:color="auto"/>
              <w:left w:val="single" w:sz="4" w:space="0" w:color="auto"/>
              <w:bottom w:val="single" w:sz="4" w:space="0" w:color="auto"/>
              <w:right w:val="single" w:sz="4" w:space="0" w:color="auto"/>
            </w:tcBorders>
            <w:vAlign w:val="center"/>
          </w:tcPr>
          <w:p w14:paraId="6A6F3473" w14:textId="77777777" w:rsidR="00821227" w:rsidRPr="00217865" w:rsidRDefault="00821227" w:rsidP="00E06AED">
            <w:pPr>
              <w:pStyle w:val="Z"/>
              <w:jc w:val="center"/>
              <w:rPr>
                <w:color w:val="000000" w:themeColor="text1"/>
                <w:szCs w:val="18"/>
                <w:highlight w:val="yellow"/>
              </w:rPr>
            </w:pPr>
            <w:r w:rsidRPr="00217865">
              <w:rPr>
                <w:color w:val="000000" w:themeColor="text1"/>
              </w:rPr>
              <w:t>70.6 (68.1, 73.0)</w:t>
            </w:r>
          </w:p>
        </w:tc>
        <w:tc>
          <w:tcPr>
            <w:tcW w:w="323" w:type="pct"/>
            <w:tcBorders>
              <w:top w:val="single" w:sz="4" w:space="0" w:color="auto"/>
              <w:left w:val="single" w:sz="4" w:space="0" w:color="auto"/>
              <w:bottom w:val="single" w:sz="4" w:space="0" w:color="auto"/>
              <w:right w:val="single" w:sz="4" w:space="0" w:color="auto"/>
            </w:tcBorders>
            <w:vAlign w:val="center"/>
          </w:tcPr>
          <w:p w14:paraId="473C1C4F" w14:textId="77777777" w:rsidR="00821227" w:rsidRPr="00217865" w:rsidRDefault="00821227" w:rsidP="00E06AED">
            <w:pPr>
              <w:pStyle w:val="Z"/>
              <w:jc w:val="center"/>
              <w:rPr>
                <w:color w:val="000000" w:themeColor="text1"/>
                <w:szCs w:val="18"/>
                <w:highlight w:val="yellow"/>
              </w:rPr>
            </w:pPr>
            <w:r w:rsidRPr="00217865">
              <w:rPr>
                <w:color w:val="000000" w:themeColor="text1"/>
              </w:rPr>
              <w:t>75.6 (73.5, 77.6)</w:t>
            </w:r>
          </w:p>
        </w:tc>
        <w:tc>
          <w:tcPr>
            <w:tcW w:w="322" w:type="pct"/>
            <w:tcBorders>
              <w:top w:val="single" w:sz="4" w:space="0" w:color="auto"/>
              <w:left w:val="single" w:sz="4" w:space="0" w:color="auto"/>
              <w:bottom w:val="single" w:sz="4" w:space="0" w:color="auto"/>
              <w:right w:val="single" w:sz="4" w:space="0" w:color="auto"/>
            </w:tcBorders>
            <w:vAlign w:val="center"/>
          </w:tcPr>
          <w:p w14:paraId="6816D831" w14:textId="77777777" w:rsidR="00821227" w:rsidRPr="00217865" w:rsidRDefault="00821227" w:rsidP="00E06AED">
            <w:pPr>
              <w:pStyle w:val="Z"/>
              <w:jc w:val="center"/>
              <w:rPr>
                <w:color w:val="000000" w:themeColor="text1"/>
                <w:szCs w:val="18"/>
                <w:highlight w:val="yellow"/>
              </w:rPr>
            </w:pPr>
            <w:r w:rsidRPr="00217865">
              <w:rPr>
                <w:color w:val="000000" w:themeColor="text1"/>
              </w:rPr>
              <w:t>88.6 (86.8, 90.2)</w:t>
            </w:r>
          </w:p>
        </w:tc>
        <w:tc>
          <w:tcPr>
            <w:tcW w:w="323" w:type="pct"/>
            <w:tcBorders>
              <w:top w:val="single" w:sz="4" w:space="0" w:color="auto"/>
              <w:left w:val="single" w:sz="4" w:space="0" w:color="auto"/>
              <w:bottom w:val="single" w:sz="4" w:space="0" w:color="auto"/>
              <w:right w:val="single" w:sz="4" w:space="0" w:color="auto"/>
            </w:tcBorders>
            <w:vAlign w:val="center"/>
          </w:tcPr>
          <w:p w14:paraId="4F70B34E" w14:textId="77777777" w:rsidR="00821227" w:rsidRPr="00217865" w:rsidRDefault="00821227" w:rsidP="00E06AED">
            <w:pPr>
              <w:pStyle w:val="Z"/>
              <w:jc w:val="center"/>
              <w:rPr>
                <w:color w:val="000000" w:themeColor="text1"/>
                <w:szCs w:val="18"/>
                <w:highlight w:val="yellow"/>
              </w:rPr>
            </w:pPr>
            <w:r w:rsidRPr="00217865">
              <w:rPr>
                <w:color w:val="000000" w:themeColor="text1"/>
              </w:rPr>
              <w:t>87.8 (86.3, 89.1)</w:t>
            </w:r>
          </w:p>
        </w:tc>
        <w:tc>
          <w:tcPr>
            <w:tcW w:w="323" w:type="pct"/>
            <w:tcBorders>
              <w:top w:val="single" w:sz="4" w:space="0" w:color="auto"/>
              <w:left w:val="single" w:sz="4" w:space="0" w:color="auto"/>
              <w:bottom w:val="single" w:sz="4" w:space="0" w:color="auto"/>
              <w:right w:val="single" w:sz="4" w:space="0" w:color="auto"/>
            </w:tcBorders>
            <w:vAlign w:val="center"/>
          </w:tcPr>
          <w:p w14:paraId="319B9991" w14:textId="77777777" w:rsidR="00821227" w:rsidRPr="00217865" w:rsidRDefault="00821227" w:rsidP="00E06AED">
            <w:pPr>
              <w:pStyle w:val="Z"/>
              <w:jc w:val="center"/>
              <w:rPr>
                <w:color w:val="000000" w:themeColor="text1"/>
                <w:szCs w:val="18"/>
                <w:highlight w:val="yellow"/>
              </w:rPr>
            </w:pPr>
            <w:r w:rsidRPr="00217865">
              <w:rPr>
                <w:color w:val="000000" w:themeColor="text1"/>
              </w:rPr>
              <w:t>73.7 (71.4, 75.9)</w:t>
            </w:r>
          </w:p>
        </w:tc>
        <w:tc>
          <w:tcPr>
            <w:tcW w:w="323" w:type="pct"/>
            <w:tcBorders>
              <w:top w:val="single" w:sz="4" w:space="0" w:color="auto"/>
              <w:left w:val="single" w:sz="4" w:space="0" w:color="auto"/>
              <w:bottom w:val="single" w:sz="4" w:space="0" w:color="auto"/>
              <w:right w:val="single" w:sz="4" w:space="0" w:color="auto"/>
            </w:tcBorders>
            <w:vAlign w:val="center"/>
          </w:tcPr>
          <w:p w14:paraId="395F2E89" w14:textId="77777777" w:rsidR="00821227" w:rsidRPr="00217865" w:rsidRDefault="00821227" w:rsidP="00E06AED">
            <w:pPr>
              <w:pStyle w:val="Z"/>
              <w:jc w:val="center"/>
              <w:rPr>
                <w:color w:val="000000" w:themeColor="text1"/>
                <w:szCs w:val="18"/>
                <w:highlight w:val="yellow"/>
              </w:rPr>
            </w:pPr>
            <w:r w:rsidRPr="00217865">
              <w:rPr>
                <w:color w:val="000000" w:themeColor="text1"/>
              </w:rPr>
              <w:t>74.5 (72.6, 76.2)</w:t>
            </w:r>
          </w:p>
        </w:tc>
      </w:tr>
      <w:tr w:rsidR="00217865" w:rsidRPr="00217865" w14:paraId="5F4F3E60"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D1C5031" w14:textId="77777777" w:rsidR="00821227" w:rsidRPr="00217865" w:rsidRDefault="00821227" w:rsidP="002611FF">
            <w:pPr>
              <w:pStyle w:val="Z"/>
              <w:rPr>
                <w:color w:val="000000" w:themeColor="text1"/>
                <w:szCs w:val="18"/>
                <w:highlight w:val="yellow"/>
              </w:rPr>
            </w:pPr>
            <w:r w:rsidRPr="00217865">
              <w:rPr>
                <w:color w:val="000000" w:themeColor="text1"/>
              </w:rPr>
              <w:t>Monash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23D28C4" w14:textId="77777777" w:rsidR="00821227" w:rsidRPr="00217865" w:rsidRDefault="00821227" w:rsidP="00E06AED">
            <w:pPr>
              <w:pStyle w:val="Z"/>
              <w:jc w:val="center"/>
              <w:rPr>
                <w:color w:val="000000" w:themeColor="text1"/>
                <w:szCs w:val="18"/>
                <w:highlight w:val="yellow"/>
              </w:rPr>
            </w:pPr>
            <w:r w:rsidRPr="00217865">
              <w:rPr>
                <w:color w:val="000000" w:themeColor="text1"/>
              </w:rPr>
              <w:t>79.8 (78.8, 80.8)</w:t>
            </w:r>
          </w:p>
        </w:tc>
        <w:tc>
          <w:tcPr>
            <w:tcW w:w="323" w:type="pct"/>
            <w:tcBorders>
              <w:top w:val="single" w:sz="4" w:space="0" w:color="auto"/>
              <w:left w:val="single" w:sz="4" w:space="0" w:color="auto"/>
              <w:bottom w:val="single" w:sz="4" w:space="0" w:color="auto"/>
              <w:right w:val="single" w:sz="4" w:space="0" w:color="auto"/>
            </w:tcBorders>
            <w:vAlign w:val="center"/>
          </w:tcPr>
          <w:p w14:paraId="4F51AD2F" w14:textId="77777777" w:rsidR="00821227" w:rsidRPr="00217865" w:rsidRDefault="00821227" w:rsidP="00E06AED">
            <w:pPr>
              <w:pStyle w:val="Z"/>
              <w:jc w:val="center"/>
              <w:rPr>
                <w:color w:val="000000" w:themeColor="text1"/>
                <w:szCs w:val="18"/>
                <w:highlight w:val="yellow"/>
              </w:rPr>
            </w:pPr>
            <w:r w:rsidRPr="00217865">
              <w:rPr>
                <w:color w:val="000000" w:themeColor="text1"/>
              </w:rPr>
              <w:t>81.4 (80.2, 82.4)</w:t>
            </w:r>
          </w:p>
        </w:tc>
        <w:tc>
          <w:tcPr>
            <w:tcW w:w="323" w:type="pct"/>
            <w:tcBorders>
              <w:top w:val="single" w:sz="4" w:space="0" w:color="auto"/>
              <w:left w:val="single" w:sz="4" w:space="0" w:color="auto"/>
              <w:bottom w:val="single" w:sz="4" w:space="0" w:color="auto"/>
              <w:right w:val="single" w:sz="4" w:space="0" w:color="auto"/>
            </w:tcBorders>
            <w:vAlign w:val="center"/>
          </w:tcPr>
          <w:p w14:paraId="0B6DD6F1" w14:textId="77777777" w:rsidR="00821227" w:rsidRPr="00217865" w:rsidRDefault="00821227" w:rsidP="00E06AED">
            <w:pPr>
              <w:pStyle w:val="Z"/>
              <w:jc w:val="center"/>
              <w:rPr>
                <w:color w:val="000000" w:themeColor="text1"/>
                <w:szCs w:val="18"/>
                <w:highlight w:val="yellow"/>
              </w:rPr>
            </w:pPr>
            <w:r w:rsidRPr="00217865">
              <w:rPr>
                <w:color w:val="000000" w:themeColor="text1"/>
              </w:rPr>
              <w:t>61.1 (59.9, 62.3)</w:t>
            </w:r>
          </w:p>
        </w:tc>
        <w:tc>
          <w:tcPr>
            <w:tcW w:w="323" w:type="pct"/>
            <w:tcBorders>
              <w:top w:val="single" w:sz="4" w:space="0" w:color="auto"/>
              <w:left w:val="single" w:sz="4" w:space="0" w:color="auto"/>
              <w:bottom w:val="single" w:sz="4" w:space="0" w:color="auto"/>
              <w:right w:val="single" w:sz="4" w:space="0" w:color="auto"/>
            </w:tcBorders>
            <w:vAlign w:val="center"/>
          </w:tcPr>
          <w:p w14:paraId="0FDBA07D" w14:textId="77777777" w:rsidR="00821227" w:rsidRPr="00217865" w:rsidRDefault="00821227" w:rsidP="00E06AED">
            <w:pPr>
              <w:pStyle w:val="Z"/>
              <w:jc w:val="center"/>
              <w:rPr>
                <w:color w:val="000000" w:themeColor="text1"/>
                <w:szCs w:val="18"/>
                <w:highlight w:val="yellow"/>
              </w:rPr>
            </w:pPr>
            <w:r w:rsidRPr="00217865">
              <w:rPr>
                <w:color w:val="000000" w:themeColor="text1"/>
              </w:rPr>
              <w:t>70.7 (69.5, 72.0)</w:t>
            </w:r>
          </w:p>
        </w:tc>
        <w:tc>
          <w:tcPr>
            <w:tcW w:w="322" w:type="pct"/>
            <w:tcBorders>
              <w:top w:val="single" w:sz="4" w:space="0" w:color="auto"/>
              <w:left w:val="single" w:sz="4" w:space="0" w:color="auto"/>
              <w:bottom w:val="single" w:sz="4" w:space="0" w:color="auto"/>
              <w:right w:val="single" w:sz="4" w:space="0" w:color="auto"/>
            </w:tcBorders>
            <w:vAlign w:val="center"/>
          </w:tcPr>
          <w:p w14:paraId="77A89314" w14:textId="77777777" w:rsidR="00821227" w:rsidRPr="00217865" w:rsidRDefault="00821227" w:rsidP="00E06AED">
            <w:pPr>
              <w:pStyle w:val="Z"/>
              <w:jc w:val="center"/>
              <w:rPr>
                <w:color w:val="000000" w:themeColor="text1"/>
                <w:szCs w:val="18"/>
                <w:highlight w:val="yellow"/>
              </w:rPr>
            </w:pPr>
            <w:r w:rsidRPr="00217865">
              <w:rPr>
                <w:color w:val="000000" w:themeColor="text1"/>
              </w:rPr>
              <w:t>77.2 (76.1, 78.2)</w:t>
            </w:r>
          </w:p>
        </w:tc>
        <w:tc>
          <w:tcPr>
            <w:tcW w:w="323" w:type="pct"/>
            <w:tcBorders>
              <w:top w:val="single" w:sz="4" w:space="0" w:color="auto"/>
              <w:left w:val="single" w:sz="4" w:space="0" w:color="auto"/>
              <w:bottom w:val="single" w:sz="4" w:space="0" w:color="auto"/>
              <w:right w:val="single" w:sz="4" w:space="0" w:color="auto"/>
            </w:tcBorders>
            <w:vAlign w:val="center"/>
          </w:tcPr>
          <w:p w14:paraId="191F64E6" w14:textId="77777777" w:rsidR="00821227" w:rsidRPr="00217865" w:rsidRDefault="00821227" w:rsidP="00E06AED">
            <w:pPr>
              <w:pStyle w:val="Z"/>
              <w:jc w:val="center"/>
              <w:rPr>
                <w:color w:val="000000" w:themeColor="text1"/>
                <w:szCs w:val="18"/>
                <w:highlight w:val="yellow"/>
              </w:rPr>
            </w:pPr>
            <w:r w:rsidRPr="00217865">
              <w:rPr>
                <w:color w:val="000000" w:themeColor="text1"/>
              </w:rPr>
              <w:t>79.3 (78.1, 80.4)</w:t>
            </w:r>
          </w:p>
        </w:tc>
        <w:tc>
          <w:tcPr>
            <w:tcW w:w="323" w:type="pct"/>
            <w:tcBorders>
              <w:top w:val="single" w:sz="4" w:space="0" w:color="auto"/>
              <w:left w:val="single" w:sz="4" w:space="0" w:color="auto"/>
              <w:bottom w:val="single" w:sz="4" w:space="0" w:color="auto"/>
              <w:right w:val="single" w:sz="4" w:space="0" w:color="auto"/>
            </w:tcBorders>
            <w:vAlign w:val="center"/>
          </w:tcPr>
          <w:p w14:paraId="646E7E21" w14:textId="77777777" w:rsidR="00821227" w:rsidRPr="00217865" w:rsidRDefault="00821227" w:rsidP="00E06AED">
            <w:pPr>
              <w:pStyle w:val="Z"/>
              <w:jc w:val="center"/>
              <w:rPr>
                <w:color w:val="000000" w:themeColor="text1"/>
                <w:szCs w:val="18"/>
                <w:highlight w:val="yellow"/>
              </w:rPr>
            </w:pPr>
            <w:r w:rsidRPr="00217865">
              <w:rPr>
                <w:color w:val="000000" w:themeColor="text1"/>
              </w:rPr>
              <w:t>71.5 (70.3, 72.7)</w:t>
            </w:r>
          </w:p>
        </w:tc>
        <w:tc>
          <w:tcPr>
            <w:tcW w:w="323" w:type="pct"/>
            <w:tcBorders>
              <w:top w:val="single" w:sz="4" w:space="0" w:color="auto"/>
              <w:left w:val="single" w:sz="4" w:space="0" w:color="auto"/>
              <w:bottom w:val="single" w:sz="4" w:space="0" w:color="auto"/>
              <w:right w:val="single" w:sz="4" w:space="0" w:color="auto"/>
            </w:tcBorders>
            <w:vAlign w:val="center"/>
          </w:tcPr>
          <w:p w14:paraId="7DE9A920" w14:textId="77777777" w:rsidR="00821227" w:rsidRPr="00217865" w:rsidRDefault="00821227" w:rsidP="00E06AED">
            <w:pPr>
              <w:pStyle w:val="Z"/>
              <w:jc w:val="center"/>
              <w:rPr>
                <w:color w:val="000000" w:themeColor="text1"/>
                <w:szCs w:val="18"/>
                <w:highlight w:val="yellow"/>
              </w:rPr>
            </w:pPr>
            <w:r w:rsidRPr="00217865">
              <w:rPr>
                <w:color w:val="000000" w:themeColor="text1"/>
              </w:rPr>
              <w:t>75.0 (73.7, 76.4)</w:t>
            </w:r>
          </w:p>
        </w:tc>
        <w:tc>
          <w:tcPr>
            <w:tcW w:w="322" w:type="pct"/>
            <w:tcBorders>
              <w:top w:val="single" w:sz="4" w:space="0" w:color="auto"/>
              <w:left w:val="single" w:sz="4" w:space="0" w:color="auto"/>
              <w:bottom w:val="single" w:sz="4" w:space="0" w:color="auto"/>
              <w:right w:val="single" w:sz="4" w:space="0" w:color="auto"/>
            </w:tcBorders>
            <w:vAlign w:val="center"/>
          </w:tcPr>
          <w:p w14:paraId="080A3B79" w14:textId="77777777" w:rsidR="00821227" w:rsidRPr="00217865" w:rsidRDefault="00821227" w:rsidP="00E06AED">
            <w:pPr>
              <w:pStyle w:val="Z"/>
              <w:jc w:val="center"/>
              <w:rPr>
                <w:color w:val="000000" w:themeColor="text1"/>
                <w:szCs w:val="18"/>
                <w:highlight w:val="yellow"/>
              </w:rPr>
            </w:pPr>
            <w:r w:rsidRPr="00217865">
              <w:rPr>
                <w:color w:val="000000" w:themeColor="text1"/>
              </w:rPr>
              <w:t>84.3 (83.3, 85.2)</w:t>
            </w:r>
          </w:p>
        </w:tc>
        <w:tc>
          <w:tcPr>
            <w:tcW w:w="323" w:type="pct"/>
            <w:tcBorders>
              <w:top w:val="single" w:sz="4" w:space="0" w:color="auto"/>
              <w:left w:val="single" w:sz="4" w:space="0" w:color="auto"/>
              <w:bottom w:val="single" w:sz="4" w:space="0" w:color="auto"/>
              <w:right w:val="single" w:sz="4" w:space="0" w:color="auto"/>
            </w:tcBorders>
            <w:vAlign w:val="center"/>
          </w:tcPr>
          <w:p w14:paraId="0B983467" w14:textId="77777777" w:rsidR="00821227" w:rsidRPr="00217865" w:rsidRDefault="00821227" w:rsidP="00E06AED">
            <w:pPr>
              <w:pStyle w:val="Z"/>
              <w:jc w:val="center"/>
              <w:rPr>
                <w:color w:val="000000" w:themeColor="text1"/>
                <w:szCs w:val="18"/>
                <w:highlight w:val="yellow"/>
              </w:rPr>
            </w:pPr>
            <w:r w:rsidRPr="00217865">
              <w:rPr>
                <w:color w:val="000000" w:themeColor="text1"/>
              </w:rPr>
              <w:t>85.4 (84.4, 86.4)</w:t>
            </w:r>
          </w:p>
        </w:tc>
        <w:tc>
          <w:tcPr>
            <w:tcW w:w="323" w:type="pct"/>
            <w:tcBorders>
              <w:top w:val="single" w:sz="4" w:space="0" w:color="auto"/>
              <w:left w:val="single" w:sz="4" w:space="0" w:color="auto"/>
              <w:bottom w:val="single" w:sz="4" w:space="0" w:color="auto"/>
              <w:right w:val="single" w:sz="4" w:space="0" w:color="auto"/>
            </w:tcBorders>
            <w:vAlign w:val="center"/>
          </w:tcPr>
          <w:p w14:paraId="691F03AB" w14:textId="77777777" w:rsidR="00821227" w:rsidRPr="00217865" w:rsidRDefault="00821227" w:rsidP="00E06AED">
            <w:pPr>
              <w:pStyle w:val="Z"/>
              <w:jc w:val="center"/>
              <w:rPr>
                <w:color w:val="000000" w:themeColor="text1"/>
                <w:szCs w:val="18"/>
                <w:highlight w:val="yellow"/>
              </w:rPr>
            </w:pPr>
            <w:r w:rsidRPr="00217865">
              <w:rPr>
                <w:color w:val="000000" w:themeColor="text1"/>
              </w:rPr>
              <w:t>69.6 (68.4, 70.7)</w:t>
            </w:r>
          </w:p>
        </w:tc>
        <w:tc>
          <w:tcPr>
            <w:tcW w:w="323" w:type="pct"/>
            <w:tcBorders>
              <w:top w:val="single" w:sz="4" w:space="0" w:color="auto"/>
              <w:left w:val="single" w:sz="4" w:space="0" w:color="auto"/>
              <w:bottom w:val="single" w:sz="4" w:space="0" w:color="auto"/>
              <w:right w:val="single" w:sz="4" w:space="0" w:color="auto"/>
            </w:tcBorders>
            <w:vAlign w:val="center"/>
          </w:tcPr>
          <w:p w14:paraId="65DCB66C" w14:textId="77777777" w:rsidR="00821227" w:rsidRPr="00217865" w:rsidRDefault="00821227" w:rsidP="00E06AED">
            <w:pPr>
              <w:pStyle w:val="Z"/>
              <w:jc w:val="center"/>
              <w:rPr>
                <w:color w:val="000000" w:themeColor="text1"/>
                <w:szCs w:val="18"/>
                <w:highlight w:val="yellow"/>
              </w:rPr>
            </w:pPr>
            <w:r w:rsidRPr="00217865">
              <w:rPr>
                <w:color w:val="000000" w:themeColor="text1"/>
              </w:rPr>
              <w:t>70.2 (68.9, 71.4)</w:t>
            </w:r>
          </w:p>
        </w:tc>
      </w:tr>
      <w:tr w:rsidR="00217865" w:rsidRPr="00217865" w14:paraId="16804D56"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18CD5A" w14:textId="77777777" w:rsidR="00821227" w:rsidRPr="00217865" w:rsidRDefault="00821227" w:rsidP="002611FF">
            <w:pPr>
              <w:pStyle w:val="Z"/>
              <w:rPr>
                <w:color w:val="000000" w:themeColor="text1"/>
                <w:szCs w:val="18"/>
                <w:highlight w:val="yellow"/>
              </w:rPr>
            </w:pPr>
            <w:r w:rsidRPr="00217865">
              <w:rPr>
                <w:color w:val="000000" w:themeColor="text1"/>
              </w:rPr>
              <w:t>Murdoch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88AE5CA" w14:textId="77777777" w:rsidR="00821227" w:rsidRPr="00217865" w:rsidRDefault="00821227" w:rsidP="00E06AED">
            <w:pPr>
              <w:pStyle w:val="Z"/>
              <w:jc w:val="center"/>
              <w:rPr>
                <w:color w:val="000000" w:themeColor="text1"/>
                <w:szCs w:val="18"/>
                <w:highlight w:val="yellow"/>
              </w:rPr>
            </w:pPr>
            <w:r w:rsidRPr="00217865">
              <w:rPr>
                <w:color w:val="000000" w:themeColor="text1"/>
              </w:rPr>
              <w:t>86.7 (83.0, 89.4)</w:t>
            </w:r>
          </w:p>
        </w:tc>
        <w:tc>
          <w:tcPr>
            <w:tcW w:w="323" w:type="pct"/>
            <w:tcBorders>
              <w:top w:val="single" w:sz="4" w:space="0" w:color="auto"/>
              <w:left w:val="single" w:sz="4" w:space="0" w:color="auto"/>
              <w:bottom w:val="single" w:sz="4" w:space="0" w:color="auto"/>
              <w:right w:val="single" w:sz="4" w:space="0" w:color="auto"/>
            </w:tcBorders>
            <w:vAlign w:val="center"/>
          </w:tcPr>
          <w:p w14:paraId="239E4609" w14:textId="77777777" w:rsidR="00821227" w:rsidRPr="00217865" w:rsidRDefault="00821227" w:rsidP="00E06AED">
            <w:pPr>
              <w:pStyle w:val="Z"/>
              <w:jc w:val="center"/>
              <w:rPr>
                <w:color w:val="000000" w:themeColor="text1"/>
                <w:szCs w:val="18"/>
                <w:highlight w:val="yellow"/>
              </w:rPr>
            </w:pPr>
            <w:r w:rsidRPr="00217865">
              <w:rPr>
                <w:color w:val="000000" w:themeColor="text1"/>
              </w:rPr>
              <w:t>83.0 (79.7, 85.6)</w:t>
            </w:r>
          </w:p>
        </w:tc>
        <w:tc>
          <w:tcPr>
            <w:tcW w:w="323" w:type="pct"/>
            <w:tcBorders>
              <w:top w:val="single" w:sz="4" w:space="0" w:color="auto"/>
              <w:left w:val="single" w:sz="4" w:space="0" w:color="auto"/>
              <w:bottom w:val="single" w:sz="4" w:space="0" w:color="auto"/>
              <w:right w:val="single" w:sz="4" w:space="0" w:color="auto"/>
            </w:tcBorders>
            <w:vAlign w:val="center"/>
          </w:tcPr>
          <w:p w14:paraId="09F17DF9" w14:textId="77777777" w:rsidR="00821227" w:rsidRPr="00217865" w:rsidRDefault="00821227" w:rsidP="00E06AED">
            <w:pPr>
              <w:pStyle w:val="Z"/>
              <w:jc w:val="center"/>
              <w:rPr>
                <w:color w:val="000000" w:themeColor="text1"/>
                <w:szCs w:val="18"/>
                <w:highlight w:val="yellow"/>
              </w:rPr>
            </w:pPr>
            <w:r w:rsidRPr="00217865">
              <w:rPr>
                <w:color w:val="000000" w:themeColor="text1"/>
              </w:rPr>
              <w:t>58.4 (53.8, 62.8)</w:t>
            </w:r>
          </w:p>
        </w:tc>
        <w:tc>
          <w:tcPr>
            <w:tcW w:w="323" w:type="pct"/>
            <w:tcBorders>
              <w:top w:val="single" w:sz="4" w:space="0" w:color="auto"/>
              <w:left w:val="single" w:sz="4" w:space="0" w:color="auto"/>
              <w:bottom w:val="single" w:sz="4" w:space="0" w:color="auto"/>
              <w:right w:val="single" w:sz="4" w:space="0" w:color="auto"/>
            </w:tcBorders>
            <w:vAlign w:val="center"/>
          </w:tcPr>
          <w:p w14:paraId="107A5D80" w14:textId="77777777" w:rsidR="00821227" w:rsidRPr="00217865" w:rsidRDefault="00821227" w:rsidP="00E06AED">
            <w:pPr>
              <w:pStyle w:val="Z"/>
              <w:jc w:val="center"/>
              <w:rPr>
                <w:color w:val="000000" w:themeColor="text1"/>
                <w:szCs w:val="18"/>
                <w:highlight w:val="yellow"/>
              </w:rPr>
            </w:pPr>
            <w:r w:rsidRPr="00217865">
              <w:rPr>
                <w:color w:val="000000" w:themeColor="text1"/>
              </w:rPr>
              <w:t>65.5 (61.8, 69.0)</w:t>
            </w:r>
          </w:p>
        </w:tc>
        <w:tc>
          <w:tcPr>
            <w:tcW w:w="322" w:type="pct"/>
            <w:tcBorders>
              <w:top w:val="single" w:sz="4" w:space="0" w:color="auto"/>
              <w:left w:val="single" w:sz="4" w:space="0" w:color="auto"/>
              <w:bottom w:val="single" w:sz="4" w:space="0" w:color="auto"/>
              <w:right w:val="single" w:sz="4" w:space="0" w:color="auto"/>
            </w:tcBorders>
            <w:vAlign w:val="center"/>
          </w:tcPr>
          <w:p w14:paraId="4161B923" w14:textId="77777777" w:rsidR="00821227" w:rsidRPr="00217865" w:rsidRDefault="00821227" w:rsidP="00E06AED">
            <w:pPr>
              <w:pStyle w:val="Z"/>
              <w:jc w:val="center"/>
              <w:rPr>
                <w:color w:val="000000" w:themeColor="text1"/>
                <w:szCs w:val="18"/>
                <w:highlight w:val="yellow"/>
              </w:rPr>
            </w:pPr>
            <w:r w:rsidRPr="00217865">
              <w:rPr>
                <w:color w:val="000000" w:themeColor="text1"/>
              </w:rPr>
              <w:t>84.2 (80.3, 87.2)</w:t>
            </w:r>
          </w:p>
        </w:tc>
        <w:tc>
          <w:tcPr>
            <w:tcW w:w="323" w:type="pct"/>
            <w:tcBorders>
              <w:top w:val="single" w:sz="4" w:space="0" w:color="auto"/>
              <w:left w:val="single" w:sz="4" w:space="0" w:color="auto"/>
              <w:bottom w:val="single" w:sz="4" w:space="0" w:color="auto"/>
              <w:right w:val="single" w:sz="4" w:space="0" w:color="auto"/>
            </w:tcBorders>
            <w:vAlign w:val="center"/>
          </w:tcPr>
          <w:p w14:paraId="5D08520C" w14:textId="77777777" w:rsidR="00821227" w:rsidRPr="00217865" w:rsidRDefault="00821227" w:rsidP="00E06AED">
            <w:pPr>
              <w:pStyle w:val="Z"/>
              <w:jc w:val="center"/>
              <w:rPr>
                <w:color w:val="000000" w:themeColor="text1"/>
                <w:szCs w:val="18"/>
                <w:highlight w:val="yellow"/>
              </w:rPr>
            </w:pPr>
            <w:r w:rsidRPr="00217865">
              <w:rPr>
                <w:color w:val="000000" w:themeColor="text1"/>
              </w:rPr>
              <w:t>83.8 (80.6, 86.3)</w:t>
            </w:r>
          </w:p>
        </w:tc>
        <w:tc>
          <w:tcPr>
            <w:tcW w:w="323" w:type="pct"/>
            <w:tcBorders>
              <w:top w:val="single" w:sz="4" w:space="0" w:color="auto"/>
              <w:left w:val="single" w:sz="4" w:space="0" w:color="auto"/>
              <w:bottom w:val="single" w:sz="4" w:space="0" w:color="auto"/>
              <w:right w:val="single" w:sz="4" w:space="0" w:color="auto"/>
            </w:tcBorders>
            <w:vAlign w:val="center"/>
          </w:tcPr>
          <w:p w14:paraId="23408A80" w14:textId="77777777" w:rsidR="00821227" w:rsidRPr="00217865" w:rsidRDefault="00821227" w:rsidP="00E06AED">
            <w:pPr>
              <w:pStyle w:val="Z"/>
              <w:jc w:val="center"/>
              <w:rPr>
                <w:color w:val="000000" w:themeColor="text1"/>
                <w:szCs w:val="18"/>
                <w:highlight w:val="yellow"/>
              </w:rPr>
            </w:pPr>
            <w:r w:rsidRPr="00217865">
              <w:rPr>
                <w:color w:val="000000" w:themeColor="text1"/>
              </w:rPr>
              <w:t>78.6 (74.2, 82.3)</w:t>
            </w:r>
          </w:p>
        </w:tc>
        <w:tc>
          <w:tcPr>
            <w:tcW w:w="323" w:type="pct"/>
            <w:tcBorders>
              <w:top w:val="single" w:sz="4" w:space="0" w:color="auto"/>
              <w:left w:val="single" w:sz="4" w:space="0" w:color="auto"/>
              <w:bottom w:val="single" w:sz="4" w:space="0" w:color="auto"/>
              <w:right w:val="single" w:sz="4" w:space="0" w:color="auto"/>
            </w:tcBorders>
            <w:vAlign w:val="center"/>
          </w:tcPr>
          <w:p w14:paraId="7E0E18CD" w14:textId="77777777" w:rsidR="00821227" w:rsidRPr="00217865" w:rsidRDefault="00821227" w:rsidP="00E06AED">
            <w:pPr>
              <w:pStyle w:val="Z"/>
              <w:jc w:val="center"/>
              <w:rPr>
                <w:color w:val="000000" w:themeColor="text1"/>
                <w:szCs w:val="18"/>
                <w:highlight w:val="yellow"/>
              </w:rPr>
            </w:pPr>
            <w:r w:rsidRPr="00217865">
              <w:rPr>
                <w:color w:val="000000" w:themeColor="text1"/>
              </w:rPr>
              <w:t>82.9 (79.5, 85.7)</w:t>
            </w:r>
          </w:p>
        </w:tc>
        <w:tc>
          <w:tcPr>
            <w:tcW w:w="322" w:type="pct"/>
            <w:tcBorders>
              <w:top w:val="single" w:sz="4" w:space="0" w:color="auto"/>
              <w:left w:val="single" w:sz="4" w:space="0" w:color="auto"/>
              <w:bottom w:val="single" w:sz="4" w:space="0" w:color="auto"/>
              <w:right w:val="single" w:sz="4" w:space="0" w:color="auto"/>
            </w:tcBorders>
            <w:vAlign w:val="center"/>
          </w:tcPr>
          <w:p w14:paraId="7DDA7B89" w14:textId="77777777" w:rsidR="00821227" w:rsidRPr="00217865" w:rsidRDefault="00821227" w:rsidP="00E06AED">
            <w:pPr>
              <w:pStyle w:val="Z"/>
              <w:jc w:val="center"/>
              <w:rPr>
                <w:color w:val="000000" w:themeColor="text1"/>
                <w:szCs w:val="18"/>
                <w:highlight w:val="yellow"/>
              </w:rPr>
            </w:pPr>
            <w:r w:rsidRPr="00217865">
              <w:rPr>
                <w:color w:val="000000" w:themeColor="text1"/>
              </w:rPr>
              <w:t>86.2 (82.3, 89.0)</w:t>
            </w:r>
          </w:p>
        </w:tc>
        <w:tc>
          <w:tcPr>
            <w:tcW w:w="323" w:type="pct"/>
            <w:tcBorders>
              <w:top w:val="single" w:sz="4" w:space="0" w:color="auto"/>
              <w:left w:val="single" w:sz="4" w:space="0" w:color="auto"/>
              <w:bottom w:val="single" w:sz="4" w:space="0" w:color="auto"/>
              <w:right w:val="single" w:sz="4" w:space="0" w:color="auto"/>
            </w:tcBorders>
            <w:vAlign w:val="center"/>
          </w:tcPr>
          <w:p w14:paraId="41C23BC4" w14:textId="77777777" w:rsidR="00821227" w:rsidRPr="00217865" w:rsidRDefault="00821227" w:rsidP="00E06AED">
            <w:pPr>
              <w:pStyle w:val="Z"/>
              <w:jc w:val="center"/>
              <w:rPr>
                <w:color w:val="000000" w:themeColor="text1"/>
                <w:szCs w:val="18"/>
                <w:highlight w:val="yellow"/>
              </w:rPr>
            </w:pPr>
            <w:r w:rsidRPr="00217865">
              <w:rPr>
                <w:color w:val="000000" w:themeColor="text1"/>
              </w:rPr>
              <w:t>89.0 (86.1, 91.1)</w:t>
            </w:r>
          </w:p>
        </w:tc>
        <w:tc>
          <w:tcPr>
            <w:tcW w:w="323" w:type="pct"/>
            <w:tcBorders>
              <w:top w:val="single" w:sz="4" w:space="0" w:color="auto"/>
              <w:left w:val="single" w:sz="4" w:space="0" w:color="auto"/>
              <w:bottom w:val="single" w:sz="4" w:space="0" w:color="auto"/>
              <w:right w:val="single" w:sz="4" w:space="0" w:color="auto"/>
            </w:tcBorders>
            <w:vAlign w:val="center"/>
          </w:tcPr>
          <w:p w14:paraId="537BB7ED" w14:textId="77777777" w:rsidR="00821227" w:rsidRPr="00217865" w:rsidRDefault="00821227" w:rsidP="00E06AED">
            <w:pPr>
              <w:pStyle w:val="Z"/>
              <w:jc w:val="center"/>
              <w:rPr>
                <w:color w:val="000000" w:themeColor="text1"/>
                <w:szCs w:val="18"/>
                <w:highlight w:val="yellow"/>
              </w:rPr>
            </w:pPr>
            <w:r w:rsidRPr="00217865">
              <w:rPr>
                <w:color w:val="000000" w:themeColor="text1"/>
              </w:rPr>
              <w:t>79.4 (75.3, 82.8)</w:t>
            </w:r>
          </w:p>
        </w:tc>
        <w:tc>
          <w:tcPr>
            <w:tcW w:w="323" w:type="pct"/>
            <w:tcBorders>
              <w:top w:val="single" w:sz="4" w:space="0" w:color="auto"/>
              <w:left w:val="single" w:sz="4" w:space="0" w:color="auto"/>
              <w:bottom w:val="single" w:sz="4" w:space="0" w:color="auto"/>
              <w:right w:val="single" w:sz="4" w:space="0" w:color="auto"/>
            </w:tcBorders>
            <w:vAlign w:val="center"/>
          </w:tcPr>
          <w:p w14:paraId="4C4BE440" w14:textId="77777777" w:rsidR="00821227" w:rsidRPr="00217865" w:rsidRDefault="00821227" w:rsidP="00E06AED">
            <w:pPr>
              <w:pStyle w:val="Z"/>
              <w:jc w:val="center"/>
              <w:rPr>
                <w:color w:val="000000" w:themeColor="text1"/>
                <w:szCs w:val="18"/>
                <w:highlight w:val="yellow"/>
              </w:rPr>
            </w:pPr>
            <w:r w:rsidRPr="00217865">
              <w:rPr>
                <w:color w:val="000000" w:themeColor="text1"/>
              </w:rPr>
              <w:t>78.5 (75.1, 81.4)</w:t>
            </w:r>
          </w:p>
        </w:tc>
      </w:tr>
      <w:tr w:rsidR="00217865" w:rsidRPr="00217865" w14:paraId="7015BD13"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32386CD" w14:textId="77777777" w:rsidR="00821227" w:rsidRPr="00217865" w:rsidRDefault="00821227" w:rsidP="002611FF">
            <w:pPr>
              <w:pStyle w:val="Z"/>
              <w:rPr>
                <w:color w:val="000000" w:themeColor="text1"/>
                <w:szCs w:val="18"/>
                <w:highlight w:val="yellow"/>
              </w:rPr>
            </w:pPr>
            <w:r w:rsidRPr="00217865">
              <w:rPr>
                <w:color w:val="000000" w:themeColor="text1"/>
              </w:rPr>
              <w:t>Queensland University of Technology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4F746E9" w14:textId="77777777" w:rsidR="00821227" w:rsidRPr="00217865" w:rsidRDefault="00821227" w:rsidP="00E06AED">
            <w:pPr>
              <w:pStyle w:val="Z"/>
              <w:jc w:val="center"/>
              <w:rPr>
                <w:color w:val="000000" w:themeColor="text1"/>
                <w:szCs w:val="18"/>
                <w:highlight w:val="yellow"/>
              </w:rPr>
            </w:pPr>
            <w:r w:rsidRPr="00217865">
              <w:rPr>
                <w:color w:val="000000" w:themeColor="text1"/>
              </w:rPr>
              <w:t>79.1 (76.5, 81.4)</w:t>
            </w:r>
          </w:p>
        </w:tc>
        <w:tc>
          <w:tcPr>
            <w:tcW w:w="323" w:type="pct"/>
            <w:tcBorders>
              <w:top w:val="single" w:sz="4" w:space="0" w:color="auto"/>
              <w:left w:val="single" w:sz="4" w:space="0" w:color="auto"/>
              <w:bottom w:val="single" w:sz="4" w:space="0" w:color="auto"/>
              <w:right w:val="single" w:sz="4" w:space="0" w:color="auto"/>
            </w:tcBorders>
            <w:vAlign w:val="center"/>
          </w:tcPr>
          <w:p w14:paraId="6D68035A" w14:textId="77777777" w:rsidR="00821227" w:rsidRPr="00217865" w:rsidRDefault="00821227" w:rsidP="00E06AED">
            <w:pPr>
              <w:pStyle w:val="Z"/>
              <w:jc w:val="center"/>
              <w:rPr>
                <w:color w:val="000000" w:themeColor="text1"/>
                <w:szCs w:val="18"/>
                <w:highlight w:val="yellow"/>
              </w:rPr>
            </w:pPr>
            <w:r w:rsidRPr="00217865">
              <w:rPr>
                <w:color w:val="000000" w:themeColor="text1"/>
              </w:rPr>
              <w:t>83.0 (80.9, 84.9)</w:t>
            </w:r>
          </w:p>
        </w:tc>
        <w:tc>
          <w:tcPr>
            <w:tcW w:w="323" w:type="pct"/>
            <w:tcBorders>
              <w:top w:val="single" w:sz="4" w:space="0" w:color="auto"/>
              <w:left w:val="single" w:sz="4" w:space="0" w:color="auto"/>
              <w:bottom w:val="single" w:sz="4" w:space="0" w:color="auto"/>
              <w:right w:val="single" w:sz="4" w:space="0" w:color="auto"/>
            </w:tcBorders>
            <w:vAlign w:val="center"/>
          </w:tcPr>
          <w:p w14:paraId="4A558210" w14:textId="77777777" w:rsidR="00821227" w:rsidRPr="00217865" w:rsidRDefault="00821227" w:rsidP="00E06AED">
            <w:pPr>
              <w:pStyle w:val="Z"/>
              <w:jc w:val="center"/>
              <w:rPr>
                <w:color w:val="000000" w:themeColor="text1"/>
                <w:szCs w:val="18"/>
                <w:highlight w:val="yellow"/>
              </w:rPr>
            </w:pPr>
            <w:r w:rsidRPr="00217865">
              <w:rPr>
                <w:color w:val="000000" w:themeColor="text1"/>
              </w:rPr>
              <w:t>57.3 (54.4, 60.2)</w:t>
            </w:r>
          </w:p>
        </w:tc>
        <w:tc>
          <w:tcPr>
            <w:tcW w:w="323" w:type="pct"/>
            <w:tcBorders>
              <w:top w:val="single" w:sz="4" w:space="0" w:color="auto"/>
              <w:left w:val="single" w:sz="4" w:space="0" w:color="auto"/>
              <w:bottom w:val="single" w:sz="4" w:space="0" w:color="auto"/>
              <w:right w:val="single" w:sz="4" w:space="0" w:color="auto"/>
            </w:tcBorders>
            <w:vAlign w:val="center"/>
          </w:tcPr>
          <w:p w14:paraId="4D6B8F15" w14:textId="77777777" w:rsidR="00821227" w:rsidRPr="00217865" w:rsidRDefault="00821227" w:rsidP="00E06AED">
            <w:pPr>
              <w:pStyle w:val="Z"/>
              <w:jc w:val="center"/>
              <w:rPr>
                <w:color w:val="000000" w:themeColor="text1"/>
                <w:szCs w:val="18"/>
                <w:highlight w:val="yellow"/>
              </w:rPr>
            </w:pPr>
            <w:r w:rsidRPr="00217865">
              <w:rPr>
                <w:color w:val="000000" w:themeColor="text1"/>
              </w:rPr>
              <w:t>61.4 (58.9, 63.9)</w:t>
            </w:r>
          </w:p>
        </w:tc>
        <w:tc>
          <w:tcPr>
            <w:tcW w:w="322" w:type="pct"/>
            <w:tcBorders>
              <w:top w:val="single" w:sz="4" w:space="0" w:color="auto"/>
              <w:left w:val="single" w:sz="4" w:space="0" w:color="auto"/>
              <w:bottom w:val="single" w:sz="4" w:space="0" w:color="auto"/>
              <w:right w:val="single" w:sz="4" w:space="0" w:color="auto"/>
            </w:tcBorders>
            <w:vAlign w:val="center"/>
          </w:tcPr>
          <w:p w14:paraId="325CE85B" w14:textId="77777777" w:rsidR="00821227" w:rsidRPr="00217865" w:rsidRDefault="00821227" w:rsidP="00E06AED">
            <w:pPr>
              <w:pStyle w:val="Z"/>
              <w:jc w:val="center"/>
              <w:rPr>
                <w:color w:val="000000" w:themeColor="text1"/>
                <w:szCs w:val="18"/>
                <w:highlight w:val="yellow"/>
              </w:rPr>
            </w:pPr>
            <w:r w:rsidRPr="00217865">
              <w:rPr>
                <w:color w:val="000000" w:themeColor="text1"/>
              </w:rPr>
              <w:t>77.6 (74.9, 79.9)</w:t>
            </w:r>
          </w:p>
        </w:tc>
        <w:tc>
          <w:tcPr>
            <w:tcW w:w="323" w:type="pct"/>
            <w:tcBorders>
              <w:top w:val="single" w:sz="4" w:space="0" w:color="auto"/>
              <w:left w:val="single" w:sz="4" w:space="0" w:color="auto"/>
              <w:bottom w:val="single" w:sz="4" w:space="0" w:color="auto"/>
              <w:right w:val="single" w:sz="4" w:space="0" w:color="auto"/>
            </w:tcBorders>
            <w:vAlign w:val="center"/>
          </w:tcPr>
          <w:p w14:paraId="314AA8BA" w14:textId="77777777" w:rsidR="00821227" w:rsidRPr="00217865" w:rsidRDefault="00821227" w:rsidP="00E06AED">
            <w:pPr>
              <w:pStyle w:val="Z"/>
              <w:jc w:val="center"/>
              <w:rPr>
                <w:color w:val="000000" w:themeColor="text1"/>
                <w:szCs w:val="18"/>
                <w:highlight w:val="yellow"/>
              </w:rPr>
            </w:pPr>
            <w:r w:rsidRPr="00217865">
              <w:rPr>
                <w:color w:val="000000" w:themeColor="text1"/>
              </w:rPr>
              <w:t>82.2 (80.1, 84.1)</w:t>
            </w:r>
          </w:p>
        </w:tc>
        <w:tc>
          <w:tcPr>
            <w:tcW w:w="323" w:type="pct"/>
            <w:tcBorders>
              <w:top w:val="single" w:sz="4" w:space="0" w:color="auto"/>
              <w:left w:val="single" w:sz="4" w:space="0" w:color="auto"/>
              <w:bottom w:val="single" w:sz="4" w:space="0" w:color="auto"/>
              <w:right w:val="single" w:sz="4" w:space="0" w:color="auto"/>
            </w:tcBorders>
            <w:vAlign w:val="center"/>
          </w:tcPr>
          <w:p w14:paraId="1837ADDB" w14:textId="77777777" w:rsidR="00821227" w:rsidRPr="00217865" w:rsidRDefault="00821227" w:rsidP="00E06AED">
            <w:pPr>
              <w:pStyle w:val="Z"/>
              <w:jc w:val="center"/>
              <w:rPr>
                <w:color w:val="000000" w:themeColor="text1"/>
                <w:szCs w:val="18"/>
                <w:highlight w:val="yellow"/>
              </w:rPr>
            </w:pPr>
            <w:r w:rsidRPr="00217865">
              <w:rPr>
                <w:color w:val="000000" w:themeColor="text1"/>
              </w:rPr>
              <w:t>68.3 (65.3, 71.2)</w:t>
            </w:r>
          </w:p>
        </w:tc>
        <w:tc>
          <w:tcPr>
            <w:tcW w:w="323" w:type="pct"/>
            <w:tcBorders>
              <w:top w:val="single" w:sz="4" w:space="0" w:color="auto"/>
              <w:left w:val="single" w:sz="4" w:space="0" w:color="auto"/>
              <w:bottom w:val="single" w:sz="4" w:space="0" w:color="auto"/>
              <w:right w:val="single" w:sz="4" w:space="0" w:color="auto"/>
            </w:tcBorders>
            <w:vAlign w:val="center"/>
          </w:tcPr>
          <w:p w14:paraId="2B156C92" w14:textId="77777777" w:rsidR="00821227" w:rsidRPr="00217865" w:rsidRDefault="00821227" w:rsidP="00E06AED">
            <w:pPr>
              <w:pStyle w:val="Z"/>
              <w:jc w:val="center"/>
              <w:rPr>
                <w:color w:val="000000" w:themeColor="text1"/>
                <w:szCs w:val="18"/>
                <w:highlight w:val="yellow"/>
              </w:rPr>
            </w:pPr>
            <w:r w:rsidRPr="00217865">
              <w:rPr>
                <w:color w:val="000000" w:themeColor="text1"/>
              </w:rPr>
              <w:t>76.0 (73.4, 78.5)</w:t>
            </w:r>
          </w:p>
        </w:tc>
        <w:tc>
          <w:tcPr>
            <w:tcW w:w="322" w:type="pct"/>
            <w:tcBorders>
              <w:top w:val="single" w:sz="4" w:space="0" w:color="auto"/>
              <w:left w:val="single" w:sz="4" w:space="0" w:color="auto"/>
              <w:bottom w:val="single" w:sz="4" w:space="0" w:color="auto"/>
              <w:right w:val="single" w:sz="4" w:space="0" w:color="auto"/>
            </w:tcBorders>
            <w:vAlign w:val="center"/>
          </w:tcPr>
          <w:p w14:paraId="6FF2F7D9" w14:textId="77777777" w:rsidR="00821227" w:rsidRPr="00217865" w:rsidRDefault="00821227" w:rsidP="00E06AED">
            <w:pPr>
              <w:pStyle w:val="Z"/>
              <w:jc w:val="center"/>
              <w:rPr>
                <w:color w:val="000000" w:themeColor="text1"/>
                <w:szCs w:val="18"/>
                <w:highlight w:val="yellow"/>
              </w:rPr>
            </w:pPr>
            <w:r w:rsidRPr="00217865">
              <w:rPr>
                <w:color w:val="000000" w:themeColor="text1"/>
              </w:rPr>
              <w:t>88.0 (85.8, 89.8)</w:t>
            </w:r>
          </w:p>
        </w:tc>
        <w:tc>
          <w:tcPr>
            <w:tcW w:w="323" w:type="pct"/>
            <w:tcBorders>
              <w:top w:val="single" w:sz="4" w:space="0" w:color="auto"/>
              <w:left w:val="single" w:sz="4" w:space="0" w:color="auto"/>
              <w:bottom w:val="single" w:sz="4" w:space="0" w:color="auto"/>
              <w:right w:val="single" w:sz="4" w:space="0" w:color="auto"/>
            </w:tcBorders>
            <w:vAlign w:val="center"/>
          </w:tcPr>
          <w:p w14:paraId="571B45BA" w14:textId="77777777" w:rsidR="00821227" w:rsidRPr="00217865" w:rsidRDefault="00821227" w:rsidP="00E06AED">
            <w:pPr>
              <w:pStyle w:val="Z"/>
              <w:jc w:val="center"/>
              <w:rPr>
                <w:color w:val="000000" w:themeColor="text1"/>
                <w:szCs w:val="18"/>
                <w:highlight w:val="yellow"/>
              </w:rPr>
            </w:pPr>
            <w:r w:rsidRPr="00217865">
              <w:rPr>
                <w:color w:val="000000" w:themeColor="text1"/>
              </w:rPr>
              <w:t>87.6 (85.7, 89.2)</w:t>
            </w:r>
          </w:p>
        </w:tc>
        <w:tc>
          <w:tcPr>
            <w:tcW w:w="323" w:type="pct"/>
            <w:tcBorders>
              <w:top w:val="single" w:sz="4" w:space="0" w:color="auto"/>
              <w:left w:val="single" w:sz="4" w:space="0" w:color="auto"/>
              <w:bottom w:val="single" w:sz="4" w:space="0" w:color="auto"/>
              <w:right w:val="single" w:sz="4" w:space="0" w:color="auto"/>
            </w:tcBorders>
            <w:vAlign w:val="center"/>
          </w:tcPr>
          <w:p w14:paraId="4C4EE130" w14:textId="77777777" w:rsidR="00821227" w:rsidRPr="00217865" w:rsidRDefault="00821227" w:rsidP="00E06AED">
            <w:pPr>
              <w:pStyle w:val="Z"/>
              <w:jc w:val="center"/>
              <w:rPr>
                <w:color w:val="000000" w:themeColor="text1"/>
                <w:szCs w:val="18"/>
                <w:highlight w:val="yellow"/>
              </w:rPr>
            </w:pPr>
            <w:r w:rsidRPr="00217865">
              <w:rPr>
                <w:color w:val="000000" w:themeColor="text1"/>
              </w:rPr>
              <w:t>72.0 (69.3, 74.5)</w:t>
            </w:r>
          </w:p>
        </w:tc>
        <w:tc>
          <w:tcPr>
            <w:tcW w:w="323" w:type="pct"/>
            <w:tcBorders>
              <w:top w:val="single" w:sz="4" w:space="0" w:color="auto"/>
              <w:left w:val="single" w:sz="4" w:space="0" w:color="auto"/>
              <w:bottom w:val="single" w:sz="4" w:space="0" w:color="auto"/>
              <w:right w:val="single" w:sz="4" w:space="0" w:color="auto"/>
            </w:tcBorders>
            <w:vAlign w:val="center"/>
          </w:tcPr>
          <w:p w14:paraId="0921C881" w14:textId="77777777" w:rsidR="00821227" w:rsidRPr="00217865" w:rsidRDefault="00821227" w:rsidP="00E06AED">
            <w:pPr>
              <w:pStyle w:val="Z"/>
              <w:jc w:val="center"/>
              <w:rPr>
                <w:color w:val="000000" w:themeColor="text1"/>
                <w:szCs w:val="18"/>
                <w:highlight w:val="yellow"/>
              </w:rPr>
            </w:pPr>
            <w:r w:rsidRPr="00217865">
              <w:rPr>
                <w:color w:val="000000" w:themeColor="text1"/>
              </w:rPr>
              <w:t>74.9 (72.6, 77.0)</w:t>
            </w:r>
          </w:p>
        </w:tc>
      </w:tr>
      <w:tr w:rsidR="00217865" w:rsidRPr="00217865" w14:paraId="39946594"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D03754C" w14:textId="77777777" w:rsidR="00821227" w:rsidRPr="00217865" w:rsidRDefault="00821227" w:rsidP="002611FF">
            <w:pPr>
              <w:pStyle w:val="Z"/>
              <w:rPr>
                <w:color w:val="000000" w:themeColor="text1"/>
                <w:szCs w:val="18"/>
                <w:highlight w:val="yellow"/>
              </w:rPr>
            </w:pPr>
            <w:r w:rsidRPr="00217865">
              <w:rPr>
                <w:color w:val="000000" w:themeColor="text1"/>
              </w:rPr>
              <w:t>RMIT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8B78D98" w14:textId="77777777" w:rsidR="00821227" w:rsidRPr="00217865" w:rsidRDefault="00821227" w:rsidP="00E06AED">
            <w:pPr>
              <w:pStyle w:val="Z"/>
              <w:jc w:val="center"/>
              <w:rPr>
                <w:color w:val="000000" w:themeColor="text1"/>
                <w:szCs w:val="18"/>
                <w:highlight w:val="yellow"/>
              </w:rPr>
            </w:pPr>
            <w:r w:rsidRPr="00217865">
              <w:rPr>
                <w:color w:val="000000" w:themeColor="text1"/>
              </w:rPr>
              <w:t>84.5 (82.4, 86.3)</w:t>
            </w:r>
          </w:p>
        </w:tc>
        <w:tc>
          <w:tcPr>
            <w:tcW w:w="323" w:type="pct"/>
            <w:tcBorders>
              <w:top w:val="single" w:sz="4" w:space="0" w:color="auto"/>
              <w:left w:val="single" w:sz="4" w:space="0" w:color="auto"/>
              <w:bottom w:val="single" w:sz="4" w:space="0" w:color="auto"/>
              <w:right w:val="single" w:sz="4" w:space="0" w:color="auto"/>
            </w:tcBorders>
            <w:vAlign w:val="center"/>
          </w:tcPr>
          <w:p w14:paraId="14BFE7C6" w14:textId="77777777" w:rsidR="00821227" w:rsidRPr="00217865" w:rsidRDefault="00821227" w:rsidP="00E06AED">
            <w:pPr>
              <w:pStyle w:val="Z"/>
              <w:jc w:val="center"/>
              <w:rPr>
                <w:color w:val="000000" w:themeColor="text1"/>
                <w:szCs w:val="18"/>
                <w:highlight w:val="yellow"/>
              </w:rPr>
            </w:pPr>
            <w:r w:rsidRPr="00217865">
              <w:rPr>
                <w:color w:val="000000" w:themeColor="text1"/>
              </w:rPr>
              <w:t>85.1 (83.3, 86.7)</w:t>
            </w:r>
          </w:p>
        </w:tc>
        <w:tc>
          <w:tcPr>
            <w:tcW w:w="323" w:type="pct"/>
            <w:tcBorders>
              <w:top w:val="single" w:sz="4" w:space="0" w:color="auto"/>
              <w:left w:val="single" w:sz="4" w:space="0" w:color="auto"/>
              <w:bottom w:val="single" w:sz="4" w:space="0" w:color="auto"/>
              <w:right w:val="single" w:sz="4" w:space="0" w:color="auto"/>
            </w:tcBorders>
            <w:vAlign w:val="center"/>
          </w:tcPr>
          <w:p w14:paraId="212B4B75" w14:textId="77777777" w:rsidR="00821227" w:rsidRPr="00217865" w:rsidRDefault="00821227" w:rsidP="00E06AED">
            <w:pPr>
              <w:pStyle w:val="Z"/>
              <w:jc w:val="center"/>
              <w:rPr>
                <w:color w:val="000000" w:themeColor="text1"/>
                <w:szCs w:val="18"/>
                <w:highlight w:val="yellow"/>
              </w:rPr>
            </w:pPr>
            <w:r w:rsidRPr="00217865">
              <w:rPr>
                <w:color w:val="000000" w:themeColor="text1"/>
              </w:rPr>
              <w:t>62.3 (59.7, 64.8)</w:t>
            </w:r>
          </w:p>
        </w:tc>
        <w:tc>
          <w:tcPr>
            <w:tcW w:w="323" w:type="pct"/>
            <w:tcBorders>
              <w:top w:val="single" w:sz="4" w:space="0" w:color="auto"/>
              <w:left w:val="single" w:sz="4" w:space="0" w:color="auto"/>
              <w:bottom w:val="single" w:sz="4" w:space="0" w:color="auto"/>
              <w:right w:val="single" w:sz="4" w:space="0" w:color="auto"/>
            </w:tcBorders>
            <w:vAlign w:val="center"/>
          </w:tcPr>
          <w:p w14:paraId="14FA87A5" w14:textId="77777777" w:rsidR="00821227" w:rsidRPr="00217865" w:rsidRDefault="00821227" w:rsidP="00E06AED">
            <w:pPr>
              <w:pStyle w:val="Z"/>
              <w:jc w:val="center"/>
              <w:rPr>
                <w:color w:val="000000" w:themeColor="text1"/>
                <w:szCs w:val="18"/>
                <w:highlight w:val="yellow"/>
              </w:rPr>
            </w:pPr>
            <w:r w:rsidRPr="00217865">
              <w:rPr>
                <w:color w:val="000000" w:themeColor="text1"/>
              </w:rPr>
              <w:t>68.3 (66.0, 70.4)</w:t>
            </w:r>
          </w:p>
        </w:tc>
        <w:tc>
          <w:tcPr>
            <w:tcW w:w="322" w:type="pct"/>
            <w:tcBorders>
              <w:top w:val="single" w:sz="4" w:space="0" w:color="auto"/>
              <w:left w:val="single" w:sz="4" w:space="0" w:color="auto"/>
              <w:bottom w:val="single" w:sz="4" w:space="0" w:color="auto"/>
              <w:right w:val="single" w:sz="4" w:space="0" w:color="auto"/>
            </w:tcBorders>
            <w:vAlign w:val="center"/>
          </w:tcPr>
          <w:p w14:paraId="6A328AFF" w14:textId="77777777" w:rsidR="00821227" w:rsidRPr="00217865" w:rsidRDefault="00821227" w:rsidP="00E06AED">
            <w:pPr>
              <w:pStyle w:val="Z"/>
              <w:jc w:val="center"/>
              <w:rPr>
                <w:color w:val="000000" w:themeColor="text1"/>
                <w:szCs w:val="18"/>
                <w:highlight w:val="yellow"/>
              </w:rPr>
            </w:pPr>
            <w:r w:rsidRPr="00217865">
              <w:rPr>
                <w:color w:val="000000" w:themeColor="text1"/>
              </w:rPr>
              <w:t>81.6 (79.4, 83.5)</w:t>
            </w:r>
          </w:p>
        </w:tc>
        <w:tc>
          <w:tcPr>
            <w:tcW w:w="323" w:type="pct"/>
            <w:tcBorders>
              <w:top w:val="single" w:sz="4" w:space="0" w:color="auto"/>
              <w:left w:val="single" w:sz="4" w:space="0" w:color="auto"/>
              <w:bottom w:val="single" w:sz="4" w:space="0" w:color="auto"/>
              <w:right w:val="single" w:sz="4" w:space="0" w:color="auto"/>
            </w:tcBorders>
            <w:vAlign w:val="center"/>
          </w:tcPr>
          <w:p w14:paraId="300B5279" w14:textId="77777777" w:rsidR="00821227" w:rsidRPr="00217865" w:rsidRDefault="00821227" w:rsidP="00E06AED">
            <w:pPr>
              <w:pStyle w:val="Z"/>
              <w:jc w:val="center"/>
              <w:rPr>
                <w:color w:val="000000" w:themeColor="text1"/>
                <w:szCs w:val="18"/>
                <w:highlight w:val="yellow"/>
              </w:rPr>
            </w:pPr>
            <w:r w:rsidRPr="00217865">
              <w:rPr>
                <w:color w:val="000000" w:themeColor="text1"/>
              </w:rPr>
              <w:t>84.1 (82.3, 85.8)</w:t>
            </w:r>
          </w:p>
        </w:tc>
        <w:tc>
          <w:tcPr>
            <w:tcW w:w="323" w:type="pct"/>
            <w:tcBorders>
              <w:top w:val="single" w:sz="4" w:space="0" w:color="auto"/>
              <w:left w:val="single" w:sz="4" w:space="0" w:color="auto"/>
              <w:bottom w:val="single" w:sz="4" w:space="0" w:color="auto"/>
              <w:right w:val="single" w:sz="4" w:space="0" w:color="auto"/>
            </w:tcBorders>
            <w:vAlign w:val="center"/>
          </w:tcPr>
          <w:p w14:paraId="3D67ACC5" w14:textId="77777777" w:rsidR="00821227" w:rsidRPr="00217865" w:rsidRDefault="00821227" w:rsidP="00E06AED">
            <w:pPr>
              <w:pStyle w:val="Z"/>
              <w:jc w:val="center"/>
              <w:rPr>
                <w:color w:val="000000" w:themeColor="text1"/>
                <w:szCs w:val="18"/>
                <w:highlight w:val="yellow"/>
              </w:rPr>
            </w:pPr>
            <w:r w:rsidRPr="00217865">
              <w:rPr>
                <w:color w:val="000000" w:themeColor="text1"/>
              </w:rPr>
              <w:t>71.6 (69.0, 74.0)</w:t>
            </w:r>
          </w:p>
        </w:tc>
        <w:tc>
          <w:tcPr>
            <w:tcW w:w="323" w:type="pct"/>
            <w:tcBorders>
              <w:top w:val="single" w:sz="4" w:space="0" w:color="auto"/>
              <w:left w:val="single" w:sz="4" w:space="0" w:color="auto"/>
              <w:bottom w:val="single" w:sz="4" w:space="0" w:color="auto"/>
              <w:right w:val="single" w:sz="4" w:space="0" w:color="auto"/>
            </w:tcBorders>
            <w:vAlign w:val="center"/>
          </w:tcPr>
          <w:p w14:paraId="4D5BDFFA" w14:textId="77777777" w:rsidR="00821227" w:rsidRPr="00217865" w:rsidRDefault="00821227" w:rsidP="00E06AED">
            <w:pPr>
              <w:pStyle w:val="Z"/>
              <w:jc w:val="center"/>
              <w:rPr>
                <w:color w:val="000000" w:themeColor="text1"/>
                <w:szCs w:val="18"/>
                <w:highlight w:val="yellow"/>
              </w:rPr>
            </w:pPr>
            <w:r w:rsidRPr="00217865">
              <w:rPr>
                <w:color w:val="000000" w:themeColor="text1"/>
              </w:rPr>
              <w:t>80.2 (78.0, 82.2)</w:t>
            </w:r>
          </w:p>
        </w:tc>
        <w:tc>
          <w:tcPr>
            <w:tcW w:w="322" w:type="pct"/>
            <w:tcBorders>
              <w:top w:val="single" w:sz="4" w:space="0" w:color="auto"/>
              <w:left w:val="single" w:sz="4" w:space="0" w:color="auto"/>
              <w:bottom w:val="single" w:sz="4" w:space="0" w:color="auto"/>
              <w:right w:val="single" w:sz="4" w:space="0" w:color="auto"/>
            </w:tcBorders>
            <w:vAlign w:val="center"/>
          </w:tcPr>
          <w:p w14:paraId="58AC4E90" w14:textId="77777777" w:rsidR="00821227" w:rsidRPr="00217865" w:rsidRDefault="00821227" w:rsidP="00E06AED">
            <w:pPr>
              <w:pStyle w:val="Z"/>
              <w:jc w:val="center"/>
              <w:rPr>
                <w:color w:val="000000" w:themeColor="text1"/>
                <w:szCs w:val="18"/>
                <w:highlight w:val="yellow"/>
              </w:rPr>
            </w:pPr>
            <w:r w:rsidRPr="00217865">
              <w:rPr>
                <w:color w:val="000000" w:themeColor="text1"/>
              </w:rPr>
              <w:t>87.5 (85.5, 89.1)</w:t>
            </w:r>
          </w:p>
        </w:tc>
        <w:tc>
          <w:tcPr>
            <w:tcW w:w="323" w:type="pct"/>
            <w:tcBorders>
              <w:top w:val="single" w:sz="4" w:space="0" w:color="auto"/>
              <w:left w:val="single" w:sz="4" w:space="0" w:color="auto"/>
              <w:bottom w:val="single" w:sz="4" w:space="0" w:color="auto"/>
              <w:right w:val="single" w:sz="4" w:space="0" w:color="auto"/>
            </w:tcBorders>
            <w:vAlign w:val="center"/>
          </w:tcPr>
          <w:p w14:paraId="654ED4DC" w14:textId="77777777" w:rsidR="00821227" w:rsidRPr="00217865" w:rsidRDefault="00821227" w:rsidP="00E06AED">
            <w:pPr>
              <w:pStyle w:val="Z"/>
              <w:jc w:val="center"/>
              <w:rPr>
                <w:color w:val="000000" w:themeColor="text1"/>
                <w:szCs w:val="18"/>
                <w:highlight w:val="yellow"/>
              </w:rPr>
            </w:pPr>
            <w:r w:rsidRPr="00217865">
              <w:rPr>
                <w:color w:val="000000" w:themeColor="text1"/>
              </w:rPr>
              <w:t>88.3 (86.6, 89.7)</w:t>
            </w:r>
          </w:p>
        </w:tc>
        <w:tc>
          <w:tcPr>
            <w:tcW w:w="323" w:type="pct"/>
            <w:tcBorders>
              <w:top w:val="single" w:sz="4" w:space="0" w:color="auto"/>
              <w:left w:val="single" w:sz="4" w:space="0" w:color="auto"/>
              <w:bottom w:val="single" w:sz="4" w:space="0" w:color="auto"/>
              <w:right w:val="single" w:sz="4" w:space="0" w:color="auto"/>
            </w:tcBorders>
            <w:vAlign w:val="center"/>
          </w:tcPr>
          <w:p w14:paraId="1C48E101" w14:textId="77777777" w:rsidR="00821227" w:rsidRPr="00217865" w:rsidRDefault="00821227" w:rsidP="00E06AED">
            <w:pPr>
              <w:pStyle w:val="Z"/>
              <w:jc w:val="center"/>
              <w:rPr>
                <w:color w:val="000000" w:themeColor="text1"/>
                <w:szCs w:val="18"/>
                <w:highlight w:val="yellow"/>
              </w:rPr>
            </w:pPr>
            <w:r w:rsidRPr="00217865">
              <w:rPr>
                <w:color w:val="000000" w:themeColor="text1"/>
              </w:rPr>
              <w:t>75.0 (72.7, 77.2)</w:t>
            </w:r>
          </w:p>
        </w:tc>
        <w:tc>
          <w:tcPr>
            <w:tcW w:w="323" w:type="pct"/>
            <w:tcBorders>
              <w:top w:val="single" w:sz="4" w:space="0" w:color="auto"/>
              <w:left w:val="single" w:sz="4" w:space="0" w:color="auto"/>
              <w:bottom w:val="single" w:sz="4" w:space="0" w:color="auto"/>
              <w:right w:val="single" w:sz="4" w:space="0" w:color="auto"/>
            </w:tcBorders>
            <w:vAlign w:val="center"/>
          </w:tcPr>
          <w:p w14:paraId="32EC981D" w14:textId="77777777" w:rsidR="00821227" w:rsidRPr="00217865" w:rsidRDefault="00821227" w:rsidP="00E06AED">
            <w:pPr>
              <w:pStyle w:val="Z"/>
              <w:jc w:val="center"/>
              <w:rPr>
                <w:color w:val="000000" w:themeColor="text1"/>
                <w:szCs w:val="18"/>
                <w:highlight w:val="yellow"/>
              </w:rPr>
            </w:pPr>
            <w:r w:rsidRPr="00217865">
              <w:rPr>
                <w:color w:val="000000" w:themeColor="text1"/>
              </w:rPr>
              <w:t>74.9 (72.8, 76.9)</w:t>
            </w:r>
          </w:p>
        </w:tc>
      </w:tr>
      <w:tr w:rsidR="00217865" w:rsidRPr="00217865" w14:paraId="3CFF37F9"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D09BED4" w14:textId="77777777" w:rsidR="00821227" w:rsidRPr="00217865" w:rsidRDefault="00821227" w:rsidP="002611FF">
            <w:pPr>
              <w:pStyle w:val="Z"/>
              <w:rPr>
                <w:color w:val="000000" w:themeColor="text1"/>
                <w:szCs w:val="18"/>
                <w:highlight w:val="yellow"/>
              </w:rPr>
            </w:pPr>
            <w:r w:rsidRPr="00217865">
              <w:rPr>
                <w:color w:val="000000" w:themeColor="text1"/>
              </w:rPr>
              <w:t>Southern Cross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9EA793F" w14:textId="77777777" w:rsidR="00821227" w:rsidRPr="00217865" w:rsidRDefault="00821227" w:rsidP="00E06AED">
            <w:pPr>
              <w:pStyle w:val="Z"/>
              <w:jc w:val="center"/>
              <w:rPr>
                <w:color w:val="000000" w:themeColor="text1"/>
                <w:szCs w:val="18"/>
                <w:highlight w:val="yellow"/>
              </w:rPr>
            </w:pPr>
            <w:r w:rsidRPr="00217865">
              <w:rPr>
                <w:color w:val="000000" w:themeColor="text1"/>
              </w:rPr>
              <w:t>83.8 (79.9, 86.8)</w:t>
            </w:r>
          </w:p>
        </w:tc>
        <w:tc>
          <w:tcPr>
            <w:tcW w:w="323" w:type="pct"/>
            <w:tcBorders>
              <w:top w:val="single" w:sz="4" w:space="0" w:color="auto"/>
              <w:left w:val="single" w:sz="4" w:space="0" w:color="auto"/>
              <w:bottom w:val="single" w:sz="4" w:space="0" w:color="auto"/>
              <w:right w:val="single" w:sz="4" w:space="0" w:color="auto"/>
            </w:tcBorders>
            <w:vAlign w:val="center"/>
          </w:tcPr>
          <w:p w14:paraId="433A4280" w14:textId="77777777" w:rsidR="00821227" w:rsidRPr="00217865" w:rsidRDefault="00821227" w:rsidP="00E06AED">
            <w:pPr>
              <w:pStyle w:val="Z"/>
              <w:jc w:val="center"/>
              <w:rPr>
                <w:color w:val="000000" w:themeColor="text1"/>
                <w:szCs w:val="18"/>
                <w:highlight w:val="yellow"/>
              </w:rPr>
            </w:pPr>
            <w:r w:rsidRPr="00217865">
              <w:rPr>
                <w:color w:val="000000" w:themeColor="text1"/>
              </w:rPr>
              <w:t>86.1 (81.4, 89.5)</w:t>
            </w:r>
          </w:p>
        </w:tc>
        <w:tc>
          <w:tcPr>
            <w:tcW w:w="323" w:type="pct"/>
            <w:tcBorders>
              <w:top w:val="single" w:sz="4" w:space="0" w:color="auto"/>
              <w:left w:val="single" w:sz="4" w:space="0" w:color="auto"/>
              <w:bottom w:val="single" w:sz="4" w:space="0" w:color="auto"/>
              <w:right w:val="single" w:sz="4" w:space="0" w:color="auto"/>
            </w:tcBorders>
            <w:vAlign w:val="center"/>
          </w:tcPr>
          <w:p w14:paraId="2D15EF75" w14:textId="77777777" w:rsidR="00821227" w:rsidRPr="00217865" w:rsidRDefault="00821227" w:rsidP="00E06AED">
            <w:pPr>
              <w:pStyle w:val="Z"/>
              <w:jc w:val="center"/>
              <w:rPr>
                <w:color w:val="000000" w:themeColor="text1"/>
                <w:szCs w:val="18"/>
                <w:highlight w:val="yellow"/>
              </w:rPr>
            </w:pPr>
            <w:r w:rsidRPr="00217865">
              <w:rPr>
                <w:color w:val="000000" w:themeColor="text1"/>
              </w:rPr>
              <w:t>55.1 (50.6, 59.5)</w:t>
            </w:r>
          </w:p>
        </w:tc>
        <w:tc>
          <w:tcPr>
            <w:tcW w:w="323" w:type="pct"/>
            <w:tcBorders>
              <w:top w:val="single" w:sz="4" w:space="0" w:color="auto"/>
              <w:left w:val="single" w:sz="4" w:space="0" w:color="auto"/>
              <w:bottom w:val="single" w:sz="4" w:space="0" w:color="auto"/>
              <w:right w:val="single" w:sz="4" w:space="0" w:color="auto"/>
            </w:tcBorders>
            <w:vAlign w:val="center"/>
          </w:tcPr>
          <w:p w14:paraId="3D9035DE" w14:textId="77777777" w:rsidR="00821227" w:rsidRPr="00217865" w:rsidRDefault="00821227" w:rsidP="00E06AED">
            <w:pPr>
              <w:pStyle w:val="Z"/>
              <w:jc w:val="center"/>
              <w:rPr>
                <w:color w:val="000000" w:themeColor="text1"/>
                <w:szCs w:val="18"/>
                <w:highlight w:val="yellow"/>
              </w:rPr>
            </w:pPr>
            <w:r w:rsidRPr="00217865">
              <w:rPr>
                <w:color w:val="000000" w:themeColor="text1"/>
              </w:rPr>
              <w:t>62.4 (56.8, 67.6)</w:t>
            </w:r>
          </w:p>
        </w:tc>
        <w:tc>
          <w:tcPr>
            <w:tcW w:w="322" w:type="pct"/>
            <w:tcBorders>
              <w:top w:val="single" w:sz="4" w:space="0" w:color="auto"/>
              <w:left w:val="single" w:sz="4" w:space="0" w:color="auto"/>
              <w:bottom w:val="single" w:sz="4" w:space="0" w:color="auto"/>
              <w:right w:val="single" w:sz="4" w:space="0" w:color="auto"/>
            </w:tcBorders>
            <w:vAlign w:val="center"/>
          </w:tcPr>
          <w:p w14:paraId="606F61BC" w14:textId="77777777" w:rsidR="00821227" w:rsidRPr="00217865" w:rsidRDefault="00821227" w:rsidP="00E06AED">
            <w:pPr>
              <w:pStyle w:val="Z"/>
              <w:jc w:val="center"/>
              <w:rPr>
                <w:color w:val="000000" w:themeColor="text1"/>
                <w:szCs w:val="18"/>
                <w:highlight w:val="yellow"/>
              </w:rPr>
            </w:pPr>
            <w:r w:rsidRPr="00217865">
              <w:rPr>
                <w:color w:val="000000" w:themeColor="text1"/>
              </w:rPr>
              <w:t>81.4 (77.5, 84.6)</w:t>
            </w:r>
          </w:p>
        </w:tc>
        <w:tc>
          <w:tcPr>
            <w:tcW w:w="323" w:type="pct"/>
            <w:tcBorders>
              <w:top w:val="single" w:sz="4" w:space="0" w:color="auto"/>
              <w:left w:val="single" w:sz="4" w:space="0" w:color="auto"/>
              <w:bottom w:val="single" w:sz="4" w:space="0" w:color="auto"/>
              <w:right w:val="single" w:sz="4" w:space="0" w:color="auto"/>
            </w:tcBorders>
            <w:vAlign w:val="center"/>
          </w:tcPr>
          <w:p w14:paraId="2C054C34" w14:textId="77777777" w:rsidR="00821227" w:rsidRPr="00217865" w:rsidRDefault="00821227" w:rsidP="00E06AED">
            <w:pPr>
              <w:pStyle w:val="Z"/>
              <w:jc w:val="center"/>
              <w:rPr>
                <w:color w:val="000000" w:themeColor="text1"/>
                <w:szCs w:val="18"/>
                <w:highlight w:val="yellow"/>
              </w:rPr>
            </w:pPr>
            <w:r w:rsidRPr="00217865">
              <w:rPr>
                <w:color w:val="000000" w:themeColor="text1"/>
              </w:rPr>
              <w:t>81.6 (76.6, 85.5)</w:t>
            </w:r>
          </w:p>
        </w:tc>
        <w:tc>
          <w:tcPr>
            <w:tcW w:w="323" w:type="pct"/>
            <w:tcBorders>
              <w:top w:val="single" w:sz="4" w:space="0" w:color="auto"/>
              <w:left w:val="single" w:sz="4" w:space="0" w:color="auto"/>
              <w:bottom w:val="single" w:sz="4" w:space="0" w:color="auto"/>
              <w:right w:val="single" w:sz="4" w:space="0" w:color="auto"/>
            </w:tcBorders>
            <w:vAlign w:val="center"/>
          </w:tcPr>
          <w:p w14:paraId="624937BD" w14:textId="77777777" w:rsidR="00821227" w:rsidRPr="00217865" w:rsidRDefault="00821227" w:rsidP="00E06AED">
            <w:pPr>
              <w:pStyle w:val="Z"/>
              <w:jc w:val="center"/>
              <w:rPr>
                <w:color w:val="000000" w:themeColor="text1"/>
                <w:szCs w:val="18"/>
                <w:highlight w:val="yellow"/>
              </w:rPr>
            </w:pPr>
            <w:r w:rsidRPr="00217865">
              <w:rPr>
                <w:color w:val="000000" w:themeColor="text1"/>
              </w:rPr>
              <w:t>78.3 (74.0, 81.8)</w:t>
            </w:r>
          </w:p>
        </w:tc>
        <w:tc>
          <w:tcPr>
            <w:tcW w:w="323" w:type="pct"/>
            <w:tcBorders>
              <w:top w:val="single" w:sz="4" w:space="0" w:color="auto"/>
              <w:left w:val="single" w:sz="4" w:space="0" w:color="auto"/>
              <w:bottom w:val="single" w:sz="4" w:space="0" w:color="auto"/>
              <w:right w:val="single" w:sz="4" w:space="0" w:color="auto"/>
            </w:tcBorders>
            <w:vAlign w:val="center"/>
          </w:tcPr>
          <w:p w14:paraId="2DEC2720" w14:textId="77777777" w:rsidR="00821227" w:rsidRPr="00217865" w:rsidRDefault="00821227" w:rsidP="00E06AED">
            <w:pPr>
              <w:pStyle w:val="Z"/>
              <w:jc w:val="center"/>
              <w:rPr>
                <w:color w:val="000000" w:themeColor="text1"/>
                <w:szCs w:val="18"/>
                <w:highlight w:val="yellow"/>
              </w:rPr>
            </w:pPr>
            <w:r w:rsidRPr="00217865">
              <w:rPr>
                <w:color w:val="000000" w:themeColor="text1"/>
              </w:rPr>
              <w:t>80.0 (74.4, 84.4)</w:t>
            </w:r>
          </w:p>
        </w:tc>
        <w:tc>
          <w:tcPr>
            <w:tcW w:w="322" w:type="pct"/>
            <w:tcBorders>
              <w:top w:val="single" w:sz="4" w:space="0" w:color="auto"/>
              <w:left w:val="single" w:sz="4" w:space="0" w:color="auto"/>
              <w:bottom w:val="single" w:sz="4" w:space="0" w:color="auto"/>
              <w:right w:val="single" w:sz="4" w:space="0" w:color="auto"/>
            </w:tcBorders>
            <w:vAlign w:val="center"/>
          </w:tcPr>
          <w:p w14:paraId="57A5CBD1" w14:textId="77777777" w:rsidR="00821227" w:rsidRPr="00217865" w:rsidRDefault="00821227" w:rsidP="00E06AED">
            <w:pPr>
              <w:pStyle w:val="Z"/>
              <w:jc w:val="center"/>
              <w:rPr>
                <w:color w:val="000000" w:themeColor="text1"/>
                <w:szCs w:val="18"/>
                <w:highlight w:val="yellow"/>
              </w:rPr>
            </w:pPr>
            <w:r w:rsidRPr="00217865">
              <w:rPr>
                <w:color w:val="000000" w:themeColor="text1"/>
              </w:rPr>
              <w:t>81.5 (77.3, 84.9)</w:t>
            </w:r>
          </w:p>
        </w:tc>
        <w:tc>
          <w:tcPr>
            <w:tcW w:w="323" w:type="pct"/>
            <w:tcBorders>
              <w:top w:val="single" w:sz="4" w:space="0" w:color="auto"/>
              <w:left w:val="single" w:sz="4" w:space="0" w:color="auto"/>
              <w:bottom w:val="single" w:sz="4" w:space="0" w:color="auto"/>
              <w:right w:val="single" w:sz="4" w:space="0" w:color="auto"/>
            </w:tcBorders>
            <w:vAlign w:val="center"/>
          </w:tcPr>
          <w:p w14:paraId="0E88FEED" w14:textId="77777777" w:rsidR="00821227" w:rsidRPr="00217865" w:rsidRDefault="00821227" w:rsidP="00E06AED">
            <w:pPr>
              <w:pStyle w:val="Z"/>
              <w:jc w:val="center"/>
              <w:rPr>
                <w:color w:val="000000" w:themeColor="text1"/>
                <w:szCs w:val="18"/>
                <w:highlight w:val="yellow"/>
              </w:rPr>
            </w:pPr>
            <w:r w:rsidRPr="00217865">
              <w:rPr>
                <w:color w:val="000000" w:themeColor="text1"/>
              </w:rPr>
              <w:t>85.5 (80.8, 89.0)</w:t>
            </w:r>
          </w:p>
        </w:tc>
        <w:tc>
          <w:tcPr>
            <w:tcW w:w="323" w:type="pct"/>
            <w:tcBorders>
              <w:top w:val="single" w:sz="4" w:space="0" w:color="auto"/>
              <w:left w:val="single" w:sz="4" w:space="0" w:color="auto"/>
              <w:bottom w:val="single" w:sz="4" w:space="0" w:color="auto"/>
              <w:right w:val="single" w:sz="4" w:space="0" w:color="auto"/>
            </w:tcBorders>
            <w:vAlign w:val="center"/>
          </w:tcPr>
          <w:p w14:paraId="38A87016" w14:textId="77777777" w:rsidR="00821227" w:rsidRPr="00217865" w:rsidRDefault="00821227" w:rsidP="00E06AED">
            <w:pPr>
              <w:pStyle w:val="Z"/>
              <w:jc w:val="center"/>
              <w:rPr>
                <w:color w:val="000000" w:themeColor="text1"/>
                <w:szCs w:val="18"/>
                <w:highlight w:val="yellow"/>
              </w:rPr>
            </w:pPr>
            <w:r w:rsidRPr="00217865">
              <w:rPr>
                <w:color w:val="000000" w:themeColor="text1"/>
              </w:rPr>
              <w:t>74.5 (70.3, 78.1)</w:t>
            </w:r>
          </w:p>
        </w:tc>
        <w:tc>
          <w:tcPr>
            <w:tcW w:w="323" w:type="pct"/>
            <w:tcBorders>
              <w:top w:val="single" w:sz="4" w:space="0" w:color="auto"/>
              <w:left w:val="single" w:sz="4" w:space="0" w:color="auto"/>
              <w:bottom w:val="single" w:sz="4" w:space="0" w:color="auto"/>
              <w:right w:val="single" w:sz="4" w:space="0" w:color="auto"/>
            </w:tcBorders>
            <w:vAlign w:val="center"/>
          </w:tcPr>
          <w:p w14:paraId="30E0D95B" w14:textId="77777777" w:rsidR="00821227" w:rsidRPr="00217865" w:rsidRDefault="00821227" w:rsidP="00E06AED">
            <w:pPr>
              <w:pStyle w:val="Z"/>
              <w:jc w:val="center"/>
              <w:rPr>
                <w:color w:val="000000" w:themeColor="text1"/>
                <w:szCs w:val="18"/>
                <w:highlight w:val="yellow"/>
              </w:rPr>
            </w:pPr>
            <w:r w:rsidRPr="00217865">
              <w:rPr>
                <w:color w:val="000000" w:themeColor="text1"/>
              </w:rPr>
              <w:t>79.2 (74.1, 83.3)</w:t>
            </w:r>
          </w:p>
        </w:tc>
      </w:tr>
      <w:tr w:rsidR="00217865" w:rsidRPr="00217865" w14:paraId="4C107CB6"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61322FA" w14:textId="77777777" w:rsidR="00821227" w:rsidRPr="00217865" w:rsidRDefault="00821227" w:rsidP="002611FF">
            <w:pPr>
              <w:pStyle w:val="Z"/>
              <w:rPr>
                <w:color w:val="000000" w:themeColor="text1"/>
                <w:szCs w:val="18"/>
                <w:highlight w:val="yellow"/>
              </w:rPr>
            </w:pPr>
            <w:r w:rsidRPr="00217865">
              <w:rPr>
                <w:color w:val="000000" w:themeColor="text1"/>
              </w:rPr>
              <w:t>Swinburne University of Technology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7318A4A" w14:textId="77777777" w:rsidR="00821227" w:rsidRPr="00217865" w:rsidRDefault="00821227" w:rsidP="00E06AED">
            <w:pPr>
              <w:pStyle w:val="Z"/>
              <w:jc w:val="center"/>
              <w:rPr>
                <w:color w:val="000000" w:themeColor="text1"/>
                <w:szCs w:val="18"/>
                <w:highlight w:val="yellow"/>
              </w:rPr>
            </w:pPr>
            <w:r w:rsidRPr="00217865">
              <w:rPr>
                <w:color w:val="000000" w:themeColor="text1"/>
              </w:rPr>
              <w:t>82.2 (80.3, 83.9)</w:t>
            </w:r>
          </w:p>
        </w:tc>
        <w:tc>
          <w:tcPr>
            <w:tcW w:w="323" w:type="pct"/>
            <w:tcBorders>
              <w:top w:val="single" w:sz="4" w:space="0" w:color="auto"/>
              <w:left w:val="single" w:sz="4" w:space="0" w:color="auto"/>
              <w:bottom w:val="single" w:sz="4" w:space="0" w:color="auto"/>
              <w:right w:val="single" w:sz="4" w:space="0" w:color="auto"/>
            </w:tcBorders>
            <w:vAlign w:val="center"/>
          </w:tcPr>
          <w:p w14:paraId="52931EEF" w14:textId="77777777" w:rsidR="00821227" w:rsidRPr="00217865" w:rsidRDefault="00821227" w:rsidP="00E06AED">
            <w:pPr>
              <w:pStyle w:val="Z"/>
              <w:jc w:val="center"/>
              <w:rPr>
                <w:color w:val="000000" w:themeColor="text1"/>
                <w:szCs w:val="18"/>
                <w:highlight w:val="yellow"/>
              </w:rPr>
            </w:pPr>
            <w:r w:rsidRPr="00217865">
              <w:rPr>
                <w:color w:val="000000" w:themeColor="text1"/>
              </w:rPr>
              <w:t>83.6 (81.7, 85.3)</w:t>
            </w:r>
          </w:p>
        </w:tc>
        <w:tc>
          <w:tcPr>
            <w:tcW w:w="323" w:type="pct"/>
            <w:tcBorders>
              <w:top w:val="single" w:sz="4" w:space="0" w:color="auto"/>
              <w:left w:val="single" w:sz="4" w:space="0" w:color="auto"/>
              <w:bottom w:val="single" w:sz="4" w:space="0" w:color="auto"/>
              <w:right w:val="single" w:sz="4" w:space="0" w:color="auto"/>
            </w:tcBorders>
            <w:vAlign w:val="center"/>
          </w:tcPr>
          <w:p w14:paraId="71169FCC" w14:textId="77777777" w:rsidR="00821227" w:rsidRPr="00217865" w:rsidRDefault="00821227" w:rsidP="00E06AED">
            <w:pPr>
              <w:pStyle w:val="Z"/>
              <w:jc w:val="center"/>
              <w:rPr>
                <w:color w:val="000000" w:themeColor="text1"/>
                <w:szCs w:val="18"/>
                <w:highlight w:val="yellow"/>
              </w:rPr>
            </w:pPr>
            <w:r w:rsidRPr="00217865">
              <w:rPr>
                <w:color w:val="000000" w:themeColor="text1"/>
              </w:rPr>
              <w:t>63.7 (61.5, 65.8)</w:t>
            </w:r>
          </w:p>
        </w:tc>
        <w:tc>
          <w:tcPr>
            <w:tcW w:w="323" w:type="pct"/>
            <w:tcBorders>
              <w:top w:val="single" w:sz="4" w:space="0" w:color="auto"/>
              <w:left w:val="single" w:sz="4" w:space="0" w:color="auto"/>
              <w:bottom w:val="single" w:sz="4" w:space="0" w:color="auto"/>
              <w:right w:val="single" w:sz="4" w:space="0" w:color="auto"/>
            </w:tcBorders>
            <w:vAlign w:val="center"/>
          </w:tcPr>
          <w:p w14:paraId="0BFD414F" w14:textId="77777777" w:rsidR="00821227" w:rsidRPr="00217865" w:rsidRDefault="00821227" w:rsidP="00E06AED">
            <w:pPr>
              <w:pStyle w:val="Z"/>
              <w:jc w:val="center"/>
              <w:rPr>
                <w:color w:val="000000" w:themeColor="text1"/>
                <w:szCs w:val="18"/>
                <w:highlight w:val="yellow"/>
              </w:rPr>
            </w:pPr>
            <w:r w:rsidRPr="00217865">
              <w:rPr>
                <w:color w:val="000000" w:themeColor="text1"/>
              </w:rPr>
              <w:t>70.6 (68.4, 72.7)</w:t>
            </w:r>
          </w:p>
        </w:tc>
        <w:tc>
          <w:tcPr>
            <w:tcW w:w="322" w:type="pct"/>
            <w:tcBorders>
              <w:top w:val="single" w:sz="4" w:space="0" w:color="auto"/>
              <w:left w:val="single" w:sz="4" w:space="0" w:color="auto"/>
              <w:bottom w:val="single" w:sz="4" w:space="0" w:color="auto"/>
              <w:right w:val="single" w:sz="4" w:space="0" w:color="auto"/>
            </w:tcBorders>
            <w:vAlign w:val="center"/>
          </w:tcPr>
          <w:p w14:paraId="0DBF3245" w14:textId="77777777" w:rsidR="00821227" w:rsidRPr="00217865" w:rsidRDefault="00821227" w:rsidP="00E06AED">
            <w:pPr>
              <w:pStyle w:val="Z"/>
              <w:jc w:val="center"/>
              <w:rPr>
                <w:color w:val="000000" w:themeColor="text1"/>
                <w:szCs w:val="18"/>
                <w:highlight w:val="yellow"/>
              </w:rPr>
            </w:pPr>
            <w:r w:rsidRPr="00217865">
              <w:rPr>
                <w:color w:val="000000" w:themeColor="text1"/>
              </w:rPr>
              <w:t>79.2 (77.3, 81.0)</w:t>
            </w:r>
          </w:p>
        </w:tc>
        <w:tc>
          <w:tcPr>
            <w:tcW w:w="323" w:type="pct"/>
            <w:tcBorders>
              <w:top w:val="single" w:sz="4" w:space="0" w:color="auto"/>
              <w:left w:val="single" w:sz="4" w:space="0" w:color="auto"/>
              <w:bottom w:val="single" w:sz="4" w:space="0" w:color="auto"/>
              <w:right w:val="single" w:sz="4" w:space="0" w:color="auto"/>
            </w:tcBorders>
            <w:vAlign w:val="center"/>
          </w:tcPr>
          <w:p w14:paraId="7AF827E0" w14:textId="77777777" w:rsidR="00821227" w:rsidRPr="00217865" w:rsidRDefault="00821227" w:rsidP="00E06AED">
            <w:pPr>
              <w:pStyle w:val="Z"/>
              <w:jc w:val="center"/>
              <w:rPr>
                <w:color w:val="000000" w:themeColor="text1"/>
                <w:szCs w:val="18"/>
                <w:highlight w:val="yellow"/>
              </w:rPr>
            </w:pPr>
            <w:r w:rsidRPr="00217865">
              <w:rPr>
                <w:color w:val="000000" w:themeColor="text1"/>
              </w:rPr>
              <w:t>82.0 (80.0, 83.7)</w:t>
            </w:r>
          </w:p>
        </w:tc>
        <w:tc>
          <w:tcPr>
            <w:tcW w:w="323" w:type="pct"/>
            <w:tcBorders>
              <w:top w:val="single" w:sz="4" w:space="0" w:color="auto"/>
              <w:left w:val="single" w:sz="4" w:space="0" w:color="auto"/>
              <w:bottom w:val="single" w:sz="4" w:space="0" w:color="auto"/>
              <w:right w:val="single" w:sz="4" w:space="0" w:color="auto"/>
            </w:tcBorders>
            <w:vAlign w:val="center"/>
          </w:tcPr>
          <w:p w14:paraId="1D1EC007" w14:textId="77777777" w:rsidR="00821227" w:rsidRPr="00217865" w:rsidRDefault="00821227" w:rsidP="00E06AED">
            <w:pPr>
              <w:pStyle w:val="Z"/>
              <w:jc w:val="center"/>
              <w:rPr>
                <w:color w:val="000000" w:themeColor="text1"/>
                <w:szCs w:val="18"/>
                <w:highlight w:val="yellow"/>
              </w:rPr>
            </w:pPr>
            <w:r w:rsidRPr="00217865">
              <w:rPr>
                <w:color w:val="000000" w:themeColor="text1"/>
              </w:rPr>
              <w:t>76.7 (74.5, 78.7)</w:t>
            </w:r>
          </w:p>
        </w:tc>
        <w:tc>
          <w:tcPr>
            <w:tcW w:w="323" w:type="pct"/>
            <w:tcBorders>
              <w:top w:val="single" w:sz="4" w:space="0" w:color="auto"/>
              <w:left w:val="single" w:sz="4" w:space="0" w:color="auto"/>
              <w:bottom w:val="single" w:sz="4" w:space="0" w:color="auto"/>
              <w:right w:val="single" w:sz="4" w:space="0" w:color="auto"/>
            </w:tcBorders>
            <w:vAlign w:val="center"/>
          </w:tcPr>
          <w:p w14:paraId="3FB98590" w14:textId="77777777" w:rsidR="00821227" w:rsidRPr="00217865" w:rsidRDefault="00821227" w:rsidP="00E06AED">
            <w:pPr>
              <w:pStyle w:val="Z"/>
              <w:jc w:val="center"/>
              <w:rPr>
                <w:color w:val="000000" w:themeColor="text1"/>
                <w:szCs w:val="18"/>
                <w:highlight w:val="yellow"/>
              </w:rPr>
            </w:pPr>
            <w:r w:rsidRPr="00217865">
              <w:rPr>
                <w:color w:val="000000" w:themeColor="text1"/>
              </w:rPr>
              <w:t>79.2 (76.9, 81.2)</w:t>
            </w:r>
          </w:p>
        </w:tc>
        <w:tc>
          <w:tcPr>
            <w:tcW w:w="322" w:type="pct"/>
            <w:tcBorders>
              <w:top w:val="single" w:sz="4" w:space="0" w:color="auto"/>
              <w:left w:val="single" w:sz="4" w:space="0" w:color="auto"/>
              <w:bottom w:val="single" w:sz="4" w:space="0" w:color="auto"/>
              <w:right w:val="single" w:sz="4" w:space="0" w:color="auto"/>
            </w:tcBorders>
            <w:vAlign w:val="center"/>
          </w:tcPr>
          <w:p w14:paraId="4B45C7EB" w14:textId="77777777" w:rsidR="00821227" w:rsidRPr="00217865" w:rsidRDefault="00821227" w:rsidP="00E06AED">
            <w:pPr>
              <w:pStyle w:val="Z"/>
              <w:jc w:val="center"/>
              <w:rPr>
                <w:color w:val="000000" w:themeColor="text1"/>
                <w:szCs w:val="18"/>
                <w:highlight w:val="yellow"/>
              </w:rPr>
            </w:pPr>
            <w:r w:rsidRPr="00217865">
              <w:rPr>
                <w:color w:val="000000" w:themeColor="text1"/>
              </w:rPr>
              <w:t>83.4 (81.5, 85.0)</w:t>
            </w:r>
          </w:p>
        </w:tc>
        <w:tc>
          <w:tcPr>
            <w:tcW w:w="323" w:type="pct"/>
            <w:tcBorders>
              <w:top w:val="single" w:sz="4" w:space="0" w:color="auto"/>
              <w:left w:val="single" w:sz="4" w:space="0" w:color="auto"/>
              <w:bottom w:val="single" w:sz="4" w:space="0" w:color="auto"/>
              <w:right w:val="single" w:sz="4" w:space="0" w:color="auto"/>
            </w:tcBorders>
            <w:vAlign w:val="center"/>
          </w:tcPr>
          <w:p w14:paraId="4F135DB5" w14:textId="77777777" w:rsidR="00821227" w:rsidRPr="00217865" w:rsidRDefault="00821227" w:rsidP="00E06AED">
            <w:pPr>
              <w:pStyle w:val="Z"/>
              <w:jc w:val="center"/>
              <w:rPr>
                <w:color w:val="000000" w:themeColor="text1"/>
                <w:szCs w:val="18"/>
                <w:highlight w:val="yellow"/>
              </w:rPr>
            </w:pPr>
            <w:r w:rsidRPr="00217865">
              <w:rPr>
                <w:color w:val="000000" w:themeColor="text1"/>
              </w:rPr>
              <w:t>86.0 (84.1, 87.5)</w:t>
            </w:r>
          </w:p>
        </w:tc>
        <w:tc>
          <w:tcPr>
            <w:tcW w:w="323" w:type="pct"/>
            <w:tcBorders>
              <w:top w:val="single" w:sz="4" w:space="0" w:color="auto"/>
              <w:left w:val="single" w:sz="4" w:space="0" w:color="auto"/>
              <w:bottom w:val="single" w:sz="4" w:space="0" w:color="auto"/>
              <w:right w:val="single" w:sz="4" w:space="0" w:color="auto"/>
            </w:tcBorders>
            <w:vAlign w:val="center"/>
          </w:tcPr>
          <w:p w14:paraId="34FED2B4" w14:textId="77777777" w:rsidR="00821227" w:rsidRPr="00217865" w:rsidRDefault="00821227" w:rsidP="00E06AED">
            <w:pPr>
              <w:pStyle w:val="Z"/>
              <w:jc w:val="center"/>
              <w:rPr>
                <w:color w:val="000000" w:themeColor="text1"/>
                <w:szCs w:val="18"/>
                <w:highlight w:val="yellow"/>
              </w:rPr>
            </w:pPr>
            <w:r w:rsidRPr="00217865">
              <w:rPr>
                <w:color w:val="000000" w:themeColor="text1"/>
              </w:rPr>
              <w:t>73.2 (71.1, 75.1)</w:t>
            </w:r>
          </w:p>
        </w:tc>
        <w:tc>
          <w:tcPr>
            <w:tcW w:w="323" w:type="pct"/>
            <w:tcBorders>
              <w:top w:val="single" w:sz="4" w:space="0" w:color="auto"/>
              <w:left w:val="single" w:sz="4" w:space="0" w:color="auto"/>
              <w:bottom w:val="single" w:sz="4" w:space="0" w:color="auto"/>
              <w:right w:val="single" w:sz="4" w:space="0" w:color="auto"/>
            </w:tcBorders>
            <w:vAlign w:val="center"/>
          </w:tcPr>
          <w:p w14:paraId="2EE61716" w14:textId="77777777" w:rsidR="00821227" w:rsidRPr="00217865" w:rsidRDefault="00821227" w:rsidP="00E06AED">
            <w:pPr>
              <w:pStyle w:val="Z"/>
              <w:jc w:val="center"/>
              <w:rPr>
                <w:color w:val="000000" w:themeColor="text1"/>
                <w:szCs w:val="18"/>
                <w:highlight w:val="yellow"/>
              </w:rPr>
            </w:pPr>
            <w:r w:rsidRPr="00217865">
              <w:rPr>
                <w:color w:val="000000" w:themeColor="text1"/>
              </w:rPr>
              <w:t>75.3 (73.2, 77.3)</w:t>
            </w:r>
          </w:p>
        </w:tc>
      </w:tr>
      <w:tr w:rsidR="00217865" w:rsidRPr="00217865" w14:paraId="50CACDDC"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F8D242A" w14:textId="77777777" w:rsidR="00821227" w:rsidRPr="00217865" w:rsidRDefault="00821227" w:rsidP="002611FF">
            <w:pPr>
              <w:pStyle w:val="Z"/>
              <w:rPr>
                <w:color w:val="000000" w:themeColor="text1"/>
                <w:szCs w:val="18"/>
                <w:highlight w:val="yellow"/>
              </w:rPr>
            </w:pPr>
            <w:r w:rsidRPr="00217865">
              <w:rPr>
                <w:color w:val="000000" w:themeColor="text1"/>
              </w:rPr>
              <w:t>The Australian National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4B13520" w14:textId="77777777" w:rsidR="00821227" w:rsidRPr="00217865" w:rsidRDefault="00821227" w:rsidP="00E06AED">
            <w:pPr>
              <w:pStyle w:val="Z"/>
              <w:jc w:val="center"/>
              <w:rPr>
                <w:color w:val="000000" w:themeColor="text1"/>
                <w:szCs w:val="18"/>
                <w:highlight w:val="yellow"/>
              </w:rPr>
            </w:pPr>
            <w:r w:rsidRPr="00217865">
              <w:rPr>
                <w:color w:val="000000" w:themeColor="text1"/>
              </w:rPr>
              <w:t>82.1 (78.1, 85.4)</w:t>
            </w:r>
          </w:p>
        </w:tc>
        <w:tc>
          <w:tcPr>
            <w:tcW w:w="323" w:type="pct"/>
            <w:tcBorders>
              <w:top w:val="single" w:sz="4" w:space="0" w:color="auto"/>
              <w:left w:val="single" w:sz="4" w:space="0" w:color="auto"/>
              <w:bottom w:val="single" w:sz="4" w:space="0" w:color="auto"/>
              <w:right w:val="single" w:sz="4" w:space="0" w:color="auto"/>
            </w:tcBorders>
            <w:vAlign w:val="center"/>
          </w:tcPr>
          <w:p w14:paraId="2D4FEC9C" w14:textId="77777777" w:rsidR="00821227" w:rsidRPr="00217865" w:rsidRDefault="00821227" w:rsidP="00E06AED">
            <w:pPr>
              <w:pStyle w:val="Z"/>
              <w:jc w:val="center"/>
              <w:rPr>
                <w:color w:val="000000" w:themeColor="text1"/>
                <w:szCs w:val="18"/>
                <w:highlight w:val="yellow"/>
              </w:rPr>
            </w:pPr>
            <w:r w:rsidRPr="00217865">
              <w:rPr>
                <w:color w:val="000000" w:themeColor="text1"/>
              </w:rPr>
              <w:t>78.8 (75.0, 81.9)</w:t>
            </w:r>
          </w:p>
        </w:tc>
        <w:tc>
          <w:tcPr>
            <w:tcW w:w="323" w:type="pct"/>
            <w:tcBorders>
              <w:top w:val="single" w:sz="4" w:space="0" w:color="auto"/>
              <w:left w:val="single" w:sz="4" w:space="0" w:color="auto"/>
              <w:bottom w:val="single" w:sz="4" w:space="0" w:color="auto"/>
              <w:right w:val="single" w:sz="4" w:space="0" w:color="auto"/>
            </w:tcBorders>
            <w:vAlign w:val="center"/>
          </w:tcPr>
          <w:p w14:paraId="6E34EA4C" w14:textId="77777777" w:rsidR="00821227" w:rsidRPr="00217865" w:rsidRDefault="00821227" w:rsidP="00E06AED">
            <w:pPr>
              <w:pStyle w:val="Z"/>
              <w:jc w:val="center"/>
              <w:rPr>
                <w:color w:val="000000" w:themeColor="text1"/>
                <w:szCs w:val="18"/>
                <w:highlight w:val="yellow"/>
              </w:rPr>
            </w:pPr>
            <w:r w:rsidRPr="00217865">
              <w:rPr>
                <w:color w:val="000000" w:themeColor="text1"/>
              </w:rPr>
              <w:t>55.2 (50.5, 59.7)</w:t>
            </w:r>
          </w:p>
        </w:tc>
        <w:tc>
          <w:tcPr>
            <w:tcW w:w="323" w:type="pct"/>
            <w:tcBorders>
              <w:top w:val="single" w:sz="4" w:space="0" w:color="auto"/>
              <w:left w:val="single" w:sz="4" w:space="0" w:color="auto"/>
              <w:bottom w:val="single" w:sz="4" w:space="0" w:color="auto"/>
              <w:right w:val="single" w:sz="4" w:space="0" w:color="auto"/>
            </w:tcBorders>
            <w:vAlign w:val="center"/>
          </w:tcPr>
          <w:p w14:paraId="7F0D4657" w14:textId="77777777" w:rsidR="00821227" w:rsidRPr="00217865" w:rsidRDefault="00821227" w:rsidP="00E06AED">
            <w:pPr>
              <w:pStyle w:val="Z"/>
              <w:jc w:val="center"/>
              <w:rPr>
                <w:color w:val="000000" w:themeColor="text1"/>
                <w:szCs w:val="18"/>
                <w:highlight w:val="yellow"/>
              </w:rPr>
            </w:pPr>
            <w:r w:rsidRPr="00217865">
              <w:rPr>
                <w:color w:val="000000" w:themeColor="text1"/>
              </w:rPr>
              <w:t>63.5 (59.4, 67.3)</w:t>
            </w:r>
          </w:p>
        </w:tc>
        <w:tc>
          <w:tcPr>
            <w:tcW w:w="322" w:type="pct"/>
            <w:tcBorders>
              <w:top w:val="single" w:sz="4" w:space="0" w:color="auto"/>
              <w:left w:val="single" w:sz="4" w:space="0" w:color="auto"/>
              <w:bottom w:val="single" w:sz="4" w:space="0" w:color="auto"/>
              <w:right w:val="single" w:sz="4" w:space="0" w:color="auto"/>
            </w:tcBorders>
            <w:vAlign w:val="center"/>
          </w:tcPr>
          <w:p w14:paraId="3B5064A0" w14:textId="77777777" w:rsidR="00821227" w:rsidRPr="00217865" w:rsidRDefault="00821227" w:rsidP="00E06AED">
            <w:pPr>
              <w:pStyle w:val="Z"/>
              <w:jc w:val="center"/>
              <w:rPr>
                <w:color w:val="000000" w:themeColor="text1"/>
                <w:szCs w:val="18"/>
                <w:highlight w:val="yellow"/>
              </w:rPr>
            </w:pPr>
            <w:r w:rsidRPr="00217865">
              <w:rPr>
                <w:color w:val="000000" w:themeColor="text1"/>
              </w:rPr>
              <w:t>84.3 (80.4, 87.3)</w:t>
            </w:r>
          </w:p>
        </w:tc>
        <w:tc>
          <w:tcPr>
            <w:tcW w:w="323" w:type="pct"/>
            <w:tcBorders>
              <w:top w:val="single" w:sz="4" w:space="0" w:color="auto"/>
              <w:left w:val="single" w:sz="4" w:space="0" w:color="auto"/>
              <w:bottom w:val="single" w:sz="4" w:space="0" w:color="auto"/>
              <w:right w:val="single" w:sz="4" w:space="0" w:color="auto"/>
            </w:tcBorders>
            <w:vAlign w:val="center"/>
          </w:tcPr>
          <w:p w14:paraId="1631330E" w14:textId="77777777" w:rsidR="00821227" w:rsidRPr="00217865" w:rsidRDefault="00821227" w:rsidP="00E06AED">
            <w:pPr>
              <w:pStyle w:val="Z"/>
              <w:jc w:val="center"/>
              <w:rPr>
                <w:color w:val="000000" w:themeColor="text1"/>
                <w:szCs w:val="18"/>
                <w:highlight w:val="yellow"/>
              </w:rPr>
            </w:pPr>
            <w:r w:rsidRPr="00217865">
              <w:rPr>
                <w:color w:val="000000" w:themeColor="text1"/>
              </w:rPr>
              <w:t>80.9 (77.4, 83.9)</w:t>
            </w:r>
          </w:p>
        </w:tc>
        <w:tc>
          <w:tcPr>
            <w:tcW w:w="323" w:type="pct"/>
            <w:tcBorders>
              <w:top w:val="single" w:sz="4" w:space="0" w:color="auto"/>
              <w:left w:val="single" w:sz="4" w:space="0" w:color="auto"/>
              <w:bottom w:val="single" w:sz="4" w:space="0" w:color="auto"/>
              <w:right w:val="single" w:sz="4" w:space="0" w:color="auto"/>
            </w:tcBorders>
            <w:vAlign w:val="center"/>
          </w:tcPr>
          <w:p w14:paraId="78806D42" w14:textId="77777777" w:rsidR="00821227" w:rsidRPr="00217865" w:rsidRDefault="00821227" w:rsidP="00E06AED">
            <w:pPr>
              <w:pStyle w:val="Z"/>
              <w:jc w:val="center"/>
              <w:rPr>
                <w:color w:val="000000" w:themeColor="text1"/>
                <w:szCs w:val="18"/>
                <w:highlight w:val="yellow"/>
              </w:rPr>
            </w:pPr>
            <w:r w:rsidRPr="00217865">
              <w:rPr>
                <w:color w:val="000000" w:themeColor="text1"/>
              </w:rPr>
              <w:t>70.4 (65.5, 74.7)</w:t>
            </w:r>
          </w:p>
        </w:tc>
        <w:tc>
          <w:tcPr>
            <w:tcW w:w="323" w:type="pct"/>
            <w:tcBorders>
              <w:top w:val="single" w:sz="4" w:space="0" w:color="auto"/>
              <w:left w:val="single" w:sz="4" w:space="0" w:color="auto"/>
              <w:bottom w:val="single" w:sz="4" w:space="0" w:color="auto"/>
              <w:right w:val="single" w:sz="4" w:space="0" w:color="auto"/>
            </w:tcBorders>
            <w:vAlign w:val="center"/>
          </w:tcPr>
          <w:p w14:paraId="71EC809F" w14:textId="77777777" w:rsidR="00821227" w:rsidRPr="00217865" w:rsidRDefault="00821227" w:rsidP="00E06AED">
            <w:pPr>
              <w:pStyle w:val="Z"/>
              <w:jc w:val="center"/>
              <w:rPr>
                <w:color w:val="000000" w:themeColor="text1"/>
                <w:szCs w:val="18"/>
                <w:highlight w:val="yellow"/>
              </w:rPr>
            </w:pPr>
            <w:r w:rsidRPr="00217865">
              <w:rPr>
                <w:color w:val="000000" w:themeColor="text1"/>
              </w:rPr>
              <w:t>71.5 (67.2, 75.4)</w:t>
            </w:r>
          </w:p>
        </w:tc>
        <w:tc>
          <w:tcPr>
            <w:tcW w:w="322" w:type="pct"/>
            <w:tcBorders>
              <w:top w:val="single" w:sz="4" w:space="0" w:color="auto"/>
              <w:left w:val="single" w:sz="4" w:space="0" w:color="auto"/>
              <w:bottom w:val="single" w:sz="4" w:space="0" w:color="auto"/>
              <w:right w:val="single" w:sz="4" w:space="0" w:color="auto"/>
            </w:tcBorders>
            <w:vAlign w:val="center"/>
          </w:tcPr>
          <w:p w14:paraId="190F5983" w14:textId="77777777" w:rsidR="00821227" w:rsidRPr="00217865" w:rsidRDefault="00821227" w:rsidP="00E06AED">
            <w:pPr>
              <w:pStyle w:val="Z"/>
              <w:jc w:val="center"/>
              <w:rPr>
                <w:color w:val="000000" w:themeColor="text1"/>
                <w:szCs w:val="18"/>
                <w:highlight w:val="yellow"/>
              </w:rPr>
            </w:pPr>
            <w:r w:rsidRPr="00217865">
              <w:rPr>
                <w:color w:val="000000" w:themeColor="text1"/>
              </w:rPr>
              <w:t>89.9 (86.2, 92.4)</w:t>
            </w:r>
          </w:p>
        </w:tc>
        <w:tc>
          <w:tcPr>
            <w:tcW w:w="323" w:type="pct"/>
            <w:tcBorders>
              <w:top w:val="single" w:sz="4" w:space="0" w:color="auto"/>
              <w:left w:val="single" w:sz="4" w:space="0" w:color="auto"/>
              <w:bottom w:val="single" w:sz="4" w:space="0" w:color="auto"/>
              <w:right w:val="single" w:sz="4" w:space="0" w:color="auto"/>
            </w:tcBorders>
            <w:vAlign w:val="center"/>
          </w:tcPr>
          <w:p w14:paraId="7CE9B2E7" w14:textId="77777777" w:rsidR="00821227" w:rsidRPr="00217865" w:rsidRDefault="00821227" w:rsidP="00E06AED">
            <w:pPr>
              <w:pStyle w:val="Z"/>
              <w:jc w:val="center"/>
              <w:rPr>
                <w:color w:val="000000" w:themeColor="text1"/>
                <w:szCs w:val="18"/>
                <w:highlight w:val="yellow"/>
              </w:rPr>
            </w:pPr>
            <w:r w:rsidRPr="00217865">
              <w:rPr>
                <w:color w:val="000000" w:themeColor="text1"/>
              </w:rPr>
              <w:t>83.5 (80.0, 86.4)</w:t>
            </w:r>
          </w:p>
        </w:tc>
        <w:tc>
          <w:tcPr>
            <w:tcW w:w="323" w:type="pct"/>
            <w:tcBorders>
              <w:top w:val="single" w:sz="4" w:space="0" w:color="auto"/>
              <w:left w:val="single" w:sz="4" w:space="0" w:color="auto"/>
              <w:bottom w:val="single" w:sz="4" w:space="0" w:color="auto"/>
              <w:right w:val="single" w:sz="4" w:space="0" w:color="auto"/>
            </w:tcBorders>
            <w:vAlign w:val="center"/>
          </w:tcPr>
          <w:p w14:paraId="2C815097" w14:textId="77777777" w:rsidR="00821227" w:rsidRPr="00217865" w:rsidRDefault="00821227" w:rsidP="00E06AED">
            <w:pPr>
              <w:pStyle w:val="Z"/>
              <w:jc w:val="center"/>
              <w:rPr>
                <w:color w:val="000000" w:themeColor="text1"/>
                <w:szCs w:val="18"/>
                <w:highlight w:val="yellow"/>
              </w:rPr>
            </w:pPr>
            <w:r w:rsidRPr="00217865">
              <w:rPr>
                <w:color w:val="000000" w:themeColor="text1"/>
              </w:rPr>
              <w:t>76.4 (72.1, 80.0)</w:t>
            </w:r>
          </w:p>
        </w:tc>
        <w:tc>
          <w:tcPr>
            <w:tcW w:w="323" w:type="pct"/>
            <w:tcBorders>
              <w:top w:val="single" w:sz="4" w:space="0" w:color="auto"/>
              <w:left w:val="single" w:sz="4" w:space="0" w:color="auto"/>
              <w:bottom w:val="single" w:sz="4" w:space="0" w:color="auto"/>
              <w:right w:val="single" w:sz="4" w:space="0" w:color="auto"/>
            </w:tcBorders>
            <w:vAlign w:val="center"/>
          </w:tcPr>
          <w:p w14:paraId="77FD7051" w14:textId="77777777" w:rsidR="00821227" w:rsidRPr="00217865" w:rsidRDefault="00821227" w:rsidP="00E06AED">
            <w:pPr>
              <w:pStyle w:val="Z"/>
              <w:jc w:val="center"/>
              <w:rPr>
                <w:color w:val="000000" w:themeColor="text1"/>
                <w:szCs w:val="18"/>
                <w:highlight w:val="yellow"/>
              </w:rPr>
            </w:pPr>
            <w:r w:rsidRPr="00217865">
              <w:rPr>
                <w:color w:val="000000" w:themeColor="text1"/>
              </w:rPr>
              <w:t>69.5 (65.5, 73.1)</w:t>
            </w:r>
          </w:p>
        </w:tc>
      </w:tr>
      <w:tr w:rsidR="00217865" w:rsidRPr="00217865" w14:paraId="695E3E09"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F484345" w14:textId="77777777" w:rsidR="00821227" w:rsidRPr="00217865" w:rsidRDefault="00821227" w:rsidP="002611FF">
            <w:pPr>
              <w:pStyle w:val="Z"/>
              <w:rPr>
                <w:color w:val="000000" w:themeColor="text1"/>
                <w:szCs w:val="18"/>
                <w:highlight w:val="yellow"/>
              </w:rPr>
            </w:pPr>
            <w:r w:rsidRPr="00217865">
              <w:rPr>
                <w:color w:val="000000" w:themeColor="text1"/>
              </w:rPr>
              <w:t>The University of Adelaide</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2497971" w14:textId="77777777" w:rsidR="00821227" w:rsidRPr="00217865" w:rsidRDefault="00821227" w:rsidP="00E06AED">
            <w:pPr>
              <w:pStyle w:val="Z"/>
              <w:jc w:val="center"/>
              <w:rPr>
                <w:color w:val="000000" w:themeColor="text1"/>
                <w:szCs w:val="18"/>
                <w:highlight w:val="yellow"/>
              </w:rPr>
            </w:pPr>
            <w:r w:rsidRPr="00217865">
              <w:rPr>
                <w:color w:val="000000" w:themeColor="text1"/>
              </w:rPr>
              <w:t>80.7 (78.3, 82.8)</w:t>
            </w:r>
          </w:p>
        </w:tc>
        <w:tc>
          <w:tcPr>
            <w:tcW w:w="323" w:type="pct"/>
            <w:tcBorders>
              <w:top w:val="single" w:sz="4" w:space="0" w:color="auto"/>
              <w:left w:val="single" w:sz="4" w:space="0" w:color="auto"/>
              <w:bottom w:val="single" w:sz="4" w:space="0" w:color="auto"/>
              <w:right w:val="single" w:sz="4" w:space="0" w:color="auto"/>
            </w:tcBorders>
            <w:vAlign w:val="center"/>
          </w:tcPr>
          <w:p w14:paraId="37C4D9EA" w14:textId="77777777" w:rsidR="00821227" w:rsidRPr="00217865" w:rsidRDefault="00821227" w:rsidP="00E06AED">
            <w:pPr>
              <w:pStyle w:val="Z"/>
              <w:jc w:val="center"/>
              <w:rPr>
                <w:color w:val="000000" w:themeColor="text1"/>
                <w:szCs w:val="18"/>
                <w:highlight w:val="yellow"/>
              </w:rPr>
            </w:pPr>
            <w:r w:rsidRPr="00217865">
              <w:rPr>
                <w:color w:val="000000" w:themeColor="text1"/>
              </w:rPr>
              <w:t>82.1 (79.4, 84.4)</w:t>
            </w:r>
          </w:p>
        </w:tc>
        <w:tc>
          <w:tcPr>
            <w:tcW w:w="323" w:type="pct"/>
            <w:tcBorders>
              <w:top w:val="single" w:sz="4" w:space="0" w:color="auto"/>
              <w:left w:val="single" w:sz="4" w:space="0" w:color="auto"/>
              <w:bottom w:val="single" w:sz="4" w:space="0" w:color="auto"/>
              <w:right w:val="single" w:sz="4" w:space="0" w:color="auto"/>
            </w:tcBorders>
            <w:vAlign w:val="center"/>
          </w:tcPr>
          <w:p w14:paraId="15E8B523" w14:textId="77777777" w:rsidR="00821227" w:rsidRPr="00217865" w:rsidRDefault="00821227" w:rsidP="00E06AED">
            <w:pPr>
              <w:pStyle w:val="Z"/>
              <w:jc w:val="center"/>
              <w:rPr>
                <w:color w:val="000000" w:themeColor="text1"/>
                <w:szCs w:val="18"/>
                <w:highlight w:val="yellow"/>
              </w:rPr>
            </w:pPr>
            <w:r w:rsidRPr="00217865">
              <w:rPr>
                <w:color w:val="000000" w:themeColor="text1"/>
              </w:rPr>
              <w:t>62.3 (59.5, 64.9)</w:t>
            </w:r>
          </w:p>
        </w:tc>
        <w:tc>
          <w:tcPr>
            <w:tcW w:w="323" w:type="pct"/>
            <w:tcBorders>
              <w:top w:val="single" w:sz="4" w:space="0" w:color="auto"/>
              <w:left w:val="single" w:sz="4" w:space="0" w:color="auto"/>
              <w:bottom w:val="single" w:sz="4" w:space="0" w:color="auto"/>
              <w:right w:val="single" w:sz="4" w:space="0" w:color="auto"/>
            </w:tcBorders>
            <w:vAlign w:val="center"/>
          </w:tcPr>
          <w:p w14:paraId="1B79AC00" w14:textId="77777777" w:rsidR="00821227" w:rsidRPr="00217865" w:rsidRDefault="00821227" w:rsidP="00E06AED">
            <w:pPr>
              <w:pStyle w:val="Z"/>
              <w:jc w:val="center"/>
              <w:rPr>
                <w:color w:val="000000" w:themeColor="text1"/>
                <w:szCs w:val="18"/>
                <w:highlight w:val="yellow"/>
              </w:rPr>
            </w:pPr>
            <w:r w:rsidRPr="00217865">
              <w:rPr>
                <w:color w:val="000000" w:themeColor="text1"/>
              </w:rPr>
              <w:t>69.0 (66.0, 71.9)</w:t>
            </w:r>
          </w:p>
        </w:tc>
        <w:tc>
          <w:tcPr>
            <w:tcW w:w="322" w:type="pct"/>
            <w:tcBorders>
              <w:top w:val="single" w:sz="4" w:space="0" w:color="auto"/>
              <w:left w:val="single" w:sz="4" w:space="0" w:color="auto"/>
              <w:bottom w:val="single" w:sz="4" w:space="0" w:color="auto"/>
              <w:right w:val="single" w:sz="4" w:space="0" w:color="auto"/>
            </w:tcBorders>
            <w:vAlign w:val="center"/>
          </w:tcPr>
          <w:p w14:paraId="25C83CE4" w14:textId="77777777" w:rsidR="00821227" w:rsidRPr="00217865" w:rsidRDefault="00821227" w:rsidP="00E06AED">
            <w:pPr>
              <w:pStyle w:val="Z"/>
              <w:jc w:val="center"/>
              <w:rPr>
                <w:color w:val="000000" w:themeColor="text1"/>
                <w:szCs w:val="18"/>
                <w:highlight w:val="yellow"/>
              </w:rPr>
            </w:pPr>
            <w:r w:rsidRPr="00217865">
              <w:rPr>
                <w:color w:val="000000" w:themeColor="text1"/>
              </w:rPr>
              <w:t>79.7 (77.2, 81.8)</w:t>
            </w:r>
          </w:p>
        </w:tc>
        <w:tc>
          <w:tcPr>
            <w:tcW w:w="323" w:type="pct"/>
            <w:tcBorders>
              <w:top w:val="single" w:sz="4" w:space="0" w:color="auto"/>
              <w:left w:val="single" w:sz="4" w:space="0" w:color="auto"/>
              <w:bottom w:val="single" w:sz="4" w:space="0" w:color="auto"/>
              <w:right w:val="single" w:sz="4" w:space="0" w:color="auto"/>
            </w:tcBorders>
            <w:vAlign w:val="center"/>
          </w:tcPr>
          <w:p w14:paraId="0DD4B5D9" w14:textId="77777777" w:rsidR="00821227" w:rsidRPr="00217865" w:rsidRDefault="00821227" w:rsidP="00E06AED">
            <w:pPr>
              <w:pStyle w:val="Z"/>
              <w:jc w:val="center"/>
              <w:rPr>
                <w:color w:val="000000" w:themeColor="text1"/>
                <w:szCs w:val="18"/>
                <w:highlight w:val="yellow"/>
              </w:rPr>
            </w:pPr>
            <w:r w:rsidRPr="00217865">
              <w:rPr>
                <w:color w:val="000000" w:themeColor="text1"/>
              </w:rPr>
              <w:t>79.4 (76.6, 81.8)</w:t>
            </w:r>
          </w:p>
        </w:tc>
        <w:tc>
          <w:tcPr>
            <w:tcW w:w="323" w:type="pct"/>
            <w:tcBorders>
              <w:top w:val="single" w:sz="4" w:space="0" w:color="auto"/>
              <w:left w:val="single" w:sz="4" w:space="0" w:color="auto"/>
              <w:bottom w:val="single" w:sz="4" w:space="0" w:color="auto"/>
              <w:right w:val="single" w:sz="4" w:space="0" w:color="auto"/>
            </w:tcBorders>
            <w:vAlign w:val="center"/>
          </w:tcPr>
          <w:p w14:paraId="3450F018" w14:textId="77777777" w:rsidR="00821227" w:rsidRPr="00217865" w:rsidRDefault="00821227" w:rsidP="00E06AED">
            <w:pPr>
              <w:pStyle w:val="Z"/>
              <w:jc w:val="center"/>
              <w:rPr>
                <w:color w:val="000000" w:themeColor="text1"/>
                <w:szCs w:val="18"/>
                <w:highlight w:val="yellow"/>
              </w:rPr>
            </w:pPr>
            <w:r w:rsidRPr="00217865">
              <w:rPr>
                <w:color w:val="000000" w:themeColor="text1"/>
              </w:rPr>
              <w:t>73.5 (70.7, 76.0)</w:t>
            </w:r>
          </w:p>
        </w:tc>
        <w:tc>
          <w:tcPr>
            <w:tcW w:w="323" w:type="pct"/>
            <w:tcBorders>
              <w:top w:val="single" w:sz="4" w:space="0" w:color="auto"/>
              <w:left w:val="single" w:sz="4" w:space="0" w:color="auto"/>
              <w:bottom w:val="single" w:sz="4" w:space="0" w:color="auto"/>
              <w:right w:val="single" w:sz="4" w:space="0" w:color="auto"/>
            </w:tcBorders>
            <w:vAlign w:val="center"/>
          </w:tcPr>
          <w:p w14:paraId="20178D48" w14:textId="77777777" w:rsidR="00821227" w:rsidRPr="00217865" w:rsidRDefault="00821227" w:rsidP="00E06AED">
            <w:pPr>
              <w:pStyle w:val="Z"/>
              <w:jc w:val="center"/>
              <w:rPr>
                <w:color w:val="000000" w:themeColor="text1"/>
                <w:szCs w:val="18"/>
                <w:highlight w:val="yellow"/>
              </w:rPr>
            </w:pPr>
            <w:r w:rsidRPr="00217865">
              <w:rPr>
                <w:color w:val="000000" w:themeColor="text1"/>
              </w:rPr>
              <w:t>77.3 (74.0, 80.1)</w:t>
            </w:r>
          </w:p>
        </w:tc>
        <w:tc>
          <w:tcPr>
            <w:tcW w:w="322" w:type="pct"/>
            <w:tcBorders>
              <w:top w:val="single" w:sz="4" w:space="0" w:color="auto"/>
              <w:left w:val="single" w:sz="4" w:space="0" w:color="auto"/>
              <w:bottom w:val="single" w:sz="4" w:space="0" w:color="auto"/>
              <w:right w:val="single" w:sz="4" w:space="0" w:color="auto"/>
            </w:tcBorders>
            <w:vAlign w:val="center"/>
          </w:tcPr>
          <w:p w14:paraId="4293BE5A" w14:textId="77777777" w:rsidR="00821227" w:rsidRPr="00217865" w:rsidRDefault="00821227" w:rsidP="00E06AED">
            <w:pPr>
              <w:pStyle w:val="Z"/>
              <w:jc w:val="center"/>
              <w:rPr>
                <w:color w:val="000000" w:themeColor="text1"/>
                <w:szCs w:val="18"/>
                <w:highlight w:val="yellow"/>
              </w:rPr>
            </w:pPr>
            <w:r w:rsidRPr="00217865">
              <w:rPr>
                <w:color w:val="000000" w:themeColor="text1"/>
              </w:rPr>
              <w:t>84.1 (81.7, 86.1)</w:t>
            </w:r>
          </w:p>
        </w:tc>
        <w:tc>
          <w:tcPr>
            <w:tcW w:w="323" w:type="pct"/>
            <w:tcBorders>
              <w:top w:val="single" w:sz="4" w:space="0" w:color="auto"/>
              <w:left w:val="single" w:sz="4" w:space="0" w:color="auto"/>
              <w:bottom w:val="single" w:sz="4" w:space="0" w:color="auto"/>
              <w:right w:val="single" w:sz="4" w:space="0" w:color="auto"/>
            </w:tcBorders>
            <w:vAlign w:val="center"/>
          </w:tcPr>
          <w:p w14:paraId="38FA4934" w14:textId="77777777" w:rsidR="00821227" w:rsidRPr="00217865" w:rsidRDefault="00821227" w:rsidP="00E06AED">
            <w:pPr>
              <w:pStyle w:val="Z"/>
              <w:jc w:val="center"/>
              <w:rPr>
                <w:color w:val="000000" w:themeColor="text1"/>
                <w:szCs w:val="18"/>
                <w:highlight w:val="yellow"/>
              </w:rPr>
            </w:pPr>
            <w:r w:rsidRPr="00217865">
              <w:rPr>
                <w:color w:val="000000" w:themeColor="text1"/>
              </w:rPr>
              <w:t>81.3 (78.6, 83.7)</w:t>
            </w:r>
          </w:p>
        </w:tc>
        <w:tc>
          <w:tcPr>
            <w:tcW w:w="323" w:type="pct"/>
            <w:tcBorders>
              <w:top w:val="single" w:sz="4" w:space="0" w:color="auto"/>
              <w:left w:val="single" w:sz="4" w:space="0" w:color="auto"/>
              <w:bottom w:val="single" w:sz="4" w:space="0" w:color="auto"/>
              <w:right w:val="single" w:sz="4" w:space="0" w:color="auto"/>
            </w:tcBorders>
            <w:vAlign w:val="center"/>
          </w:tcPr>
          <w:p w14:paraId="74D726CE" w14:textId="77777777" w:rsidR="00821227" w:rsidRPr="00217865" w:rsidRDefault="00821227" w:rsidP="00E06AED">
            <w:pPr>
              <w:pStyle w:val="Z"/>
              <w:jc w:val="center"/>
              <w:rPr>
                <w:color w:val="000000" w:themeColor="text1"/>
                <w:szCs w:val="18"/>
                <w:highlight w:val="yellow"/>
              </w:rPr>
            </w:pPr>
            <w:r w:rsidRPr="00217865">
              <w:rPr>
                <w:color w:val="000000" w:themeColor="text1"/>
              </w:rPr>
              <w:t>75.4 (72.9, 77.7)</w:t>
            </w:r>
          </w:p>
        </w:tc>
        <w:tc>
          <w:tcPr>
            <w:tcW w:w="323" w:type="pct"/>
            <w:tcBorders>
              <w:top w:val="single" w:sz="4" w:space="0" w:color="auto"/>
              <w:left w:val="single" w:sz="4" w:space="0" w:color="auto"/>
              <w:bottom w:val="single" w:sz="4" w:space="0" w:color="auto"/>
              <w:right w:val="single" w:sz="4" w:space="0" w:color="auto"/>
            </w:tcBorders>
            <w:vAlign w:val="center"/>
          </w:tcPr>
          <w:p w14:paraId="7CF8A1A5" w14:textId="77777777" w:rsidR="00821227" w:rsidRPr="00217865" w:rsidRDefault="00821227" w:rsidP="00E06AED">
            <w:pPr>
              <w:pStyle w:val="Z"/>
              <w:jc w:val="center"/>
              <w:rPr>
                <w:color w:val="000000" w:themeColor="text1"/>
                <w:szCs w:val="18"/>
                <w:highlight w:val="yellow"/>
              </w:rPr>
            </w:pPr>
            <w:r w:rsidRPr="00217865">
              <w:rPr>
                <w:color w:val="000000" w:themeColor="text1"/>
              </w:rPr>
              <w:t>71.3 (68.3, 74.0)</w:t>
            </w:r>
          </w:p>
        </w:tc>
      </w:tr>
      <w:tr w:rsidR="00217865" w:rsidRPr="00217865" w14:paraId="2882797D"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F7ECC4A" w14:textId="77777777" w:rsidR="00821227" w:rsidRPr="00217865" w:rsidRDefault="00821227" w:rsidP="002611FF">
            <w:pPr>
              <w:pStyle w:val="Z"/>
              <w:rPr>
                <w:color w:val="000000" w:themeColor="text1"/>
                <w:szCs w:val="18"/>
                <w:highlight w:val="yellow"/>
              </w:rPr>
            </w:pPr>
            <w:r w:rsidRPr="00217865">
              <w:rPr>
                <w:color w:val="000000" w:themeColor="text1"/>
              </w:rPr>
              <w:t>The University of Melbourne</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E7017BD" w14:textId="77777777" w:rsidR="00821227" w:rsidRPr="00217865" w:rsidRDefault="00821227" w:rsidP="00E06AED">
            <w:pPr>
              <w:pStyle w:val="Z"/>
              <w:jc w:val="center"/>
              <w:rPr>
                <w:color w:val="000000" w:themeColor="text1"/>
                <w:szCs w:val="18"/>
                <w:highlight w:val="yellow"/>
              </w:rPr>
            </w:pPr>
            <w:r w:rsidRPr="00217865">
              <w:rPr>
                <w:color w:val="000000" w:themeColor="text1"/>
              </w:rPr>
              <w:t>77.9 (75.8, 79.9)</w:t>
            </w:r>
          </w:p>
        </w:tc>
        <w:tc>
          <w:tcPr>
            <w:tcW w:w="323" w:type="pct"/>
            <w:tcBorders>
              <w:top w:val="single" w:sz="4" w:space="0" w:color="auto"/>
              <w:left w:val="single" w:sz="4" w:space="0" w:color="auto"/>
              <w:bottom w:val="single" w:sz="4" w:space="0" w:color="auto"/>
              <w:right w:val="single" w:sz="4" w:space="0" w:color="auto"/>
            </w:tcBorders>
            <w:vAlign w:val="center"/>
          </w:tcPr>
          <w:p w14:paraId="4D4B73DE" w14:textId="77777777" w:rsidR="00821227" w:rsidRPr="00217865" w:rsidRDefault="00821227" w:rsidP="00E06AED">
            <w:pPr>
              <w:pStyle w:val="Z"/>
              <w:jc w:val="center"/>
              <w:rPr>
                <w:color w:val="000000" w:themeColor="text1"/>
                <w:szCs w:val="18"/>
                <w:highlight w:val="yellow"/>
              </w:rPr>
            </w:pPr>
            <w:r w:rsidRPr="00217865">
              <w:rPr>
                <w:color w:val="000000" w:themeColor="text1"/>
              </w:rPr>
              <w:t>78.2 (76.0, 80.2)</w:t>
            </w:r>
          </w:p>
        </w:tc>
        <w:tc>
          <w:tcPr>
            <w:tcW w:w="323" w:type="pct"/>
            <w:tcBorders>
              <w:top w:val="single" w:sz="4" w:space="0" w:color="auto"/>
              <w:left w:val="single" w:sz="4" w:space="0" w:color="auto"/>
              <w:bottom w:val="single" w:sz="4" w:space="0" w:color="auto"/>
              <w:right w:val="single" w:sz="4" w:space="0" w:color="auto"/>
            </w:tcBorders>
            <w:vAlign w:val="center"/>
          </w:tcPr>
          <w:p w14:paraId="62A8ED0E" w14:textId="77777777" w:rsidR="00821227" w:rsidRPr="00217865" w:rsidRDefault="00821227" w:rsidP="00E06AED">
            <w:pPr>
              <w:pStyle w:val="Z"/>
              <w:jc w:val="center"/>
              <w:rPr>
                <w:color w:val="000000" w:themeColor="text1"/>
                <w:szCs w:val="18"/>
                <w:highlight w:val="yellow"/>
              </w:rPr>
            </w:pPr>
            <w:r w:rsidRPr="00217865">
              <w:rPr>
                <w:color w:val="000000" w:themeColor="text1"/>
              </w:rPr>
              <w:t>52.7 (50.3, 55.1)</w:t>
            </w:r>
          </w:p>
        </w:tc>
        <w:tc>
          <w:tcPr>
            <w:tcW w:w="323" w:type="pct"/>
            <w:tcBorders>
              <w:top w:val="single" w:sz="4" w:space="0" w:color="auto"/>
              <w:left w:val="single" w:sz="4" w:space="0" w:color="auto"/>
              <w:bottom w:val="single" w:sz="4" w:space="0" w:color="auto"/>
              <w:right w:val="single" w:sz="4" w:space="0" w:color="auto"/>
            </w:tcBorders>
            <w:vAlign w:val="center"/>
          </w:tcPr>
          <w:p w14:paraId="059B1106" w14:textId="77777777" w:rsidR="00821227" w:rsidRPr="00217865" w:rsidRDefault="00821227" w:rsidP="00E06AED">
            <w:pPr>
              <w:pStyle w:val="Z"/>
              <w:jc w:val="center"/>
              <w:rPr>
                <w:color w:val="000000" w:themeColor="text1"/>
                <w:szCs w:val="18"/>
                <w:highlight w:val="yellow"/>
              </w:rPr>
            </w:pPr>
            <w:r w:rsidRPr="00217865">
              <w:rPr>
                <w:color w:val="000000" w:themeColor="text1"/>
              </w:rPr>
              <w:t>65.3 (62.9, 67.6)</w:t>
            </w:r>
          </w:p>
        </w:tc>
        <w:tc>
          <w:tcPr>
            <w:tcW w:w="322" w:type="pct"/>
            <w:tcBorders>
              <w:top w:val="single" w:sz="4" w:space="0" w:color="auto"/>
              <w:left w:val="single" w:sz="4" w:space="0" w:color="auto"/>
              <w:bottom w:val="single" w:sz="4" w:space="0" w:color="auto"/>
              <w:right w:val="single" w:sz="4" w:space="0" w:color="auto"/>
            </w:tcBorders>
            <w:vAlign w:val="center"/>
          </w:tcPr>
          <w:p w14:paraId="28E8CBFA" w14:textId="77777777" w:rsidR="00821227" w:rsidRPr="00217865" w:rsidRDefault="00821227" w:rsidP="00E06AED">
            <w:pPr>
              <w:pStyle w:val="Z"/>
              <w:jc w:val="center"/>
              <w:rPr>
                <w:color w:val="000000" w:themeColor="text1"/>
                <w:szCs w:val="18"/>
                <w:highlight w:val="yellow"/>
              </w:rPr>
            </w:pPr>
            <w:r w:rsidRPr="00217865">
              <w:rPr>
                <w:color w:val="000000" w:themeColor="text1"/>
              </w:rPr>
              <w:t>78.8 (76.8, 80.7)</w:t>
            </w:r>
          </w:p>
        </w:tc>
        <w:tc>
          <w:tcPr>
            <w:tcW w:w="323" w:type="pct"/>
            <w:tcBorders>
              <w:top w:val="single" w:sz="4" w:space="0" w:color="auto"/>
              <w:left w:val="single" w:sz="4" w:space="0" w:color="auto"/>
              <w:bottom w:val="single" w:sz="4" w:space="0" w:color="auto"/>
              <w:right w:val="single" w:sz="4" w:space="0" w:color="auto"/>
            </w:tcBorders>
            <w:vAlign w:val="center"/>
          </w:tcPr>
          <w:p w14:paraId="05E60386" w14:textId="77777777" w:rsidR="00821227" w:rsidRPr="00217865" w:rsidRDefault="00821227" w:rsidP="00E06AED">
            <w:pPr>
              <w:pStyle w:val="Z"/>
              <w:jc w:val="center"/>
              <w:rPr>
                <w:color w:val="000000" w:themeColor="text1"/>
                <w:szCs w:val="18"/>
                <w:highlight w:val="yellow"/>
              </w:rPr>
            </w:pPr>
            <w:r w:rsidRPr="00217865">
              <w:rPr>
                <w:color w:val="000000" w:themeColor="text1"/>
              </w:rPr>
              <w:t>80.8 (78.7, 82.6)</w:t>
            </w:r>
          </w:p>
        </w:tc>
        <w:tc>
          <w:tcPr>
            <w:tcW w:w="323" w:type="pct"/>
            <w:tcBorders>
              <w:top w:val="single" w:sz="4" w:space="0" w:color="auto"/>
              <w:left w:val="single" w:sz="4" w:space="0" w:color="auto"/>
              <w:bottom w:val="single" w:sz="4" w:space="0" w:color="auto"/>
              <w:right w:val="single" w:sz="4" w:space="0" w:color="auto"/>
            </w:tcBorders>
            <w:vAlign w:val="center"/>
          </w:tcPr>
          <w:p w14:paraId="6421ED04" w14:textId="77777777" w:rsidR="00821227" w:rsidRPr="00217865" w:rsidRDefault="00821227" w:rsidP="00E06AED">
            <w:pPr>
              <w:pStyle w:val="Z"/>
              <w:jc w:val="center"/>
              <w:rPr>
                <w:color w:val="000000" w:themeColor="text1"/>
                <w:szCs w:val="18"/>
                <w:highlight w:val="yellow"/>
              </w:rPr>
            </w:pPr>
            <w:r w:rsidRPr="00217865">
              <w:rPr>
                <w:color w:val="000000" w:themeColor="text1"/>
              </w:rPr>
              <w:t>70.5 (68.1, 72.7)</w:t>
            </w:r>
          </w:p>
        </w:tc>
        <w:tc>
          <w:tcPr>
            <w:tcW w:w="323" w:type="pct"/>
            <w:tcBorders>
              <w:top w:val="single" w:sz="4" w:space="0" w:color="auto"/>
              <w:left w:val="single" w:sz="4" w:space="0" w:color="auto"/>
              <w:bottom w:val="single" w:sz="4" w:space="0" w:color="auto"/>
              <w:right w:val="single" w:sz="4" w:space="0" w:color="auto"/>
            </w:tcBorders>
            <w:vAlign w:val="center"/>
          </w:tcPr>
          <w:p w14:paraId="048E9B48" w14:textId="77777777" w:rsidR="00821227" w:rsidRPr="00217865" w:rsidRDefault="00821227" w:rsidP="00E06AED">
            <w:pPr>
              <w:pStyle w:val="Z"/>
              <w:jc w:val="center"/>
              <w:rPr>
                <w:color w:val="000000" w:themeColor="text1"/>
                <w:szCs w:val="18"/>
                <w:highlight w:val="yellow"/>
              </w:rPr>
            </w:pPr>
            <w:r w:rsidRPr="00217865">
              <w:rPr>
                <w:color w:val="000000" w:themeColor="text1"/>
              </w:rPr>
              <w:t>72.1 (69.5, 74.5)</w:t>
            </w:r>
          </w:p>
        </w:tc>
        <w:tc>
          <w:tcPr>
            <w:tcW w:w="322" w:type="pct"/>
            <w:tcBorders>
              <w:top w:val="single" w:sz="4" w:space="0" w:color="auto"/>
              <w:left w:val="single" w:sz="4" w:space="0" w:color="auto"/>
              <w:bottom w:val="single" w:sz="4" w:space="0" w:color="auto"/>
              <w:right w:val="single" w:sz="4" w:space="0" w:color="auto"/>
            </w:tcBorders>
            <w:vAlign w:val="center"/>
          </w:tcPr>
          <w:p w14:paraId="6DE7D10D" w14:textId="77777777" w:rsidR="00821227" w:rsidRPr="00217865" w:rsidRDefault="00821227" w:rsidP="00E06AED">
            <w:pPr>
              <w:pStyle w:val="Z"/>
              <w:jc w:val="center"/>
              <w:rPr>
                <w:color w:val="000000" w:themeColor="text1"/>
                <w:szCs w:val="18"/>
                <w:highlight w:val="yellow"/>
              </w:rPr>
            </w:pPr>
            <w:r w:rsidRPr="00217865">
              <w:rPr>
                <w:color w:val="000000" w:themeColor="text1"/>
              </w:rPr>
              <w:t>85.9 (84.0, 87.5)</w:t>
            </w:r>
          </w:p>
        </w:tc>
        <w:tc>
          <w:tcPr>
            <w:tcW w:w="323" w:type="pct"/>
            <w:tcBorders>
              <w:top w:val="single" w:sz="4" w:space="0" w:color="auto"/>
              <w:left w:val="single" w:sz="4" w:space="0" w:color="auto"/>
              <w:bottom w:val="single" w:sz="4" w:space="0" w:color="auto"/>
              <w:right w:val="single" w:sz="4" w:space="0" w:color="auto"/>
            </w:tcBorders>
            <w:vAlign w:val="center"/>
          </w:tcPr>
          <w:p w14:paraId="714BCCE4" w14:textId="77777777" w:rsidR="00821227" w:rsidRPr="00217865" w:rsidRDefault="00821227" w:rsidP="00E06AED">
            <w:pPr>
              <w:pStyle w:val="Z"/>
              <w:jc w:val="center"/>
              <w:rPr>
                <w:color w:val="000000" w:themeColor="text1"/>
                <w:szCs w:val="18"/>
                <w:highlight w:val="yellow"/>
              </w:rPr>
            </w:pPr>
            <w:r w:rsidRPr="00217865">
              <w:rPr>
                <w:color w:val="000000" w:themeColor="text1"/>
              </w:rPr>
              <w:t>88.6 (86.8, 90.1)</w:t>
            </w:r>
          </w:p>
        </w:tc>
        <w:tc>
          <w:tcPr>
            <w:tcW w:w="323" w:type="pct"/>
            <w:tcBorders>
              <w:top w:val="single" w:sz="4" w:space="0" w:color="auto"/>
              <w:left w:val="single" w:sz="4" w:space="0" w:color="auto"/>
              <w:bottom w:val="single" w:sz="4" w:space="0" w:color="auto"/>
              <w:right w:val="single" w:sz="4" w:space="0" w:color="auto"/>
            </w:tcBorders>
            <w:vAlign w:val="center"/>
          </w:tcPr>
          <w:p w14:paraId="040039B2" w14:textId="77777777" w:rsidR="00821227" w:rsidRPr="00217865" w:rsidRDefault="00821227" w:rsidP="00E06AED">
            <w:pPr>
              <w:pStyle w:val="Z"/>
              <w:jc w:val="center"/>
              <w:rPr>
                <w:color w:val="000000" w:themeColor="text1"/>
                <w:szCs w:val="18"/>
                <w:highlight w:val="yellow"/>
              </w:rPr>
            </w:pPr>
            <w:r w:rsidRPr="00217865">
              <w:rPr>
                <w:color w:val="000000" w:themeColor="text1"/>
              </w:rPr>
              <w:t>69.1 (66.9, 71.3)</w:t>
            </w:r>
          </w:p>
        </w:tc>
        <w:tc>
          <w:tcPr>
            <w:tcW w:w="323" w:type="pct"/>
            <w:tcBorders>
              <w:top w:val="single" w:sz="4" w:space="0" w:color="auto"/>
              <w:left w:val="single" w:sz="4" w:space="0" w:color="auto"/>
              <w:bottom w:val="single" w:sz="4" w:space="0" w:color="auto"/>
              <w:right w:val="single" w:sz="4" w:space="0" w:color="auto"/>
            </w:tcBorders>
            <w:vAlign w:val="center"/>
          </w:tcPr>
          <w:p w14:paraId="17B226AD" w14:textId="77777777" w:rsidR="00821227" w:rsidRPr="00217865" w:rsidRDefault="00821227" w:rsidP="00E06AED">
            <w:pPr>
              <w:pStyle w:val="Z"/>
              <w:jc w:val="center"/>
              <w:rPr>
                <w:color w:val="000000" w:themeColor="text1"/>
                <w:szCs w:val="18"/>
                <w:highlight w:val="yellow"/>
              </w:rPr>
            </w:pPr>
            <w:r w:rsidRPr="00217865">
              <w:rPr>
                <w:color w:val="000000" w:themeColor="text1"/>
              </w:rPr>
              <w:t>71.2 (68.9, 73.4)</w:t>
            </w:r>
          </w:p>
        </w:tc>
      </w:tr>
      <w:tr w:rsidR="00217865" w:rsidRPr="00217865" w14:paraId="4B5E2DD1"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07B848E" w14:textId="77777777" w:rsidR="00821227" w:rsidRPr="00217865" w:rsidRDefault="00821227" w:rsidP="002611FF">
            <w:pPr>
              <w:pStyle w:val="Z"/>
              <w:rPr>
                <w:color w:val="000000" w:themeColor="text1"/>
                <w:szCs w:val="18"/>
                <w:highlight w:val="yellow"/>
              </w:rPr>
            </w:pPr>
            <w:r w:rsidRPr="00217865">
              <w:rPr>
                <w:color w:val="000000" w:themeColor="text1"/>
              </w:rPr>
              <w:t>The University of Notre Dame Australia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D9914C1" w14:textId="77777777" w:rsidR="00821227" w:rsidRPr="00217865" w:rsidRDefault="00821227" w:rsidP="00E06AED">
            <w:pPr>
              <w:pStyle w:val="Z"/>
              <w:jc w:val="center"/>
              <w:rPr>
                <w:color w:val="000000" w:themeColor="text1"/>
                <w:szCs w:val="18"/>
                <w:highlight w:val="yellow"/>
              </w:rPr>
            </w:pPr>
            <w:r w:rsidRPr="00217865">
              <w:rPr>
                <w:color w:val="000000" w:themeColor="text1"/>
              </w:rPr>
              <w:t>94.2 (87.3, 96.8)</w:t>
            </w:r>
          </w:p>
        </w:tc>
        <w:tc>
          <w:tcPr>
            <w:tcW w:w="323" w:type="pct"/>
            <w:tcBorders>
              <w:top w:val="single" w:sz="4" w:space="0" w:color="auto"/>
              <w:left w:val="single" w:sz="4" w:space="0" w:color="auto"/>
              <w:bottom w:val="single" w:sz="4" w:space="0" w:color="auto"/>
              <w:right w:val="single" w:sz="4" w:space="0" w:color="auto"/>
            </w:tcBorders>
            <w:vAlign w:val="center"/>
          </w:tcPr>
          <w:p w14:paraId="44BDE96F" w14:textId="77777777" w:rsidR="00821227" w:rsidRPr="00217865" w:rsidRDefault="00821227" w:rsidP="00E06AED">
            <w:pPr>
              <w:pStyle w:val="Z"/>
              <w:jc w:val="center"/>
              <w:rPr>
                <w:color w:val="000000" w:themeColor="text1"/>
                <w:szCs w:val="18"/>
                <w:highlight w:val="yellow"/>
              </w:rPr>
            </w:pPr>
            <w:r w:rsidRPr="00217865">
              <w:rPr>
                <w:color w:val="000000" w:themeColor="text1"/>
              </w:rPr>
              <w:t>91.8 (86.0, 94.6)</w:t>
            </w:r>
          </w:p>
        </w:tc>
        <w:tc>
          <w:tcPr>
            <w:tcW w:w="323" w:type="pct"/>
            <w:tcBorders>
              <w:top w:val="single" w:sz="4" w:space="0" w:color="auto"/>
              <w:left w:val="single" w:sz="4" w:space="0" w:color="auto"/>
              <w:bottom w:val="single" w:sz="4" w:space="0" w:color="auto"/>
              <w:right w:val="single" w:sz="4" w:space="0" w:color="auto"/>
            </w:tcBorders>
            <w:vAlign w:val="center"/>
          </w:tcPr>
          <w:p w14:paraId="44B11F71" w14:textId="77777777" w:rsidR="00821227" w:rsidRPr="00217865" w:rsidRDefault="00821227" w:rsidP="00E06AED">
            <w:pPr>
              <w:pStyle w:val="Z"/>
              <w:jc w:val="center"/>
              <w:rPr>
                <w:color w:val="000000" w:themeColor="text1"/>
                <w:szCs w:val="18"/>
                <w:highlight w:val="yellow"/>
              </w:rPr>
            </w:pPr>
            <w:r w:rsidRPr="00217865">
              <w:rPr>
                <w:color w:val="000000" w:themeColor="text1"/>
              </w:rPr>
              <w:t>69.1 (60.4, 76.0)</w:t>
            </w:r>
          </w:p>
        </w:tc>
        <w:tc>
          <w:tcPr>
            <w:tcW w:w="323" w:type="pct"/>
            <w:tcBorders>
              <w:top w:val="single" w:sz="4" w:space="0" w:color="auto"/>
              <w:left w:val="single" w:sz="4" w:space="0" w:color="auto"/>
              <w:bottom w:val="single" w:sz="4" w:space="0" w:color="auto"/>
              <w:right w:val="single" w:sz="4" w:space="0" w:color="auto"/>
            </w:tcBorders>
            <w:vAlign w:val="center"/>
          </w:tcPr>
          <w:p w14:paraId="5A0FFCE7" w14:textId="77777777" w:rsidR="00821227" w:rsidRPr="00217865" w:rsidRDefault="00821227" w:rsidP="00E06AED">
            <w:pPr>
              <w:pStyle w:val="Z"/>
              <w:jc w:val="center"/>
              <w:rPr>
                <w:color w:val="000000" w:themeColor="text1"/>
                <w:szCs w:val="18"/>
                <w:highlight w:val="yellow"/>
              </w:rPr>
            </w:pPr>
            <w:r w:rsidRPr="00217865">
              <w:rPr>
                <w:color w:val="000000" w:themeColor="text1"/>
              </w:rPr>
              <w:t>72.7 (65.7, 78.2)</w:t>
            </w:r>
          </w:p>
        </w:tc>
        <w:tc>
          <w:tcPr>
            <w:tcW w:w="322" w:type="pct"/>
            <w:tcBorders>
              <w:top w:val="single" w:sz="4" w:space="0" w:color="auto"/>
              <w:left w:val="single" w:sz="4" w:space="0" w:color="auto"/>
              <w:bottom w:val="single" w:sz="4" w:space="0" w:color="auto"/>
              <w:right w:val="single" w:sz="4" w:space="0" w:color="auto"/>
            </w:tcBorders>
            <w:vAlign w:val="center"/>
          </w:tcPr>
          <w:p w14:paraId="3266155E" w14:textId="77777777" w:rsidR="00821227" w:rsidRPr="00217865" w:rsidRDefault="00821227" w:rsidP="00E06AED">
            <w:pPr>
              <w:pStyle w:val="Z"/>
              <w:jc w:val="center"/>
              <w:rPr>
                <w:color w:val="000000" w:themeColor="text1"/>
                <w:szCs w:val="18"/>
                <w:highlight w:val="yellow"/>
              </w:rPr>
            </w:pPr>
            <w:r w:rsidRPr="00217865">
              <w:rPr>
                <w:color w:val="000000" w:themeColor="text1"/>
              </w:rPr>
              <w:t>94.3 (87.6, 96.8)</w:t>
            </w:r>
          </w:p>
        </w:tc>
        <w:tc>
          <w:tcPr>
            <w:tcW w:w="323" w:type="pct"/>
            <w:tcBorders>
              <w:top w:val="single" w:sz="4" w:space="0" w:color="auto"/>
              <w:left w:val="single" w:sz="4" w:space="0" w:color="auto"/>
              <w:bottom w:val="single" w:sz="4" w:space="0" w:color="auto"/>
              <w:right w:val="single" w:sz="4" w:space="0" w:color="auto"/>
            </w:tcBorders>
            <w:vAlign w:val="center"/>
          </w:tcPr>
          <w:p w14:paraId="114E7CC3" w14:textId="77777777" w:rsidR="00821227" w:rsidRPr="00217865" w:rsidRDefault="00821227" w:rsidP="00E06AED">
            <w:pPr>
              <w:pStyle w:val="Z"/>
              <w:jc w:val="center"/>
              <w:rPr>
                <w:color w:val="000000" w:themeColor="text1"/>
                <w:szCs w:val="18"/>
                <w:highlight w:val="yellow"/>
              </w:rPr>
            </w:pPr>
            <w:r w:rsidRPr="00217865">
              <w:rPr>
                <w:color w:val="000000" w:themeColor="text1"/>
              </w:rPr>
              <w:t>84.4 (78.1, 88.4)</w:t>
            </w:r>
          </w:p>
        </w:tc>
        <w:tc>
          <w:tcPr>
            <w:tcW w:w="323" w:type="pct"/>
            <w:tcBorders>
              <w:top w:val="single" w:sz="4" w:space="0" w:color="auto"/>
              <w:left w:val="single" w:sz="4" w:space="0" w:color="auto"/>
              <w:bottom w:val="single" w:sz="4" w:space="0" w:color="auto"/>
              <w:right w:val="single" w:sz="4" w:space="0" w:color="auto"/>
            </w:tcBorders>
            <w:vAlign w:val="center"/>
          </w:tcPr>
          <w:p w14:paraId="0B14EE81" w14:textId="77777777" w:rsidR="00821227" w:rsidRPr="00217865" w:rsidRDefault="00821227" w:rsidP="00E06AED">
            <w:pPr>
              <w:pStyle w:val="Z"/>
              <w:jc w:val="center"/>
              <w:rPr>
                <w:color w:val="000000" w:themeColor="text1"/>
                <w:szCs w:val="18"/>
                <w:highlight w:val="yellow"/>
              </w:rPr>
            </w:pPr>
            <w:r w:rsidRPr="00217865">
              <w:rPr>
                <w:color w:val="000000" w:themeColor="text1"/>
              </w:rPr>
              <w:t>80.4 (71.6, 86.1)</w:t>
            </w:r>
          </w:p>
        </w:tc>
        <w:tc>
          <w:tcPr>
            <w:tcW w:w="323" w:type="pct"/>
            <w:tcBorders>
              <w:top w:val="single" w:sz="4" w:space="0" w:color="auto"/>
              <w:left w:val="single" w:sz="4" w:space="0" w:color="auto"/>
              <w:bottom w:val="single" w:sz="4" w:space="0" w:color="auto"/>
              <w:right w:val="single" w:sz="4" w:space="0" w:color="auto"/>
            </w:tcBorders>
            <w:vAlign w:val="center"/>
          </w:tcPr>
          <w:p w14:paraId="3D0E7E0A" w14:textId="77777777" w:rsidR="00821227" w:rsidRPr="00217865" w:rsidRDefault="00821227" w:rsidP="00E06AED">
            <w:pPr>
              <w:pStyle w:val="Z"/>
              <w:jc w:val="center"/>
              <w:rPr>
                <w:color w:val="000000" w:themeColor="text1"/>
                <w:szCs w:val="18"/>
                <w:highlight w:val="yellow"/>
              </w:rPr>
            </w:pPr>
            <w:r w:rsidRPr="00217865">
              <w:rPr>
                <w:color w:val="000000" w:themeColor="text1"/>
              </w:rPr>
              <w:t>85.3 (78.3, 89.6)</w:t>
            </w:r>
          </w:p>
        </w:tc>
        <w:tc>
          <w:tcPr>
            <w:tcW w:w="322" w:type="pct"/>
            <w:tcBorders>
              <w:top w:val="single" w:sz="4" w:space="0" w:color="auto"/>
              <w:left w:val="single" w:sz="4" w:space="0" w:color="auto"/>
              <w:bottom w:val="single" w:sz="4" w:space="0" w:color="auto"/>
              <w:right w:val="single" w:sz="4" w:space="0" w:color="auto"/>
            </w:tcBorders>
            <w:vAlign w:val="center"/>
          </w:tcPr>
          <w:p w14:paraId="700621CB" w14:textId="77777777" w:rsidR="00821227" w:rsidRPr="00217865" w:rsidRDefault="00821227" w:rsidP="00E06AED">
            <w:pPr>
              <w:pStyle w:val="Z"/>
              <w:jc w:val="center"/>
              <w:rPr>
                <w:color w:val="000000" w:themeColor="text1"/>
                <w:szCs w:val="18"/>
                <w:highlight w:val="yellow"/>
              </w:rPr>
            </w:pPr>
            <w:r w:rsidRPr="00217865">
              <w:rPr>
                <w:color w:val="000000" w:themeColor="text1"/>
              </w:rPr>
              <w:t>84.3 (75.8, 89.3)</w:t>
            </w:r>
          </w:p>
        </w:tc>
        <w:tc>
          <w:tcPr>
            <w:tcW w:w="323" w:type="pct"/>
            <w:tcBorders>
              <w:top w:val="single" w:sz="4" w:space="0" w:color="auto"/>
              <w:left w:val="single" w:sz="4" w:space="0" w:color="auto"/>
              <w:bottom w:val="single" w:sz="4" w:space="0" w:color="auto"/>
              <w:right w:val="single" w:sz="4" w:space="0" w:color="auto"/>
            </w:tcBorders>
            <w:vAlign w:val="center"/>
          </w:tcPr>
          <w:p w14:paraId="364B529F" w14:textId="77777777" w:rsidR="00821227" w:rsidRPr="00217865" w:rsidRDefault="00821227" w:rsidP="00E06AED">
            <w:pPr>
              <w:pStyle w:val="Z"/>
              <w:jc w:val="center"/>
              <w:rPr>
                <w:color w:val="000000" w:themeColor="text1"/>
                <w:szCs w:val="18"/>
                <w:highlight w:val="yellow"/>
              </w:rPr>
            </w:pPr>
            <w:r w:rsidRPr="00217865">
              <w:rPr>
                <w:color w:val="000000" w:themeColor="text1"/>
              </w:rPr>
              <w:t>85.3 (78.9, 89.3)</w:t>
            </w:r>
          </w:p>
        </w:tc>
        <w:tc>
          <w:tcPr>
            <w:tcW w:w="323" w:type="pct"/>
            <w:tcBorders>
              <w:top w:val="single" w:sz="4" w:space="0" w:color="auto"/>
              <w:left w:val="single" w:sz="4" w:space="0" w:color="auto"/>
              <w:bottom w:val="single" w:sz="4" w:space="0" w:color="auto"/>
              <w:right w:val="single" w:sz="4" w:space="0" w:color="auto"/>
            </w:tcBorders>
            <w:vAlign w:val="center"/>
          </w:tcPr>
          <w:p w14:paraId="02AD6A91" w14:textId="77777777" w:rsidR="00821227" w:rsidRPr="00217865" w:rsidRDefault="00821227" w:rsidP="00E06AED">
            <w:pPr>
              <w:pStyle w:val="Z"/>
              <w:jc w:val="center"/>
              <w:rPr>
                <w:color w:val="000000" w:themeColor="text1"/>
                <w:szCs w:val="18"/>
                <w:highlight w:val="yellow"/>
              </w:rPr>
            </w:pPr>
            <w:r w:rsidRPr="00217865">
              <w:rPr>
                <w:color w:val="000000" w:themeColor="text1"/>
              </w:rPr>
              <w:t>80.0 (71.7, 85.5)</w:t>
            </w:r>
          </w:p>
        </w:tc>
        <w:tc>
          <w:tcPr>
            <w:tcW w:w="323" w:type="pct"/>
            <w:tcBorders>
              <w:top w:val="single" w:sz="4" w:space="0" w:color="auto"/>
              <w:left w:val="single" w:sz="4" w:space="0" w:color="auto"/>
              <w:bottom w:val="single" w:sz="4" w:space="0" w:color="auto"/>
              <w:right w:val="single" w:sz="4" w:space="0" w:color="auto"/>
            </w:tcBorders>
            <w:vAlign w:val="center"/>
          </w:tcPr>
          <w:p w14:paraId="51DDF71E" w14:textId="77777777" w:rsidR="00821227" w:rsidRPr="00217865" w:rsidRDefault="00821227" w:rsidP="00E06AED">
            <w:pPr>
              <w:pStyle w:val="Z"/>
              <w:jc w:val="center"/>
              <w:rPr>
                <w:color w:val="000000" w:themeColor="text1"/>
                <w:szCs w:val="18"/>
                <w:highlight w:val="yellow"/>
              </w:rPr>
            </w:pPr>
            <w:r w:rsidRPr="00217865">
              <w:rPr>
                <w:color w:val="000000" w:themeColor="text1"/>
              </w:rPr>
              <w:t>84.0 (77.5, 88.2)</w:t>
            </w:r>
          </w:p>
        </w:tc>
      </w:tr>
      <w:tr w:rsidR="00217865" w:rsidRPr="00217865" w14:paraId="1DEFF4E2"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7107554" w14:textId="77777777" w:rsidR="00821227" w:rsidRPr="00217865" w:rsidRDefault="00821227" w:rsidP="002611FF">
            <w:pPr>
              <w:pStyle w:val="Z"/>
              <w:rPr>
                <w:color w:val="000000" w:themeColor="text1"/>
                <w:szCs w:val="18"/>
                <w:highlight w:val="yellow"/>
              </w:rPr>
            </w:pPr>
            <w:r w:rsidRPr="00217865">
              <w:rPr>
                <w:color w:val="000000" w:themeColor="text1"/>
              </w:rPr>
              <w:lastRenderedPageBreak/>
              <w:t>The University of Queensland</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D71FF84" w14:textId="77777777" w:rsidR="00821227" w:rsidRPr="00217865" w:rsidRDefault="00821227" w:rsidP="00E06AED">
            <w:pPr>
              <w:pStyle w:val="Z"/>
              <w:jc w:val="center"/>
              <w:rPr>
                <w:color w:val="000000" w:themeColor="text1"/>
                <w:szCs w:val="18"/>
                <w:highlight w:val="yellow"/>
              </w:rPr>
            </w:pPr>
            <w:r w:rsidRPr="00217865">
              <w:rPr>
                <w:color w:val="000000" w:themeColor="text1"/>
              </w:rPr>
              <w:t>81.7 (79.8, 83.4)</w:t>
            </w:r>
          </w:p>
        </w:tc>
        <w:tc>
          <w:tcPr>
            <w:tcW w:w="323" w:type="pct"/>
            <w:tcBorders>
              <w:top w:val="single" w:sz="4" w:space="0" w:color="auto"/>
              <w:left w:val="single" w:sz="4" w:space="0" w:color="auto"/>
              <w:bottom w:val="single" w:sz="4" w:space="0" w:color="auto"/>
              <w:right w:val="single" w:sz="4" w:space="0" w:color="auto"/>
            </w:tcBorders>
            <w:vAlign w:val="center"/>
          </w:tcPr>
          <w:p w14:paraId="2964494A" w14:textId="77777777" w:rsidR="00821227" w:rsidRPr="00217865" w:rsidRDefault="00821227" w:rsidP="00E06AED">
            <w:pPr>
              <w:pStyle w:val="Z"/>
              <w:jc w:val="center"/>
              <w:rPr>
                <w:color w:val="000000" w:themeColor="text1"/>
                <w:szCs w:val="18"/>
                <w:highlight w:val="yellow"/>
              </w:rPr>
            </w:pPr>
            <w:r w:rsidRPr="00217865">
              <w:rPr>
                <w:color w:val="000000" w:themeColor="text1"/>
              </w:rPr>
              <w:t>80.0 (78.1, 81.7)</w:t>
            </w:r>
          </w:p>
        </w:tc>
        <w:tc>
          <w:tcPr>
            <w:tcW w:w="323" w:type="pct"/>
            <w:tcBorders>
              <w:top w:val="single" w:sz="4" w:space="0" w:color="auto"/>
              <w:left w:val="single" w:sz="4" w:space="0" w:color="auto"/>
              <w:bottom w:val="single" w:sz="4" w:space="0" w:color="auto"/>
              <w:right w:val="single" w:sz="4" w:space="0" w:color="auto"/>
            </w:tcBorders>
            <w:vAlign w:val="center"/>
          </w:tcPr>
          <w:p w14:paraId="075C69AA" w14:textId="77777777" w:rsidR="00821227" w:rsidRPr="00217865" w:rsidRDefault="00821227" w:rsidP="00E06AED">
            <w:pPr>
              <w:pStyle w:val="Z"/>
              <w:jc w:val="center"/>
              <w:rPr>
                <w:color w:val="000000" w:themeColor="text1"/>
                <w:szCs w:val="18"/>
                <w:highlight w:val="yellow"/>
              </w:rPr>
            </w:pPr>
            <w:r w:rsidRPr="00217865">
              <w:rPr>
                <w:color w:val="000000" w:themeColor="text1"/>
              </w:rPr>
              <w:t>57.0 (54.8, 59.2)</w:t>
            </w:r>
          </w:p>
        </w:tc>
        <w:tc>
          <w:tcPr>
            <w:tcW w:w="323" w:type="pct"/>
            <w:tcBorders>
              <w:top w:val="single" w:sz="4" w:space="0" w:color="auto"/>
              <w:left w:val="single" w:sz="4" w:space="0" w:color="auto"/>
              <w:bottom w:val="single" w:sz="4" w:space="0" w:color="auto"/>
              <w:right w:val="single" w:sz="4" w:space="0" w:color="auto"/>
            </w:tcBorders>
            <w:vAlign w:val="center"/>
          </w:tcPr>
          <w:p w14:paraId="7F4E40B2" w14:textId="77777777" w:rsidR="00821227" w:rsidRPr="00217865" w:rsidRDefault="00821227" w:rsidP="00E06AED">
            <w:pPr>
              <w:pStyle w:val="Z"/>
              <w:jc w:val="center"/>
              <w:rPr>
                <w:color w:val="000000" w:themeColor="text1"/>
                <w:szCs w:val="18"/>
                <w:highlight w:val="yellow"/>
              </w:rPr>
            </w:pPr>
            <w:r w:rsidRPr="00217865">
              <w:rPr>
                <w:color w:val="000000" w:themeColor="text1"/>
              </w:rPr>
              <w:t>56.0 (53.8, 58.2)</w:t>
            </w:r>
          </w:p>
        </w:tc>
        <w:tc>
          <w:tcPr>
            <w:tcW w:w="322" w:type="pct"/>
            <w:tcBorders>
              <w:top w:val="single" w:sz="4" w:space="0" w:color="auto"/>
              <w:left w:val="single" w:sz="4" w:space="0" w:color="auto"/>
              <w:bottom w:val="single" w:sz="4" w:space="0" w:color="auto"/>
              <w:right w:val="single" w:sz="4" w:space="0" w:color="auto"/>
            </w:tcBorders>
            <w:vAlign w:val="center"/>
          </w:tcPr>
          <w:p w14:paraId="7814F7BA" w14:textId="77777777" w:rsidR="00821227" w:rsidRPr="00217865" w:rsidRDefault="00821227" w:rsidP="00E06AED">
            <w:pPr>
              <w:pStyle w:val="Z"/>
              <w:jc w:val="center"/>
              <w:rPr>
                <w:color w:val="000000" w:themeColor="text1"/>
                <w:szCs w:val="18"/>
                <w:highlight w:val="yellow"/>
              </w:rPr>
            </w:pPr>
            <w:r w:rsidRPr="00217865">
              <w:rPr>
                <w:color w:val="000000" w:themeColor="text1"/>
              </w:rPr>
              <w:t>82.8 (81.0, 84.4)</w:t>
            </w:r>
          </w:p>
        </w:tc>
        <w:tc>
          <w:tcPr>
            <w:tcW w:w="323" w:type="pct"/>
            <w:tcBorders>
              <w:top w:val="single" w:sz="4" w:space="0" w:color="auto"/>
              <w:left w:val="single" w:sz="4" w:space="0" w:color="auto"/>
              <w:bottom w:val="single" w:sz="4" w:space="0" w:color="auto"/>
              <w:right w:val="single" w:sz="4" w:space="0" w:color="auto"/>
            </w:tcBorders>
            <w:vAlign w:val="center"/>
          </w:tcPr>
          <w:p w14:paraId="57709F91" w14:textId="77777777" w:rsidR="00821227" w:rsidRPr="00217865" w:rsidRDefault="00821227" w:rsidP="00E06AED">
            <w:pPr>
              <w:pStyle w:val="Z"/>
              <w:jc w:val="center"/>
              <w:rPr>
                <w:color w:val="000000" w:themeColor="text1"/>
                <w:szCs w:val="18"/>
                <w:highlight w:val="yellow"/>
              </w:rPr>
            </w:pPr>
            <w:r w:rsidRPr="00217865">
              <w:rPr>
                <w:color w:val="000000" w:themeColor="text1"/>
              </w:rPr>
              <w:t>80.3 (78.5, 82.0)</w:t>
            </w:r>
          </w:p>
        </w:tc>
        <w:tc>
          <w:tcPr>
            <w:tcW w:w="323" w:type="pct"/>
            <w:tcBorders>
              <w:top w:val="single" w:sz="4" w:space="0" w:color="auto"/>
              <w:left w:val="single" w:sz="4" w:space="0" w:color="auto"/>
              <w:bottom w:val="single" w:sz="4" w:space="0" w:color="auto"/>
              <w:right w:val="single" w:sz="4" w:space="0" w:color="auto"/>
            </w:tcBorders>
            <w:vAlign w:val="center"/>
          </w:tcPr>
          <w:p w14:paraId="16A66767" w14:textId="77777777" w:rsidR="00821227" w:rsidRPr="00217865" w:rsidRDefault="00821227" w:rsidP="00E06AED">
            <w:pPr>
              <w:pStyle w:val="Z"/>
              <w:jc w:val="center"/>
              <w:rPr>
                <w:color w:val="000000" w:themeColor="text1"/>
                <w:szCs w:val="18"/>
                <w:highlight w:val="yellow"/>
              </w:rPr>
            </w:pPr>
            <w:r w:rsidRPr="00217865">
              <w:rPr>
                <w:color w:val="000000" w:themeColor="text1"/>
              </w:rPr>
              <w:t>75.0 (72.8, 77.0)</w:t>
            </w:r>
          </w:p>
        </w:tc>
        <w:tc>
          <w:tcPr>
            <w:tcW w:w="323" w:type="pct"/>
            <w:tcBorders>
              <w:top w:val="single" w:sz="4" w:space="0" w:color="auto"/>
              <w:left w:val="single" w:sz="4" w:space="0" w:color="auto"/>
              <w:bottom w:val="single" w:sz="4" w:space="0" w:color="auto"/>
              <w:right w:val="single" w:sz="4" w:space="0" w:color="auto"/>
            </w:tcBorders>
            <w:vAlign w:val="center"/>
          </w:tcPr>
          <w:p w14:paraId="08D99936" w14:textId="77777777" w:rsidR="00821227" w:rsidRPr="00217865" w:rsidRDefault="00821227" w:rsidP="00E06AED">
            <w:pPr>
              <w:pStyle w:val="Z"/>
              <w:jc w:val="center"/>
              <w:rPr>
                <w:color w:val="000000" w:themeColor="text1"/>
                <w:szCs w:val="18"/>
                <w:highlight w:val="yellow"/>
              </w:rPr>
            </w:pPr>
            <w:r w:rsidRPr="00217865">
              <w:rPr>
                <w:color w:val="000000" w:themeColor="text1"/>
              </w:rPr>
              <w:t>74.9 (72.7, 76.9)</w:t>
            </w:r>
          </w:p>
        </w:tc>
        <w:tc>
          <w:tcPr>
            <w:tcW w:w="322" w:type="pct"/>
            <w:tcBorders>
              <w:top w:val="single" w:sz="4" w:space="0" w:color="auto"/>
              <w:left w:val="single" w:sz="4" w:space="0" w:color="auto"/>
              <w:bottom w:val="single" w:sz="4" w:space="0" w:color="auto"/>
              <w:right w:val="single" w:sz="4" w:space="0" w:color="auto"/>
            </w:tcBorders>
            <w:vAlign w:val="center"/>
          </w:tcPr>
          <w:p w14:paraId="1ED76856" w14:textId="77777777" w:rsidR="00821227" w:rsidRPr="00217865" w:rsidRDefault="00821227" w:rsidP="00E06AED">
            <w:pPr>
              <w:pStyle w:val="Z"/>
              <w:jc w:val="center"/>
              <w:rPr>
                <w:color w:val="000000" w:themeColor="text1"/>
                <w:szCs w:val="18"/>
                <w:highlight w:val="yellow"/>
              </w:rPr>
            </w:pPr>
            <w:r w:rsidRPr="00217865">
              <w:rPr>
                <w:color w:val="000000" w:themeColor="text1"/>
              </w:rPr>
              <w:t>88.5 (86.9, 89.9)</w:t>
            </w:r>
          </w:p>
        </w:tc>
        <w:tc>
          <w:tcPr>
            <w:tcW w:w="323" w:type="pct"/>
            <w:tcBorders>
              <w:top w:val="single" w:sz="4" w:space="0" w:color="auto"/>
              <w:left w:val="single" w:sz="4" w:space="0" w:color="auto"/>
              <w:bottom w:val="single" w:sz="4" w:space="0" w:color="auto"/>
              <w:right w:val="single" w:sz="4" w:space="0" w:color="auto"/>
            </w:tcBorders>
            <w:vAlign w:val="center"/>
          </w:tcPr>
          <w:p w14:paraId="48CA7C2A" w14:textId="77777777" w:rsidR="00821227" w:rsidRPr="00217865" w:rsidRDefault="00821227" w:rsidP="00E06AED">
            <w:pPr>
              <w:pStyle w:val="Z"/>
              <w:jc w:val="center"/>
              <w:rPr>
                <w:color w:val="000000" w:themeColor="text1"/>
                <w:szCs w:val="18"/>
                <w:highlight w:val="yellow"/>
              </w:rPr>
            </w:pPr>
            <w:r w:rsidRPr="00217865">
              <w:rPr>
                <w:color w:val="000000" w:themeColor="text1"/>
              </w:rPr>
              <w:t>86.8 (85.1, 88.2)</w:t>
            </w:r>
          </w:p>
        </w:tc>
        <w:tc>
          <w:tcPr>
            <w:tcW w:w="323" w:type="pct"/>
            <w:tcBorders>
              <w:top w:val="single" w:sz="4" w:space="0" w:color="auto"/>
              <w:left w:val="single" w:sz="4" w:space="0" w:color="auto"/>
              <w:bottom w:val="single" w:sz="4" w:space="0" w:color="auto"/>
              <w:right w:val="single" w:sz="4" w:space="0" w:color="auto"/>
            </w:tcBorders>
            <w:vAlign w:val="center"/>
          </w:tcPr>
          <w:p w14:paraId="1B0A37B1" w14:textId="77777777" w:rsidR="00821227" w:rsidRPr="00217865" w:rsidRDefault="00821227" w:rsidP="00E06AED">
            <w:pPr>
              <w:pStyle w:val="Z"/>
              <w:jc w:val="center"/>
              <w:rPr>
                <w:color w:val="000000" w:themeColor="text1"/>
                <w:szCs w:val="18"/>
                <w:highlight w:val="yellow"/>
              </w:rPr>
            </w:pPr>
            <w:r w:rsidRPr="00217865">
              <w:rPr>
                <w:color w:val="000000" w:themeColor="text1"/>
              </w:rPr>
              <w:t>78.3 (76.4, 80.1)</w:t>
            </w:r>
          </w:p>
        </w:tc>
        <w:tc>
          <w:tcPr>
            <w:tcW w:w="323" w:type="pct"/>
            <w:tcBorders>
              <w:top w:val="single" w:sz="4" w:space="0" w:color="auto"/>
              <w:left w:val="single" w:sz="4" w:space="0" w:color="auto"/>
              <w:bottom w:val="single" w:sz="4" w:space="0" w:color="auto"/>
              <w:right w:val="single" w:sz="4" w:space="0" w:color="auto"/>
            </w:tcBorders>
            <w:vAlign w:val="center"/>
          </w:tcPr>
          <w:p w14:paraId="7207525F" w14:textId="77777777" w:rsidR="00821227" w:rsidRPr="00217865" w:rsidRDefault="00821227" w:rsidP="00E06AED">
            <w:pPr>
              <w:pStyle w:val="Z"/>
              <w:jc w:val="center"/>
              <w:rPr>
                <w:color w:val="000000" w:themeColor="text1"/>
                <w:szCs w:val="18"/>
                <w:highlight w:val="yellow"/>
              </w:rPr>
            </w:pPr>
            <w:r w:rsidRPr="00217865">
              <w:rPr>
                <w:color w:val="000000" w:themeColor="text1"/>
              </w:rPr>
              <w:t>75.1 (73.2, 77.0)</w:t>
            </w:r>
          </w:p>
        </w:tc>
      </w:tr>
      <w:tr w:rsidR="00217865" w:rsidRPr="00217865" w14:paraId="5DD37B86"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9924B02" w14:textId="77777777" w:rsidR="00821227" w:rsidRPr="00217865" w:rsidRDefault="00821227" w:rsidP="002611FF">
            <w:pPr>
              <w:pStyle w:val="Z"/>
              <w:rPr>
                <w:color w:val="000000" w:themeColor="text1"/>
                <w:szCs w:val="18"/>
                <w:highlight w:val="yellow"/>
              </w:rPr>
            </w:pPr>
            <w:r w:rsidRPr="00217865">
              <w:rPr>
                <w:color w:val="000000" w:themeColor="text1"/>
              </w:rPr>
              <w:t>The University of South Australia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C545B74" w14:textId="77777777" w:rsidR="00821227" w:rsidRPr="00217865" w:rsidRDefault="00821227" w:rsidP="00E06AED">
            <w:pPr>
              <w:pStyle w:val="Z"/>
              <w:jc w:val="center"/>
              <w:rPr>
                <w:color w:val="000000" w:themeColor="text1"/>
                <w:szCs w:val="18"/>
                <w:highlight w:val="yellow"/>
              </w:rPr>
            </w:pPr>
            <w:r w:rsidRPr="00217865">
              <w:rPr>
                <w:color w:val="000000" w:themeColor="text1"/>
              </w:rPr>
              <w:t>79.3 (77.1, 81.3)</w:t>
            </w:r>
          </w:p>
        </w:tc>
        <w:tc>
          <w:tcPr>
            <w:tcW w:w="323" w:type="pct"/>
            <w:tcBorders>
              <w:top w:val="single" w:sz="4" w:space="0" w:color="auto"/>
              <w:left w:val="single" w:sz="4" w:space="0" w:color="auto"/>
              <w:bottom w:val="single" w:sz="4" w:space="0" w:color="auto"/>
              <w:right w:val="single" w:sz="4" w:space="0" w:color="auto"/>
            </w:tcBorders>
            <w:vAlign w:val="center"/>
          </w:tcPr>
          <w:p w14:paraId="6B452ECE" w14:textId="77777777" w:rsidR="00821227" w:rsidRPr="00217865" w:rsidRDefault="00821227" w:rsidP="00E06AED">
            <w:pPr>
              <w:pStyle w:val="Z"/>
              <w:jc w:val="center"/>
              <w:rPr>
                <w:color w:val="000000" w:themeColor="text1"/>
                <w:szCs w:val="18"/>
                <w:highlight w:val="yellow"/>
              </w:rPr>
            </w:pPr>
            <w:r w:rsidRPr="00217865">
              <w:rPr>
                <w:color w:val="000000" w:themeColor="text1"/>
              </w:rPr>
              <w:t>85.0 (82.9, 86.7)</w:t>
            </w:r>
          </w:p>
        </w:tc>
        <w:tc>
          <w:tcPr>
            <w:tcW w:w="323" w:type="pct"/>
            <w:tcBorders>
              <w:top w:val="single" w:sz="4" w:space="0" w:color="auto"/>
              <w:left w:val="single" w:sz="4" w:space="0" w:color="auto"/>
              <w:bottom w:val="single" w:sz="4" w:space="0" w:color="auto"/>
              <w:right w:val="single" w:sz="4" w:space="0" w:color="auto"/>
            </w:tcBorders>
            <w:vAlign w:val="center"/>
          </w:tcPr>
          <w:p w14:paraId="5821817B" w14:textId="77777777" w:rsidR="00821227" w:rsidRPr="00217865" w:rsidRDefault="00821227" w:rsidP="00E06AED">
            <w:pPr>
              <w:pStyle w:val="Z"/>
              <w:jc w:val="center"/>
              <w:rPr>
                <w:color w:val="000000" w:themeColor="text1"/>
                <w:szCs w:val="18"/>
                <w:highlight w:val="yellow"/>
              </w:rPr>
            </w:pPr>
            <w:r w:rsidRPr="00217865">
              <w:rPr>
                <w:color w:val="000000" w:themeColor="text1"/>
              </w:rPr>
              <w:t>57.9 (55.4, 60.3)</w:t>
            </w:r>
          </w:p>
        </w:tc>
        <w:tc>
          <w:tcPr>
            <w:tcW w:w="323" w:type="pct"/>
            <w:tcBorders>
              <w:top w:val="single" w:sz="4" w:space="0" w:color="auto"/>
              <w:left w:val="single" w:sz="4" w:space="0" w:color="auto"/>
              <w:bottom w:val="single" w:sz="4" w:space="0" w:color="auto"/>
              <w:right w:val="single" w:sz="4" w:space="0" w:color="auto"/>
            </w:tcBorders>
            <w:vAlign w:val="center"/>
          </w:tcPr>
          <w:p w14:paraId="18713436" w14:textId="77777777" w:rsidR="00821227" w:rsidRPr="00217865" w:rsidRDefault="00821227" w:rsidP="00E06AED">
            <w:pPr>
              <w:pStyle w:val="Z"/>
              <w:jc w:val="center"/>
              <w:rPr>
                <w:color w:val="000000" w:themeColor="text1"/>
                <w:szCs w:val="18"/>
                <w:highlight w:val="yellow"/>
              </w:rPr>
            </w:pPr>
            <w:r w:rsidRPr="00217865">
              <w:rPr>
                <w:color w:val="000000" w:themeColor="text1"/>
              </w:rPr>
              <w:t>63.0 (60.5, 65.5)</w:t>
            </w:r>
          </w:p>
        </w:tc>
        <w:tc>
          <w:tcPr>
            <w:tcW w:w="322" w:type="pct"/>
            <w:tcBorders>
              <w:top w:val="single" w:sz="4" w:space="0" w:color="auto"/>
              <w:left w:val="single" w:sz="4" w:space="0" w:color="auto"/>
              <w:bottom w:val="single" w:sz="4" w:space="0" w:color="auto"/>
              <w:right w:val="single" w:sz="4" w:space="0" w:color="auto"/>
            </w:tcBorders>
            <w:vAlign w:val="center"/>
          </w:tcPr>
          <w:p w14:paraId="49ECBE01" w14:textId="77777777" w:rsidR="00821227" w:rsidRPr="00217865" w:rsidRDefault="00821227" w:rsidP="00E06AED">
            <w:pPr>
              <w:pStyle w:val="Z"/>
              <w:jc w:val="center"/>
              <w:rPr>
                <w:color w:val="000000" w:themeColor="text1"/>
                <w:szCs w:val="18"/>
                <w:highlight w:val="yellow"/>
              </w:rPr>
            </w:pPr>
            <w:r w:rsidRPr="00217865">
              <w:rPr>
                <w:color w:val="000000" w:themeColor="text1"/>
              </w:rPr>
              <w:t>77.6 (75.4, 79.7)</w:t>
            </w:r>
          </w:p>
        </w:tc>
        <w:tc>
          <w:tcPr>
            <w:tcW w:w="323" w:type="pct"/>
            <w:tcBorders>
              <w:top w:val="single" w:sz="4" w:space="0" w:color="auto"/>
              <w:left w:val="single" w:sz="4" w:space="0" w:color="auto"/>
              <w:bottom w:val="single" w:sz="4" w:space="0" w:color="auto"/>
              <w:right w:val="single" w:sz="4" w:space="0" w:color="auto"/>
            </w:tcBorders>
            <w:vAlign w:val="center"/>
          </w:tcPr>
          <w:p w14:paraId="1A4203A8" w14:textId="77777777" w:rsidR="00821227" w:rsidRPr="00217865" w:rsidRDefault="00821227" w:rsidP="00E06AED">
            <w:pPr>
              <w:pStyle w:val="Z"/>
              <w:jc w:val="center"/>
              <w:rPr>
                <w:color w:val="000000" w:themeColor="text1"/>
                <w:szCs w:val="18"/>
                <w:highlight w:val="yellow"/>
              </w:rPr>
            </w:pPr>
            <w:r w:rsidRPr="00217865">
              <w:rPr>
                <w:color w:val="000000" w:themeColor="text1"/>
              </w:rPr>
              <w:t>80.1 (77.9, 82.1)</w:t>
            </w:r>
          </w:p>
        </w:tc>
        <w:tc>
          <w:tcPr>
            <w:tcW w:w="323" w:type="pct"/>
            <w:tcBorders>
              <w:top w:val="single" w:sz="4" w:space="0" w:color="auto"/>
              <w:left w:val="single" w:sz="4" w:space="0" w:color="auto"/>
              <w:bottom w:val="single" w:sz="4" w:space="0" w:color="auto"/>
              <w:right w:val="single" w:sz="4" w:space="0" w:color="auto"/>
            </w:tcBorders>
            <w:vAlign w:val="center"/>
          </w:tcPr>
          <w:p w14:paraId="71930EF5" w14:textId="77777777" w:rsidR="00821227" w:rsidRPr="00217865" w:rsidRDefault="00821227" w:rsidP="00E06AED">
            <w:pPr>
              <w:pStyle w:val="Z"/>
              <w:jc w:val="center"/>
              <w:rPr>
                <w:color w:val="000000" w:themeColor="text1"/>
                <w:szCs w:val="18"/>
                <w:highlight w:val="yellow"/>
              </w:rPr>
            </w:pPr>
            <w:r w:rsidRPr="00217865">
              <w:rPr>
                <w:color w:val="000000" w:themeColor="text1"/>
              </w:rPr>
              <w:t>73.8 (71.3, 76.1)</w:t>
            </w:r>
          </w:p>
        </w:tc>
        <w:tc>
          <w:tcPr>
            <w:tcW w:w="323" w:type="pct"/>
            <w:tcBorders>
              <w:top w:val="single" w:sz="4" w:space="0" w:color="auto"/>
              <w:left w:val="single" w:sz="4" w:space="0" w:color="auto"/>
              <w:bottom w:val="single" w:sz="4" w:space="0" w:color="auto"/>
              <w:right w:val="single" w:sz="4" w:space="0" w:color="auto"/>
            </w:tcBorders>
            <w:vAlign w:val="center"/>
          </w:tcPr>
          <w:p w14:paraId="31B1BF6C" w14:textId="77777777" w:rsidR="00821227" w:rsidRPr="00217865" w:rsidRDefault="00821227" w:rsidP="00E06AED">
            <w:pPr>
              <w:pStyle w:val="Z"/>
              <w:jc w:val="center"/>
              <w:rPr>
                <w:color w:val="000000" w:themeColor="text1"/>
                <w:szCs w:val="18"/>
                <w:highlight w:val="yellow"/>
              </w:rPr>
            </w:pPr>
            <w:r w:rsidRPr="00217865">
              <w:rPr>
                <w:color w:val="000000" w:themeColor="text1"/>
              </w:rPr>
              <w:t>79.3 (76.8, 81.5)</w:t>
            </w:r>
          </w:p>
        </w:tc>
        <w:tc>
          <w:tcPr>
            <w:tcW w:w="322" w:type="pct"/>
            <w:tcBorders>
              <w:top w:val="single" w:sz="4" w:space="0" w:color="auto"/>
              <w:left w:val="single" w:sz="4" w:space="0" w:color="auto"/>
              <w:bottom w:val="single" w:sz="4" w:space="0" w:color="auto"/>
              <w:right w:val="single" w:sz="4" w:space="0" w:color="auto"/>
            </w:tcBorders>
            <w:vAlign w:val="center"/>
          </w:tcPr>
          <w:p w14:paraId="0B0953CD" w14:textId="77777777" w:rsidR="00821227" w:rsidRPr="00217865" w:rsidRDefault="00821227" w:rsidP="00E06AED">
            <w:pPr>
              <w:pStyle w:val="Z"/>
              <w:jc w:val="center"/>
              <w:rPr>
                <w:color w:val="000000" w:themeColor="text1"/>
                <w:szCs w:val="18"/>
                <w:highlight w:val="yellow"/>
              </w:rPr>
            </w:pPr>
            <w:r w:rsidRPr="00217865">
              <w:rPr>
                <w:color w:val="000000" w:themeColor="text1"/>
              </w:rPr>
              <w:t>86.2 (84.2, 87.9)</w:t>
            </w:r>
          </w:p>
        </w:tc>
        <w:tc>
          <w:tcPr>
            <w:tcW w:w="323" w:type="pct"/>
            <w:tcBorders>
              <w:top w:val="single" w:sz="4" w:space="0" w:color="auto"/>
              <w:left w:val="single" w:sz="4" w:space="0" w:color="auto"/>
              <w:bottom w:val="single" w:sz="4" w:space="0" w:color="auto"/>
              <w:right w:val="single" w:sz="4" w:space="0" w:color="auto"/>
            </w:tcBorders>
            <w:vAlign w:val="center"/>
          </w:tcPr>
          <w:p w14:paraId="7FE09079" w14:textId="77777777" w:rsidR="00821227" w:rsidRPr="00217865" w:rsidRDefault="00821227" w:rsidP="00E06AED">
            <w:pPr>
              <w:pStyle w:val="Z"/>
              <w:jc w:val="center"/>
              <w:rPr>
                <w:color w:val="000000" w:themeColor="text1"/>
                <w:szCs w:val="18"/>
                <w:highlight w:val="yellow"/>
              </w:rPr>
            </w:pPr>
            <w:r w:rsidRPr="00217865">
              <w:rPr>
                <w:color w:val="000000" w:themeColor="text1"/>
              </w:rPr>
              <w:t>87.9 (86.0, 89.5)</w:t>
            </w:r>
          </w:p>
        </w:tc>
        <w:tc>
          <w:tcPr>
            <w:tcW w:w="323" w:type="pct"/>
            <w:tcBorders>
              <w:top w:val="single" w:sz="4" w:space="0" w:color="auto"/>
              <w:left w:val="single" w:sz="4" w:space="0" w:color="auto"/>
              <w:bottom w:val="single" w:sz="4" w:space="0" w:color="auto"/>
              <w:right w:val="single" w:sz="4" w:space="0" w:color="auto"/>
            </w:tcBorders>
            <w:vAlign w:val="center"/>
          </w:tcPr>
          <w:p w14:paraId="65136A37" w14:textId="77777777" w:rsidR="00821227" w:rsidRPr="00217865" w:rsidRDefault="00821227" w:rsidP="00E06AED">
            <w:pPr>
              <w:pStyle w:val="Z"/>
              <w:jc w:val="center"/>
              <w:rPr>
                <w:color w:val="000000" w:themeColor="text1"/>
                <w:szCs w:val="18"/>
                <w:highlight w:val="yellow"/>
              </w:rPr>
            </w:pPr>
            <w:r w:rsidRPr="00217865">
              <w:rPr>
                <w:color w:val="000000" w:themeColor="text1"/>
              </w:rPr>
              <w:t>71.1 (68.7, 73.3)</w:t>
            </w:r>
          </w:p>
        </w:tc>
        <w:tc>
          <w:tcPr>
            <w:tcW w:w="323" w:type="pct"/>
            <w:tcBorders>
              <w:top w:val="single" w:sz="4" w:space="0" w:color="auto"/>
              <w:left w:val="single" w:sz="4" w:space="0" w:color="auto"/>
              <w:bottom w:val="single" w:sz="4" w:space="0" w:color="auto"/>
              <w:right w:val="single" w:sz="4" w:space="0" w:color="auto"/>
            </w:tcBorders>
            <w:vAlign w:val="center"/>
          </w:tcPr>
          <w:p w14:paraId="34DEAE5A" w14:textId="77777777" w:rsidR="00821227" w:rsidRPr="00217865" w:rsidRDefault="00821227" w:rsidP="00E06AED">
            <w:pPr>
              <w:pStyle w:val="Z"/>
              <w:jc w:val="center"/>
              <w:rPr>
                <w:color w:val="000000" w:themeColor="text1"/>
                <w:szCs w:val="18"/>
                <w:highlight w:val="yellow"/>
              </w:rPr>
            </w:pPr>
            <w:r w:rsidRPr="00217865">
              <w:rPr>
                <w:color w:val="000000" w:themeColor="text1"/>
              </w:rPr>
              <w:t>73.0 (70.6, 75.2)</w:t>
            </w:r>
          </w:p>
        </w:tc>
      </w:tr>
      <w:tr w:rsidR="00217865" w:rsidRPr="00217865" w14:paraId="68C0D984"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536B2CD" w14:textId="77777777" w:rsidR="00821227" w:rsidRPr="00217865" w:rsidRDefault="00821227" w:rsidP="002611FF">
            <w:pPr>
              <w:pStyle w:val="Z"/>
              <w:rPr>
                <w:color w:val="000000" w:themeColor="text1"/>
                <w:szCs w:val="18"/>
                <w:highlight w:val="yellow"/>
              </w:rPr>
            </w:pPr>
            <w:r w:rsidRPr="00217865">
              <w:rPr>
                <w:color w:val="000000" w:themeColor="text1"/>
              </w:rPr>
              <w:t>The University of Sydney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E762442" w14:textId="77777777" w:rsidR="00821227" w:rsidRPr="00217865" w:rsidRDefault="00821227" w:rsidP="00E06AED">
            <w:pPr>
              <w:pStyle w:val="Z"/>
              <w:jc w:val="center"/>
              <w:rPr>
                <w:color w:val="000000" w:themeColor="text1"/>
                <w:szCs w:val="18"/>
                <w:highlight w:val="yellow"/>
              </w:rPr>
            </w:pPr>
            <w:r w:rsidRPr="00217865">
              <w:rPr>
                <w:color w:val="000000" w:themeColor="text1"/>
              </w:rPr>
              <w:t>78.1 (76.1, 79.9)</w:t>
            </w:r>
          </w:p>
        </w:tc>
        <w:tc>
          <w:tcPr>
            <w:tcW w:w="323" w:type="pct"/>
            <w:tcBorders>
              <w:top w:val="single" w:sz="4" w:space="0" w:color="auto"/>
              <w:left w:val="single" w:sz="4" w:space="0" w:color="auto"/>
              <w:bottom w:val="single" w:sz="4" w:space="0" w:color="auto"/>
              <w:right w:val="single" w:sz="4" w:space="0" w:color="auto"/>
            </w:tcBorders>
            <w:vAlign w:val="center"/>
          </w:tcPr>
          <w:p w14:paraId="4559E43F" w14:textId="77777777" w:rsidR="00821227" w:rsidRPr="00217865" w:rsidRDefault="00821227" w:rsidP="00E06AED">
            <w:pPr>
              <w:pStyle w:val="Z"/>
              <w:jc w:val="center"/>
              <w:rPr>
                <w:color w:val="000000" w:themeColor="text1"/>
                <w:szCs w:val="18"/>
                <w:highlight w:val="yellow"/>
              </w:rPr>
            </w:pPr>
            <w:r w:rsidRPr="00217865">
              <w:rPr>
                <w:color w:val="000000" w:themeColor="text1"/>
              </w:rPr>
              <w:t>79.6 (77.8, 81.3)</w:t>
            </w:r>
          </w:p>
        </w:tc>
        <w:tc>
          <w:tcPr>
            <w:tcW w:w="323" w:type="pct"/>
            <w:tcBorders>
              <w:top w:val="single" w:sz="4" w:space="0" w:color="auto"/>
              <w:left w:val="single" w:sz="4" w:space="0" w:color="auto"/>
              <w:bottom w:val="single" w:sz="4" w:space="0" w:color="auto"/>
              <w:right w:val="single" w:sz="4" w:space="0" w:color="auto"/>
            </w:tcBorders>
            <w:vAlign w:val="center"/>
          </w:tcPr>
          <w:p w14:paraId="249630DC" w14:textId="77777777" w:rsidR="00821227" w:rsidRPr="00217865" w:rsidRDefault="00821227" w:rsidP="00E06AED">
            <w:pPr>
              <w:pStyle w:val="Z"/>
              <w:jc w:val="center"/>
              <w:rPr>
                <w:color w:val="000000" w:themeColor="text1"/>
                <w:szCs w:val="18"/>
                <w:highlight w:val="yellow"/>
              </w:rPr>
            </w:pPr>
            <w:r w:rsidRPr="00217865">
              <w:rPr>
                <w:color w:val="000000" w:themeColor="text1"/>
              </w:rPr>
              <w:t>56.3 (54.1, 58.4)</w:t>
            </w:r>
          </w:p>
        </w:tc>
        <w:tc>
          <w:tcPr>
            <w:tcW w:w="323" w:type="pct"/>
            <w:tcBorders>
              <w:top w:val="single" w:sz="4" w:space="0" w:color="auto"/>
              <w:left w:val="single" w:sz="4" w:space="0" w:color="auto"/>
              <w:bottom w:val="single" w:sz="4" w:space="0" w:color="auto"/>
              <w:right w:val="single" w:sz="4" w:space="0" w:color="auto"/>
            </w:tcBorders>
            <w:vAlign w:val="center"/>
          </w:tcPr>
          <w:p w14:paraId="30DD37F2" w14:textId="77777777" w:rsidR="00821227" w:rsidRPr="00217865" w:rsidRDefault="00821227" w:rsidP="00E06AED">
            <w:pPr>
              <w:pStyle w:val="Z"/>
              <w:jc w:val="center"/>
              <w:rPr>
                <w:color w:val="000000" w:themeColor="text1"/>
                <w:szCs w:val="18"/>
                <w:highlight w:val="yellow"/>
              </w:rPr>
            </w:pPr>
            <w:r w:rsidRPr="00217865">
              <w:rPr>
                <w:color w:val="000000" w:themeColor="text1"/>
              </w:rPr>
              <w:t>65.8 (63.7, 67.7)</w:t>
            </w:r>
          </w:p>
        </w:tc>
        <w:tc>
          <w:tcPr>
            <w:tcW w:w="322" w:type="pct"/>
            <w:tcBorders>
              <w:top w:val="single" w:sz="4" w:space="0" w:color="auto"/>
              <w:left w:val="single" w:sz="4" w:space="0" w:color="auto"/>
              <w:bottom w:val="single" w:sz="4" w:space="0" w:color="auto"/>
              <w:right w:val="single" w:sz="4" w:space="0" w:color="auto"/>
            </w:tcBorders>
            <w:vAlign w:val="center"/>
          </w:tcPr>
          <w:p w14:paraId="31B81874" w14:textId="77777777" w:rsidR="00821227" w:rsidRPr="00217865" w:rsidRDefault="00821227" w:rsidP="00E06AED">
            <w:pPr>
              <w:pStyle w:val="Z"/>
              <w:jc w:val="center"/>
              <w:rPr>
                <w:color w:val="000000" w:themeColor="text1"/>
                <w:szCs w:val="18"/>
                <w:highlight w:val="yellow"/>
              </w:rPr>
            </w:pPr>
            <w:r w:rsidRPr="00217865">
              <w:rPr>
                <w:color w:val="000000" w:themeColor="text1"/>
              </w:rPr>
              <w:t>71.2 (69.1, 73.1)</w:t>
            </w:r>
          </w:p>
        </w:tc>
        <w:tc>
          <w:tcPr>
            <w:tcW w:w="323" w:type="pct"/>
            <w:tcBorders>
              <w:top w:val="single" w:sz="4" w:space="0" w:color="auto"/>
              <w:left w:val="single" w:sz="4" w:space="0" w:color="auto"/>
              <w:bottom w:val="single" w:sz="4" w:space="0" w:color="auto"/>
              <w:right w:val="single" w:sz="4" w:space="0" w:color="auto"/>
            </w:tcBorders>
            <w:vAlign w:val="center"/>
          </w:tcPr>
          <w:p w14:paraId="7E8EF64D" w14:textId="77777777" w:rsidR="00821227" w:rsidRPr="00217865" w:rsidRDefault="00821227" w:rsidP="00E06AED">
            <w:pPr>
              <w:pStyle w:val="Z"/>
              <w:jc w:val="center"/>
              <w:rPr>
                <w:color w:val="000000" w:themeColor="text1"/>
                <w:szCs w:val="18"/>
                <w:highlight w:val="yellow"/>
              </w:rPr>
            </w:pPr>
            <w:r w:rsidRPr="00217865">
              <w:rPr>
                <w:color w:val="000000" w:themeColor="text1"/>
              </w:rPr>
              <w:t>75.6 (73.8, 77.4)</w:t>
            </w:r>
          </w:p>
        </w:tc>
        <w:tc>
          <w:tcPr>
            <w:tcW w:w="323" w:type="pct"/>
            <w:tcBorders>
              <w:top w:val="single" w:sz="4" w:space="0" w:color="auto"/>
              <w:left w:val="single" w:sz="4" w:space="0" w:color="auto"/>
              <w:bottom w:val="single" w:sz="4" w:space="0" w:color="auto"/>
              <w:right w:val="single" w:sz="4" w:space="0" w:color="auto"/>
            </w:tcBorders>
            <w:vAlign w:val="center"/>
          </w:tcPr>
          <w:p w14:paraId="4D8BD1D9" w14:textId="77777777" w:rsidR="00821227" w:rsidRPr="00217865" w:rsidRDefault="00821227" w:rsidP="00E06AED">
            <w:pPr>
              <w:pStyle w:val="Z"/>
              <w:jc w:val="center"/>
              <w:rPr>
                <w:color w:val="000000" w:themeColor="text1"/>
                <w:szCs w:val="18"/>
                <w:highlight w:val="yellow"/>
              </w:rPr>
            </w:pPr>
            <w:r w:rsidRPr="00217865">
              <w:rPr>
                <w:color w:val="000000" w:themeColor="text1"/>
              </w:rPr>
              <w:t>55.1 (52.7, 57.5)</w:t>
            </w:r>
          </w:p>
        </w:tc>
        <w:tc>
          <w:tcPr>
            <w:tcW w:w="323" w:type="pct"/>
            <w:tcBorders>
              <w:top w:val="single" w:sz="4" w:space="0" w:color="auto"/>
              <w:left w:val="single" w:sz="4" w:space="0" w:color="auto"/>
              <w:bottom w:val="single" w:sz="4" w:space="0" w:color="auto"/>
              <w:right w:val="single" w:sz="4" w:space="0" w:color="auto"/>
            </w:tcBorders>
            <w:vAlign w:val="center"/>
          </w:tcPr>
          <w:p w14:paraId="07FE3EA3" w14:textId="77777777" w:rsidR="00821227" w:rsidRPr="00217865" w:rsidRDefault="00821227" w:rsidP="00E06AED">
            <w:pPr>
              <w:pStyle w:val="Z"/>
              <w:jc w:val="center"/>
              <w:rPr>
                <w:color w:val="000000" w:themeColor="text1"/>
                <w:szCs w:val="18"/>
                <w:highlight w:val="yellow"/>
              </w:rPr>
            </w:pPr>
            <w:r w:rsidRPr="00217865">
              <w:rPr>
                <w:color w:val="000000" w:themeColor="text1"/>
              </w:rPr>
              <w:t>64.7 (62.5, 66.9)</w:t>
            </w:r>
          </w:p>
        </w:tc>
        <w:tc>
          <w:tcPr>
            <w:tcW w:w="322" w:type="pct"/>
            <w:tcBorders>
              <w:top w:val="single" w:sz="4" w:space="0" w:color="auto"/>
              <w:left w:val="single" w:sz="4" w:space="0" w:color="auto"/>
              <w:bottom w:val="single" w:sz="4" w:space="0" w:color="auto"/>
              <w:right w:val="single" w:sz="4" w:space="0" w:color="auto"/>
            </w:tcBorders>
            <w:vAlign w:val="center"/>
          </w:tcPr>
          <w:p w14:paraId="3FB5ADA9" w14:textId="77777777" w:rsidR="00821227" w:rsidRPr="00217865" w:rsidRDefault="00821227" w:rsidP="00E06AED">
            <w:pPr>
              <w:pStyle w:val="Z"/>
              <w:jc w:val="center"/>
              <w:rPr>
                <w:color w:val="000000" w:themeColor="text1"/>
                <w:szCs w:val="18"/>
                <w:highlight w:val="yellow"/>
              </w:rPr>
            </w:pPr>
            <w:r w:rsidRPr="00217865">
              <w:rPr>
                <w:color w:val="000000" w:themeColor="text1"/>
              </w:rPr>
              <w:t>80.4 (78.5, 82.1)</w:t>
            </w:r>
          </w:p>
        </w:tc>
        <w:tc>
          <w:tcPr>
            <w:tcW w:w="323" w:type="pct"/>
            <w:tcBorders>
              <w:top w:val="single" w:sz="4" w:space="0" w:color="auto"/>
              <w:left w:val="single" w:sz="4" w:space="0" w:color="auto"/>
              <w:bottom w:val="single" w:sz="4" w:space="0" w:color="auto"/>
              <w:right w:val="single" w:sz="4" w:space="0" w:color="auto"/>
            </w:tcBorders>
            <w:vAlign w:val="center"/>
          </w:tcPr>
          <w:p w14:paraId="37D3F9F2" w14:textId="77777777" w:rsidR="00821227" w:rsidRPr="00217865" w:rsidRDefault="00821227" w:rsidP="00E06AED">
            <w:pPr>
              <w:pStyle w:val="Z"/>
              <w:jc w:val="center"/>
              <w:rPr>
                <w:color w:val="000000" w:themeColor="text1"/>
                <w:szCs w:val="18"/>
                <w:highlight w:val="yellow"/>
              </w:rPr>
            </w:pPr>
            <w:r w:rsidRPr="00217865">
              <w:rPr>
                <w:color w:val="000000" w:themeColor="text1"/>
              </w:rPr>
              <w:t>81.5 (79.7, 83.1)</w:t>
            </w:r>
          </w:p>
        </w:tc>
        <w:tc>
          <w:tcPr>
            <w:tcW w:w="323" w:type="pct"/>
            <w:tcBorders>
              <w:top w:val="single" w:sz="4" w:space="0" w:color="auto"/>
              <w:left w:val="single" w:sz="4" w:space="0" w:color="auto"/>
              <w:bottom w:val="single" w:sz="4" w:space="0" w:color="auto"/>
              <w:right w:val="single" w:sz="4" w:space="0" w:color="auto"/>
            </w:tcBorders>
            <w:vAlign w:val="center"/>
          </w:tcPr>
          <w:p w14:paraId="5A2892AD" w14:textId="77777777" w:rsidR="00821227" w:rsidRPr="00217865" w:rsidRDefault="00821227" w:rsidP="00E06AED">
            <w:pPr>
              <w:pStyle w:val="Z"/>
              <w:jc w:val="center"/>
              <w:rPr>
                <w:color w:val="000000" w:themeColor="text1"/>
                <w:szCs w:val="18"/>
                <w:highlight w:val="yellow"/>
              </w:rPr>
            </w:pPr>
            <w:r w:rsidRPr="00217865">
              <w:rPr>
                <w:color w:val="000000" w:themeColor="text1"/>
              </w:rPr>
              <w:t>62.2 (60.1, 64.3)</w:t>
            </w:r>
          </w:p>
        </w:tc>
        <w:tc>
          <w:tcPr>
            <w:tcW w:w="323" w:type="pct"/>
            <w:tcBorders>
              <w:top w:val="single" w:sz="4" w:space="0" w:color="auto"/>
              <w:left w:val="single" w:sz="4" w:space="0" w:color="auto"/>
              <w:bottom w:val="single" w:sz="4" w:space="0" w:color="auto"/>
              <w:right w:val="single" w:sz="4" w:space="0" w:color="auto"/>
            </w:tcBorders>
            <w:vAlign w:val="center"/>
          </w:tcPr>
          <w:p w14:paraId="618FE7EA" w14:textId="77777777" w:rsidR="00821227" w:rsidRPr="00217865" w:rsidRDefault="00821227" w:rsidP="00E06AED">
            <w:pPr>
              <w:pStyle w:val="Z"/>
              <w:jc w:val="center"/>
              <w:rPr>
                <w:color w:val="000000" w:themeColor="text1"/>
                <w:szCs w:val="18"/>
                <w:highlight w:val="yellow"/>
              </w:rPr>
            </w:pPr>
            <w:r w:rsidRPr="00217865">
              <w:rPr>
                <w:color w:val="000000" w:themeColor="text1"/>
              </w:rPr>
              <w:t>67.5 (65.5, 69.5)</w:t>
            </w:r>
          </w:p>
        </w:tc>
      </w:tr>
      <w:tr w:rsidR="00217865" w:rsidRPr="00217865" w14:paraId="524AF230"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965912B" w14:textId="77777777" w:rsidR="00821227" w:rsidRPr="00217865" w:rsidRDefault="00821227" w:rsidP="002611FF">
            <w:pPr>
              <w:pStyle w:val="Z"/>
              <w:rPr>
                <w:color w:val="000000" w:themeColor="text1"/>
                <w:szCs w:val="18"/>
                <w:highlight w:val="yellow"/>
              </w:rPr>
            </w:pPr>
            <w:r w:rsidRPr="00217865">
              <w:rPr>
                <w:color w:val="000000" w:themeColor="text1"/>
              </w:rPr>
              <w:t>The University of Western Australia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87EEDE5" w14:textId="77777777" w:rsidR="00821227" w:rsidRPr="00217865" w:rsidRDefault="00821227" w:rsidP="00E06AED">
            <w:pPr>
              <w:pStyle w:val="Z"/>
              <w:jc w:val="center"/>
              <w:rPr>
                <w:color w:val="000000" w:themeColor="text1"/>
                <w:szCs w:val="18"/>
                <w:highlight w:val="yellow"/>
              </w:rPr>
            </w:pPr>
            <w:r w:rsidRPr="00217865">
              <w:rPr>
                <w:color w:val="000000" w:themeColor="text1"/>
              </w:rPr>
              <w:t>82.9 (80.6, 84.8)</w:t>
            </w:r>
          </w:p>
        </w:tc>
        <w:tc>
          <w:tcPr>
            <w:tcW w:w="323" w:type="pct"/>
            <w:tcBorders>
              <w:top w:val="single" w:sz="4" w:space="0" w:color="auto"/>
              <w:left w:val="single" w:sz="4" w:space="0" w:color="auto"/>
              <w:bottom w:val="single" w:sz="4" w:space="0" w:color="auto"/>
              <w:right w:val="single" w:sz="4" w:space="0" w:color="auto"/>
            </w:tcBorders>
            <w:vAlign w:val="center"/>
          </w:tcPr>
          <w:p w14:paraId="18794AC7" w14:textId="77777777" w:rsidR="00821227" w:rsidRPr="00217865" w:rsidRDefault="00821227" w:rsidP="00E06AED">
            <w:pPr>
              <w:pStyle w:val="Z"/>
              <w:jc w:val="center"/>
              <w:rPr>
                <w:color w:val="000000" w:themeColor="text1"/>
                <w:szCs w:val="18"/>
                <w:highlight w:val="yellow"/>
              </w:rPr>
            </w:pPr>
            <w:r w:rsidRPr="00217865">
              <w:rPr>
                <w:color w:val="000000" w:themeColor="text1"/>
              </w:rPr>
              <w:t>82.4 (80.4, 84.1)</w:t>
            </w:r>
          </w:p>
        </w:tc>
        <w:tc>
          <w:tcPr>
            <w:tcW w:w="323" w:type="pct"/>
            <w:tcBorders>
              <w:top w:val="single" w:sz="4" w:space="0" w:color="auto"/>
              <w:left w:val="single" w:sz="4" w:space="0" w:color="auto"/>
              <w:bottom w:val="single" w:sz="4" w:space="0" w:color="auto"/>
              <w:right w:val="single" w:sz="4" w:space="0" w:color="auto"/>
            </w:tcBorders>
            <w:vAlign w:val="center"/>
          </w:tcPr>
          <w:p w14:paraId="00366CF1" w14:textId="77777777" w:rsidR="00821227" w:rsidRPr="00217865" w:rsidRDefault="00821227" w:rsidP="00E06AED">
            <w:pPr>
              <w:pStyle w:val="Z"/>
              <w:jc w:val="center"/>
              <w:rPr>
                <w:color w:val="000000" w:themeColor="text1"/>
                <w:szCs w:val="18"/>
                <w:highlight w:val="yellow"/>
              </w:rPr>
            </w:pPr>
            <w:r w:rsidRPr="00217865">
              <w:rPr>
                <w:color w:val="000000" w:themeColor="text1"/>
              </w:rPr>
              <w:t>61.0 (58.3, 63.7)</w:t>
            </w:r>
          </w:p>
        </w:tc>
        <w:tc>
          <w:tcPr>
            <w:tcW w:w="323" w:type="pct"/>
            <w:tcBorders>
              <w:top w:val="single" w:sz="4" w:space="0" w:color="auto"/>
              <w:left w:val="single" w:sz="4" w:space="0" w:color="auto"/>
              <w:bottom w:val="single" w:sz="4" w:space="0" w:color="auto"/>
              <w:right w:val="single" w:sz="4" w:space="0" w:color="auto"/>
            </w:tcBorders>
            <w:vAlign w:val="center"/>
          </w:tcPr>
          <w:p w14:paraId="42FE1951" w14:textId="77777777" w:rsidR="00821227" w:rsidRPr="00217865" w:rsidRDefault="00821227" w:rsidP="00E06AED">
            <w:pPr>
              <w:pStyle w:val="Z"/>
              <w:jc w:val="center"/>
              <w:rPr>
                <w:color w:val="000000" w:themeColor="text1"/>
                <w:szCs w:val="18"/>
                <w:highlight w:val="yellow"/>
              </w:rPr>
            </w:pPr>
            <w:r w:rsidRPr="00217865">
              <w:rPr>
                <w:color w:val="000000" w:themeColor="text1"/>
              </w:rPr>
              <w:t>68.2 (65.9, 70.4)</w:t>
            </w:r>
          </w:p>
        </w:tc>
        <w:tc>
          <w:tcPr>
            <w:tcW w:w="322" w:type="pct"/>
            <w:tcBorders>
              <w:top w:val="single" w:sz="4" w:space="0" w:color="auto"/>
              <w:left w:val="single" w:sz="4" w:space="0" w:color="auto"/>
              <w:bottom w:val="single" w:sz="4" w:space="0" w:color="auto"/>
              <w:right w:val="single" w:sz="4" w:space="0" w:color="auto"/>
            </w:tcBorders>
            <w:vAlign w:val="center"/>
          </w:tcPr>
          <w:p w14:paraId="291E0202" w14:textId="77777777" w:rsidR="00821227" w:rsidRPr="00217865" w:rsidRDefault="00821227" w:rsidP="00E06AED">
            <w:pPr>
              <w:pStyle w:val="Z"/>
              <w:jc w:val="center"/>
              <w:rPr>
                <w:color w:val="000000" w:themeColor="text1"/>
                <w:szCs w:val="18"/>
                <w:highlight w:val="yellow"/>
              </w:rPr>
            </w:pPr>
            <w:r w:rsidRPr="00217865">
              <w:rPr>
                <w:color w:val="000000" w:themeColor="text1"/>
              </w:rPr>
              <w:t>86.8 (84.7, 88.5)</w:t>
            </w:r>
          </w:p>
        </w:tc>
        <w:tc>
          <w:tcPr>
            <w:tcW w:w="323" w:type="pct"/>
            <w:tcBorders>
              <w:top w:val="single" w:sz="4" w:space="0" w:color="auto"/>
              <w:left w:val="single" w:sz="4" w:space="0" w:color="auto"/>
              <w:bottom w:val="single" w:sz="4" w:space="0" w:color="auto"/>
              <w:right w:val="single" w:sz="4" w:space="0" w:color="auto"/>
            </w:tcBorders>
            <w:vAlign w:val="center"/>
          </w:tcPr>
          <w:p w14:paraId="7F3FD6D2" w14:textId="77777777" w:rsidR="00821227" w:rsidRPr="00217865" w:rsidRDefault="00821227" w:rsidP="00E06AED">
            <w:pPr>
              <w:pStyle w:val="Z"/>
              <w:jc w:val="center"/>
              <w:rPr>
                <w:color w:val="000000" w:themeColor="text1"/>
                <w:szCs w:val="18"/>
                <w:highlight w:val="yellow"/>
              </w:rPr>
            </w:pPr>
            <w:r w:rsidRPr="00217865">
              <w:rPr>
                <w:color w:val="000000" w:themeColor="text1"/>
              </w:rPr>
              <w:t>81.7 (79.6, 83.4)</w:t>
            </w:r>
          </w:p>
        </w:tc>
        <w:tc>
          <w:tcPr>
            <w:tcW w:w="323" w:type="pct"/>
            <w:tcBorders>
              <w:top w:val="single" w:sz="4" w:space="0" w:color="auto"/>
              <w:left w:val="single" w:sz="4" w:space="0" w:color="auto"/>
              <w:bottom w:val="single" w:sz="4" w:space="0" w:color="auto"/>
              <w:right w:val="single" w:sz="4" w:space="0" w:color="auto"/>
            </w:tcBorders>
            <w:vAlign w:val="center"/>
          </w:tcPr>
          <w:p w14:paraId="4F213D29" w14:textId="77777777" w:rsidR="00821227" w:rsidRPr="00217865" w:rsidRDefault="00821227" w:rsidP="00E06AED">
            <w:pPr>
              <w:pStyle w:val="Z"/>
              <w:jc w:val="center"/>
              <w:rPr>
                <w:color w:val="000000" w:themeColor="text1"/>
                <w:szCs w:val="18"/>
                <w:highlight w:val="yellow"/>
              </w:rPr>
            </w:pPr>
            <w:r w:rsidRPr="00217865">
              <w:rPr>
                <w:color w:val="000000" w:themeColor="text1"/>
              </w:rPr>
              <w:t>80.6 (78.1, 82.8)</w:t>
            </w:r>
          </w:p>
        </w:tc>
        <w:tc>
          <w:tcPr>
            <w:tcW w:w="323" w:type="pct"/>
            <w:tcBorders>
              <w:top w:val="single" w:sz="4" w:space="0" w:color="auto"/>
              <w:left w:val="single" w:sz="4" w:space="0" w:color="auto"/>
              <w:bottom w:val="single" w:sz="4" w:space="0" w:color="auto"/>
              <w:right w:val="single" w:sz="4" w:space="0" w:color="auto"/>
            </w:tcBorders>
            <w:vAlign w:val="center"/>
          </w:tcPr>
          <w:p w14:paraId="493425EF" w14:textId="77777777" w:rsidR="00821227" w:rsidRPr="00217865" w:rsidRDefault="00821227" w:rsidP="00E06AED">
            <w:pPr>
              <w:pStyle w:val="Z"/>
              <w:jc w:val="center"/>
              <w:rPr>
                <w:color w:val="000000" w:themeColor="text1"/>
                <w:szCs w:val="18"/>
                <w:highlight w:val="yellow"/>
              </w:rPr>
            </w:pPr>
            <w:r w:rsidRPr="00217865">
              <w:rPr>
                <w:color w:val="000000" w:themeColor="text1"/>
              </w:rPr>
              <w:t>77.2 (74.8, 79.5)</w:t>
            </w:r>
          </w:p>
        </w:tc>
        <w:tc>
          <w:tcPr>
            <w:tcW w:w="322" w:type="pct"/>
            <w:tcBorders>
              <w:top w:val="single" w:sz="4" w:space="0" w:color="auto"/>
              <w:left w:val="single" w:sz="4" w:space="0" w:color="auto"/>
              <w:bottom w:val="single" w:sz="4" w:space="0" w:color="auto"/>
              <w:right w:val="single" w:sz="4" w:space="0" w:color="auto"/>
            </w:tcBorders>
            <w:vAlign w:val="center"/>
          </w:tcPr>
          <w:p w14:paraId="70A02C12" w14:textId="77777777" w:rsidR="00821227" w:rsidRPr="00217865" w:rsidRDefault="00821227" w:rsidP="00E06AED">
            <w:pPr>
              <w:pStyle w:val="Z"/>
              <w:jc w:val="center"/>
              <w:rPr>
                <w:color w:val="000000" w:themeColor="text1"/>
                <w:szCs w:val="18"/>
                <w:highlight w:val="yellow"/>
              </w:rPr>
            </w:pPr>
            <w:r w:rsidRPr="00217865">
              <w:rPr>
                <w:color w:val="000000" w:themeColor="text1"/>
              </w:rPr>
              <w:t>90.8 (88.9, 92.3)</w:t>
            </w:r>
          </w:p>
        </w:tc>
        <w:tc>
          <w:tcPr>
            <w:tcW w:w="323" w:type="pct"/>
            <w:tcBorders>
              <w:top w:val="single" w:sz="4" w:space="0" w:color="auto"/>
              <w:left w:val="single" w:sz="4" w:space="0" w:color="auto"/>
              <w:bottom w:val="single" w:sz="4" w:space="0" w:color="auto"/>
              <w:right w:val="single" w:sz="4" w:space="0" w:color="auto"/>
            </w:tcBorders>
            <w:vAlign w:val="center"/>
          </w:tcPr>
          <w:p w14:paraId="4BC79E1B" w14:textId="77777777" w:rsidR="00821227" w:rsidRPr="00217865" w:rsidRDefault="00821227" w:rsidP="00E06AED">
            <w:pPr>
              <w:pStyle w:val="Z"/>
              <w:jc w:val="center"/>
              <w:rPr>
                <w:color w:val="000000" w:themeColor="text1"/>
                <w:szCs w:val="18"/>
                <w:highlight w:val="yellow"/>
              </w:rPr>
            </w:pPr>
            <w:r w:rsidRPr="00217865">
              <w:rPr>
                <w:color w:val="000000" w:themeColor="text1"/>
              </w:rPr>
              <w:t>87.2 (85.4, 88.7)</w:t>
            </w:r>
          </w:p>
        </w:tc>
        <w:tc>
          <w:tcPr>
            <w:tcW w:w="323" w:type="pct"/>
            <w:tcBorders>
              <w:top w:val="single" w:sz="4" w:space="0" w:color="auto"/>
              <w:left w:val="single" w:sz="4" w:space="0" w:color="auto"/>
              <w:bottom w:val="single" w:sz="4" w:space="0" w:color="auto"/>
              <w:right w:val="single" w:sz="4" w:space="0" w:color="auto"/>
            </w:tcBorders>
            <w:vAlign w:val="center"/>
          </w:tcPr>
          <w:p w14:paraId="44095D7B" w14:textId="77777777" w:rsidR="00821227" w:rsidRPr="00217865" w:rsidRDefault="00821227" w:rsidP="00E06AED">
            <w:pPr>
              <w:pStyle w:val="Z"/>
              <w:jc w:val="center"/>
              <w:rPr>
                <w:color w:val="000000" w:themeColor="text1"/>
                <w:szCs w:val="18"/>
                <w:highlight w:val="yellow"/>
              </w:rPr>
            </w:pPr>
            <w:r w:rsidRPr="00217865">
              <w:rPr>
                <w:color w:val="000000" w:themeColor="text1"/>
              </w:rPr>
              <w:t>81.2 (78.8, 83.2)</w:t>
            </w:r>
          </w:p>
        </w:tc>
        <w:tc>
          <w:tcPr>
            <w:tcW w:w="323" w:type="pct"/>
            <w:tcBorders>
              <w:top w:val="single" w:sz="4" w:space="0" w:color="auto"/>
              <w:left w:val="single" w:sz="4" w:space="0" w:color="auto"/>
              <w:bottom w:val="single" w:sz="4" w:space="0" w:color="auto"/>
              <w:right w:val="single" w:sz="4" w:space="0" w:color="auto"/>
            </w:tcBorders>
            <w:vAlign w:val="center"/>
          </w:tcPr>
          <w:p w14:paraId="36541233" w14:textId="77777777" w:rsidR="00821227" w:rsidRPr="00217865" w:rsidRDefault="00821227" w:rsidP="00E06AED">
            <w:pPr>
              <w:pStyle w:val="Z"/>
              <w:jc w:val="center"/>
              <w:rPr>
                <w:color w:val="000000" w:themeColor="text1"/>
                <w:szCs w:val="18"/>
                <w:highlight w:val="yellow"/>
              </w:rPr>
            </w:pPr>
            <w:r w:rsidRPr="00217865">
              <w:rPr>
                <w:color w:val="000000" w:themeColor="text1"/>
              </w:rPr>
              <w:t>76.6 (74.5, 78.6)</w:t>
            </w:r>
          </w:p>
        </w:tc>
      </w:tr>
      <w:tr w:rsidR="00217865" w:rsidRPr="00217865" w14:paraId="321E2F47"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039F61A" w14:textId="77777777" w:rsidR="00821227" w:rsidRPr="00217865" w:rsidRDefault="00821227" w:rsidP="002611FF">
            <w:pPr>
              <w:pStyle w:val="Z"/>
              <w:rPr>
                <w:color w:val="000000" w:themeColor="text1"/>
                <w:szCs w:val="18"/>
                <w:highlight w:val="yellow"/>
              </w:rPr>
            </w:pPr>
            <w:r w:rsidRPr="00217865">
              <w:rPr>
                <w:color w:val="000000" w:themeColor="text1"/>
              </w:rPr>
              <w:t>Torrens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A3150A" w14:textId="77777777" w:rsidR="00821227" w:rsidRPr="00217865" w:rsidRDefault="00821227" w:rsidP="00E06AED">
            <w:pPr>
              <w:pStyle w:val="Z"/>
              <w:jc w:val="center"/>
              <w:rPr>
                <w:color w:val="000000" w:themeColor="text1"/>
                <w:szCs w:val="18"/>
                <w:highlight w:val="yellow"/>
              </w:rPr>
            </w:pPr>
            <w:r w:rsidRPr="00217865">
              <w:rPr>
                <w:color w:val="000000" w:themeColor="text1"/>
              </w:rPr>
              <w:t>84.0 (81.8, 85.8)</w:t>
            </w:r>
          </w:p>
        </w:tc>
        <w:tc>
          <w:tcPr>
            <w:tcW w:w="323" w:type="pct"/>
            <w:tcBorders>
              <w:top w:val="single" w:sz="4" w:space="0" w:color="auto"/>
              <w:left w:val="single" w:sz="4" w:space="0" w:color="auto"/>
              <w:bottom w:val="single" w:sz="4" w:space="0" w:color="auto"/>
              <w:right w:val="single" w:sz="4" w:space="0" w:color="auto"/>
            </w:tcBorders>
            <w:vAlign w:val="center"/>
          </w:tcPr>
          <w:p w14:paraId="0D6B196C" w14:textId="77777777" w:rsidR="00821227" w:rsidRPr="00217865" w:rsidRDefault="00821227" w:rsidP="00E06AED">
            <w:pPr>
              <w:pStyle w:val="Z"/>
              <w:jc w:val="center"/>
              <w:rPr>
                <w:color w:val="000000" w:themeColor="text1"/>
                <w:szCs w:val="18"/>
                <w:highlight w:val="yellow"/>
              </w:rPr>
            </w:pPr>
            <w:r w:rsidRPr="00217865">
              <w:rPr>
                <w:color w:val="000000" w:themeColor="text1"/>
              </w:rPr>
              <w:t>84.4 (82.2, 86.2)</w:t>
            </w:r>
          </w:p>
        </w:tc>
        <w:tc>
          <w:tcPr>
            <w:tcW w:w="323" w:type="pct"/>
            <w:tcBorders>
              <w:top w:val="single" w:sz="4" w:space="0" w:color="auto"/>
              <w:left w:val="single" w:sz="4" w:space="0" w:color="auto"/>
              <w:bottom w:val="single" w:sz="4" w:space="0" w:color="auto"/>
              <w:right w:val="single" w:sz="4" w:space="0" w:color="auto"/>
            </w:tcBorders>
            <w:vAlign w:val="center"/>
          </w:tcPr>
          <w:p w14:paraId="60BAF037" w14:textId="77777777" w:rsidR="00821227" w:rsidRPr="00217865" w:rsidRDefault="00821227" w:rsidP="00E06AED">
            <w:pPr>
              <w:pStyle w:val="Z"/>
              <w:jc w:val="center"/>
              <w:rPr>
                <w:color w:val="000000" w:themeColor="text1"/>
                <w:szCs w:val="18"/>
                <w:highlight w:val="yellow"/>
              </w:rPr>
            </w:pPr>
            <w:r w:rsidRPr="00217865">
              <w:rPr>
                <w:color w:val="000000" w:themeColor="text1"/>
              </w:rPr>
              <w:t>59.3 (56.7, 61.8)</w:t>
            </w:r>
          </w:p>
        </w:tc>
        <w:tc>
          <w:tcPr>
            <w:tcW w:w="323" w:type="pct"/>
            <w:tcBorders>
              <w:top w:val="single" w:sz="4" w:space="0" w:color="auto"/>
              <w:left w:val="single" w:sz="4" w:space="0" w:color="auto"/>
              <w:bottom w:val="single" w:sz="4" w:space="0" w:color="auto"/>
              <w:right w:val="single" w:sz="4" w:space="0" w:color="auto"/>
            </w:tcBorders>
            <w:vAlign w:val="center"/>
          </w:tcPr>
          <w:p w14:paraId="7E9E5FB8" w14:textId="77777777" w:rsidR="00821227" w:rsidRPr="00217865" w:rsidRDefault="00821227" w:rsidP="00E06AED">
            <w:pPr>
              <w:pStyle w:val="Z"/>
              <w:jc w:val="center"/>
              <w:rPr>
                <w:color w:val="000000" w:themeColor="text1"/>
                <w:szCs w:val="18"/>
                <w:highlight w:val="yellow"/>
              </w:rPr>
            </w:pPr>
            <w:r w:rsidRPr="00217865">
              <w:rPr>
                <w:color w:val="000000" w:themeColor="text1"/>
              </w:rPr>
              <w:t>68.2 (65.7, 70.6)</w:t>
            </w:r>
          </w:p>
        </w:tc>
        <w:tc>
          <w:tcPr>
            <w:tcW w:w="322" w:type="pct"/>
            <w:tcBorders>
              <w:top w:val="single" w:sz="4" w:space="0" w:color="auto"/>
              <w:left w:val="single" w:sz="4" w:space="0" w:color="auto"/>
              <w:bottom w:val="single" w:sz="4" w:space="0" w:color="auto"/>
              <w:right w:val="single" w:sz="4" w:space="0" w:color="auto"/>
            </w:tcBorders>
            <w:vAlign w:val="center"/>
          </w:tcPr>
          <w:p w14:paraId="1CCB0BB5" w14:textId="77777777" w:rsidR="00821227" w:rsidRPr="00217865" w:rsidRDefault="00821227" w:rsidP="00E06AED">
            <w:pPr>
              <w:pStyle w:val="Z"/>
              <w:jc w:val="center"/>
              <w:rPr>
                <w:color w:val="000000" w:themeColor="text1"/>
                <w:szCs w:val="18"/>
                <w:highlight w:val="yellow"/>
              </w:rPr>
            </w:pPr>
            <w:r w:rsidRPr="00217865">
              <w:rPr>
                <w:color w:val="000000" w:themeColor="text1"/>
              </w:rPr>
              <w:t>81.2 (79.0, 83.2)</w:t>
            </w:r>
          </w:p>
        </w:tc>
        <w:tc>
          <w:tcPr>
            <w:tcW w:w="323" w:type="pct"/>
            <w:tcBorders>
              <w:top w:val="single" w:sz="4" w:space="0" w:color="auto"/>
              <w:left w:val="single" w:sz="4" w:space="0" w:color="auto"/>
              <w:bottom w:val="single" w:sz="4" w:space="0" w:color="auto"/>
              <w:right w:val="single" w:sz="4" w:space="0" w:color="auto"/>
            </w:tcBorders>
            <w:vAlign w:val="center"/>
          </w:tcPr>
          <w:p w14:paraId="348CEDF4" w14:textId="77777777" w:rsidR="00821227" w:rsidRPr="00217865" w:rsidRDefault="00821227" w:rsidP="00E06AED">
            <w:pPr>
              <w:pStyle w:val="Z"/>
              <w:jc w:val="center"/>
              <w:rPr>
                <w:color w:val="000000" w:themeColor="text1"/>
                <w:szCs w:val="18"/>
                <w:highlight w:val="yellow"/>
              </w:rPr>
            </w:pPr>
            <w:r w:rsidRPr="00217865">
              <w:rPr>
                <w:color w:val="000000" w:themeColor="text1"/>
              </w:rPr>
              <w:t>85.2 (83.1, 86.9)</w:t>
            </w:r>
          </w:p>
        </w:tc>
        <w:tc>
          <w:tcPr>
            <w:tcW w:w="323" w:type="pct"/>
            <w:tcBorders>
              <w:top w:val="single" w:sz="4" w:space="0" w:color="auto"/>
              <w:left w:val="single" w:sz="4" w:space="0" w:color="auto"/>
              <w:bottom w:val="single" w:sz="4" w:space="0" w:color="auto"/>
              <w:right w:val="single" w:sz="4" w:space="0" w:color="auto"/>
            </w:tcBorders>
            <w:vAlign w:val="center"/>
          </w:tcPr>
          <w:p w14:paraId="1D918342" w14:textId="77777777" w:rsidR="00821227" w:rsidRPr="00217865" w:rsidRDefault="00821227" w:rsidP="00E06AED">
            <w:pPr>
              <w:pStyle w:val="Z"/>
              <w:jc w:val="center"/>
              <w:rPr>
                <w:color w:val="000000" w:themeColor="text1"/>
                <w:szCs w:val="18"/>
                <w:highlight w:val="yellow"/>
              </w:rPr>
            </w:pPr>
            <w:r w:rsidRPr="00217865">
              <w:rPr>
                <w:color w:val="000000" w:themeColor="text1"/>
              </w:rPr>
              <w:t>79.6 (77.1, 81.7)</w:t>
            </w:r>
          </w:p>
        </w:tc>
        <w:tc>
          <w:tcPr>
            <w:tcW w:w="323" w:type="pct"/>
            <w:tcBorders>
              <w:top w:val="single" w:sz="4" w:space="0" w:color="auto"/>
              <w:left w:val="single" w:sz="4" w:space="0" w:color="auto"/>
              <w:bottom w:val="single" w:sz="4" w:space="0" w:color="auto"/>
              <w:right w:val="single" w:sz="4" w:space="0" w:color="auto"/>
            </w:tcBorders>
            <w:vAlign w:val="center"/>
          </w:tcPr>
          <w:p w14:paraId="726537BE" w14:textId="77777777" w:rsidR="00821227" w:rsidRPr="00217865" w:rsidRDefault="00821227" w:rsidP="00E06AED">
            <w:pPr>
              <w:pStyle w:val="Z"/>
              <w:jc w:val="center"/>
              <w:rPr>
                <w:color w:val="000000" w:themeColor="text1"/>
                <w:szCs w:val="18"/>
                <w:highlight w:val="yellow"/>
              </w:rPr>
            </w:pPr>
            <w:r w:rsidRPr="00217865">
              <w:rPr>
                <w:color w:val="000000" w:themeColor="text1"/>
              </w:rPr>
              <w:t>80.2 (77.5, 82.4)</w:t>
            </w:r>
          </w:p>
        </w:tc>
        <w:tc>
          <w:tcPr>
            <w:tcW w:w="322" w:type="pct"/>
            <w:tcBorders>
              <w:top w:val="single" w:sz="4" w:space="0" w:color="auto"/>
              <w:left w:val="single" w:sz="4" w:space="0" w:color="auto"/>
              <w:bottom w:val="single" w:sz="4" w:space="0" w:color="auto"/>
              <w:right w:val="single" w:sz="4" w:space="0" w:color="auto"/>
            </w:tcBorders>
            <w:vAlign w:val="center"/>
          </w:tcPr>
          <w:p w14:paraId="301859C7" w14:textId="77777777" w:rsidR="00821227" w:rsidRPr="00217865" w:rsidRDefault="00821227" w:rsidP="00E06AED">
            <w:pPr>
              <w:pStyle w:val="Z"/>
              <w:jc w:val="center"/>
              <w:rPr>
                <w:color w:val="000000" w:themeColor="text1"/>
                <w:szCs w:val="18"/>
                <w:highlight w:val="yellow"/>
              </w:rPr>
            </w:pPr>
            <w:r w:rsidRPr="00217865">
              <w:rPr>
                <w:color w:val="000000" w:themeColor="text1"/>
              </w:rPr>
              <w:t>79.3 (76.8, 81.5)</w:t>
            </w:r>
          </w:p>
        </w:tc>
        <w:tc>
          <w:tcPr>
            <w:tcW w:w="323" w:type="pct"/>
            <w:tcBorders>
              <w:top w:val="single" w:sz="4" w:space="0" w:color="auto"/>
              <w:left w:val="single" w:sz="4" w:space="0" w:color="auto"/>
              <w:bottom w:val="single" w:sz="4" w:space="0" w:color="auto"/>
              <w:right w:val="single" w:sz="4" w:space="0" w:color="auto"/>
            </w:tcBorders>
            <w:vAlign w:val="center"/>
          </w:tcPr>
          <w:p w14:paraId="3138F48C" w14:textId="77777777" w:rsidR="00821227" w:rsidRPr="00217865" w:rsidRDefault="00821227" w:rsidP="00E06AED">
            <w:pPr>
              <w:pStyle w:val="Z"/>
              <w:jc w:val="center"/>
              <w:rPr>
                <w:color w:val="000000" w:themeColor="text1"/>
                <w:szCs w:val="18"/>
                <w:highlight w:val="yellow"/>
              </w:rPr>
            </w:pPr>
            <w:r w:rsidRPr="00217865">
              <w:rPr>
                <w:color w:val="000000" w:themeColor="text1"/>
              </w:rPr>
              <w:t>81.2 (78.7, 83.2)</w:t>
            </w:r>
          </w:p>
        </w:tc>
        <w:tc>
          <w:tcPr>
            <w:tcW w:w="323" w:type="pct"/>
            <w:tcBorders>
              <w:top w:val="single" w:sz="4" w:space="0" w:color="auto"/>
              <w:left w:val="single" w:sz="4" w:space="0" w:color="auto"/>
              <w:bottom w:val="single" w:sz="4" w:space="0" w:color="auto"/>
              <w:right w:val="single" w:sz="4" w:space="0" w:color="auto"/>
            </w:tcBorders>
            <w:vAlign w:val="center"/>
          </w:tcPr>
          <w:p w14:paraId="710A5CBF" w14:textId="77777777" w:rsidR="00821227" w:rsidRPr="00217865" w:rsidRDefault="00821227" w:rsidP="00E06AED">
            <w:pPr>
              <w:pStyle w:val="Z"/>
              <w:jc w:val="center"/>
              <w:rPr>
                <w:color w:val="000000" w:themeColor="text1"/>
                <w:szCs w:val="18"/>
                <w:highlight w:val="yellow"/>
              </w:rPr>
            </w:pPr>
            <w:r w:rsidRPr="00217865">
              <w:rPr>
                <w:color w:val="000000" w:themeColor="text1"/>
              </w:rPr>
              <w:t>78.4 (76.2, 80.4)</w:t>
            </w:r>
          </w:p>
        </w:tc>
        <w:tc>
          <w:tcPr>
            <w:tcW w:w="323" w:type="pct"/>
            <w:tcBorders>
              <w:top w:val="single" w:sz="4" w:space="0" w:color="auto"/>
              <w:left w:val="single" w:sz="4" w:space="0" w:color="auto"/>
              <w:bottom w:val="single" w:sz="4" w:space="0" w:color="auto"/>
              <w:right w:val="single" w:sz="4" w:space="0" w:color="auto"/>
            </w:tcBorders>
            <w:vAlign w:val="center"/>
          </w:tcPr>
          <w:p w14:paraId="35950CF0" w14:textId="77777777" w:rsidR="00821227" w:rsidRPr="00217865" w:rsidRDefault="00821227" w:rsidP="00E06AED">
            <w:pPr>
              <w:pStyle w:val="Z"/>
              <w:jc w:val="center"/>
              <w:rPr>
                <w:color w:val="000000" w:themeColor="text1"/>
                <w:szCs w:val="18"/>
                <w:highlight w:val="yellow"/>
              </w:rPr>
            </w:pPr>
            <w:r w:rsidRPr="00217865">
              <w:rPr>
                <w:color w:val="000000" w:themeColor="text1"/>
              </w:rPr>
              <w:t>76.9 (74.6, 79.0)</w:t>
            </w:r>
          </w:p>
        </w:tc>
      </w:tr>
      <w:tr w:rsidR="00217865" w:rsidRPr="00217865" w14:paraId="3D4D614D"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B087356" w14:textId="77777777" w:rsidR="00821227" w:rsidRPr="00217865" w:rsidRDefault="00821227" w:rsidP="002611FF">
            <w:pPr>
              <w:pStyle w:val="Z"/>
              <w:rPr>
                <w:color w:val="000000" w:themeColor="text1"/>
                <w:szCs w:val="18"/>
                <w:highlight w:val="yellow"/>
              </w:rPr>
            </w:pPr>
            <w:r w:rsidRPr="00217865">
              <w:rPr>
                <w:color w:val="000000" w:themeColor="text1"/>
              </w:rPr>
              <w:t>University of Canberra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E3D7B18" w14:textId="77777777" w:rsidR="00821227" w:rsidRPr="00217865" w:rsidRDefault="00821227" w:rsidP="00E06AED">
            <w:pPr>
              <w:pStyle w:val="Z"/>
              <w:jc w:val="center"/>
              <w:rPr>
                <w:color w:val="000000" w:themeColor="text1"/>
                <w:szCs w:val="18"/>
                <w:highlight w:val="yellow"/>
              </w:rPr>
            </w:pPr>
            <w:r w:rsidRPr="00217865">
              <w:rPr>
                <w:color w:val="000000" w:themeColor="text1"/>
              </w:rPr>
              <w:t>79.1 (75.6, 82.1)</w:t>
            </w:r>
          </w:p>
        </w:tc>
        <w:tc>
          <w:tcPr>
            <w:tcW w:w="323" w:type="pct"/>
            <w:tcBorders>
              <w:top w:val="single" w:sz="4" w:space="0" w:color="auto"/>
              <w:left w:val="single" w:sz="4" w:space="0" w:color="auto"/>
              <w:bottom w:val="single" w:sz="4" w:space="0" w:color="auto"/>
              <w:right w:val="single" w:sz="4" w:space="0" w:color="auto"/>
            </w:tcBorders>
            <w:vAlign w:val="center"/>
          </w:tcPr>
          <w:p w14:paraId="37A7FAD2" w14:textId="77777777" w:rsidR="00821227" w:rsidRPr="00217865" w:rsidRDefault="00821227" w:rsidP="00E06AED">
            <w:pPr>
              <w:pStyle w:val="Z"/>
              <w:jc w:val="center"/>
              <w:rPr>
                <w:color w:val="000000" w:themeColor="text1"/>
                <w:szCs w:val="18"/>
                <w:highlight w:val="yellow"/>
              </w:rPr>
            </w:pPr>
            <w:r w:rsidRPr="00217865">
              <w:rPr>
                <w:color w:val="000000" w:themeColor="text1"/>
              </w:rPr>
              <w:t>79.2 (75.9, 82.0)</w:t>
            </w:r>
          </w:p>
        </w:tc>
        <w:tc>
          <w:tcPr>
            <w:tcW w:w="323" w:type="pct"/>
            <w:tcBorders>
              <w:top w:val="single" w:sz="4" w:space="0" w:color="auto"/>
              <w:left w:val="single" w:sz="4" w:space="0" w:color="auto"/>
              <w:bottom w:val="single" w:sz="4" w:space="0" w:color="auto"/>
              <w:right w:val="single" w:sz="4" w:space="0" w:color="auto"/>
            </w:tcBorders>
            <w:vAlign w:val="center"/>
          </w:tcPr>
          <w:p w14:paraId="424E1F7C" w14:textId="77777777" w:rsidR="00821227" w:rsidRPr="00217865" w:rsidRDefault="00821227" w:rsidP="00E06AED">
            <w:pPr>
              <w:pStyle w:val="Z"/>
              <w:jc w:val="center"/>
              <w:rPr>
                <w:color w:val="000000" w:themeColor="text1"/>
                <w:szCs w:val="18"/>
                <w:highlight w:val="yellow"/>
              </w:rPr>
            </w:pPr>
            <w:r w:rsidRPr="00217865">
              <w:rPr>
                <w:color w:val="000000" w:themeColor="text1"/>
              </w:rPr>
              <w:t>59.3 (55.4, 62.9)</w:t>
            </w:r>
          </w:p>
        </w:tc>
        <w:tc>
          <w:tcPr>
            <w:tcW w:w="323" w:type="pct"/>
            <w:tcBorders>
              <w:top w:val="single" w:sz="4" w:space="0" w:color="auto"/>
              <w:left w:val="single" w:sz="4" w:space="0" w:color="auto"/>
              <w:bottom w:val="single" w:sz="4" w:space="0" w:color="auto"/>
              <w:right w:val="single" w:sz="4" w:space="0" w:color="auto"/>
            </w:tcBorders>
            <w:vAlign w:val="center"/>
          </w:tcPr>
          <w:p w14:paraId="4A1A9FAE" w14:textId="77777777" w:rsidR="00821227" w:rsidRPr="00217865" w:rsidRDefault="00821227" w:rsidP="00E06AED">
            <w:pPr>
              <w:pStyle w:val="Z"/>
              <w:jc w:val="center"/>
              <w:rPr>
                <w:color w:val="000000" w:themeColor="text1"/>
                <w:szCs w:val="18"/>
                <w:highlight w:val="yellow"/>
              </w:rPr>
            </w:pPr>
            <w:r w:rsidRPr="00217865">
              <w:rPr>
                <w:color w:val="000000" w:themeColor="text1"/>
              </w:rPr>
              <w:t>65.8 (62.4, 69.1)</w:t>
            </w:r>
          </w:p>
        </w:tc>
        <w:tc>
          <w:tcPr>
            <w:tcW w:w="322" w:type="pct"/>
            <w:tcBorders>
              <w:top w:val="single" w:sz="4" w:space="0" w:color="auto"/>
              <w:left w:val="single" w:sz="4" w:space="0" w:color="auto"/>
              <w:bottom w:val="single" w:sz="4" w:space="0" w:color="auto"/>
              <w:right w:val="single" w:sz="4" w:space="0" w:color="auto"/>
            </w:tcBorders>
            <w:vAlign w:val="center"/>
          </w:tcPr>
          <w:p w14:paraId="7A6CA28F" w14:textId="77777777" w:rsidR="00821227" w:rsidRPr="00217865" w:rsidRDefault="00821227" w:rsidP="00E06AED">
            <w:pPr>
              <w:pStyle w:val="Z"/>
              <w:jc w:val="center"/>
              <w:rPr>
                <w:color w:val="000000" w:themeColor="text1"/>
                <w:szCs w:val="18"/>
                <w:highlight w:val="yellow"/>
              </w:rPr>
            </w:pPr>
            <w:r w:rsidRPr="00217865">
              <w:rPr>
                <w:color w:val="000000" w:themeColor="text1"/>
              </w:rPr>
              <w:t>75.3 (71.8, 78.4)</w:t>
            </w:r>
          </w:p>
        </w:tc>
        <w:tc>
          <w:tcPr>
            <w:tcW w:w="323" w:type="pct"/>
            <w:tcBorders>
              <w:top w:val="single" w:sz="4" w:space="0" w:color="auto"/>
              <w:left w:val="single" w:sz="4" w:space="0" w:color="auto"/>
              <w:bottom w:val="single" w:sz="4" w:space="0" w:color="auto"/>
              <w:right w:val="single" w:sz="4" w:space="0" w:color="auto"/>
            </w:tcBorders>
            <w:vAlign w:val="center"/>
          </w:tcPr>
          <w:p w14:paraId="34A54BAD" w14:textId="77777777" w:rsidR="00821227" w:rsidRPr="00217865" w:rsidRDefault="00821227" w:rsidP="00E06AED">
            <w:pPr>
              <w:pStyle w:val="Z"/>
              <w:jc w:val="center"/>
              <w:rPr>
                <w:color w:val="000000" w:themeColor="text1"/>
                <w:szCs w:val="18"/>
                <w:highlight w:val="yellow"/>
              </w:rPr>
            </w:pPr>
            <w:r w:rsidRPr="00217865">
              <w:rPr>
                <w:color w:val="000000" w:themeColor="text1"/>
              </w:rPr>
              <w:t>80.5 (77.3, 83.1)</w:t>
            </w:r>
          </w:p>
        </w:tc>
        <w:tc>
          <w:tcPr>
            <w:tcW w:w="323" w:type="pct"/>
            <w:tcBorders>
              <w:top w:val="single" w:sz="4" w:space="0" w:color="auto"/>
              <w:left w:val="single" w:sz="4" w:space="0" w:color="auto"/>
              <w:bottom w:val="single" w:sz="4" w:space="0" w:color="auto"/>
              <w:right w:val="single" w:sz="4" w:space="0" w:color="auto"/>
            </w:tcBorders>
            <w:vAlign w:val="center"/>
          </w:tcPr>
          <w:p w14:paraId="4454EBE9" w14:textId="77777777" w:rsidR="00821227" w:rsidRPr="00217865" w:rsidRDefault="00821227" w:rsidP="00E06AED">
            <w:pPr>
              <w:pStyle w:val="Z"/>
              <w:jc w:val="center"/>
              <w:rPr>
                <w:color w:val="000000" w:themeColor="text1"/>
                <w:szCs w:val="18"/>
                <w:highlight w:val="yellow"/>
              </w:rPr>
            </w:pPr>
            <w:r w:rsidRPr="00217865">
              <w:rPr>
                <w:color w:val="000000" w:themeColor="text1"/>
              </w:rPr>
              <w:t>72.5 (68.7, 75.9)</w:t>
            </w:r>
          </w:p>
        </w:tc>
        <w:tc>
          <w:tcPr>
            <w:tcW w:w="323" w:type="pct"/>
            <w:tcBorders>
              <w:top w:val="single" w:sz="4" w:space="0" w:color="auto"/>
              <w:left w:val="single" w:sz="4" w:space="0" w:color="auto"/>
              <w:bottom w:val="single" w:sz="4" w:space="0" w:color="auto"/>
              <w:right w:val="single" w:sz="4" w:space="0" w:color="auto"/>
            </w:tcBorders>
            <w:vAlign w:val="center"/>
          </w:tcPr>
          <w:p w14:paraId="08EB2F1A" w14:textId="77777777" w:rsidR="00821227" w:rsidRPr="00217865" w:rsidRDefault="00821227" w:rsidP="00E06AED">
            <w:pPr>
              <w:pStyle w:val="Z"/>
              <w:jc w:val="center"/>
              <w:rPr>
                <w:color w:val="000000" w:themeColor="text1"/>
                <w:szCs w:val="18"/>
                <w:highlight w:val="yellow"/>
              </w:rPr>
            </w:pPr>
            <w:r w:rsidRPr="00217865">
              <w:rPr>
                <w:color w:val="000000" w:themeColor="text1"/>
              </w:rPr>
              <w:t>77.5 (73.9, 80.6)</w:t>
            </w:r>
          </w:p>
        </w:tc>
        <w:tc>
          <w:tcPr>
            <w:tcW w:w="322" w:type="pct"/>
            <w:tcBorders>
              <w:top w:val="single" w:sz="4" w:space="0" w:color="auto"/>
              <w:left w:val="single" w:sz="4" w:space="0" w:color="auto"/>
              <w:bottom w:val="single" w:sz="4" w:space="0" w:color="auto"/>
              <w:right w:val="single" w:sz="4" w:space="0" w:color="auto"/>
            </w:tcBorders>
            <w:vAlign w:val="center"/>
          </w:tcPr>
          <w:p w14:paraId="417AA9AC" w14:textId="77777777" w:rsidR="00821227" w:rsidRPr="00217865" w:rsidRDefault="00821227" w:rsidP="00E06AED">
            <w:pPr>
              <w:pStyle w:val="Z"/>
              <w:jc w:val="center"/>
              <w:rPr>
                <w:color w:val="000000" w:themeColor="text1"/>
                <w:szCs w:val="18"/>
                <w:highlight w:val="yellow"/>
              </w:rPr>
            </w:pPr>
            <w:r w:rsidRPr="00217865">
              <w:rPr>
                <w:color w:val="000000" w:themeColor="text1"/>
              </w:rPr>
              <w:t>78.6 (75.1, 81.6)</w:t>
            </w:r>
          </w:p>
        </w:tc>
        <w:tc>
          <w:tcPr>
            <w:tcW w:w="323" w:type="pct"/>
            <w:tcBorders>
              <w:top w:val="single" w:sz="4" w:space="0" w:color="auto"/>
              <w:left w:val="single" w:sz="4" w:space="0" w:color="auto"/>
              <w:bottom w:val="single" w:sz="4" w:space="0" w:color="auto"/>
              <w:right w:val="single" w:sz="4" w:space="0" w:color="auto"/>
            </w:tcBorders>
            <w:vAlign w:val="center"/>
          </w:tcPr>
          <w:p w14:paraId="19CC124A" w14:textId="77777777" w:rsidR="00821227" w:rsidRPr="00217865" w:rsidRDefault="00821227" w:rsidP="00E06AED">
            <w:pPr>
              <w:pStyle w:val="Z"/>
              <w:jc w:val="center"/>
              <w:rPr>
                <w:color w:val="000000" w:themeColor="text1"/>
                <w:szCs w:val="18"/>
                <w:highlight w:val="yellow"/>
              </w:rPr>
            </w:pPr>
            <w:r w:rsidRPr="00217865">
              <w:rPr>
                <w:color w:val="000000" w:themeColor="text1"/>
              </w:rPr>
              <w:t>82.4 (79.3, 84.9)</w:t>
            </w:r>
          </w:p>
        </w:tc>
        <w:tc>
          <w:tcPr>
            <w:tcW w:w="323" w:type="pct"/>
            <w:tcBorders>
              <w:top w:val="single" w:sz="4" w:space="0" w:color="auto"/>
              <w:left w:val="single" w:sz="4" w:space="0" w:color="auto"/>
              <w:bottom w:val="single" w:sz="4" w:space="0" w:color="auto"/>
              <w:right w:val="single" w:sz="4" w:space="0" w:color="auto"/>
            </w:tcBorders>
            <w:vAlign w:val="center"/>
          </w:tcPr>
          <w:p w14:paraId="44E65C73" w14:textId="77777777" w:rsidR="00821227" w:rsidRPr="00217865" w:rsidRDefault="00821227" w:rsidP="00E06AED">
            <w:pPr>
              <w:pStyle w:val="Z"/>
              <w:jc w:val="center"/>
              <w:rPr>
                <w:color w:val="000000" w:themeColor="text1"/>
                <w:szCs w:val="18"/>
                <w:highlight w:val="yellow"/>
              </w:rPr>
            </w:pPr>
            <w:r w:rsidRPr="00217865">
              <w:rPr>
                <w:color w:val="000000" w:themeColor="text1"/>
              </w:rPr>
              <w:t>71.8 (68.2, 75.1)</w:t>
            </w:r>
          </w:p>
        </w:tc>
        <w:tc>
          <w:tcPr>
            <w:tcW w:w="323" w:type="pct"/>
            <w:tcBorders>
              <w:top w:val="single" w:sz="4" w:space="0" w:color="auto"/>
              <w:left w:val="single" w:sz="4" w:space="0" w:color="auto"/>
              <w:bottom w:val="single" w:sz="4" w:space="0" w:color="auto"/>
              <w:right w:val="single" w:sz="4" w:space="0" w:color="auto"/>
            </w:tcBorders>
            <w:vAlign w:val="center"/>
          </w:tcPr>
          <w:p w14:paraId="54759120" w14:textId="77777777" w:rsidR="00821227" w:rsidRPr="00217865" w:rsidRDefault="00821227" w:rsidP="00E06AED">
            <w:pPr>
              <w:pStyle w:val="Z"/>
              <w:jc w:val="center"/>
              <w:rPr>
                <w:color w:val="000000" w:themeColor="text1"/>
                <w:szCs w:val="18"/>
                <w:highlight w:val="yellow"/>
              </w:rPr>
            </w:pPr>
            <w:r w:rsidRPr="00217865">
              <w:rPr>
                <w:color w:val="000000" w:themeColor="text1"/>
              </w:rPr>
              <w:t>70.8 (67.5, 73.9)</w:t>
            </w:r>
          </w:p>
        </w:tc>
      </w:tr>
      <w:tr w:rsidR="00217865" w:rsidRPr="00217865" w14:paraId="0F658510"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C9A974B" w14:textId="77777777" w:rsidR="00821227" w:rsidRPr="00217865" w:rsidRDefault="00821227" w:rsidP="002611FF">
            <w:pPr>
              <w:pStyle w:val="Z"/>
              <w:rPr>
                <w:color w:val="000000" w:themeColor="text1"/>
                <w:sz w:val="22"/>
                <w:szCs w:val="22"/>
              </w:rPr>
            </w:pPr>
            <w:r w:rsidRPr="00217865">
              <w:rPr>
                <w:color w:val="000000" w:themeColor="text1"/>
              </w:rPr>
              <w:t>University of Divinity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1AB0DA9"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0A37D813"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1B6915EA"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297A70A6" w14:textId="77777777" w:rsidR="00821227" w:rsidRPr="00217865" w:rsidRDefault="00821227" w:rsidP="00E06AED">
            <w:pPr>
              <w:pStyle w:val="Z"/>
              <w:jc w:val="center"/>
              <w:rPr>
                <w:color w:val="000000" w:themeColor="text1"/>
              </w:rPr>
            </w:pPr>
            <w:r w:rsidRPr="00217865">
              <w:rPr>
                <w:color w:val="000000" w:themeColor="text1"/>
              </w:rPr>
              <w:t>n/a</w:t>
            </w:r>
          </w:p>
        </w:tc>
        <w:tc>
          <w:tcPr>
            <w:tcW w:w="322" w:type="pct"/>
            <w:tcBorders>
              <w:top w:val="single" w:sz="4" w:space="0" w:color="auto"/>
              <w:left w:val="single" w:sz="4" w:space="0" w:color="auto"/>
              <w:bottom w:val="single" w:sz="4" w:space="0" w:color="auto"/>
              <w:right w:val="single" w:sz="4" w:space="0" w:color="auto"/>
            </w:tcBorders>
            <w:vAlign w:val="center"/>
          </w:tcPr>
          <w:p w14:paraId="59406473"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165A68F2"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2578C53C"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253366EA" w14:textId="77777777" w:rsidR="00821227" w:rsidRPr="00217865" w:rsidRDefault="00821227" w:rsidP="00E06AED">
            <w:pPr>
              <w:pStyle w:val="Z"/>
              <w:jc w:val="center"/>
              <w:rPr>
                <w:color w:val="000000" w:themeColor="text1"/>
              </w:rPr>
            </w:pPr>
            <w:r w:rsidRPr="00217865">
              <w:rPr>
                <w:color w:val="000000" w:themeColor="text1"/>
              </w:rPr>
              <w:t>n/a</w:t>
            </w:r>
          </w:p>
        </w:tc>
        <w:tc>
          <w:tcPr>
            <w:tcW w:w="322" w:type="pct"/>
            <w:tcBorders>
              <w:top w:val="single" w:sz="4" w:space="0" w:color="auto"/>
              <w:left w:val="single" w:sz="4" w:space="0" w:color="auto"/>
              <w:bottom w:val="single" w:sz="4" w:space="0" w:color="auto"/>
              <w:right w:val="single" w:sz="4" w:space="0" w:color="auto"/>
            </w:tcBorders>
            <w:vAlign w:val="center"/>
          </w:tcPr>
          <w:p w14:paraId="3FFFE9DD"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57BB885E"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506B6A1F" w14:textId="77777777" w:rsidR="00821227" w:rsidRPr="00217865" w:rsidRDefault="00821227" w:rsidP="00E06AED">
            <w:pPr>
              <w:pStyle w:val="Z"/>
              <w:jc w:val="center"/>
              <w:rPr>
                <w:color w:val="000000" w:themeColor="text1"/>
              </w:rPr>
            </w:pPr>
            <w:r w:rsidRPr="00217865">
              <w:rPr>
                <w:color w:val="000000" w:themeColor="text1"/>
              </w:rPr>
              <w:t>n/a</w:t>
            </w:r>
          </w:p>
        </w:tc>
        <w:tc>
          <w:tcPr>
            <w:tcW w:w="323" w:type="pct"/>
            <w:tcBorders>
              <w:top w:val="single" w:sz="4" w:space="0" w:color="auto"/>
              <w:left w:val="single" w:sz="4" w:space="0" w:color="auto"/>
              <w:bottom w:val="single" w:sz="4" w:space="0" w:color="auto"/>
              <w:right w:val="single" w:sz="4" w:space="0" w:color="auto"/>
            </w:tcBorders>
            <w:vAlign w:val="center"/>
          </w:tcPr>
          <w:p w14:paraId="43D2F749" w14:textId="77777777" w:rsidR="00821227" w:rsidRPr="00217865" w:rsidRDefault="00821227" w:rsidP="00E06AED">
            <w:pPr>
              <w:pStyle w:val="Z"/>
              <w:jc w:val="center"/>
              <w:rPr>
                <w:color w:val="000000" w:themeColor="text1"/>
              </w:rPr>
            </w:pPr>
            <w:r w:rsidRPr="00217865">
              <w:rPr>
                <w:color w:val="000000" w:themeColor="text1"/>
              </w:rPr>
              <w:t>n/a</w:t>
            </w:r>
          </w:p>
        </w:tc>
      </w:tr>
      <w:tr w:rsidR="00217865" w:rsidRPr="00217865" w14:paraId="6D5C79B3"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4AE6C9C" w14:textId="77777777" w:rsidR="00821227" w:rsidRPr="00217865" w:rsidRDefault="00821227" w:rsidP="002611FF">
            <w:pPr>
              <w:pStyle w:val="Z"/>
              <w:rPr>
                <w:color w:val="000000" w:themeColor="text1"/>
                <w:szCs w:val="18"/>
                <w:highlight w:val="yellow"/>
              </w:rPr>
            </w:pPr>
            <w:r w:rsidRPr="00217865">
              <w:rPr>
                <w:color w:val="000000" w:themeColor="text1"/>
              </w:rPr>
              <w:t>University of New England</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289868B" w14:textId="77777777" w:rsidR="00821227" w:rsidRPr="00217865" w:rsidRDefault="00821227" w:rsidP="00E06AED">
            <w:pPr>
              <w:pStyle w:val="Z"/>
              <w:jc w:val="center"/>
              <w:rPr>
                <w:color w:val="000000" w:themeColor="text1"/>
                <w:szCs w:val="18"/>
                <w:highlight w:val="yellow"/>
              </w:rPr>
            </w:pPr>
            <w:r w:rsidRPr="00217865">
              <w:rPr>
                <w:color w:val="000000" w:themeColor="text1"/>
              </w:rPr>
              <w:t>83.0 (73.6, 88.8)</w:t>
            </w:r>
          </w:p>
        </w:tc>
        <w:tc>
          <w:tcPr>
            <w:tcW w:w="323" w:type="pct"/>
            <w:tcBorders>
              <w:top w:val="single" w:sz="4" w:space="0" w:color="auto"/>
              <w:left w:val="single" w:sz="4" w:space="0" w:color="auto"/>
              <w:bottom w:val="single" w:sz="4" w:space="0" w:color="auto"/>
              <w:right w:val="single" w:sz="4" w:space="0" w:color="auto"/>
            </w:tcBorders>
            <w:vAlign w:val="center"/>
          </w:tcPr>
          <w:p w14:paraId="20FB7597" w14:textId="77777777" w:rsidR="00821227" w:rsidRPr="00217865" w:rsidRDefault="00821227" w:rsidP="00E06AED">
            <w:pPr>
              <w:pStyle w:val="Z"/>
              <w:jc w:val="center"/>
              <w:rPr>
                <w:color w:val="000000" w:themeColor="text1"/>
                <w:szCs w:val="18"/>
                <w:highlight w:val="yellow"/>
              </w:rPr>
            </w:pPr>
            <w:r w:rsidRPr="00217865">
              <w:rPr>
                <w:color w:val="000000" w:themeColor="text1"/>
              </w:rPr>
              <w:t>93.1 (86.6, 95.7)</w:t>
            </w:r>
          </w:p>
        </w:tc>
        <w:tc>
          <w:tcPr>
            <w:tcW w:w="323" w:type="pct"/>
            <w:tcBorders>
              <w:top w:val="single" w:sz="4" w:space="0" w:color="auto"/>
              <w:left w:val="single" w:sz="4" w:space="0" w:color="auto"/>
              <w:bottom w:val="single" w:sz="4" w:space="0" w:color="auto"/>
              <w:right w:val="single" w:sz="4" w:space="0" w:color="auto"/>
            </w:tcBorders>
            <w:vAlign w:val="center"/>
          </w:tcPr>
          <w:p w14:paraId="69DAD554" w14:textId="77777777" w:rsidR="00821227" w:rsidRPr="00217865" w:rsidRDefault="00821227" w:rsidP="00E06AED">
            <w:pPr>
              <w:pStyle w:val="Z"/>
              <w:jc w:val="center"/>
              <w:rPr>
                <w:color w:val="000000" w:themeColor="text1"/>
                <w:szCs w:val="18"/>
                <w:highlight w:val="yellow"/>
              </w:rPr>
            </w:pPr>
            <w:r w:rsidRPr="00217865">
              <w:rPr>
                <w:color w:val="000000" w:themeColor="text1"/>
              </w:rPr>
              <w:t>59.2 (49.4, 68.0)</w:t>
            </w:r>
          </w:p>
        </w:tc>
        <w:tc>
          <w:tcPr>
            <w:tcW w:w="323" w:type="pct"/>
            <w:tcBorders>
              <w:top w:val="single" w:sz="4" w:space="0" w:color="auto"/>
              <w:left w:val="single" w:sz="4" w:space="0" w:color="auto"/>
              <w:bottom w:val="single" w:sz="4" w:space="0" w:color="auto"/>
              <w:right w:val="single" w:sz="4" w:space="0" w:color="auto"/>
            </w:tcBorders>
            <w:vAlign w:val="center"/>
          </w:tcPr>
          <w:p w14:paraId="0B36EF8E" w14:textId="77777777" w:rsidR="00821227" w:rsidRPr="00217865" w:rsidRDefault="00821227" w:rsidP="00E06AED">
            <w:pPr>
              <w:pStyle w:val="Z"/>
              <w:jc w:val="center"/>
              <w:rPr>
                <w:color w:val="000000" w:themeColor="text1"/>
                <w:szCs w:val="18"/>
                <w:highlight w:val="yellow"/>
              </w:rPr>
            </w:pPr>
            <w:r w:rsidRPr="00217865">
              <w:rPr>
                <w:color w:val="000000" w:themeColor="text1"/>
              </w:rPr>
              <w:t>77.4 (69.9, 82.7)</w:t>
            </w:r>
          </w:p>
        </w:tc>
        <w:tc>
          <w:tcPr>
            <w:tcW w:w="322" w:type="pct"/>
            <w:tcBorders>
              <w:top w:val="single" w:sz="4" w:space="0" w:color="auto"/>
              <w:left w:val="single" w:sz="4" w:space="0" w:color="auto"/>
              <w:bottom w:val="single" w:sz="4" w:space="0" w:color="auto"/>
              <w:right w:val="single" w:sz="4" w:space="0" w:color="auto"/>
            </w:tcBorders>
            <w:vAlign w:val="center"/>
          </w:tcPr>
          <w:p w14:paraId="5590CD9C" w14:textId="77777777" w:rsidR="00821227" w:rsidRPr="00217865" w:rsidRDefault="00821227" w:rsidP="00E06AED">
            <w:pPr>
              <w:pStyle w:val="Z"/>
              <w:jc w:val="center"/>
              <w:rPr>
                <w:color w:val="000000" w:themeColor="text1"/>
                <w:szCs w:val="18"/>
                <w:highlight w:val="yellow"/>
              </w:rPr>
            </w:pPr>
            <w:r w:rsidRPr="00217865">
              <w:rPr>
                <w:color w:val="000000" w:themeColor="text1"/>
              </w:rPr>
              <w:t>80.9 (71.3, 87.0)</w:t>
            </w:r>
          </w:p>
        </w:tc>
        <w:tc>
          <w:tcPr>
            <w:tcW w:w="323" w:type="pct"/>
            <w:tcBorders>
              <w:top w:val="single" w:sz="4" w:space="0" w:color="auto"/>
              <w:left w:val="single" w:sz="4" w:space="0" w:color="auto"/>
              <w:bottom w:val="single" w:sz="4" w:space="0" w:color="auto"/>
              <w:right w:val="single" w:sz="4" w:space="0" w:color="auto"/>
            </w:tcBorders>
            <w:vAlign w:val="center"/>
          </w:tcPr>
          <w:p w14:paraId="2F2CCE43" w14:textId="77777777" w:rsidR="00821227" w:rsidRPr="00217865" w:rsidRDefault="00821227" w:rsidP="00E06AED">
            <w:pPr>
              <w:pStyle w:val="Z"/>
              <w:jc w:val="center"/>
              <w:rPr>
                <w:color w:val="000000" w:themeColor="text1"/>
                <w:szCs w:val="18"/>
                <w:highlight w:val="yellow"/>
              </w:rPr>
            </w:pPr>
            <w:r w:rsidRPr="00217865">
              <w:rPr>
                <w:color w:val="000000" w:themeColor="text1"/>
              </w:rPr>
              <w:t>93.3 (87.1, 95.8)</w:t>
            </w:r>
          </w:p>
        </w:tc>
        <w:tc>
          <w:tcPr>
            <w:tcW w:w="323" w:type="pct"/>
            <w:tcBorders>
              <w:top w:val="single" w:sz="4" w:space="0" w:color="auto"/>
              <w:left w:val="single" w:sz="4" w:space="0" w:color="auto"/>
              <w:bottom w:val="single" w:sz="4" w:space="0" w:color="auto"/>
              <w:right w:val="single" w:sz="4" w:space="0" w:color="auto"/>
            </w:tcBorders>
            <w:vAlign w:val="center"/>
          </w:tcPr>
          <w:p w14:paraId="64F1AC17" w14:textId="77777777" w:rsidR="00821227" w:rsidRPr="00217865" w:rsidRDefault="00821227" w:rsidP="00E06AED">
            <w:pPr>
              <w:pStyle w:val="Z"/>
              <w:jc w:val="center"/>
              <w:rPr>
                <w:color w:val="000000" w:themeColor="text1"/>
                <w:szCs w:val="18"/>
                <w:highlight w:val="yellow"/>
              </w:rPr>
            </w:pPr>
            <w:r w:rsidRPr="00217865">
              <w:rPr>
                <w:color w:val="000000" w:themeColor="text1"/>
              </w:rPr>
              <w:t>70.5 (59.9, 78.6)</w:t>
            </w:r>
          </w:p>
        </w:tc>
        <w:tc>
          <w:tcPr>
            <w:tcW w:w="323" w:type="pct"/>
            <w:tcBorders>
              <w:top w:val="single" w:sz="4" w:space="0" w:color="auto"/>
              <w:left w:val="single" w:sz="4" w:space="0" w:color="auto"/>
              <w:bottom w:val="single" w:sz="4" w:space="0" w:color="auto"/>
              <w:right w:val="single" w:sz="4" w:space="0" w:color="auto"/>
            </w:tcBorders>
            <w:vAlign w:val="center"/>
          </w:tcPr>
          <w:p w14:paraId="2663E0B3" w14:textId="77777777" w:rsidR="00821227" w:rsidRPr="00217865" w:rsidRDefault="00821227" w:rsidP="00E06AED">
            <w:pPr>
              <w:pStyle w:val="Z"/>
              <w:jc w:val="center"/>
              <w:rPr>
                <w:color w:val="000000" w:themeColor="text1"/>
                <w:szCs w:val="18"/>
                <w:highlight w:val="yellow"/>
              </w:rPr>
            </w:pPr>
            <w:r w:rsidRPr="00217865">
              <w:rPr>
                <w:color w:val="000000" w:themeColor="text1"/>
              </w:rPr>
              <w:t>86.3 (78.0, 90.9)</w:t>
            </w:r>
          </w:p>
        </w:tc>
        <w:tc>
          <w:tcPr>
            <w:tcW w:w="322" w:type="pct"/>
            <w:tcBorders>
              <w:top w:val="single" w:sz="4" w:space="0" w:color="auto"/>
              <w:left w:val="single" w:sz="4" w:space="0" w:color="auto"/>
              <w:bottom w:val="single" w:sz="4" w:space="0" w:color="auto"/>
              <w:right w:val="single" w:sz="4" w:space="0" w:color="auto"/>
            </w:tcBorders>
            <w:vAlign w:val="center"/>
          </w:tcPr>
          <w:p w14:paraId="60AFED8B" w14:textId="77777777" w:rsidR="00821227" w:rsidRPr="00217865" w:rsidRDefault="00821227" w:rsidP="00E06AED">
            <w:pPr>
              <w:pStyle w:val="Z"/>
              <w:jc w:val="center"/>
              <w:rPr>
                <w:color w:val="000000" w:themeColor="text1"/>
                <w:szCs w:val="18"/>
                <w:highlight w:val="yellow"/>
              </w:rPr>
            </w:pPr>
            <w:r w:rsidRPr="00217865">
              <w:rPr>
                <w:color w:val="000000" w:themeColor="text1"/>
              </w:rPr>
              <w:t>87.0 (77.9, 92.0)</w:t>
            </w:r>
          </w:p>
        </w:tc>
        <w:tc>
          <w:tcPr>
            <w:tcW w:w="323" w:type="pct"/>
            <w:tcBorders>
              <w:top w:val="single" w:sz="4" w:space="0" w:color="auto"/>
              <w:left w:val="single" w:sz="4" w:space="0" w:color="auto"/>
              <w:bottom w:val="single" w:sz="4" w:space="0" w:color="auto"/>
              <w:right w:val="single" w:sz="4" w:space="0" w:color="auto"/>
            </w:tcBorders>
            <w:vAlign w:val="center"/>
          </w:tcPr>
          <w:p w14:paraId="5838E861" w14:textId="77777777" w:rsidR="00821227" w:rsidRPr="00217865" w:rsidRDefault="00821227" w:rsidP="00E06AED">
            <w:pPr>
              <w:pStyle w:val="Z"/>
              <w:jc w:val="center"/>
              <w:rPr>
                <w:color w:val="000000" w:themeColor="text1"/>
                <w:szCs w:val="18"/>
                <w:highlight w:val="yellow"/>
              </w:rPr>
            </w:pPr>
            <w:r w:rsidRPr="00217865">
              <w:rPr>
                <w:color w:val="000000" w:themeColor="text1"/>
              </w:rPr>
              <w:t>84.7 (77.3, 89.1)</w:t>
            </w:r>
          </w:p>
        </w:tc>
        <w:tc>
          <w:tcPr>
            <w:tcW w:w="323" w:type="pct"/>
            <w:tcBorders>
              <w:top w:val="single" w:sz="4" w:space="0" w:color="auto"/>
              <w:left w:val="single" w:sz="4" w:space="0" w:color="auto"/>
              <w:bottom w:val="single" w:sz="4" w:space="0" w:color="auto"/>
              <w:right w:val="single" w:sz="4" w:space="0" w:color="auto"/>
            </w:tcBorders>
            <w:vAlign w:val="center"/>
          </w:tcPr>
          <w:p w14:paraId="1A37A6E2" w14:textId="77777777" w:rsidR="00821227" w:rsidRPr="00217865" w:rsidRDefault="00821227" w:rsidP="00E06AED">
            <w:pPr>
              <w:pStyle w:val="Z"/>
              <w:jc w:val="center"/>
              <w:rPr>
                <w:color w:val="000000" w:themeColor="text1"/>
                <w:szCs w:val="18"/>
                <w:highlight w:val="yellow"/>
              </w:rPr>
            </w:pPr>
            <w:r w:rsidRPr="00217865">
              <w:rPr>
                <w:color w:val="000000" w:themeColor="text1"/>
              </w:rPr>
              <w:t>65.3 (55.5, 73.5)</w:t>
            </w:r>
          </w:p>
        </w:tc>
        <w:tc>
          <w:tcPr>
            <w:tcW w:w="323" w:type="pct"/>
            <w:tcBorders>
              <w:top w:val="single" w:sz="4" w:space="0" w:color="auto"/>
              <w:left w:val="single" w:sz="4" w:space="0" w:color="auto"/>
              <w:bottom w:val="single" w:sz="4" w:space="0" w:color="auto"/>
              <w:right w:val="single" w:sz="4" w:space="0" w:color="auto"/>
            </w:tcBorders>
            <w:vAlign w:val="center"/>
          </w:tcPr>
          <w:p w14:paraId="6409F72E" w14:textId="77777777" w:rsidR="00821227" w:rsidRPr="00217865" w:rsidRDefault="00821227" w:rsidP="00E06AED">
            <w:pPr>
              <w:pStyle w:val="Z"/>
              <w:jc w:val="center"/>
              <w:rPr>
                <w:color w:val="000000" w:themeColor="text1"/>
                <w:szCs w:val="18"/>
                <w:highlight w:val="yellow"/>
              </w:rPr>
            </w:pPr>
            <w:r w:rsidRPr="00217865">
              <w:rPr>
                <w:color w:val="000000" w:themeColor="text1"/>
              </w:rPr>
              <w:t>83.9 (76.7, 88.2)</w:t>
            </w:r>
          </w:p>
        </w:tc>
      </w:tr>
      <w:tr w:rsidR="00217865" w:rsidRPr="00217865" w14:paraId="48F7F942"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FB5A7A4" w14:textId="77777777" w:rsidR="00821227" w:rsidRPr="00217865" w:rsidRDefault="00821227" w:rsidP="002611FF">
            <w:pPr>
              <w:pStyle w:val="Z"/>
              <w:rPr>
                <w:color w:val="000000" w:themeColor="text1"/>
                <w:szCs w:val="18"/>
                <w:highlight w:val="yellow"/>
              </w:rPr>
            </w:pPr>
            <w:r w:rsidRPr="00217865">
              <w:rPr>
                <w:color w:val="000000" w:themeColor="text1"/>
              </w:rPr>
              <w:t>University of New South Wales</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6ECE95D" w14:textId="77777777" w:rsidR="00821227" w:rsidRPr="00217865" w:rsidRDefault="00821227" w:rsidP="00E06AED">
            <w:pPr>
              <w:pStyle w:val="Z"/>
              <w:jc w:val="center"/>
              <w:rPr>
                <w:color w:val="000000" w:themeColor="text1"/>
                <w:szCs w:val="18"/>
                <w:highlight w:val="yellow"/>
              </w:rPr>
            </w:pPr>
            <w:r w:rsidRPr="00217865">
              <w:rPr>
                <w:color w:val="000000" w:themeColor="text1"/>
              </w:rPr>
              <w:t>78.5 (77.3, 79.7)</w:t>
            </w:r>
          </w:p>
        </w:tc>
        <w:tc>
          <w:tcPr>
            <w:tcW w:w="323" w:type="pct"/>
            <w:tcBorders>
              <w:top w:val="single" w:sz="4" w:space="0" w:color="auto"/>
              <w:left w:val="single" w:sz="4" w:space="0" w:color="auto"/>
              <w:bottom w:val="single" w:sz="4" w:space="0" w:color="auto"/>
              <w:right w:val="single" w:sz="4" w:space="0" w:color="auto"/>
            </w:tcBorders>
            <w:vAlign w:val="center"/>
          </w:tcPr>
          <w:p w14:paraId="09C163C3" w14:textId="77777777" w:rsidR="00821227" w:rsidRPr="00217865" w:rsidRDefault="00821227" w:rsidP="00E06AED">
            <w:pPr>
              <w:pStyle w:val="Z"/>
              <w:jc w:val="center"/>
              <w:rPr>
                <w:color w:val="000000" w:themeColor="text1"/>
                <w:szCs w:val="18"/>
                <w:highlight w:val="yellow"/>
              </w:rPr>
            </w:pPr>
            <w:r w:rsidRPr="00217865">
              <w:rPr>
                <w:color w:val="000000" w:themeColor="text1"/>
              </w:rPr>
              <w:t>81.0 (79.7, 82.2)</w:t>
            </w:r>
          </w:p>
        </w:tc>
        <w:tc>
          <w:tcPr>
            <w:tcW w:w="323" w:type="pct"/>
            <w:tcBorders>
              <w:top w:val="single" w:sz="4" w:space="0" w:color="auto"/>
              <w:left w:val="single" w:sz="4" w:space="0" w:color="auto"/>
              <w:bottom w:val="single" w:sz="4" w:space="0" w:color="auto"/>
              <w:right w:val="single" w:sz="4" w:space="0" w:color="auto"/>
            </w:tcBorders>
            <w:vAlign w:val="center"/>
          </w:tcPr>
          <w:p w14:paraId="5B1CF48C" w14:textId="77777777" w:rsidR="00821227" w:rsidRPr="00217865" w:rsidRDefault="00821227" w:rsidP="00E06AED">
            <w:pPr>
              <w:pStyle w:val="Z"/>
              <w:jc w:val="center"/>
              <w:rPr>
                <w:color w:val="000000" w:themeColor="text1"/>
                <w:szCs w:val="18"/>
                <w:highlight w:val="yellow"/>
              </w:rPr>
            </w:pPr>
            <w:r w:rsidRPr="00217865">
              <w:rPr>
                <w:color w:val="000000" w:themeColor="text1"/>
              </w:rPr>
              <w:t>59.0 (57.6, 60.4)</w:t>
            </w:r>
          </w:p>
        </w:tc>
        <w:tc>
          <w:tcPr>
            <w:tcW w:w="323" w:type="pct"/>
            <w:tcBorders>
              <w:top w:val="single" w:sz="4" w:space="0" w:color="auto"/>
              <w:left w:val="single" w:sz="4" w:space="0" w:color="auto"/>
              <w:bottom w:val="single" w:sz="4" w:space="0" w:color="auto"/>
              <w:right w:val="single" w:sz="4" w:space="0" w:color="auto"/>
            </w:tcBorders>
            <w:vAlign w:val="center"/>
          </w:tcPr>
          <w:p w14:paraId="00DE8E5B" w14:textId="77777777" w:rsidR="00821227" w:rsidRPr="00217865" w:rsidRDefault="00821227" w:rsidP="00E06AED">
            <w:pPr>
              <w:pStyle w:val="Z"/>
              <w:jc w:val="center"/>
              <w:rPr>
                <w:color w:val="000000" w:themeColor="text1"/>
                <w:szCs w:val="18"/>
                <w:highlight w:val="yellow"/>
              </w:rPr>
            </w:pPr>
            <w:r w:rsidRPr="00217865">
              <w:rPr>
                <w:color w:val="000000" w:themeColor="text1"/>
              </w:rPr>
              <w:t>68.6 (67.1, 70.0)</w:t>
            </w:r>
          </w:p>
        </w:tc>
        <w:tc>
          <w:tcPr>
            <w:tcW w:w="322" w:type="pct"/>
            <w:tcBorders>
              <w:top w:val="single" w:sz="4" w:space="0" w:color="auto"/>
              <w:left w:val="single" w:sz="4" w:space="0" w:color="auto"/>
              <w:bottom w:val="single" w:sz="4" w:space="0" w:color="auto"/>
              <w:right w:val="single" w:sz="4" w:space="0" w:color="auto"/>
            </w:tcBorders>
            <w:vAlign w:val="center"/>
          </w:tcPr>
          <w:p w14:paraId="7507F752" w14:textId="77777777" w:rsidR="00821227" w:rsidRPr="00217865" w:rsidRDefault="00821227" w:rsidP="00E06AED">
            <w:pPr>
              <w:pStyle w:val="Z"/>
              <w:jc w:val="center"/>
              <w:rPr>
                <w:color w:val="000000" w:themeColor="text1"/>
                <w:szCs w:val="18"/>
                <w:highlight w:val="yellow"/>
              </w:rPr>
            </w:pPr>
            <w:r w:rsidRPr="00217865">
              <w:rPr>
                <w:color w:val="000000" w:themeColor="text1"/>
              </w:rPr>
              <w:t>79.2 (78.0, 80.3)</w:t>
            </w:r>
          </w:p>
        </w:tc>
        <w:tc>
          <w:tcPr>
            <w:tcW w:w="323" w:type="pct"/>
            <w:tcBorders>
              <w:top w:val="single" w:sz="4" w:space="0" w:color="auto"/>
              <w:left w:val="single" w:sz="4" w:space="0" w:color="auto"/>
              <w:bottom w:val="single" w:sz="4" w:space="0" w:color="auto"/>
              <w:right w:val="single" w:sz="4" w:space="0" w:color="auto"/>
            </w:tcBorders>
            <w:vAlign w:val="center"/>
          </w:tcPr>
          <w:p w14:paraId="4DA802D2" w14:textId="77777777" w:rsidR="00821227" w:rsidRPr="00217865" w:rsidRDefault="00821227" w:rsidP="00E06AED">
            <w:pPr>
              <w:pStyle w:val="Z"/>
              <w:jc w:val="center"/>
              <w:rPr>
                <w:color w:val="000000" w:themeColor="text1"/>
                <w:szCs w:val="18"/>
                <w:highlight w:val="yellow"/>
              </w:rPr>
            </w:pPr>
            <w:r w:rsidRPr="00217865">
              <w:rPr>
                <w:color w:val="000000" w:themeColor="text1"/>
              </w:rPr>
              <w:t>80.6 (79.4, 81.8)</w:t>
            </w:r>
          </w:p>
        </w:tc>
        <w:tc>
          <w:tcPr>
            <w:tcW w:w="323" w:type="pct"/>
            <w:tcBorders>
              <w:top w:val="single" w:sz="4" w:space="0" w:color="auto"/>
              <w:left w:val="single" w:sz="4" w:space="0" w:color="auto"/>
              <w:bottom w:val="single" w:sz="4" w:space="0" w:color="auto"/>
              <w:right w:val="single" w:sz="4" w:space="0" w:color="auto"/>
            </w:tcBorders>
            <w:vAlign w:val="center"/>
          </w:tcPr>
          <w:p w14:paraId="4181053C" w14:textId="77777777" w:rsidR="00821227" w:rsidRPr="00217865" w:rsidRDefault="00821227" w:rsidP="00E06AED">
            <w:pPr>
              <w:pStyle w:val="Z"/>
              <w:jc w:val="center"/>
              <w:rPr>
                <w:color w:val="000000" w:themeColor="text1"/>
                <w:szCs w:val="18"/>
                <w:highlight w:val="yellow"/>
              </w:rPr>
            </w:pPr>
            <w:r w:rsidRPr="00217865">
              <w:rPr>
                <w:color w:val="000000" w:themeColor="text1"/>
              </w:rPr>
              <w:t>71.9 (70.5, 73.3)</w:t>
            </w:r>
          </w:p>
        </w:tc>
        <w:tc>
          <w:tcPr>
            <w:tcW w:w="323" w:type="pct"/>
            <w:tcBorders>
              <w:top w:val="single" w:sz="4" w:space="0" w:color="auto"/>
              <w:left w:val="single" w:sz="4" w:space="0" w:color="auto"/>
              <w:bottom w:val="single" w:sz="4" w:space="0" w:color="auto"/>
              <w:right w:val="single" w:sz="4" w:space="0" w:color="auto"/>
            </w:tcBorders>
            <w:vAlign w:val="center"/>
          </w:tcPr>
          <w:p w14:paraId="0DB2AB90" w14:textId="77777777" w:rsidR="00821227" w:rsidRPr="00217865" w:rsidRDefault="00821227" w:rsidP="00E06AED">
            <w:pPr>
              <w:pStyle w:val="Z"/>
              <w:jc w:val="center"/>
              <w:rPr>
                <w:color w:val="000000" w:themeColor="text1"/>
                <w:szCs w:val="18"/>
                <w:highlight w:val="yellow"/>
              </w:rPr>
            </w:pPr>
            <w:r w:rsidRPr="00217865">
              <w:rPr>
                <w:color w:val="000000" w:themeColor="text1"/>
              </w:rPr>
              <w:t>74.0 (72.5, 75.5)</w:t>
            </w:r>
          </w:p>
        </w:tc>
        <w:tc>
          <w:tcPr>
            <w:tcW w:w="322" w:type="pct"/>
            <w:tcBorders>
              <w:top w:val="single" w:sz="4" w:space="0" w:color="auto"/>
              <w:left w:val="single" w:sz="4" w:space="0" w:color="auto"/>
              <w:bottom w:val="single" w:sz="4" w:space="0" w:color="auto"/>
              <w:right w:val="single" w:sz="4" w:space="0" w:color="auto"/>
            </w:tcBorders>
            <w:vAlign w:val="center"/>
          </w:tcPr>
          <w:p w14:paraId="1A6C61D8" w14:textId="77777777" w:rsidR="00821227" w:rsidRPr="00217865" w:rsidRDefault="00821227" w:rsidP="00E06AED">
            <w:pPr>
              <w:pStyle w:val="Z"/>
              <w:jc w:val="center"/>
              <w:rPr>
                <w:color w:val="000000" w:themeColor="text1"/>
                <w:szCs w:val="18"/>
                <w:highlight w:val="yellow"/>
              </w:rPr>
            </w:pPr>
            <w:r w:rsidRPr="00217865">
              <w:rPr>
                <w:color w:val="000000" w:themeColor="text1"/>
              </w:rPr>
              <w:t>85.0 (83.8, 86.0)</w:t>
            </w:r>
          </w:p>
        </w:tc>
        <w:tc>
          <w:tcPr>
            <w:tcW w:w="323" w:type="pct"/>
            <w:tcBorders>
              <w:top w:val="single" w:sz="4" w:space="0" w:color="auto"/>
              <w:left w:val="single" w:sz="4" w:space="0" w:color="auto"/>
              <w:bottom w:val="single" w:sz="4" w:space="0" w:color="auto"/>
              <w:right w:val="single" w:sz="4" w:space="0" w:color="auto"/>
            </w:tcBorders>
            <w:vAlign w:val="center"/>
          </w:tcPr>
          <w:p w14:paraId="4AF26D97" w14:textId="77777777" w:rsidR="00821227" w:rsidRPr="00217865" w:rsidRDefault="00821227" w:rsidP="00E06AED">
            <w:pPr>
              <w:pStyle w:val="Z"/>
              <w:jc w:val="center"/>
              <w:rPr>
                <w:color w:val="000000" w:themeColor="text1"/>
                <w:szCs w:val="18"/>
                <w:highlight w:val="yellow"/>
              </w:rPr>
            </w:pPr>
            <w:r w:rsidRPr="00217865">
              <w:rPr>
                <w:color w:val="000000" w:themeColor="text1"/>
              </w:rPr>
              <w:t>87.2 (86.0, 88.2)</w:t>
            </w:r>
          </w:p>
        </w:tc>
        <w:tc>
          <w:tcPr>
            <w:tcW w:w="323" w:type="pct"/>
            <w:tcBorders>
              <w:top w:val="single" w:sz="4" w:space="0" w:color="auto"/>
              <w:left w:val="single" w:sz="4" w:space="0" w:color="auto"/>
              <w:bottom w:val="single" w:sz="4" w:space="0" w:color="auto"/>
              <w:right w:val="single" w:sz="4" w:space="0" w:color="auto"/>
            </w:tcBorders>
            <w:vAlign w:val="center"/>
          </w:tcPr>
          <w:p w14:paraId="516316B1" w14:textId="77777777" w:rsidR="00821227" w:rsidRPr="00217865" w:rsidRDefault="00821227" w:rsidP="00E06AED">
            <w:pPr>
              <w:pStyle w:val="Z"/>
              <w:jc w:val="center"/>
              <w:rPr>
                <w:color w:val="000000" w:themeColor="text1"/>
                <w:szCs w:val="18"/>
                <w:highlight w:val="yellow"/>
              </w:rPr>
            </w:pPr>
            <w:r w:rsidRPr="00217865">
              <w:rPr>
                <w:color w:val="000000" w:themeColor="text1"/>
              </w:rPr>
              <w:t>72.7 (71.4, 73.9)</w:t>
            </w:r>
          </w:p>
        </w:tc>
        <w:tc>
          <w:tcPr>
            <w:tcW w:w="323" w:type="pct"/>
            <w:tcBorders>
              <w:top w:val="single" w:sz="4" w:space="0" w:color="auto"/>
              <w:left w:val="single" w:sz="4" w:space="0" w:color="auto"/>
              <w:bottom w:val="single" w:sz="4" w:space="0" w:color="auto"/>
              <w:right w:val="single" w:sz="4" w:space="0" w:color="auto"/>
            </w:tcBorders>
            <w:vAlign w:val="center"/>
          </w:tcPr>
          <w:p w14:paraId="616A6029" w14:textId="77777777" w:rsidR="00821227" w:rsidRPr="00217865" w:rsidRDefault="00821227" w:rsidP="00E06AED">
            <w:pPr>
              <w:pStyle w:val="Z"/>
              <w:jc w:val="center"/>
              <w:rPr>
                <w:color w:val="000000" w:themeColor="text1"/>
                <w:szCs w:val="18"/>
                <w:highlight w:val="yellow"/>
              </w:rPr>
            </w:pPr>
            <w:r w:rsidRPr="00217865">
              <w:rPr>
                <w:color w:val="000000" w:themeColor="text1"/>
              </w:rPr>
              <w:t>74.0 (72.6, 75.3)</w:t>
            </w:r>
          </w:p>
        </w:tc>
      </w:tr>
      <w:tr w:rsidR="00217865" w:rsidRPr="00217865" w14:paraId="09255F40"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C22362F" w14:textId="77777777" w:rsidR="00821227" w:rsidRPr="00217865" w:rsidRDefault="00821227" w:rsidP="002611FF">
            <w:pPr>
              <w:pStyle w:val="Z"/>
              <w:rPr>
                <w:color w:val="000000" w:themeColor="text1"/>
                <w:szCs w:val="18"/>
                <w:highlight w:val="yellow"/>
              </w:rPr>
            </w:pPr>
            <w:r w:rsidRPr="00217865">
              <w:rPr>
                <w:color w:val="000000" w:themeColor="text1"/>
              </w:rPr>
              <w:t>University of Newcastle</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785A7C6" w14:textId="77777777" w:rsidR="00821227" w:rsidRPr="00217865" w:rsidRDefault="00821227" w:rsidP="00E06AED">
            <w:pPr>
              <w:pStyle w:val="Z"/>
              <w:jc w:val="center"/>
              <w:rPr>
                <w:color w:val="000000" w:themeColor="text1"/>
                <w:szCs w:val="18"/>
                <w:highlight w:val="yellow"/>
              </w:rPr>
            </w:pPr>
            <w:r w:rsidRPr="00217865">
              <w:rPr>
                <w:color w:val="000000" w:themeColor="text1"/>
              </w:rPr>
              <w:t>80.7 (77.0, 83.7)</w:t>
            </w:r>
          </w:p>
        </w:tc>
        <w:tc>
          <w:tcPr>
            <w:tcW w:w="323" w:type="pct"/>
            <w:tcBorders>
              <w:top w:val="single" w:sz="4" w:space="0" w:color="auto"/>
              <w:left w:val="single" w:sz="4" w:space="0" w:color="auto"/>
              <w:bottom w:val="single" w:sz="4" w:space="0" w:color="auto"/>
              <w:right w:val="single" w:sz="4" w:space="0" w:color="auto"/>
            </w:tcBorders>
            <w:vAlign w:val="center"/>
          </w:tcPr>
          <w:p w14:paraId="5D825D20" w14:textId="77777777" w:rsidR="00821227" w:rsidRPr="00217865" w:rsidRDefault="00821227" w:rsidP="00E06AED">
            <w:pPr>
              <w:pStyle w:val="Z"/>
              <w:jc w:val="center"/>
              <w:rPr>
                <w:color w:val="000000" w:themeColor="text1"/>
                <w:szCs w:val="18"/>
                <w:highlight w:val="yellow"/>
              </w:rPr>
            </w:pPr>
            <w:r w:rsidRPr="00217865">
              <w:rPr>
                <w:color w:val="000000" w:themeColor="text1"/>
              </w:rPr>
              <w:t>86.0 (82.6, 88.8)</w:t>
            </w:r>
          </w:p>
        </w:tc>
        <w:tc>
          <w:tcPr>
            <w:tcW w:w="323" w:type="pct"/>
            <w:tcBorders>
              <w:top w:val="single" w:sz="4" w:space="0" w:color="auto"/>
              <w:left w:val="single" w:sz="4" w:space="0" w:color="auto"/>
              <w:bottom w:val="single" w:sz="4" w:space="0" w:color="auto"/>
              <w:right w:val="single" w:sz="4" w:space="0" w:color="auto"/>
            </w:tcBorders>
            <w:vAlign w:val="center"/>
          </w:tcPr>
          <w:p w14:paraId="6D3B7AC0" w14:textId="77777777" w:rsidR="00821227" w:rsidRPr="00217865" w:rsidRDefault="00821227" w:rsidP="00E06AED">
            <w:pPr>
              <w:pStyle w:val="Z"/>
              <w:jc w:val="center"/>
              <w:rPr>
                <w:color w:val="000000" w:themeColor="text1"/>
                <w:szCs w:val="18"/>
                <w:highlight w:val="yellow"/>
              </w:rPr>
            </w:pPr>
            <w:r w:rsidRPr="00217865">
              <w:rPr>
                <w:color w:val="000000" w:themeColor="text1"/>
              </w:rPr>
              <w:t>49.8 (45.7, 54.0)</w:t>
            </w:r>
          </w:p>
        </w:tc>
        <w:tc>
          <w:tcPr>
            <w:tcW w:w="323" w:type="pct"/>
            <w:tcBorders>
              <w:top w:val="single" w:sz="4" w:space="0" w:color="auto"/>
              <w:left w:val="single" w:sz="4" w:space="0" w:color="auto"/>
              <w:bottom w:val="single" w:sz="4" w:space="0" w:color="auto"/>
              <w:right w:val="single" w:sz="4" w:space="0" w:color="auto"/>
            </w:tcBorders>
            <w:vAlign w:val="center"/>
          </w:tcPr>
          <w:p w14:paraId="1DE107B2" w14:textId="77777777" w:rsidR="00821227" w:rsidRPr="00217865" w:rsidRDefault="00821227" w:rsidP="00E06AED">
            <w:pPr>
              <w:pStyle w:val="Z"/>
              <w:jc w:val="center"/>
              <w:rPr>
                <w:color w:val="000000" w:themeColor="text1"/>
                <w:szCs w:val="18"/>
                <w:highlight w:val="yellow"/>
              </w:rPr>
            </w:pPr>
            <w:r w:rsidRPr="00217865">
              <w:rPr>
                <w:color w:val="000000" w:themeColor="text1"/>
              </w:rPr>
              <w:t>63.4 (59.0, 67.5)</w:t>
            </w:r>
          </w:p>
        </w:tc>
        <w:tc>
          <w:tcPr>
            <w:tcW w:w="322" w:type="pct"/>
            <w:tcBorders>
              <w:top w:val="single" w:sz="4" w:space="0" w:color="auto"/>
              <w:left w:val="single" w:sz="4" w:space="0" w:color="auto"/>
              <w:bottom w:val="single" w:sz="4" w:space="0" w:color="auto"/>
              <w:right w:val="single" w:sz="4" w:space="0" w:color="auto"/>
            </w:tcBorders>
            <w:vAlign w:val="center"/>
          </w:tcPr>
          <w:p w14:paraId="5CF0F986" w14:textId="77777777" w:rsidR="00821227" w:rsidRPr="00217865" w:rsidRDefault="00821227" w:rsidP="00E06AED">
            <w:pPr>
              <w:pStyle w:val="Z"/>
              <w:jc w:val="center"/>
              <w:rPr>
                <w:color w:val="000000" w:themeColor="text1"/>
                <w:szCs w:val="18"/>
                <w:highlight w:val="yellow"/>
              </w:rPr>
            </w:pPr>
            <w:r w:rsidRPr="00217865">
              <w:rPr>
                <w:color w:val="000000" w:themeColor="text1"/>
              </w:rPr>
              <w:t>77.0 (73.2, 80.3)</w:t>
            </w:r>
          </w:p>
        </w:tc>
        <w:tc>
          <w:tcPr>
            <w:tcW w:w="323" w:type="pct"/>
            <w:tcBorders>
              <w:top w:val="single" w:sz="4" w:space="0" w:color="auto"/>
              <w:left w:val="single" w:sz="4" w:space="0" w:color="auto"/>
              <w:bottom w:val="single" w:sz="4" w:space="0" w:color="auto"/>
              <w:right w:val="single" w:sz="4" w:space="0" w:color="auto"/>
            </w:tcBorders>
            <w:vAlign w:val="center"/>
          </w:tcPr>
          <w:p w14:paraId="23A17CEC" w14:textId="77777777" w:rsidR="00821227" w:rsidRPr="00217865" w:rsidRDefault="00821227" w:rsidP="00E06AED">
            <w:pPr>
              <w:pStyle w:val="Z"/>
              <w:jc w:val="center"/>
              <w:rPr>
                <w:color w:val="000000" w:themeColor="text1"/>
                <w:szCs w:val="18"/>
                <w:highlight w:val="yellow"/>
              </w:rPr>
            </w:pPr>
            <w:r w:rsidRPr="00217865">
              <w:rPr>
                <w:color w:val="000000" w:themeColor="text1"/>
              </w:rPr>
              <w:t>85.8 (82.3, 88.5)</w:t>
            </w:r>
          </w:p>
        </w:tc>
        <w:tc>
          <w:tcPr>
            <w:tcW w:w="323" w:type="pct"/>
            <w:tcBorders>
              <w:top w:val="single" w:sz="4" w:space="0" w:color="auto"/>
              <w:left w:val="single" w:sz="4" w:space="0" w:color="auto"/>
              <w:bottom w:val="single" w:sz="4" w:space="0" w:color="auto"/>
              <w:right w:val="single" w:sz="4" w:space="0" w:color="auto"/>
            </w:tcBorders>
            <w:vAlign w:val="center"/>
          </w:tcPr>
          <w:p w14:paraId="05422B27" w14:textId="77777777" w:rsidR="00821227" w:rsidRPr="00217865" w:rsidRDefault="00821227" w:rsidP="00E06AED">
            <w:pPr>
              <w:pStyle w:val="Z"/>
              <w:jc w:val="center"/>
              <w:rPr>
                <w:color w:val="000000" w:themeColor="text1"/>
                <w:szCs w:val="18"/>
                <w:highlight w:val="yellow"/>
              </w:rPr>
            </w:pPr>
            <w:r w:rsidRPr="00217865">
              <w:rPr>
                <w:color w:val="000000" w:themeColor="text1"/>
              </w:rPr>
              <w:t>66.3 (61.9, 70.3)</w:t>
            </w:r>
          </w:p>
        </w:tc>
        <w:tc>
          <w:tcPr>
            <w:tcW w:w="323" w:type="pct"/>
            <w:tcBorders>
              <w:top w:val="single" w:sz="4" w:space="0" w:color="auto"/>
              <w:left w:val="single" w:sz="4" w:space="0" w:color="auto"/>
              <w:bottom w:val="single" w:sz="4" w:space="0" w:color="auto"/>
              <w:right w:val="single" w:sz="4" w:space="0" w:color="auto"/>
            </w:tcBorders>
            <w:vAlign w:val="center"/>
          </w:tcPr>
          <w:p w14:paraId="567E1A3C" w14:textId="77777777" w:rsidR="00821227" w:rsidRPr="00217865" w:rsidRDefault="00821227" w:rsidP="00E06AED">
            <w:pPr>
              <w:pStyle w:val="Z"/>
              <w:jc w:val="center"/>
              <w:rPr>
                <w:color w:val="000000" w:themeColor="text1"/>
                <w:szCs w:val="18"/>
                <w:highlight w:val="yellow"/>
              </w:rPr>
            </w:pPr>
            <w:r w:rsidRPr="00217865">
              <w:rPr>
                <w:color w:val="000000" w:themeColor="text1"/>
              </w:rPr>
              <w:t>80.8 (76.6, 84.2)</w:t>
            </w:r>
          </w:p>
        </w:tc>
        <w:tc>
          <w:tcPr>
            <w:tcW w:w="322" w:type="pct"/>
            <w:tcBorders>
              <w:top w:val="single" w:sz="4" w:space="0" w:color="auto"/>
              <w:left w:val="single" w:sz="4" w:space="0" w:color="auto"/>
              <w:bottom w:val="single" w:sz="4" w:space="0" w:color="auto"/>
              <w:right w:val="single" w:sz="4" w:space="0" w:color="auto"/>
            </w:tcBorders>
            <w:vAlign w:val="center"/>
          </w:tcPr>
          <w:p w14:paraId="3EC149F0" w14:textId="77777777" w:rsidR="00821227" w:rsidRPr="00217865" w:rsidRDefault="00821227" w:rsidP="00E06AED">
            <w:pPr>
              <w:pStyle w:val="Z"/>
              <w:jc w:val="center"/>
              <w:rPr>
                <w:color w:val="000000" w:themeColor="text1"/>
                <w:szCs w:val="18"/>
                <w:highlight w:val="yellow"/>
              </w:rPr>
            </w:pPr>
            <w:r w:rsidRPr="00217865">
              <w:rPr>
                <w:color w:val="000000" w:themeColor="text1"/>
              </w:rPr>
              <w:t>84.2 (80.5, 87.1)</w:t>
            </w:r>
          </w:p>
        </w:tc>
        <w:tc>
          <w:tcPr>
            <w:tcW w:w="323" w:type="pct"/>
            <w:tcBorders>
              <w:top w:val="single" w:sz="4" w:space="0" w:color="auto"/>
              <w:left w:val="single" w:sz="4" w:space="0" w:color="auto"/>
              <w:bottom w:val="single" w:sz="4" w:space="0" w:color="auto"/>
              <w:right w:val="single" w:sz="4" w:space="0" w:color="auto"/>
            </w:tcBorders>
            <w:vAlign w:val="center"/>
          </w:tcPr>
          <w:p w14:paraId="183E435F" w14:textId="77777777" w:rsidR="00821227" w:rsidRPr="00217865" w:rsidRDefault="00821227" w:rsidP="00E06AED">
            <w:pPr>
              <w:pStyle w:val="Z"/>
              <w:jc w:val="center"/>
              <w:rPr>
                <w:color w:val="000000" w:themeColor="text1"/>
                <w:szCs w:val="18"/>
                <w:highlight w:val="yellow"/>
              </w:rPr>
            </w:pPr>
            <w:r w:rsidRPr="00217865">
              <w:rPr>
                <w:color w:val="000000" w:themeColor="text1"/>
              </w:rPr>
              <w:t>84.3 (80.7, 87.2)</w:t>
            </w:r>
          </w:p>
        </w:tc>
        <w:tc>
          <w:tcPr>
            <w:tcW w:w="323" w:type="pct"/>
            <w:tcBorders>
              <w:top w:val="single" w:sz="4" w:space="0" w:color="auto"/>
              <w:left w:val="single" w:sz="4" w:space="0" w:color="auto"/>
              <w:bottom w:val="single" w:sz="4" w:space="0" w:color="auto"/>
              <w:right w:val="single" w:sz="4" w:space="0" w:color="auto"/>
            </w:tcBorders>
            <w:vAlign w:val="center"/>
          </w:tcPr>
          <w:p w14:paraId="27AB5C6B" w14:textId="77777777" w:rsidR="00821227" w:rsidRPr="00217865" w:rsidRDefault="00821227" w:rsidP="00E06AED">
            <w:pPr>
              <w:pStyle w:val="Z"/>
              <w:jc w:val="center"/>
              <w:rPr>
                <w:color w:val="000000" w:themeColor="text1"/>
                <w:szCs w:val="18"/>
                <w:highlight w:val="yellow"/>
              </w:rPr>
            </w:pPr>
            <w:r w:rsidRPr="00217865">
              <w:rPr>
                <w:color w:val="000000" w:themeColor="text1"/>
              </w:rPr>
              <w:t>71.9 (67.9, 75.4)</w:t>
            </w:r>
          </w:p>
        </w:tc>
        <w:tc>
          <w:tcPr>
            <w:tcW w:w="323" w:type="pct"/>
            <w:tcBorders>
              <w:top w:val="single" w:sz="4" w:space="0" w:color="auto"/>
              <w:left w:val="single" w:sz="4" w:space="0" w:color="auto"/>
              <w:bottom w:val="single" w:sz="4" w:space="0" w:color="auto"/>
              <w:right w:val="single" w:sz="4" w:space="0" w:color="auto"/>
            </w:tcBorders>
            <w:vAlign w:val="center"/>
          </w:tcPr>
          <w:p w14:paraId="74054498" w14:textId="77777777" w:rsidR="00821227" w:rsidRPr="00217865" w:rsidRDefault="00821227" w:rsidP="00E06AED">
            <w:pPr>
              <w:pStyle w:val="Z"/>
              <w:jc w:val="center"/>
              <w:rPr>
                <w:color w:val="000000" w:themeColor="text1"/>
                <w:szCs w:val="18"/>
                <w:highlight w:val="yellow"/>
              </w:rPr>
            </w:pPr>
            <w:r w:rsidRPr="00217865">
              <w:rPr>
                <w:color w:val="000000" w:themeColor="text1"/>
              </w:rPr>
              <w:t>78.0 (74.1, 81.4)</w:t>
            </w:r>
          </w:p>
        </w:tc>
      </w:tr>
      <w:tr w:rsidR="00217865" w:rsidRPr="00217865" w14:paraId="7AE21642"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9C3E09B" w14:textId="77777777" w:rsidR="00821227" w:rsidRPr="00217865" w:rsidRDefault="00821227" w:rsidP="002611FF">
            <w:pPr>
              <w:pStyle w:val="Z"/>
              <w:rPr>
                <w:color w:val="000000" w:themeColor="text1"/>
                <w:szCs w:val="18"/>
                <w:highlight w:val="yellow"/>
              </w:rPr>
            </w:pPr>
            <w:r w:rsidRPr="00217865">
              <w:rPr>
                <w:color w:val="000000" w:themeColor="text1"/>
              </w:rPr>
              <w:t>University of Southern Queensland</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8C89A6" w14:textId="77777777" w:rsidR="00821227" w:rsidRPr="00217865" w:rsidRDefault="00821227" w:rsidP="00E06AED">
            <w:pPr>
              <w:pStyle w:val="Z"/>
              <w:jc w:val="center"/>
              <w:rPr>
                <w:color w:val="000000" w:themeColor="text1"/>
                <w:szCs w:val="18"/>
                <w:highlight w:val="yellow"/>
              </w:rPr>
            </w:pPr>
            <w:r w:rsidRPr="00217865">
              <w:rPr>
                <w:color w:val="000000" w:themeColor="text1"/>
              </w:rPr>
              <w:t>88.6 (84.6, 91.4)</w:t>
            </w:r>
          </w:p>
        </w:tc>
        <w:tc>
          <w:tcPr>
            <w:tcW w:w="323" w:type="pct"/>
            <w:tcBorders>
              <w:top w:val="single" w:sz="4" w:space="0" w:color="auto"/>
              <w:left w:val="single" w:sz="4" w:space="0" w:color="auto"/>
              <w:bottom w:val="single" w:sz="4" w:space="0" w:color="auto"/>
              <w:right w:val="single" w:sz="4" w:space="0" w:color="auto"/>
            </w:tcBorders>
            <w:vAlign w:val="center"/>
          </w:tcPr>
          <w:p w14:paraId="2C89A283" w14:textId="77777777" w:rsidR="00821227" w:rsidRPr="00217865" w:rsidRDefault="00821227" w:rsidP="00E06AED">
            <w:pPr>
              <w:pStyle w:val="Z"/>
              <w:jc w:val="center"/>
              <w:rPr>
                <w:color w:val="000000" w:themeColor="text1"/>
                <w:szCs w:val="18"/>
                <w:highlight w:val="yellow"/>
              </w:rPr>
            </w:pPr>
            <w:r w:rsidRPr="00217865">
              <w:rPr>
                <w:color w:val="000000" w:themeColor="text1"/>
              </w:rPr>
              <w:t>88.8 (84.8, 91.4)</w:t>
            </w:r>
          </w:p>
        </w:tc>
        <w:tc>
          <w:tcPr>
            <w:tcW w:w="323" w:type="pct"/>
            <w:tcBorders>
              <w:top w:val="single" w:sz="4" w:space="0" w:color="auto"/>
              <w:left w:val="single" w:sz="4" w:space="0" w:color="auto"/>
              <w:bottom w:val="single" w:sz="4" w:space="0" w:color="auto"/>
              <w:right w:val="single" w:sz="4" w:space="0" w:color="auto"/>
            </w:tcBorders>
            <w:vAlign w:val="center"/>
          </w:tcPr>
          <w:p w14:paraId="372C4313" w14:textId="77777777" w:rsidR="00821227" w:rsidRPr="00217865" w:rsidRDefault="00821227" w:rsidP="00E06AED">
            <w:pPr>
              <w:pStyle w:val="Z"/>
              <w:jc w:val="center"/>
              <w:rPr>
                <w:color w:val="000000" w:themeColor="text1"/>
                <w:szCs w:val="18"/>
                <w:highlight w:val="yellow"/>
              </w:rPr>
            </w:pPr>
            <w:r w:rsidRPr="00217865">
              <w:rPr>
                <w:color w:val="000000" w:themeColor="text1"/>
              </w:rPr>
              <w:t>57.8 (52.7, 62.7)</w:t>
            </w:r>
          </w:p>
        </w:tc>
        <w:tc>
          <w:tcPr>
            <w:tcW w:w="323" w:type="pct"/>
            <w:tcBorders>
              <w:top w:val="single" w:sz="4" w:space="0" w:color="auto"/>
              <w:left w:val="single" w:sz="4" w:space="0" w:color="auto"/>
              <w:bottom w:val="single" w:sz="4" w:space="0" w:color="auto"/>
              <w:right w:val="single" w:sz="4" w:space="0" w:color="auto"/>
            </w:tcBorders>
            <w:vAlign w:val="center"/>
          </w:tcPr>
          <w:p w14:paraId="3815EE52" w14:textId="77777777" w:rsidR="00821227" w:rsidRPr="00217865" w:rsidRDefault="00821227" w:rsidP="00E06AED">
            <w:pPr>
              <w:pStyle w:val="Z"/>
              <w:jc w:val="center"/>
              <w:rPr>
                <w:color w:val="000000" w:themeColor="text1"/>
                <w:szCs w:val="18"/>
                <w:highlight w:val="yellow"/>
              </w:rPr>
            </w:pPr>
            <w:r w:rsidRPr="00217865">
              <w:rPr>
                <w:color w:val="000000" w:themeColor="text1"/>
              </w:rPr>
              <w:t>62.4 (57.6, 66.9)</w:t>
            </w:r>
          </w:p>
        </w:tc>
        <w:tc>
          <w:tcPr>
            <w:tcW w:w="322" w:type="pct"/>
            <w:tcBorders>
              <w:top w:val="single" w:sz="4" w:space="0" w:color="auto"/>
              <w:left w:val="single" w:sz="4" w:space="0" w:color="auto"/>
              <w:bottom w:val="single" w:sz="4" w:space="0" w:color="auto"/>
              <w:right w:val="single" w:sz="4" w:space="0" w:color="auto"/>
            </w:tcBorders>
            <w:vAlign w:val="center"/>
          </w:tcPr>
          <w:p w14:paraId="3C647F07" w14:textId="77777777" w:rsidR="00821227" w:rsidRPr="00217865" w:rsidRDefault="00821227" w:rsidP="00E06AED">
            <w:pPr>
              <w:pStyle w:val="Z"/>
              <w:jc w:val="center"/>
              <w:rPr>
                <w:color w:val="000000" w:themeColor="text1"/>
                <w:szCs w:val="18"/>
                <w:highlight w:val="yellow"/>
              </w:rPr>
            </w:pPr>
            <w:r w:rsidRPr="00217865">
              <w:rPr>
                <w:color w:val="000000" w:themeColor="text1"/>
              </w:rPr>
              <w:t>84.0 (79.7, 87.3)</w:t>
            </w:r>
          </w:p>
        </w:tc>
        <w:tc>
          <w:tcPr>
            <w:tcW w:w="323" w:type="pct"/>
            <w:tcBorders>
              <w:top w:val="single" w:sz="4" w:space="0" w:color="auto"/>
              <w:left w:val="single" w:sz="4" w:space="0" w:color="auto"/>
              <w:bottom w:val="single" w:sz="4" w:space="0" w:color="auto"/>
              <w:right w:val="single" w:sz="4" w:space="0" w:color="auto"/>
            </w:tcBorders>
            <w:vAlign w:val="center"/>
          </w:tcPr>
          <w:p w14:paraId="766A1511" w14:textId="77777777" w:rsidR="00821227" w:rsidRPr="00217865" w:rsidRDefault="00821227" w:rsidP="00E06AED">
            <w:pPr>
              <w:pStyle w:val="Z"/>
              <w:jc w:val="center"/>
              <w:rPr>
                <w:color w:val="000000" w:themeColor="text1"/>
                <w:szCs w:val="18"/>
                <w:highlight w:val="yellow"/>
              </w:rPr>
            </w:pPr>
            <w:r w:rsidRPr="00217865">
              <w:rPr>
                <w:color w:val="000000" w:themeColor="text1"/>
              </w:rPr>
              <w:t>87.6 (83.7, 90.3)</w:t>
            </w:r>
          </w:p>
        </w:tc>
        <w:tc>
          <w:tcPr>
            <w:tcW w:w="323" w:type="pct"/>
            <w:tcBorders>
              <w:top w:val="single" w:sz="4" w:space="0" w:color="auto"/>
              <w:left w:val="single" w:sz="4" w:space="0" w:color="auto"/>
              <w:bottom w:val="single" w:sz="4" w:space="0" w:color="auto"/>
              <w:right w:val="single" w:sz="4" w:space="0" w:color="auto"/>
            </w:tcBorders>
            <w:vAlign w:val="center"/>
          </w:tcPr>
          <w:p w14:paraId="5EB73219" w14:textId="77777777" w:rsidR="00821227" w:rsidRPr="00217865" w:rsidRDefault="00821227" w:rsidP="00E06AED">
            <w:pPr>
              <w:pStyle w:val="Z"/>
              <w:jc w:val="center"/>
              <w:rPr>
                <w:color w:val="000000" w:themeColor="text1"/>
                <w:szCs w:val="18"/>
                <w:highlight w:val="yellow"/>
              </w:rPr>
            </w:pPr>
            <w:r w:rsidRPr="00217865">
              <w:rPr>
                <w:color w:val="000000" w:themeColor="text1"/>
              </w:rPr>
              <w:t>81.9 (77.3, 85.5)</w:t>
            </w:r>
          </w:p>
        </w:tc>
        <w:tc>
          <w:tcPr>
            <w:tcW w:w="323" w:type="pct"/>
            <w:tcBorders>
              <w:top w:val="single" w:sz="4" w:space="0" w:color="auto"/>
              <w:left w:val="single" w:sz="4" w:space="0" w:color="auto"/>
              <w:bottom w:val="single" w:sz="4" w:space="0" w:color="auto"/>
              <w:right w:val="single" w:sz="4" w:space="0" w:color="auto"/>
            </w:tcBorders>
            <w:vAlign w:val="center"/>
          </w:tcPr>
          <w:p w14:paraId="3509CBEA" w14:textId="77777777" w:rsidR="00821227" w:rsidRPr="00217865" w:rsidRDefault="00821227" w:rsidP="00E06AED">
            <w:pPr>
              <w:pStyle w:val="Z"/>
              <w:jc w:val="center"/>
              <w:rPr>
                <w:color w:val="000000" w:themeColor="text1"/>
                <w:szCs w:val="18"/>
                <w:highlight w:val="yellow"/>
              </w:rPr>
            </w:pPr>
            <w:r w:rsidRPr="00217865">
              <w:rPr>
                <w:color w:val="000000" w:themeColor="text1"/>
              </w:rPr>
              <w:t>89.9 (85.9, 92.5)</w:t>
            </w:r>
          </w:p>
        </w:tc>
        <w:tc>
          <w:tcPr>
            <w:tcW w:w="322" w:type="pct"/>
            <w:tcBorders>
              <w:top w:val="single" w:sz="4" w:space="0" w:color="auto"/>
              <w:left w:val="single" w:sz="4" w:space="0" w:color="auto"/>
              <w:bottom w:val="single" w:sz="4" w:space="0" w:color="auto"/>
              <w:right w:val="single" w:sz="4" w:space="0" w:color="auto"/>
            </w:tcBorders>
            <w:vAlign w:val="center"/>
          </w:tcPr>
          <w:p w14:paraId="53E099E3" w14:textId="77777777" w:rsidR="00821227" w:rsidRPr="00217865" w:rsidRDefault="00821227" w:rsidP="00E06AED">
            <w:pPr>
              <w:pStyle w:val="Z"/>
              <w:jc w:val="center"/>
              <w:rPr>
                <w:color w:val="000000" w:themeColor="text1"/>
                <w:szCs w:val="18"/>
                <w:highlight w:val="yellow"/>
              </w:rPr>
            </w:pPr>
            <w:r w:rsidRPr="00217865">
              <w:rPr>
                <w:color w:val="000000" w:themeColor="text1"/>
              </w:rPr>
              <w:t>92.4 (88.8, 94.6)</w:t>
            </w:r>
          </w:p>
        </w:tc>
        <w:tc>
          <w:tcPr>
            <w:tcW w:w="323" w:type="pct"/>
            <w:tcBorders>
              <w:top w:val="single" w:sz="4" w:space="0" w:color="auto"/>
              <w:left w:val="single" w:sz="4" w:space="0" w:color="auto"/>
              <w:bottom w:val="single" w:sz="4" w:space="0" w:color="auto"/>
              <w:right w:val="single" w:sz="4" w:space="0" w:color="auto"/>
            </w:tcBorders>
            <w:vAlign w:val="center"/>
          </w:tcPr>
          <w:p w14:paraId="6A7C770C" w14:textId="77777777" w:rsidR="00821227" w:rsidRPr="00217865" w:rsidRDefault="00821227" w:rsidP="00E06AED">
            <w:pPr>
              <w:pStyle w:val="Z"/>
              <w:jc w:val="center"/>
              <w:rPr>
                <w:color w:val="000000" w:themeColor="text1"/>
                <w:szCs w:val="18"/>
                <w:highlight w:val="yellow"/>
              </w:rPr>
            </w:pPr>
            <w:r w:rsidRPr="00217865">
              <w:rPr>
                <w:color w:val="000000" w:themeColor="text1"/>
              </w:rPr>
              <w:t>91.9 (88.4, 94.1)</w:t>
            </w:r>
          </w:p>
        </w:tc>
        <w:tc>
          <w:tcPr>
            <w:tcW w:w="323" w:type="pct"/>
            <w:tcBorders>
              <w:top w:val="single" w:sz="4" w:space="0" w:color="auto"/>
              <w:left w:val="single" w:sz="4" w:space="0" w:color="auto"/>
              <w:bottom w:val="single" w:sz="4" w:space="0" w:color="auto"/>
              <w:right w:val="single" w:sz="4" w:space="0" w:color="auto"/>
            </w:tcBorders>
            <w:vAlign w:val="center"/>
          </w:tcPr>
          <w:p w14:paraId="43F0028B" w14:textId="77777777" w:rsidR="00821227" w:rsidRPr="00217865" w:rsidRDefault="00821227" w:rsidP="00E06AED">
            <w:pPr>
              <w:pStyle w:val="Z"/>
              <w:jc w:val="center"/>
              <w:rPr>
                <w:color w:val="000000" w:themeColor="text1"/>
                <w:szCs w:val="18"/>
                <w:highlight w:val="yellow"/>
              </w:rPr>
            </w:pPr>
            <w:r w:rsidRPr="00217865">
              <w:rPr>
                <w:color w:val="000000" w:themeColor="text1"/>
              </w:rPr>
              <w:t>80.7 (76.2, 84.2)</w:t>
            </w:r>
          </w:p>
        </w:tc>
        <w:tc>
          <w:tcPr>
            <w:tcW w:w="323" w:type="pct"/>
            <w:tcBorders>
              <w:top w:val="single" w:sz="4" w:space="0" w:color="auto"/>
              <w:left w:val="single" w:sz="4" w:space="0" w:color="auto"/>
              <w:bottom w:val="single" w:sz="4" w:space="0" w:color="auto"/>
              <w:right w:val="single" w:sz="4" w:space="0" w:color="auto"/>
            </w:tcBorders>
            <w:vAlign w:val="center"/>
          </w:tcPr>
          <w:p w14:paraId="699E59A6" w14:textId="77777777" w:rsidR="00821227" w:rsidRPr="00217865" w:rsidRDefault="00821227" w:rsidP="00E06AED">
            <w:pPr>
              <w:pStyle w:val="Z"/>
              <w:jc w:val="center"/>
              <w:rPr>
                <w:color w:val="000000" w:themeColor="text1"/>
                <w:szCs w:val="18"/>
                <w:highlight w:val="yellow"/>
              </w:rPr>
            </w:pPr>
            <w:r w:rsidRPr="00217865">
              <w:rPr>
                <w:color w:val="000000" w:themeColor="text1"/>
              </w:rPr>
              <w:t>82.2 (78.0, 85.5)</w:t>
            </w:r>
          </w:p>
        </w:tc>
      </w:tr>
      <w:tr w:rsidR="00217865" w:rsidRPr="00217865" w14:paraId="2A1CFE51"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E7CE3D4" w14:textId="77777777" w:rsidR="00821227" w:rsidRPr="00217865" w:rsidRDefault="00821227" w:rsidP="002611FF">
            <w:pPr>
              <w:pStyle w:val="Z"/>
              <w:rPr>
                <w:color w:val="000000" w:themeColor="text1"/>
                <w:szCs w:val="18"/>
                <w:highlight w:val="yellow"/>
              </w:rPr>
            </w:pPr>
            <w:r w:rsidRPr="00217865">
              <w:rPr>
                <w:color w:val="000000" w:themeColor="text1"/>
              </w:rPr>
              <w:t>University of Tasmania</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83D0D9D" w14:textId="77777777" w:rsidR="00821227" w:rsidRPr="00217865" w:rsidRDefault="00821227" w:rsidP="00E06AED">
            <w:pPr>
              <w:pStyle w:val="Z"/>
              <w:jc w:val="center"/>
              <w:rPr>
                <w:color w:val="000000" w:themeColor="text1"/>
                <w:szCs w:val="18"/>
                <w:highlight w:val="yellow"/>
              </w:rPr>
            </w:pPr>
            <w:r w:rsidRPr="00217865">
              <w:rPr>
                <w:color w:val="000000" w:themeColor="text1"/>
              </w:rPr>
              <w:t>77.8 (74.3, 80.9)</w:t>
            </w:r>
          </w:p>
        </w:tc>
        <w:tc>
          <w:tcPr>
            <w:tcW w:w="323" w:type="pct"/>
            <w:tcBorders>
              <w:top w:val="single" w:sz="4" w:space="0" w:color="auto"/>
              <w:left w:val="single" w:sz="4" w:space="0" w:color="auto"/>
              <w:bottom w:val="single" w:sz="4" w:space="0" w:color="auto"/>
              <w:right w:val="single" w:sz="4" w:space="0" w:color="auto"/>
            </w:tcBorders>
            <w:vAlign w:val="center"/>
          </w:tcPr>
          <w:p w14:paraId="49401275" w14:textId="77777777" w:rsidR="00821227" w:rsidRPr="00217865" w:rsidRDefault="00821227" w:rsidP="00E06AED">
            <w:pPr>
              <w:pStyle w:val="Z"/>
              <w:jc w:val="center"/>
              <w:rPr>
                <w:color w:val="000000" w:themeColor="text1"/>
                <w:szCs w:val="18"/>
                <w:highlight w:val="yellow"/>
              </w:rPr>
            </w:pPr>
            <w:r w:rsidRPr="00217865">
              <w:rPr>
                <w:color w:val="000000" w:themeColor="text1"/>
              </w:rPr>
              <w:t>76.7 (72.5, 80.3)</w:t>
            </w:r>
          </w:p>
        </w:tc>
        <w:tc>
          <w:tcPr>
            <w:tcW w:w="323" w:type="pct"/>
            <w:tcBorders>
              <w:top w:val="single" w:sz="4" w:space="0" w:color="auto"/>
              <w:left w:val="single" w:sz="4" w:space="0" w:color="auto"/>
              <w:bottom w:val="single" w:sz="4" w:space="0" w:color="auto"/>
              <w:right w:val="single" w:sz="4" w:space="0" w:color="auto"/>
            </w:tcBorders>
            <w:vAlign w:val="center"/>
          </w:tcPr>
          <w:p w14:paraId="3A10E4DA" w14:textId="77777777" w:rsidR="00821227" w:rsidRPr="00217865" w:rsidRDefault="00821227" w:rsidP="00E06AED">
            <w:pPr>
              <w:pStyle w:val="Z"/>
              <w:jc w:val="center"/>
              <w:rPr>
                <w:color w:val="000000" w:themeColor="text1"/>
                <w:szCs w:val="18"/>
                <w:highlight w:val="yellow"/>
              </w:rPr>
            </w:pPr>
            <w:r w:rsidRPr="00217865">
              <w:rPr>
                <w:color w:val="000000" w:themeColor="text1"/>
              </w:rPr>
              <w:t>53.2 (49.3, 57.0)</w:t>
            </w:r>
          </w:p>
        </w:tc>
        <w:tc>
          <w:tcPr>
            <w:tcW w:w="323" w:type="pct"/>
            <w:tcBorders>
              <w:top w:val="single" w:sz="4" w:space="0" w:color="auto"/>
              <w:left w:val="single" w:sz="4" w:space="0" w:color="auto"/>
              <w:bottom w:val="single" w:sz="4" w:space="0" w:color="auto"/>
              <w:right w:val="single" w:sz="4" w:space="0" w:color="auto"/>
            </w:tcBorders>
            <w:vAlign w:val="center"/>
          </w:tcPr>
          <w:p w14:paraId="35284A93" w14:textId="77777777" w:rsidR="00821227" w:rsidRPr="00217865" w:rsidRDefault="00821227" w:rsidP="00E06AED">
            <w:pPr>
              <w:pStyle w:val="Z"/>
              <w:jc w:val="center"/>
              <w:rPr>
                <w:color w:val="000000" w:themeColor="text1"/>
                <w:szCs w:val="18"/>
                <w:highlight w:val="yellow"/>
              </w:rPr>
            </w:pPr>
            <w:r w:rsidRPr="00217865">
              <w:rPr>
                <w:color w:val="000000" w:themeColor="text1"/>
              </w:rPr>
              <w:t>64.4 (60.0, 68.6)</w:t>
            </w:r>
          </w:p>
        </w:tc>
        <w:tc>
          <w:tcPr>
            <w:tcW w:w="322" w:type="pct"/>
            <w:tcBorders>
              <w:top w:val="single" w:sz="4" w:space="0" w:color="auto"/>
              <w:left w:val="single" w:sz="4" w:space="0" w:color="auto"/>
              <w:bottom w:val="single" w:sz="4" w:space="0" w:color="auto"/>
              <w:right w:val="single" w:sz="4" w:space="0" w:color="auto"/>
            </w:tcBorders>
            <w:vAlign w:val="center"/>
          </w:tcPr>
          <w:p w14:paraId="65C1B8E6" w14:textId="77777777" w:rsidR="00821227" w:rsidRPr="00217865" w:rsidRDefault="00821227" w:rsidP="00E06AED">
            <w:pPr>
              <w:pStyle w:val="Z"/>
              <w:jc w:val="center"/>
              <w:rPr>
                <w:color w:val="000000" w:themeColor="text1"/>
                <w:szCs w:val="18"/>
                <w:highlight w:val="yellow"/>
              </w:rPr>
            </w:pPr>
            <w:r w:rsidRPr="00217865">
              <w:rPr>
                <w:color w:val="000000" w:themeColor="text1"/>
              </w:rPr>
              <w:t>77.4 (73.9, 80.5)</w:t>
            </w:r>
          </w:p>
        </w:tc>
        <w:tc>
          <w:tcPr>
            <w:tcW w:w="323" w:type="pct"/>
            <w:tcBorders>
              <w:top w:val="single" w:sz="4" w:space="0" w:color="auto"/>
              <w:left w:val="single" w:sz="4" w:space="0" w:color="auto"/>
              <w:bottom w:val="single" w:sz="4" w:space="0" w:color="auto"/>
              <w:right w:val="single" w:sz="4" w:space="0" w:color="auto"/>
            </w:tcBorders>
            <w:vAlign w:val="center"/>
          </w:tcPr>
          <w:p w14:paraId="53DF450B" w14:textId="77777777" w:rsidR="00821227" w:rsidRPr="00217865" w:rsidRDefault="00821227" w:rsidP="00E06AED">
            <w:pPr>
              <w:pStyle w:val="Z"/>
              <w:jc w:val="center"/>
              <w:rPr>
                <w:color w:val="000000" w:themeColor="text1"/>
                <w:szCs w:val="18"/>
                <w:highlight w:val="yellow"/>
              </w:rPr>
            </w:pPr>
            <w:r w:rsidRPr="00217865">
              <w:rPr>
                <w:color w:val="000000" w:themeColor="text1"/>
              </w:rPr>
              <w:t>78.5 (74.4, 81.8)</w:t>
            </w:r>
          </w:p>
        </w:tc>
        <w:tc>
          <w:tcPr>
            <w:tcW w:w="323" w:type="pct"/>
            <w:tcBorders>
              <w:top w:val="single" w:sz="4" w:space="0" w:color="auto"/>
              <w:left w:val="single" w:sz="4" w:space="0" w:color="auto"/>
              <w:bottom w:val="single" w:sz="4" w:space="0" w:color="auto"/>
              <w:right w:val="single" w:sz="4" w:space="0" w:color="auto"/>
            </w:tcBorders>
            <w:vAlign w:val="center"/>
          </w:tcPr>
          <w:p w14:paraId="376889A5" w14:textId="77777777" w:rsidR="00821227" w:rsidRPr="00217865" w:rsidRDefault="00821227" w:rsidP="00E06AED">
            <w:pPr>
              <w:pStyle w:val="Z"/>
              <w:jc w:val="center"/>
              <w:rPr>
                <w:color w:val="000000" w:themeColor="text1"/>
                <w:szCs w:val="18"/>
                <w:highlight w:val="yellow"/>
              </w:rPr>
            </w:pPr>
            <w:r w:rsidRPr="00217865">
              <w:rPr>
                <w:color w:val="000000" w:themeColor="text1"/>
              </w:rPr>
              <w:t>75.5 (71.6, 78.8)</w:t>
            </w:r>
          </w:p>
        </w:tc>
        <w:tc>
          <w:tcPr>
            <w:tcW w:w="323" w:type="pct"/>
            <w:tcBorders>
              <w:top w:val="single" w:sz="4" w:space="0" w:color="auto"/>
              <w:left w:val="single" w:sz="4" w:space="0" w:color="auto"/>
              <w:bottom w:val="single" w:sz="4" w:space="0" w:color="auto"/>
              <w:right w:val="single" w:sz="4" w:space="0" w:color="auto"/>
            </w:tcBorders>
            <w:vAlign w:val="center"/>
          </w:tcPr>
          <w:p w14:paraId="40753FD4" w14:textId="77777777" w:rsidR="00821227" w:rsidRPr="00217865" w:rsidRDefault="00821227" w:rsidP="00E06AED">
            <w:pPr>
              <w:pStyle w:val="Z"/>
              <w:jc w:val="center"/>
              <w:rPr>
                <w:color w:val="000000" w:themeColor="text1"/>
                <w:szCs w:val="18"/>
                <w:highlight w:val="yellow"/>
              </w:rPr>
            </w:pPr>
            <w:r w:rsidRPr="00217865">
              <w:rPr>
                <w:color w:val="000000" w:themeColor="text1"/>
              </w:rPr>
              <w:t>74.6 (69.7, 78.8)</w:t>
            </w:r>
          </w:p>
        </w:tc>
        <w:tc>
          <w:tcPr>
            <w:tcW w:w="322" w:type="pct"/>
            <w:tcBorders>
              <w:top w:val="single" w:sz="4" w:space="0" w:color="auto"/>
              <w:left w:val="single" w:sz="4" w:space="0" w:color="auto"/>
              <w:bottom w:val="single" w:sz="4" w:space="0" w:color="auto"/>
              <w:right w:val="single" w:sz="4" w:space="0" w:color="auto"/>
            </w:tcBorders>
            <w:vAlign w:val="center"/>
          </w:tcPr>
          <w:p w14:paraId="6D1E8D64" w14:textId="77777777" w:rsidR="00821227" w:rsidRPr="00217865" w:rsidRDefault="00821227" w:rsidP="00E06AED">
            <w:pPr>
              <w:pStyle w:val="Z"/>
              <w:jc w:val="center"/>
              <w:rPr>
                <w:color w:val="000000" w:themeColor="text1"/>
                <w:szCs w:val="18"/>
                <w:highlight w:val="yellow"/>
              </w:rPr>
            </w:pPr>
            <w:r w:rsidRPr="00217865">
              <w:rPr>
                <w:color w:val="000000" w:themeColor="text1"/>
              </w:rPr>
              <w:t>77.2 (73.5, 80.3)</w:t>
            </w:r>
          </w:p>
        </w:tc>
        <w:tc>
          <w:tcPr>
            <w:tcW w:w="323" w:type="pct"/>
            <w:tcBorders>
              <w:top w:val="single" w:sz="4" w:space="0" w:color="auto"/>
              <w:left w:val="single" w:sz="4" w:space="0" w:color="auto"/>
              <w:bottom w:val="single" w:sz="4" w:space="0" w:color="auto"/>
              <w:right w:val="single" w:sz="4" w:space="0" w:color="auto"/>
            </w:tcBorders>
            <w:vAlign w:val="center"/>
          </w:tcPr>
          <w:p w14:paraId="48232C50" w14:textId="77777777" w:rsidR="00821227" w:rsidRPr="00217865" w:rsidRDefault="00821227" w:rsidP="00E06AED">
            <w:pPr>
              <w:pStyle w:val="Z"/>
              <w:jc w:val="center"/>
              <w:rPr>
                <w:color w:val="000000" w:themeColor="text1"/>
                <w:szCs w:val="18"/>
                <w:highlight w:val="yellow"/>
              </w:rPr>
            </w:pPr>
            <w:r w:rsidRPr="00217865">
              <w:rPr>
                <w:color w:val="000000" w:themeColor="text1"/>
              </w:rPr>
              <w:t>76.7 (72.5, 80.3)</w:t>
            </w:r>
          </w:p>
        </w:tc>
        <w:tc>
          <w:tcPr>
            <w:tcW w:w="323" w:type="pct"/>
            <w:tcBorders>
              <w:top w:val="single" w:sz="4" w:space="0" w:color="auto"/>
              <w:left w:val="single" w:sz="4" w:space="0" w:color="auto"/>
              <w:bottom w:val="single" w:sz="4" w:space="0" w:color="auto"/>
              <w:right w:val="single" w:sz="4" w:space="0" w:color="auto"/>
            </w:tcBorders>
            <w:vAlign w:val="center"/>
          </w:tcPr>
          <w:p w14:paraId="0867E3FD" w14:textId="77777777" w:rsidR="00821227" w:rsidRPr="00217865" w:rsidRDefault="00821227" w:rsidP="00E06AED">
            <w:pPr>
              <w:pStyle w:val="Z"/>
              <w:jc w:val="center"/>
              <w:rPr>
                <w:color w:val="000000" w:themeColor="text1"/>
                <w:szCs w:val="18"/>
                <w:highlight w:val="yellow"/>
              </w:rPr>
            </w:pPr>
            <w:r w:rsidRPr="00217865">
              <w:rPr>
                <w:color w:val="000000" w:themeColor="text1"/>
              </w:rPr>
              <w:t>69.5 (65.7, 72.9)</w:t>
            </w:r>
          </w:p>
        </w:tc>
        <w:tc>
          <w:tcPr>
            <w:tcW w:w="323" w:type="pct"/>
            <w:tcBorders>
              <w:top w:val="single" w:sz="4" w:space="0" w:color="auto"/>
              <w:left w:val="single" w:sz="4" w:space="0" w:color="auto"/>
              <w:bottom w:val="single" w:sz="4" w:space="0" w:color="auto"/>
              <w:right w:val="single" w:sz="4" w:space="0" w:color="auto"/>
            </w:tcBorders>
            <w:vAlign w:val="center"/>
          </w:tcPr>
          <w:p w14:paraId="14A21C1B" w14:textId="77777777" w:rsidR="00821227" w:rsidRPr="00217865" w:rsidRDefault="00821227" w:rsidP="00E06AED">
            <w:pPr>
              <w:pStyle w:val="Z"/>
              <w:jc w:val="center"/>
              <w:rPr>
                <w:color w:val="000000" w:themeColor="text1"/>
                <w:szCs w:val="18"/>
                <w:highlight w:val="yellow"/>
              </w:rPr>
            </w:pPr>
            <w:r w:rsidRPr="00217865">
              <w:rPr>
                <w:color w:val="000000" w:themeColor="text1"/>
              </w:rPr>
              <w:t>70.8 (66.5, 74.6)</w:t>
            </w:r>
          </w:p>
        </w:tc>
      </w:tr>
      <w:tr w:rsidR="00217865" w:rsidRPr="00217865" w14:paraId="7467BF86"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5554058" w14:textId="77777777" w:rsidR="00821227" w:rsidRPr="00217865" w:rsidRDefault="00821227" w:rsidP="002611FF">
            <w:pPr>
              <w:pStyle w:val="Z"/>
              <w:rPr>
                <w:color w:val="000000" w:themeColor="text1"/>
                <w:szCs w:val="18"/>
                <w:highlight w:val="yellow"/>
              </w:rPr>
            </w:pPr>
            <w:r w:rsidRPr="00217865">
              <w:rPr>
                <w:color w:val="000000" w:themeColor="text1"/>
              </w:rPr>
              <w:t>University of Technology Sydney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2923E6C" w14:textId="77777777" w:rsidR="00821227" w:rsidRPr="00217865" w:rsidRDefault="00821227" w:rsidP="00E06AED">
            <w:pPr>
              <w:pStyle w:val="Z"/>
              <w:jc w:val="center"/>
              <w:rPr>
                <w:color w:val="000000" w:themeColor="text1"/>
                <w:szCs w:val="18"/>
                <w:highlight w:val="yellow"/>
              </w:rPr>
            </w:pPr>
            <w:r w:rsidRPr="00217865">
              <w:rPr>
                <w:color w:val="000000" w:themeColor="text1"/>
              </w:rPr>
              <w:t>80.8 (78.6, 82.9)</w:t>
            </w:r>
          </w:p>
        </w:tc>
        <w:tc>
          <w:tcPr>
            <w:tcW w:w="323" w:type="pct"/>
            <w:tcBorders>
              <w:top w:val="single" w:sz="4" w:space="0" w:color="auto"/>
              <w:left w:val="single" w:sz="4" w:space="0" w:color="auto"/>
              <w:bottom w:val="single" w:sz="4" w:space="0" w:color="auto"/>
              <w:right w:val="single" w:sz="4" w:space="0" w:color="auto"/>
            </w:tcBorders>
            <w:vAlign w:val="center"/>
          </w:tcPr>
          <w:p w14:paraId="5F716F87" w14:textId="77777777" w:rsidR="00821227" w:rsidRPr="00217865" w:rsidRDefault="00821227" w:rsidP="00E06AED">
            <w:pPr>
              <w:pStyle w:val="Z"/>
              <w:jc w:val="center"/>
              <w:rPr>
                <w:color w:val="000000" w:themeColor="text1"/>
                <w:szCs w:val="18"/>
                <w:highlight w:val="yellow"/>
              </w:rPr>
            </w:pPr>
            <w:r w:rsidRPr="00217865">
              <w:rPr>
                <w:color w:val="000000" w:themeColor="text1"/>
              </w:rPr>
              <w:t>82.8 (80.4, 84.8)</w:t>
            </w:r>
          </w:p>
        </w:tc>
        <w:tc>
          <w:tcPr>
            <w:tcW w:w="323" w:type="pct"/>
            <w:tcBorders>
              <w:top w:val="single" w:sz="4" w:space="0" w:color="auto"/>
              <w:left w:val="single" w:sz="4" w:space="0" w:color="auto"/>
              <w:bottom w:val="single" w:sz="4" w:space="0" w:color="auto"/>
              <w:right w:val="single" w:sz="4" w:space="0" w:color="auto"/>
            </w:tcBorders>
            <w:vAlign w:val="center"/>
          </w:tcPr>
          <w:p w14:paraId="1DD07406" w14:textId="77777777" w:rsidR="00821227" w:rsidRPr="00217865" w:rsidRDefault="00821227" w:rsidP="00E06AED">
            <w:pPr>
              <w:pStyle w:val="Z"/>
              <w:jc w:val="center"/>
              <w:rPr>
                <w:color w:val="000000" w:themeColor="text1"/>
                <w:szCs w:val="18"/>
                <w:highlight w:val="yellow"/>
              </w:rPr>
            </w:pPr>
            <w:r w:rsidRPr="00217865">
              <w:rPr>
                <w:color w:val="000000" w:themeColor="text1"/>
              </w:rPr>
              <w:t>62.8 (60.2, 65.4)</w:t>
            </w:r>
          </w:p>
        </w:tc>
        <w:tc>
          <w:tcPr>
            <w:tcW w:w="323" w:type="pct"/>
            <w:tcBorders>
              <w:top w:val="single" w:sz="4" w:space="0" w:color="auto"/>
              <w:left w:val="single" w:sz="4" w:space="0" w:color="auto"/>
              <w:bottom w:val="single" w:sz="4" w:space="0" w:color="auto"/>
              <w:right w:val="single" w:sz="4" w:space="0" w:color="auto"/>
            </w:tcBorders>
            <w:vAlign w:val="center"/>
          </w:tcPr>
          <w:p w14:paraId="60FFC5D2" w14:textId="77777777" w:rsidR="00821227" w:rsidRPr="00217865" w:rsidRDefault="00821227" w:rsidP="00E06AED">
            <w:pPr>
              <w:pStyle w:val="Z"/>
              <w:jc w:val="center"/>
              <w:rPr>
                <w:color w:val="000000" w:themeColor="text1"/>
                <w:szCs w:val="18"/>
                <w:highlight w:val="yellow"/>
              </w:rPr>
            </w:pPr>
            <w:r w:rsidRPr="00217865">
              <w:rPr>
                <w:color w:val="000000" w:themeColor="text1"/>
              </w:rPr>
              <w:t>70.0 (67.4, 72.6)</w:t>
            </w:r>
          </w:p>
        </w:tc>
        <w:tc>
          <w:tcPr>
            <w:tcW w:w="322" w:type="pct"/>
            <w:tcBorders>
              <w:top w:val="single" w:sz="4" w:space="0" w:color="auto"/>
              <w:left w:val="single" w:sz="4" w:space="0" w:color="auto"/>
              <w:bottom w:val="single" w:sz="4" w:space="0" w:color="auto"/>
              <w:right w:val="single" w:sz="4" w:space="0" w:color="auto"/>
            </w:tcBorders>
            <w:vAlign w:val="center"/>
          </w:tcPr>
          <w:p w14:paraId="4F54F99B" w14:textId="77777777" w:rsidR="00821227" w:rsidRPr="00217865" w:rsidRDefault="00821227" w:rsidP="00E06AED">
            <w:pPr>
              <w:pStyle w:val="Z"/>
              <w:jc w:val="center"/>
              <w:rPr>
                <w:color w:val="000000" w:themeColor="text1"/>
                <w:szCs w:val="18"/>
                <w:highlight w:val="yellow"/>
              </w:rPr>
            </w:pPr>
            <w:r w:rsidRPr="00217865">
              <w:rPr>
                <w:color w:val="000000" w:themeColor="text1"/>
              </w:rPr>
              <w:t>77.7 (75.4, 79.9)</w:t>
            </w:r>
          </w:p>
        </w:tc>
        <w:tc>
          <w:tcPr>
            <w:tcW w:w="323" w:type="pct"/>
            <w:tcBorders>
              <w:top w:val="single" w:sz="4" w:space="0" w:color="auto"/>
              <w:left w:val="single" w:sz="4" w:space="0" w:color="auto"/>
              <w:bottom w:val="single" w:sz="4" w:space="0" w:color="auto"/>
              <w:right w:val="single" w:sz="4" w:space="0" w:color="auto"/>
            </w:tcBorders>
            <w:vAlign w:val="center"/>
          </w:tcPr>
          <w:p w14:paraId="09F893DE" w14:textId="77777777" w:rsidR="00821227" w:rsidRPr="00217865" w:rsidRDefault="00821227" w:rsidP="00E06AED">
            <w:pPr>
              <w:pStyle w:val="Z"/>
              <w:jc w:val="center"/>
              <w:rPr>
                <w:color w:val="000000" w:themeColor="text1"/>
                <w:szCs w:val="18"/>
                <w:highlight w:val="yellow"/>
              </w:rPr>
            </w:pPr>
            <w:r w:rsidRPr="00217865">
              <w:rPr>
                <w:color w:val="000000" w:themeColor="text1"/>
              </w:rPr>
              <w:t>81.6 (79.3, 83.7)</w:t>
            </w:r>
          </w:p>
        </w:tc>
        <w:tc>
          <w:tcPr>
            <w:tcW w:w="323" w:type="pct"/>
            <w:tcBorders>
              <w:top w:val="single" w:sz="4" w:space="0" w:color="auto"/>
              <w:left w:val="single" w:sz="4" w:space="0" w:color="auto"/>
              <w:bottom w:val="single" w:sz="4" w:space="0" w:color="auto"/>
              <w:right w:val="single" w:sz="4" w:space="0" w:color="auto"/>
            </w:tcBorders>
            <w:vAlign w:val="center"/>
          </w:tcPr>
          <w:p w14:paraId="204D55FC" w14:textId="77777777" w:rsidR="00821227" w:rsidRPr="00217865" w:rsidRDefault="00821227" w:rsidP="00E06AED">
            <w:pPr>
              <w:pStyle w:val="Z"/>
              <w:jc w:val="center"/>
              <w:rPr>
                <w:color w:val="000000" w:themeColor="text1"/>
                <w:szCs w:val="18"/>
                <w:highlight w:val="yellow"/>
              </w:rPr>
            </w:pPr>
            <w:r w:rsidRPr="00217865">
              <w:rPr>
                <w:color w:val="000000" w:themeColor="text1"/>
              </w:rPr>
              <w:t>71.7 (69.0, 74.2)</w:t>
            </w:r>
          </w:p>
        </w:tc>
        <w:tc>
          <w:tcPr>
            <w:tcW w:w="323" w:type="pct"/>
            <w:tcBorders>
              <w:top w:val="single" w:sz="4" w:space="0" w:color="auto"/>
              <w:left w:val="single" w:sz="4" w:space="0" w:color="auto"/>
              <w:bottom w:val="single" w:sz="4" w:space="0" w:color="auto"/>
              <w:right w:val="single" w:sz="4" w:space="0" w:color="auto"/>
            </w:tcBorders>
            <w:vAlign w:val="center"/>
          </w:tcPr>
          <w:p w14:paraId="51E87013" w14:textId="77777777" w:rsidR="00821227" w:rsidRPr="00217865" w:rsidRDefault="00821227" w:rsidP="00E06AED">
            <w:pPr>
              <w:pStyle w:val="Z"/>
              <w:jc w:val="center"/>
              <w:rPr>
                <w:color w:val="000000" w:themeColor="text1"/>
                <w:szCs w:val="18"/>
                <w:highlight w:val="yellow"/>
              </w:rPr>
            </w:pPr>
            <w:r w:rsidRPr="00217865">
              <w:rPr>
                <w:color w:val="000000" w:themeColor="text1"/>
              </w:rPr>
              <w:t>77.5 (74.7, 80.1)</w:t>
            </w:r>
          </w:p>
        </w:tc>
        <w:tc>
          <w:tcPr>
            <w:tcW w:w="322" w:type="pct"/>
            <w:tcBorders>
              <w:top w:val="single" w:sz="4" w:space="0" w:color="auto"/>
              <w:left w:val="single" w:sz="4" w:space="0" w:color="auto"/>
              <w:bottom w:val="single" w:sz="4" w:space="0" w:color="auto"/>
              <w:right w:val="single" w:sz="4" w:space="0" w:color="auto"/>
            </w:tcBorders>
            <w:vAlign w:val="center"/>
          </w:tcPr>
          <w:p w14:paraId="5D206656" w14:textId="77777777" w:rsidR="00821227" w:rsidRPr="00217865" w:rsidRDefault="00821227" w:rsidP="00E06AED">
            <w:pPr>
              <w:pStyle w:val="Z"/>
              <w:jc w:val="center"/>
              <w:rPr>
                <w:color w:val="000000" w:themeColor="text1"/>
                <w:szCs w:val="18"/>
                <w:highlight w:val="yellow"/>
              </w:rPr>
            </w:pPr>
            <w:r w:rsidRPr="00217865">
              <w:rPr>
                <w:color w:val="000000" w:themeColor="text1"/>
              </w:rPr>
              <w:t>87.2 (85.1, 88.9)</w:t>
            </w:r>
          </w:p>
        </w:tc>
        <w:tc>
          <w:tcPr>
            <w:tcW w:w="323" w:type="pct"/>
            <w:tcBorders>
              <w:top w:val="single" w:sz="4" w:space="0" w:color="auto"/>
              <w:left w:val="single" w:sz="4" w:space="0" w:color="auto"/>
              <w:bottom w:val="single" w:sz="4" w:space="0" w:color="auto"/>
              <w:right w:val="single" w:sz="4" w:space="0" w:color="auto"/>
            </w:tcBorders>
            <w:vAlign w:val="center"/>
          </w:tcPr>
          <w:p w14:paraId="3F02DE7D" w14:textId="77777777" w:rsidR="00821227" w:rsidRPr="00217865" w:rsidRDefault="00821227" w:rsidP="00E06AED">
            <w:pPr>
              <w:pStyle w:val="Z"/>
              <w:jc w:val="center"/>
              <w:rPr>
                <w:color w:val="000000" w:themeColor="text1"/>
                <w:szCs w:val="18"/>
                <w:highlight w:val="yellow"/>
              </w:rPr>
            </w:pPr>
            <w:r w:rsidRPr="00217865">
              <w:rPr>
                <w:color w:val="000000" w:themeColor="text1"/>
              </w:rPr>
              <w:t>88.6 (86.6, 90.3)</w:t>
            </w:r>
          </w:p>
        </w:tc>
        <w:tc>
          <w:tcPr>
            <w:tcW w:w="323" w:type="pct"/>
            <w:tcBorders>
              <w:top w:val="single" w:sz="4" w:space="0" w:color="auto"/>
              <w:left w:val="single" w:sz="4" w:space="0" w:color="auto"/>
              <w:bottom w:val="single" w:sz="4" w:space="0" w:color="auto"/>
              <w:right w:val="single" w:sz="4" w:space="0" w:color="auto"/>
            </w:tcBorders>
            <w:vAlign w:val="center"/>
          </w:tcPr>
          <w:p w14:paraId="6C1E34CE" w14:textId="77777777" w:rsidR="00821227" w:rsidRPr="00217865" w:rsidRDefault="00821227" w:rsidP="00E06AED">
            <w:pPr>
              <w:pStyle w:val="Z"/>
              <w:jc w:val="center"/>
              <w:rPr>
                <w:color w:val="000000" w:themeColor="text1"/>
                <w:szCs w:val="18"/>
                <w:highlight w:val="yellow"/>
              </w:rPr>
            </w:pPr>
            <w:r w:rsidRPr="00217865">
              <w:rPr>
                <w:color w:val="000000" w:themeColor="text1"/>
              </w:rPr>
              <w:t>73.4 (70.9, 75.6)</w:t>
            </w:r>
          </w:p>
        </w:tc>
        <w:tc>
          <w:tcPr>
            <w:tcW w:w="323" w:type="pct"/>
            <w:tcBorders>
              <w:top w:val="single" w:sz="4" w:space="0" w:color="auto"/>
              <w:left w:val="single" w:sz="4" w:space="0" w:color="auto"/>
              <w:bottom w:val="single" w:sz="4" w:space="0" w:color="auto"/>
              <w:right w:val="single" w:sz="4" w:space="0" w:color="auto"/>
            </w:tcBorders>
            <w:vAlign w:val="center"/>
          </w:tcPr>
          <w:p w14:paraId="5DDCA30B" w14:textId="77777777" w:rsidR="00821227" w:rsidRPr="00217865" w:rsidRDefault="00821227" w:rsidP="00E06AED">
            <w:pPr>
              <w:pStyle w:val="Z"/>
              <w:jc w:val="center"/>
              <w:rPr>
                <w:color w:val="000000" w:themeColor="text1"/>
                <w:szCs w:val="18"/>
                <w:highlight w:val="yellow"/>
              </w:rPr>
            </w:pPr>
            <w:r w:rsidRPr="00217865">
              <w:rPr>
                <w:color w:val="000000" w:themeColor="text1"/>
              </w:rPr>
              <w:t>76.0 (73.4, 78.3)</w:t>
            </w:r>
          </w:p>
        </w:tc>
      </w:tr>
      <w:tr w:rsidR="00217865" w:rsidRPr="00217865" w14:paraId="0497DDE4"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B2B7269" w14:textId="77777777" w:rsidR="00821227" w:rsidRPr="00217865" w:rsidRDefault="00821227" w:rsidP="002611FF">
            <w:pPr>
              <w:pStyle w:val="Z"/>
              <w:rPr>
                <w:color w:val="000000" w:themeColor="text1"/>
                <w:szCs w:val="18"/>
                <w:highlight w:val="yellow"/>
              </w:rPr>
            </w:pPr>
            <w:r w:rsidRPr="00217865">
              <w:rPr>
                <w:color w:val="000000" w:themeColor="text1"/>
              </w:rPr>
              <w:t>University of the Sunshine Coast</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CD1145D" w14:textId="77777777" w:rsidR="00821227" w:rsidRPr="00217865" w:rsidRDefault="00821227" w:rsidP="00E06AED">
            <w:pPr>
              <w:pStyle w:val="Z"/>
              <w:jc w:val="center"/>
              <w:rPr>
                <w:color w:val="000000" w:themeColor="text1"/>
                <w:szCs w:val="18"/>
                <w:highlight w:val="yellow"/>
              </w:rPr>
            </w:pPr>
            <w:r w:rsidRPr="00217865">
              <w:rPr>
                <w:color w:val="000000" w:themeColor="text1"/>
              </w:rPr>
              <w:t>84.6 (81.2, 87.2)</w:t>
            </w:r>
          </w:p>
        </w:tc>
        <w:tc>
          <w:tcPr>
            <w:tcW w:w="323" w:type="pct"/>
            <w:tcBorders>
              <w:top w:val="single" w:sz="4" w:space="0" w:color="auto"/>
              <w:left w:val="single" w:sz="4" w:space="0" w:color="auto"/>
              <w:bottom w:val="single" w:sz="4" w:space="0" w:color="auto"/>
              <w:right w:val="single" w:sz="4" w:space="0" w:color="auto"/>
            </w:tcBorders>
            <w:vAlign w:val="center"/>
          </w:tcPr>
          <w:p w14:paraId="5C07150A" w14:textId="77777777" w:rsidR="00821227" w:rsidRPr="00217865" w:rsidRDefault="00821227" w:rsidP="00E06AED">
            <w:pPr>
              <w:pStyle w:val="Z"/>
              <w:jc w:val="center"/>
              <w:rPr>
                <w:color w:val="000000" w:themeColor="text1"/>
                <w:szCs w:val="18"/>
                <w:highlight w:val="yellow"/>
              </w:rPr>
            </w:pPr>
            <w:r w:rsidRPr="00217865">
              <w:rPr>
                <w:color w:val="000000" w:themeColor="text1"/>
              </w:rPr>
              <w:t>82.7 (78.7, 85.7)</w:t>
            </w:r>
          </w:p>
        </w:tc>
        <w:tc>
          <w:tcPr>
            <w:tcW w:w="323" w:type="pct"/>
            <w:tcBorders>
              <w:top w:val="single" w:sz="4" w:space="0" w:color="auto"/>
              <w:left w:val="single" w:sz="4" w:space="0" w:color="auto"/>
              <w:bottom w:val="single" w:sz="4" w:space="0" w:color="auto"/>
              <w:right w:val="single" w:sz="4" w:space="0" w:color="auto"/>
            </w:tcBorders>
            <w:vAlign w:val="center"/>
          </w:tcPr>
          <w:p w14:paraId="16BF17FF" w14:textId="77777777" w:rsidR="00821227" w:rsidRPr="00217865" w:rsidRDefault="00821227" w:rsidP="00E06AED">
            <w:pPr>
              <w:pStyle w:val="Z"/>
              <w:jc w:val="center"/>
              <w:rPr>
                <w:color w:val="000000" w:themeColor="text1"/>
                <w:szCs w:val="18"/>
                <w:highlight w:val="yellow"/>
              </w:rPr>
            </w:pPr>
            <w:r w:rsidRPr="00217865">
              <w:rPr>
                <w:color w:val="000000" w:themeColor="text1"/>
              </w:rPr>
              <w:t>59.8 (55.8, 63.5)</w:t>
            </w:r>
          </w:p>
        </w:tc>
        <w:tc>
          <w:tcPr>
            <w:tcW w:w="323" w:type="pct"/>
            <w:tcBorders>
              <w:top w:val="single" w:sz="4" w:space="0" w:color="auto"/>
              <w:left w:val="single" w:sz="4" w:space="0" w:color="auto"/>
              <w:bottom w:val="single" w:sz="4" w:space="0" w:color="auto"/>
              <w:right w:val="single" w:sz="4" w:space="0" w:color="auto"/>
            </w:tcBorders>
            <w:vAlign w:val="center"/>
          </w:tcPr>
          <w:p w14:paraId="3C0852AD" w14:textId="77777777" w:rsidR="00821227" w:rsidRPr="00217865" w:rsidRDefault="00821227" w:rsidP="00E06AED">
            <w:pPr>
              <w:pStyle w:val="Z"/>
              <w:jc w:val="center"/>
              <w:rPr>
                <w:color w:val="000000" w:themeColor="text1"/>
                <w:szCs w:val="18"/>
                <w:highlight w:val="yellow"/>
              </w:rPr>
            </w:pPr>
            <w:r w:rsidRPr="00217865">
              <w:rPr>
                <w:color w:val="000000" w:themeColor="text1"/>
              </w:rPr>
              <w:t>57.2 (52.8, 61.4)</w:t>
            </w:r>
          </w:p>
        </w:tc>
        <w:tc>
          <w:tcPr>
            <w:tcW w:w="322" w:type="pct"/>
            <w:tcBorders>
              <w:top w:val="single" w:sz="4" w:space="0" w:color="auto"/>
              <w:left w:val="single" w:sz="4" w:space="0" w:color="auto"/>
              <w:bottom w:val="single" w:sz="4" w:space="0" w:color="auto"/>
              <w:right w:val="single" w:sz="4" w:space="0" w:color="auto"/>
            </w:tcBorders>
            <w:vAlign w:val="center"/>
          </w:tcPr>
          <w:p w14:paraId="265883CD" w14:textId="77777777" w:rsidR="00821227" w:rsidRPr="00217865" w:rsidRDefault="00821227" w:rsidP="00E06AED">
            <w:pPr>
              <w:pStyle w:val="Z"/>
              <w:jc w:val="center"/>
              <w:rPr>
                <w:color w:val="000000" w:themeColor="text1"/>
                <w:szCs w:val="18"/>
                <w:highlight w:val="yellow"/>
              </w:rPr>
            </w:pPr>
            <w:r w:rsidRPr="00217865">
              <w:rPr>
                <w:color w:val="000000" w:themeColor="text1"/>
              </w:rPr>
              <w:t>78.6 (74.9, 81.6)</w:t>
            </w:r>
          </w:p>
        </w:tc>
        <w:tc>
          <w:tcPr>
            <w:tcW w:w="323" w:type="pct"/>
            <w:tcBorders>
              <w:top w:val="single" w:sz="4" w:space="0" w:color="auto"/>
              <w:left w:val="single" w:sz="4" w:space="0" w:color="auto"/>
              <w:bottom w:val="single" w:sz="4" w:space="0" w:color="auto"/>
              <w:right w:val="single" w:sz="4" w:space="0" w:color="auto"/>
            </w:tcBorders>
            <w:vAlign w:val="center"/>
          </w:tcPr>
          <w:p w14:paraId="2CC517DB" w14:textId="77777777" w:rsidR="00821227" w:rsidRPr="00217865" w:rsidRDefault="00821227" w:rsidP="00E06AED">
            <w:pPr>
              <w:pStyle w:val="Z"/>
              <w:jc w:val="center"/>
              <w:rPr>
                <w:color w:val="000000" w:themeColor="text1"/>
                <w:szCs w:val="18"/>
                <w:highlight w:val="yellow"/>
              </w:rPr>
            </w:pPr>
            <w:r w:rsidRPr="00217865">
              <w:rPr>
                <w:color w:val="000000" w:themeColor="text1"/>
              </w:rPr>
              <w:t>87.4 (83.8, 89.8)</w:t>
            </w:r>
          </w:p>
        </w:tc>
        <w:tc>
          <w:tcPr>
            <w:tcW w:w="323" w:type="pct"/>
            <w:tcBorders>
              <w:top w:val="single" w:sz="4" w:space="0" w:color="auto"/>
              <w:left w:val="single" w:sz="4" w:space="0" w:color="auto"/>
              <w:bottom w:val="single" w:sz="4" w:space="0" w:color="auto"/>
              <w:right w:val="single" w:sz="4" w:space="0" w:color="auto"/>
            </w:tcBorders>
            <w:vAlign w:val="center"/>
          </w:tcPr>
          <w:p w14:paraId="2030F1DF" w14:textId="77777777" w:rsidR="00821227" w:rsidRPr="00217865" w:rsidRDefault="00821227" w:rsidP="00E06AED">
            <w:pPr>
              <w:pStyle w:val="Z"/>
              <w:jc w:val="center"/>
              <w:rPr>
                <w:color w:val="000000" w:themeColor="text1"/>
                <w:szCs w:val="18"/>
                <w:highlight w:val="yellow"/>
              </w:rPr>
            </w:pPr>
            <w:r w:rsidRPr="00217865">
              <w:rPr>
                <w:color w:val="000000" w:themeColor="text1"/>
              </w:rPr>
              <w:t>77.5 (73.5, 80.9)</w:t>
            </w:r>
          </w:p>
        </w:tc>
        <w:tc>
          <w:tcPr>
            <w:tcW w:w="323" w:type="pct"/>
            <w:tcBorders>
              <w:top w:val="single" w:sz="4" w:space="0" w:color="auto"/>
              <w:left w:val="single" w:sz="4" w:space="0" w:color="auto"/>
              <w:bottom w:val="single" w:sz="4" w:space="0" w:color="auto"/>
              <w:right w:val="single" w:sz="4" w:space="0" w:color="auto"/>
            </w:tcBorders>
            <w:vAlign w:val="center"/>
          </w:tcPr>
          <w:p w14:paraId="10BBAC2A" w14:textId="77777777" w:rsidR="00821227" w:rsidRPr="00217865" w:rsidRDefault="00821227" w:rsidP="00E06AED">
            <w:pPr>
              <w:pStyle w:val="Z"/>
              <w:jc w:val="center"/>
              <w:rPr>
                <w:color w:val="000000" w:themeColor="text1"/>
                <w:szCs w:val="18"/>
                <w:highlight w:val="yellow"/>
              </w:rPr>
            </w:pPr>
            <w:r w:rsidRPr="00217865">
              <w:rPr>
                <w:color w:val="000000" w:themeColor="text1"/>
              </w:rPr>
              <w:t>84.8 (80.5, 87.9)</w:t>
            </w:r>
          </w:p>
        </w:tc>
        <w:tc>
          <w:tcPr>
            <w:tcW w:w="322" w:type="pct"/>
            <w:tcBorders>
              <w:top w:val="single" w:sz="4" w:space="0" w:color="auto"/>
              <w:left w:val="single" w:sz="4" w:space="0" w:color="auto"/>
              <w:bottom w:val="single" w:sz="4" w:space="0" w:color="auto"/>
              <w:right w:val="single" w:sz="4" w:space="0" w:color="auto"/>
            </w:tcBorders>
            <w:vAlign w:val="center"/>
          </w:tcPr>
          <w:p w14:paraId="0AC88AEC" w14:textId="77777777" w:rsidR="00821227" w:rsidRPr="00217865" w:rsidRDefault="00821227" w:rsidP="00E06AED">
            <w:pPr>
              <w:pStyle w:val="Z"/>
              <w:jc w:val="center"/>
              <w:rPr>
                <w:color w:val="000000" w:themeColor="text1"/>
                <w:szCs w:val="18"/>
                <w:highlight w:val="yellow"/>
              </w:rPr>
            </w:pPr>
            <w:r w:rsidRPr="00217865">
              <w:rPr>
                <w:color w:val="000000" w:themeColor="text1"/>
              </w:rPr>
              <w:t>84.6 (81.2, 87.2)</w:t>
            </w:r>
          </w:p>
        </w:tc>
        <w:tc>
          <w:tcPr>
            <w:tcW w:w="323" w:type="pct"/>
            <w:tcBorders>
              <w:top w:val="single" w:sz="4" w:space="0" w:color="auto"/>
              <w:left w:val="single" w:sz="4" w:space="0" w:color="auto"/>
              <w:bottom w:val="single" w:sz="4" w:space="0" w:color="auto"/>
              <w:right w:val="single" w:sz="4" w:space="0" w:color="auto"/>
            </w:tcBorders>
            <w:vAlign w:val="center"/>
          </w:tcPr>
          <w:p w14:paraId="4A863409" w14:textId="77777777" w:rsidR="00821227" w:rsidRPr="00217865" w:rsidRDefault="00821227" w:rsidP="00E06AED">
            <w:pPr>
              <w:pStyle w:val="Z"/>
              <w:jc w:val="center"/>
              <w:rPr>
                <w:color w:val="000000" w:themeColor="text1"/>
                <w:szCs w:val="18"/>
                <w:highlight w:val="yellow"/>
              </w:rPr>
            </w:pPr>
            <w:r w:rsidRPr="00217865">
              <w:rPr>
                <w:color w:val="000000" w:themeColor="text1"/>
              </w:rPr>
              <w:t>90.2 (86.7, 92.5)</w:t>
            </w:r>
          </w:p>
        </w:tc>
        <w:tc>
          <w:tcPr>
            <w:tcW w:w="323" w:type="pct"/>
            <w:tcBorders>
              <w:top w:val="single" w:sz="4" w:space="0" w:color="auto"/>
              <w:left w:val="single" w:sz="4" w:space="0" w:color="auto"/>
              <w:bottom w:val="single" w:sz="4" w:space="0" w:color="auto"/>
              <w:right w:val="single" w:sz="4" w:space="0" w:color="auto"/>
            </w:tcBorders>
            <w:vAlign w:val="center"/>
          </w:tcPr>
          <w:p w14:paraId="19870EDE" w14:textId="77777777" w:rsidR="00821227" w:rsidRPr="00217865" w:rsidRDefault="00821227" w:rsidP="00E06AED">
            <w:pPr>
              <w:pStyle w:val="Z"/>
              <w:jc w:val="center"/>
              <w:rPr>
                <w:color w:val="000000" w:themeColor="text1"/>
                <w:szCs w:val="18"/>
                <w:highlight w:val="yellow"/>
              </w:rPr>
            </w:pPr>
            <w:r w:rsidRPr="00217865">
              <w:rPr>
                <w:color w:val="000000" w:themeColor="text1"/>
              </w:rPr>
              <w:t>74.3 (70.5, 77.5)</w:t>
            </w:r>
          </w:p>
        </w:tc>
        <w:tc>
          <w:tcPr>
            <w:tcW w:w="323" w:type="pct"/>
            <w:tcBorders>
              <w:top w:val="single" w:sz="4" w:space="0" w:color="auto"/>
              <w:left w:val="single" w:sz="4" w:space="0" w:color="auto"/>
              <w:bottom w:val="single" w:sz="4" w:space="0" w:color="auto"/>
              <w:right w:val="single" w:sz="4" w:space="0" w:color="auto"/>
            </w:tcBorders>
            <w:vAlign w:val="center"/>
          </w:tcPr>
          <w:p w14:paraId="6D522D11" w14:textId="77777777" w:rsidR="00821227" w:rsidRPr="00217865" w:rsidRDefault="00821227" w:rsidP="00E06AED">
            <w:pPr>
              <w:pStyle w:val="Z"/>
              <w:jc w:val="center"/>
              <w:rPr>
                <w:color w:val="000000" w:themeColor="text1"/>
                <w:szCs w:val="18"/>
                <w:highlight w:val="yellow"/>
              </w:rPr>
            </w:pPr>
            <w:r w:rsidRPr="00217865">
              <w:rPr>
                <w:color w:val="000000" w:themeColor="text1"/>
              </w:rPr>
              <w:t>79.4 (75.5, 82.5)</w:t>
            </w:r>
          </w:p>
        </w:tc>
      </w:tr>
      <w:tr w:rsidR="00217865" w:rsidRPr="00217865" w14:paraId="0256B12C"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12818EB" w14:textId="77777777" w:rsidR="00821227" w:rsidRPr="00217865" w:rsidRDefault="00821227" w:rsidP="002611FF">
            <w:pPr>
              <w:pStyle w:val="Z"/>
              <w:rPr>
                <w:color w:val="000000" w:themeColor="text1"/>
                <w:szCs w:val="18"/>
                <w:highlight w:val="yellow"/>
              </w:rPr>
            </w:pPr>
            <w:r w:rsidRPr="00217865">
              <w:rPr>
                <w:color w:val="000000" w:themeColor="text1"/>
              </w:rPr>
              <w:t>University of Wollongong</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A50C5D8" w14:textId="77777777" w:rsidR="00821227" w:rsidRPr="00217865" w:rsidRDefault="00821227" w:rsidP="00E06AED">
            <w:pPr>
              <w:pStyle w:val="Z"/>
              <w:jc w:val="center"/>
              <w:rPr>
                <w:color w:val="000000" w:themeColor="text1"/>
                <w:szCs w:val="18"/>
                <w:highlight w:val="yellow"/>
              </w:rPr>
            </w:pPr>
            <w:r w:rsidRPr="00217865">
              <w:rPr>
                <w:color w:val="000000" w:themeColor="text1"/>
              </w:rPr>
              <w:t>82.8 (78.9, 85.9)</w:t>
            </w:r>
          </w:p>
        </w:tc>
        <w:tc>
          <w:tcPr>
            <w:tcW w:w="323" w:type="pct"/>
            <w:tcBorders>
              <w:top w:val="single" w:sz="4" w:space="0" w:color="auto"/>
              <w:left w:val="single" w:sz="4" w:space="0" w:color="auto"/>
              <w:bottom w:val="single" w:sz="4" w:space="0" w:color="auto"/>
              <w:right w:val="single" w:sz="4" w:space="0" w:color="auto"/>
            </w:tcBorders>
            <w:vAlign w:val="center"/>
          </w:tcPr>
          <w:p w14:paraId="57C2941C" w14:textId="77777777" w:rsidR="00821227" w:rsidRPr="00217865" w:rsidRDefault="00821227" w:rsidP="00E06AED">
            <w:pPr>
              <w:pStyle w:val="Z"/>
              <w:jc w:val="center"/>
              <w:rPr>
                <w:color w:val="000000" w:themeColor="text1"/>
                <w:szCs w:val="18"/>
                <w:highlight w:val="yellow"/>
              </w:rPr>
            </w:pPr>
            <w:r w:rsidRPr="00217865">
              <w:rPr>
                <w:color w:val="000000" w:themeColor="text1"/>
              </w:rPr>
              <w:t>82.2 (78.9, 85.0)</w:t>
            </w:r>
          </w:p>
        </w:tc>
        <w:tc>
          <w:tcPr>
            <w:tcW w:w="323" w:type="pct"/>
            <w:tcBorders>
              <w:top w:val="single" w:sz="4" w:space="0" w:color="auto"/>
              <w:left w:val="single" w:sz="4" w:space="0" w:color="auto"/>
              <w:bottom w:val="single" w:sz="4" w:space="0" w:color="auto"/>
              <w:right w:val="single" w:sz="4" w:space="0" w:color="auto"/>
            </w:tcBorders>
            <w:vAlign w:val="center"/>
          </w:tcPr>
          <w:p w14:paraId="5EB8C931" w14:textId="77777777" w:rsidR="00821227" w:rsidRPr="00217865" w:rsidRDefault="00821227" w:rsidP="00E06AED">
            <w:pPr>
              <w:pStyle w:val="Z"/>
              <w:jc w:val="center"/>
              <w:rPr>
                <w:color w:val="000000" w:themeColor="text1"/>
                <w:szCs w:val="18"/>
                <w:highlight w:val="yellow"/>
              </w:rPr>
            </w:pPr>
            <w:r w:rsidRPr="00217865">
              <w:rPr>
                <w:color w:val="000000" w:themeColor="text1"/>
              </w:rPr>
              <w:t>61.2 (56.8, 65.4)</w:t>
            </w:r>
          </w:p>
        </w:tc>
        <w:tc>
          <w:tcPr>
            <w:tcW w:w="323" w:type="pct"/>
            <w:tcBorders>
              <w:top w:val="single" w:sz="4" w:space="0" w:color="auto"/>
              <w:left w:val="single" w:sz="4" w:space="0" w:color="auto"/>
              <w:bottom w:val="single" w:sz="4" w:space="0" w:color="auto"/>
              <w:right w:val="single" w:sz="4" w:space="0" w:color="auto"/>
            </w:tcBorders>
            <w:vAlign w:val="center"/>
          </w:tcPr>
          <w:p w14:paraId="720B4087" w14:textId="77777777" w:rsidR="00821227" w:rsidRPr="00217865" w:rsidRDefault="00821227" w:rsidP="00E06AED">
            <w:pPr>
              <w:pStyle w:val="Z"/>
              <w:jc w:val="center"/>
              <w:rPr>
                <w:color w:val="000000" w:themeColor="text1"/>
                <w:szCs w:val="18"/>
                <w:highlight w:val="yellow"/>
              </w:rPr>
            </w:pPr>
            <w:r w:rsidRPr="00217865">
              <w:rPr>
                <w:color w:val="000000" w:themeColor="text1"/>
              </w:rPr>
              <w:t>72.3 (68.7, 75.5)</w:t>
            </w:r>
          </w:p>
        </w:tc>
        <w:tc>
          <w:tcPr>
            <w:tcW w:w="322" w:type="pct"/>
            <w:tcBorders>
              <w:top w:val="single" w:sz="4" w:space="0" w:color="auto"/>
              <w:left w:val="single" w:sz="4" w:space="0" w:color="auto"/>
              <w:bottom w:val="single" w:sz="4" w:space="0" w:color="auto"/>
              <w:right w:val="single" w:sz="4" w:space="0" w:color="auto"/>
            </w:tcBorders>
            <w:vAlign w:val="center"/>
          </w:tcPr>
          <w:p w14:paraId="34B7722E" w14:textId="77777777" w:rsidR="00821227" w:rsidRPr="00217865" w:rsidRDefault="00821227" w:rsidP="00E06AED">
            <w:pPr>
              <w:pStyle w:val="Z"/>
              <w:jc w:val="center"/>
              <w:rPr>
                <w:color w:val="000000" w:themeColor="text1"/>
                <w:szCs w:val="18"/>
                <w:highlight w:val="yellow"/>
              </w:rPr>
            </w:pPr>
            <w:r w:rsidRPr="00217865">
              <w:rPr>
                <w:color w:val="000000" w:themeColor="text1"/>
              </w:rPr>
              <w:t>77.8 (73.7, 81.2)</w:t>
            </w:r>
          </w:p>
        </w:tc>
        <w:tc>
          <w:tcPr>
            <w:tcW w:w="323" w:type="pct"/>
            <w:tcBorders>
              <w:top w:val="single" w:sz="4" w:space="0" w:color="auto"/>
              <w:left w:val="single" w:sz="4" w:space="0" w:color="auto"/>
              <w:bottom w:val="single" w:sz="4" w:space="0" w:color="auto"/>
              <w:right w:val="single" w:sz="4" w:space="0" w:color="auto"/>
            </w:tcBorders>
            <w:vAlign w:val="center"/>
          </w:tcPr>
          <w:p w14:paraId="7CA4215A" w14:textId="77777777" w:rsidR="00821227" w:rsidRPr="00217865" w:rsidRDefault="00821227" w:rsidP="00E06AED">
            <w:pPr>
              <w:pStyle w:val="Z"/>
              <w:jc w:val="center"/>
              <w:rPr>
                <w:color w:val="000000" w:themeColor="text1"/>
                <w:szCs w:val="18"/>
                <w:highlight w:val="yellow"/>
              </w:rPr>
            </w:pPr>
            <w:r w:rsidRPr="00217865">
              <w:rPr>
                <w:color w:val="000000" w:themeColor="text1"/>
              </w:rPr>
              <w:t>82.3 (79.1, 85.0)</w:t>
            </w:r>
          </w:p>
        </w:tc>
        <w:tc>
          <w:tcPr>
            <w:tcW w:w="323" w:type="pct"/>
            <w:tcBorders>
              <w:top w:val="single" w:sz="4" w:space="0" w:color="auto"/>
              <w:left w:val="single" w:sz="4" w:space="0" w:color="auto"/>
              <w:bottom w:val="single" w:sz="4" w:space="0" w:color="auto"/>
              <w:right w:val="single" w:sz="4" w:space="0" w:color="auto"/>
            </w:tcBorders>
            <w:vAlign w:val="center"/>
          </w:tcPr>
          <w:p w14:paraId="3FA0874F" w14:textId="77777777" w:rsidR="00821227" w:rsidRPr="00217865" w:rsidRDefault="00821227" w:rsidP="00E06AED">
            <w:pPr>
              <w:pStyle w:val="Z"/>
              <w:jc w:val="center"/>
              <w:rPr>
                <w:color w:val="000000" w:themeColor="text1"/>
                <w:szCs w:val="18"/>
                <w:highlight w:val="yellow"/>
              </w:rPr>
            </w:pPr>
            <w:r w:rsidRPr="00217865">
              <w:rPr>
                <w:color w:val="000000" w:themeColor="text1"/>
              </w:rPr>
              <w:t>77.0 (72.7, 80.7)</w:t>
            </w:r>
          </w:p>
        </w:tc>
        <w:tc>
          <w:tcPr>
            <w:tcW w:w="323" w:type="pct"/>
            <w:tcBorders>
              <w:top w:val="single" w:sz="4" w:space="0" w:color="auto"/>
              <w:left w:val="single" w:sz="4" w:space="0" w:color="auto"/>
              <w:bottom w:val="single" w:sz="4" w:space="0" w:color="auto"/>
              <w:right w:val="single" w:sz="4" w:space="0" w:color="auto"/>
            </w:tcBorders>
            <w:vAlign w:val="center"/>
          </w:tcPr>
          <w:p w14:paraId="0C73C73B" w14:textId="77777777" w:rsidR="00821227" w:rsidRPr="00217865" w:rsidRDefault="00821227" w:rsidP="00E06AED">
            <w:pPr>
              <w:pStyle w:val="Z"/>
              <w:jc w:val="center"/>
              <w:rPr>
                <w:color w:val="000000" w:themeColor="text1"/>
                <w:szCs w:val="18"/>
                <w:highlight w:val="yellow"/>
              </w:rPr>
            </w:pPr>
            <w:r w:rsidRPr="00217865">
              <w:rPr>
                <w:color w:val="000000" w:themeColor="text1"/>
              </w:rPr>
              <w:t>79.5 (75.8, 82.7)</w:t>
            </w:r>
          </w:p>
        </w:tc>
        <w:tc>
          <w:tcPr>
            <w:tcW w:w="322" w:type="pct"/>
            <w:tcBorders>
              <w:top w:val="single" w:sz="4" w:space="0" w:color="auto"/>
              <w:left w:val="single" w:sz="4" w:space="0" w:color="auto"/>
              <w:bottom w:val="single" w:sz="4" w:space="0" w:color="auto"/>
              <w:right w:val="single" w:sz="4" w:space="0" w:color="auto"/>
            </w:tcBorders>
            <w:vAlign w:val="center"/>
          </w:tcPr>
          <w:p w14:paraId="50AEDAA1" w14:textId="77777777" w:rsidR="00821227" w:rsidRPr="00217865" w:rsidRDefault="00821227" w:rsidP="00E06AED">
            <w:pPr>
              <w:pStyle w:val="Z"/>
              <w:jc w:val="center"/>
              <w:rPr>
                <w:color w:val="000000" w:themeColor="text1"/>
                <w:szCs w:val="18"/>
                <w:highlight w:val="yellow"/>
              </w:rPr>
            </w:pPr>
            <w:r w:rsidRPr="00217865">
              <w:rPr>
                <w:color w:val="000000" w:themeColor="text1"/>
              </w:rPr>
              <w:t>89.4 (86.0, 91.8)</w:t>
            </w:r>
          </w:p>
        </w:tc>
        <w:tc>
          <w:tcPr>
            <w:tcW w:w="323" w:type="pct"/>
            <w:tcBorders>
              <w:top w:val="single" w:sz="4" w:space="0" w:color="auto"/>
              <w:left w:val="single" w:sz="4" w:space="0" w:color="auto"/>
              <w:bottom w:val="single" w:sz="4" w:space="0" w:color="auto"/>
              <w:right w:val="single" w:sz="4" w:space="0" w:color="auto"/>
            </w:tcBorders>
            <w:vAlign w:val="center"/>
          </w:tcPr>
          <w:p w14:paraId="5F06352B" w14:textId="77777777" w:rsidR="00821227" w:rsidRPr="00217865" w:rsidRDefault="00821227" w:rsidP="00E06AED">
            <w:pPr>
              <w:pStyle w:val="Z"/>
              <w:jc w:val="center"/>
              <w:rPr>
                <w:color w:val="000000" w:themeColor="text1"/>
                <w:szCs w:val="18"/>
                <w:highlight w:val="yellow"/>
              </w:rPr>
            </w:pPr>
            <w:r w:rsidRPr="00217865">
              <w:rPr>
                <w:color w:val="000000" w:themeColor="text1"/>
              </w:rPr>
              <w:t>89.9 (87.2, 92.0)</w:t>
            </w:r>
          </w:p>
        </w:tc>
        <w:tc>
          <w:tcPr>
            <w:tcW w:w="323" w:type="pct"/>
            <w:tcBorders>
              <w:top w:val="single" w:sz="4" w:space="0" w:color="auto"/>
              <w:left w:val="single" w:sz="4" w:space="0" w:color="auto"/>
              <w:bottom w:val="single" w:sz="4" w:space="0" w:color="auto"/>
              <w:right w:val="single" w:sz="4" w:space="0" w:color="auto"/>
            </w:tcBorders>
            <w:vAlign w:val="center"/>
          </w:tcPr>
          <w:p w14:paraId="0C3294EE" w14:textId="77777777" w:rsidR="00821227" w:rsidRPr="00217865" w:rsidRDefault="00821227" w:rsidP="00E06AED">
            <w:pPr>
              <w:pStyle w:val="Z"/>
              <w:jc w:val="center"/>
              <w:rPr>
                <w:color w:val="000000" w:themeColor="text1"/>
                <w:szCs w:val="18"/>
                <w:highlight w:val="yellow"/>
              </w:rPr>
            </w:pPr>
            <w:r w:rsidRPr="00217865">
              <w:rPr>
                <w:color w:val="000000" w:themeColor="text1"/>
              </w:rPr>
              <w:t>73.4 (69.2, 77.0)</w:t>
            </w:r>
          </w:p>
        </w:tc>
        <w:tc>
          <w:tcPr>
            <w:tcW w:w="323" w:type="pct"/>
            <w:tcBorders>
              <w:top w:val="single" w:sz="4" w:space="0" w:color="auto"/>
              <w:left w:val="single" w:sz="4" w:space="0" w:color="auto"/>
              <w:bottom w:val="single" w:sz="4" w:space="0" w:color="auto"/>
              <w:right w:val="single" w:sz="4" w:space="0" w:color="auto"/>
            </w:tcBorders>
            <w:vAlign w:val="center"/>
          </w:tcPr>
          <w:p w14:paraId="0B882DEE" w14:textId="77777777" w:rsidR="00821227" w:rsidRPr="00217865" w:rsidRDefault="00821227" w:rsidP="00E06AED">
            <w:pPr>
              <w:pStyle w:val="Z"/>
              <w:jc w:val="center"/>
              <w:rPr>
                <w:color w:val="000000" w:themeColor="text1"/>
                <w:szCs w:val="18"/>
                <w:highlight w:val="yellow"/>
              </w:rPr>
            </w:pPr>
            <w:r w:rsidRPr="00217865">
              <w:rPr>
                <w:color w:val="000000" w:themeColor="text1"/>
              </w:rPr>
              <w:t>75.9 (72.4, 79.0)</w:t>
            </w:r>
          </w:p>
        </w:tc>
      </w:tr>
      <w:tr w:rsidR="00217865" w:rsidRPr="00217865" w14:paraId="6A4CFE26"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2D790D1" w14:textId="77777777" w:rsidR="00821227" w:rsidRPr="00217865" w:rsidRDefault="00821227" w:rsidP="002611FF">
            <w:pPr>
              <w:pStyle w:val="Z"/>
              <w:rPr>
                <w:color w:val="000000" w:themeColor="text1"/>
                <w:szCs w:val="18"/>
                <w:highlight w:val="yellow"/>
              </w:rPr>
            </w:pPr>
            <w:r w:rsidRPr="00217865">
              <w:rPr>
                <w:color w:val="000000" w:themeColor="text1"/>
              </w:rPr>
              <w:lastRenderedPageBreak/>
              <w:t>Victoria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2DB85BC" w14:textId="77777777" w:rsidR="00821227" w:rsidRPr="00217865" w:rsidRDefault="00821227" w:rsidP="00E06AED">
            <w:pPr>
              <w:pStyle w:val="Z"/>
              <w:jc w:val="center"/>
              <w:rPr>
                <w:color w:val="000000" w:themeColor="text1"/>
                <w:szCs w:val="18"/>
                <w:highlight w:val="yellow"/>
              </w:rPr>
            </w:pPr>
            <w:r w:rsidRPr="00217865">
              <w:rPr>
                <w:color w:val="000000" w:themeColor="text1"/>
              </w:rPr>
              <w:t>83.2 (80.8, 85.3)</w:t>
            </w:r>
          </w:p>
        </w:tc>
        <w:tc>
          <w:tcPr>
            <w:tcW w:w="323" w:type="pct"/>
            <w:tcBorders>
              <w:top w:val="single" w:sz="4" w:space="0" w:color="auto"/>
              <w:left w:val="single" w:sz="4" w:space="0" w:color="auto"/>
              <w:bottom w:val="single" w:sz="4" w:space="0" w:color="auto"/>
              <w:right w:val="single" w:sz="4" w:space="0" w:color="auto"/>
            </w:tcBorders>
            <w:vAlign w:val="center"/>
          </w:tcPr>
          <w:p w14:paraId="2AA645AE" w14:textId="77777777" w:rsidR="00821227" w:rsidRPr="00217865" w:rsidRDefault="00821227" w:rsidP="00E06AED">
            <w:pPr>
              <w:pStyle w:val="Z"/>
              <w:jc w:val="center"/>
              <w:rPr>
                <w:color w:val="000000" w:themeColor="text1"/>
                <w:szCs w:val="18"/>
                <w:highlight w:val="yellow"/>
              </w:rPr>
            </w:pPr>
            <w:r w:rsidRPr="00217865">
              <w:rPr>
                <w:color w:val="000000" w:themeColor="text1"/>
              </w:rPr>
              <w:t>88.4 (86.4, 90.1)</w:t>
            </w:r>
          </w:p>
        </w:tc>
        <w:tc>
          <w:tcPr>
            <w:tcW w:w="323" w:type="pct"/>
            <w:tcBorders>
              <w:top w:val="single" w:sz="4" w:space="0" w:color="auto"/>
              <w:left w:val="single" w:sz="4" w:space="0" w:color="auto"/>
              <w:bottom w:val="single" w:sz="4" w:space="0" w:color="auto"/>
              <w:right w:val="single" w:sz="4" w:space="0" w:color="auto"/>
            </w:tcBorders>
            <w:vAlign w:val="center"/>
          </w:tcPr>
          <w:p w14:paraId="47CBE985" w14:textId="77777777" w:rsidR="00821227" w:rsidRPr="00217865" w:rsidRDefault="00821227" w:rsidP="00E06AED">
            <w:pPr>
              <w:pStyle w:val="Z"/>
              <w:jc w:val="center"/>
              <w:rPr>
                <w:color w:val="000000" w:themeColor="text1"/>
                <w:szCs w:val="18"/>
                <w:highlight w:val="yellow"/>
              </w:rPr>
            </w:pPr>
            <w:r w:rsidRPr="00217865">
              <w:rPr>
                <w:color w:val="000000" w:themeColor="text1"/>
              </w:rPr>
              <w:t>67.2 (64.4, 69.8)</w:t>
            </w:r>
          </w:p>
        </w:tc>
        <w:tc>
          <w:tcPr>
            <w:tcW w:w="323" w:type="pct"/>
            <w:tcBorders>
              <w:top w:val="single" w:sz="4" w:space="0" w:color="auto"/>
              <w:left w:val="single" w:sz="4" w:space="0" w:color="auto"/>
              <w:bottom w:val="single" w:sz="4" w:space="0" w:color="auto"/>
              <w:right w:val="single" w:sz="4" w:space="0" w:color="auto"/>
            </w:tcBorders>
            <w:vAlign w:val="center"/>
          </w:tcPr>
          <w:p w14:paraId="74CA6DD4" w14:textId="77777777" w:rsidR="00821227" w:rsidRPr="00217865" w:rsidRDefault="00821227" w:rsidP="00E06AED">
            <w:pPr>
              <w:pStyle w:val="Z"/>
              <w:jc w:val="center"/>
              <w:rPr>
                <w:color w:val="000000" w:themeColor="text1"/>
                <w:szCs w:val="18"/>
                <w:highlight w:val="yellow"/>
              </w:rPr>
            </w:pPr>
            <w:r w:rsidRPr="00217865">
              <w:rPr>
                <w:color w:val="000000" w:themeColor="text1"/>
              </w:rPr>
              <w:t>80.7 (78.4, 82.7)</w:t>
            </w:r>
          </w:p>
        </w:tc>
        <w:tc>
          <w:tcPr>
            <w:tcW w:w="322" w:type="pct"/>
            <w:tcBorders>
              <w:top w:val="single" w:sz="4" w:space="0" w:color="auto"/>
              <w:left w:val="single" w:sz="4" w:space="0" w:color="auto"/>
              <w:bottom w:val="single" w:sz="4" w:space="0" w:color="auto"/>
              <w:right w:val="single" w:sz="4" w:space="0" w:color="auto"/>
            </w:tcBorders>
            <w:vAlign w:val="center"/>
          </w:tcPr>
          <w:p w14:paraId="14E4480B" w14:textId="77777777" w:rsidR="00821227" w:rsidRPr="00217865" w:rsidRDefault="00821227" w:rsidP="00E06AED">
            <w:pPr>
              <w:pStyle w:val="Z"/>
              <w:jc w:val="center"/>
              <w:rPr>
                <w:color w:val="000000" w:themeColor="text1"/>
                <w:szCs w:val="18"/>
                <w:highlight w:val="yellow"/>
              </w:rPr>
            </w:pPr>
            <w:r w:rsidRPr="00217865">
              <w:rPr>
                <w:color w:val="000000" w:themeColor="text1"/>
              </w:rPr>
              <w:t>82.4 (80.0, 84.4)</w:t>
            </w:r>
          </w:p>
        </w:tc>
        <w:tc>
          <w:tcPr>
            <w:tcW w:w="323" w:type="pct"/>
            <w:tcBorders>
              <w:top w:val="single" w:sz="4" w:space="0" w:color="auto"/>
              <w:left w:val="single" w:sz="4" w:space="0" w:color="auto"/>
              <w:bottom w:val="single" w:sz="4" w:space="0" w:color="auto"/>
              <w:right w:val="single" w:sz="4" w:space="0" w:color="auto"/>
            </w:tcBorders>
            <w:vAlign w:val="center"/>
          </w:tcPr>
          <w:p w14:paraId="14AC8260" w14:textId="77777777" w:rsidR="00821227" w:rsidRPr="00217865" w:rsidRDefault="00821227" w:rsidP="00E06AED">
            <w:pPr>
              <w:pStyle w:val="Z"/>
              <w:jc w:val="center"/>
              <w:rPr>
                <w:color w:val="000000" w:themeColor="text1"/>
                <w:szCs w:val="18"/>
                <w:highlight w:val="yellow"/>
              </w:rPr>
            </w:pPr>
            <w:r w:rsidRPr="00217865">
              <w:rPr>
                <w:color w:val="000000" w:themeColor="text1"/>
              </w:rPr>
              <w:t>87.5 (85.5, 89.2)</w:t>
            </w:r>
          </w:p>
        </w:tc>
        <w:tc>
          <w:tcPr>
            <w:tcW w:w="323" w:type="pct"/>
            <w:tcBorders>
              <w:top w:val="single" w:sz="4" w:space="0" w:color="auto"/>
              <w:left w:val="single" w:sz="4" w:space="0" w:color="auto"/>
              <w:bottom w:val="single" w:sz="4" w:space="0" w:color="auto"/>
              <w:right w:val="single" w:sz="4" w:space="0" w:color="auto"/>
            </w:tcBorders>
            <w:vAlign w:val="center"/>
          </w:tcPr>
          <w:p w14:paraId="39124F14" w14:textId="77777777" w:rsidR="00821227" w:rsidRPr="00217865" w:rsidRDefault="00821227" w:rsidP="00E06AED">
            <w:pPr>
              <w:pStyle w:val="Z"/>
              <w:jc w:val="center"/>
              <w:rPr>
                <w:color w:val="000000" w:themeColor="text1"/>
                <w:szCs w:val="18"/>
                <w:highlight w:val="yellow"/>
              </w:rPr>
            </w:pPr>
            <w:r w:rsidRPr="00217865">
              <w:rPr>
                <w:color w:val="000000" w:themeColor="text1"/>
              </w:rPr>
              <w:t>74.3 (71.5, 76.9)</w:t>
            </w:r>
          </w:p>
        </w:tc>
        <w:tc>
          <w:tcPr>
            <w:tcW w:w="323" w:type="pct"/>
            <w:tcBorders>
              <w:top w:val="single" w:sz="4" w:space="0" w:color="auto"/>
              <w:left w:val="single" w:sz="4" w:space="0" w:color="auto"/>
              <w:bottom w:val="single" w:sz="4" w:space="0" w:color="auto"/>
              <w:right w:val="single" w:sz="4" w:space="0" w:color="auto"/>
            </w:tcBorders>
            <w:vAlign w:val="center"/>
          </w:tcPr>
          <w:p w14:paraId="0E708092" w14:textId="77777777" w:rsidR="00821227" w:rsidRPr="00217865" w:rsidRDefault="00821227" w:rsidP="00E06AED">
            <w:pPr>
              <w:pStyle w:val="Z"/>
              <w:jc w:val="center"/>
              <w:rPr>
                <w:color w:val="000000" w:themeColor="text1"/>
                <w:szCs w:val="18"/>
                <w:highlight w:val="yellow"/>
              </w:rPr>
            </w:pPr>
            <w:r w:rsidRPr="00217865">
              <w:rPr>
                <w:color w:val="000000" w:themeColor="text1"/>
              </w:rPr>
              <w:t>81.7 (79.0, 84.0)</w:t>
            </w:r>
          </w:p>
        </w:tc>
        <w:tc>
          <w:tcPr>
            <w:tcW w:w="322" w:type="pct"/>
            <w:tcBorders>
              <w:top w:val="single" w:sz="4" w:space="0" w:color="auto"/>
              <w:left w:val="single" w:sz="4" w:space="0" w:color="auto"/>
              <w:bottom w:val="single" w:sz="4" w:space="0" w:color="auto"/>
              <w:right w:val="single" w:sz="4" w:space="0" w:color="auto"/>
            </w:tcBorders>
            <w:vAlign w:val="center"/>
          </w:tcPr>
          <w:p w14:paraId="0D010D66" w14:textId="77777777" w:rsidR="00821227" w:rsidRPr="00217865" w:rsidRDefault="00821227" w:rsidP="00E06AED">
            <w:pPr>
              <w:pStyle w:val="Z"/>
              <w:jc w:val="center"/>
              <w:rPr>
                <w:color w:val="000000" w:themeColor="text1"/>
                <w:szCs w:val="18"/>
                <w:highlight w:val="yellow"/>
              </w:rPr>
            </w:pPr>
            <w:r w:rsidRPr="00217865">
              <w:rPr>
                <w:color w:val="000000" w:themeColor="text1"/>
              </w:rPr>
              <w:t>81.9 (79.3, 84.2)</w:t>
            </w:r>
          </w:p>
        </w:tc>
        <w:tc>
          <w:tcPr>
            <w:tcW w:w="323" w:type="pct"/>
            <w:tcBorders>
              <w:top w:val="single" w:sz="4" w:space="0" w:color="auto"/>
              <w:left w:val="single" w:sz="4" w:space="0" w:color="auto"/>
              <w:bottom w:val="single" w:sz="4" w:space="0" w:color="auto"/>
              <w:right w:val="single" w:sz="4" w:space="0" w:color="auto"/>
            </w:tcBorders>
            <w:vAlign w:val="center"/>
          </w:tcPr>
          <w:p w14:paraId="7C6BC9E8" w14:textId="77777777" w:rsidR="00821227" w:rsidRPr="00217865" w:rsidRDefault="00821227" w:rsidP="00E06AED">
            <w:pPr>
              <w:pStyle w:val="Z"/>
              <w:jc w:val="center"/>
              <w:rPr>
                <w:color w:val="000000" w:themeColor="text1"/>
                <w:szCs w:val="18"/>
                <w:highlight w:val="yellow"/>
              </w:rPr>
            </w:pPr>
            <w:r w:rsidRPr="00217865">
              <w:rPr>
                <w:color w:val="000000" w:themeColor="text1"/>
              </w:rPr>
              <w:t>87.9 (85.8, 89.6)</w:t>
            </w:r>
          </w:p>
        </w:tc>
        <w:tc>
          <w:tcPr>
            <w:tcW w:w="323" w:type="pct"/>
            <w:tcBorders>
              <w:top w:val="single" w:sz="4" w:space="0" w:color="auto"/>
              <w:left w:val="single" w:sz="4" w:space="0" w:color="auto"/>
              <w:bottom w:val="single" w:sz="4" w:space="0" w:color="auto"/>
              <w:right w:val="single" w:sz="4" w:space="0" w:color="auto"/>
            </w:tcBorders>
            <w:vAlign w:val="center"/>
          </w:tcPr>
          <w:p w14:paraId="4E2DD0E7" w14:textId="77777777" w:rsidR="00821227" w:rsidRPr="00217865" w:rsidRDefault="00821227" w:rsidP="00E06AED">
            <w:pPr>
              <w:pStyle w:val="Z"/>
              <w:jc w:val="center"/>
              <w:rPr>
                <w:color w:val="000000" w:themeColor="text1"/>
                <w:szCs w:val="18"/>
                <w:highlight w:val="yellow"/>
              </w:rPr>
            </w:pPr>
            <w:r w:rsidRPr="00217865">
              <w:rPr>
                <w:color w:val="000000" w:themeColor="text1"/>
              </w:rPr>
              <w:t>79.9 (77.4, 82.1)</w:t>
            </w:r>
          </w:p>
        </w:tc>
        <w:tc>
          <w:tcPr>
            <w:tcW w:w="323" w:type="pct"/>
            <w:tcBorders>
              <w:top w:val="single" w:sz="4" w:space="0" w:color="auto"/>
              <w:left w:val="single" w:sz="4" w:space="0" w:color="auto"/>
              <w:bottom w:val="single" w:sz="4" w:space="0" w:color="auto"/>
              <w:right w:val="single" w:sz="4" w:space="0" w:color="auto"/>
            </w:tcBorders>
            <w:vAlign w:val="center"/>
          </w:tcPr>
          <w:p w14:paraId="4EB3FF11" w14:textId="77777777" w:rsidR="00821227" w:rsidRPr="00217865" w:rsidRDefault="00821227" w:rsidP="00E06AED">
            <w:pPr>
              <w:pStyle w:val="Z"/>
              <w:jc w:val="center"/>
              <w:rPr>
                <w:color w:val="000000" w:themeColor="text1"/>
                <w:szCs w:val="18"/>
                <w:highlight w:val="yellow"/>
              </w:rPr>
            </w:pPr>
            <w:r w:rsidRPr="00217865">
              <w:rPr>
                <w:color w:val="000000" w:themeColor="text1"/>
              </w:rPr>
              <w:t>80.4 (78.1, 82.5)</w:t>
            </w:r>
          </w:p>
        </w:tc>
      </w:tr>
      <w:tr w:rsidR="00217865" w:rsidRPr="00217865" w14:paraId="4B82EFEB"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6BEE2E1" w14:textId="77777777" w:rsidR="00821227" w:rsidRPr="00217865" w:rsidRDefault="00821227" w:rsidP="002611FF">
            <w:pPr>
              <w:pStyle w:val="Z"/>
              <w:rPr>
                <w:color w:val="000000" w:themeColor="text1"/>
                <w:szCs w:val="18"/>
                <w:highlight w:val="yellow"/>
              </w:rPr>
            </w:pPr>
            <w:r w:rsidRPr="00217865">
              <w:rPr>
                <w:color w:val="000000" w:themeColor="text1"/>
              </w:rPr>
              <w:t>Western Sydney University</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4129ADF" w14:textId="77777777" w:rsidR="00821227" w:rsidRPr="00217865" w:rsidRDefault="00821227" w:rsidP="00E06AED">
            <w:pPr>
              <w:pStyle w:val="Z"/>
              <w:jc w:val="center"/>
              <w:rPr>
                <w:color w:val="000000" w:themeColor="text1"/>
                <w:szCs w:val="18"/>
                <w:highlight w:val="yellow"/>
              </w:rPr>
            </w:pPr>
            <w:r w:rsidRPr="00217865">
              <w:rPr>
                <w:color w:val="000000" w:themeColor="text1"/>
              </w:rPr>
              <w:t>83.4 (81.2, 85.3)</w:t>
            </w:r>
          </w:p>
        </w:tc>
        <w:tc>
          <w:tcPr>
            <w:tcW w:w="323" w:type="pct"/>
            <w:tcBorders>
              <w:top w:val="single" w:sz="4" w:space="0" w:color="auto"/>
              <w:left w:val="single" w:sz="4" w:space="0" w:color="auto"/>
              <w:bottom w:val="single" w:sz="4" w:space="0" w:color="auto"/>
              <w:right w:val="single" w:sz="4" w:space="0" w:color="auto"/>
            </w:tcBorders>
            <w:vAlign w:val="center"/>
          </w:tcPr>
          <w:p w14:paraId="58CC1B47" w14:textId="77777777" w:rsidR="00821227" w:rsidRPr="00217865" w:rsidRDefault="00821227" w:rsidP="00E06AED">
            <w:pPr>
              <w:pStyle w:val="Z"/>
              <w:jc w:val="center"/>
              <w:rPr>
                <w:color w:val="000000" w:themeColor="text1"/>
                <w:szCs w:val="18"/>
                <w:highlight w:val="yellow"/>
              </w:rPr>
            </w:pPr>
            <w:r w:rsidRPr="00217865">
              <w:rPr>
                <w:color w:val="000000" w:themeColor="text1"/>
              </w:rPr>
              <w:t>89.6 (87.0, 91.6)</w:t>
            </w:r>
          </w:p>
        </w:tc>
        <w:tc>
          <w:tcPr>
            <w:tcW w:w="323" w:type="pct"/>
            <w:tcBorders>
              <w:top w:val="single" w:sz="4" w:space="0" w:color="auto"/>
              <w:left w:val="single" w:sz="4" w:space="0" w:color="auto"/>
              <w:bottom w:val="single" w:sz="4" w:space="0" w:color="auto"/>
              <w:right w:val="single" w:sz="4" w:space="0" w:color="auto"/>
            </w:tcBorders>
            <w:vAlign w:val="center"/>
          </w:tcPr>
          <w:p w14:paraId="293F4A76" w14:textId="77777777" w:rsidR="00821227" w:rsidRPr="00217865" w:rsidRDefault="00821227" w:rsidP="00E06AED">
            <w:pPr>
              <w:pStyle w:val="Z"/>
              <w:jc w:val="center"/>
              <w:rPr>
                <w:color w:val="000000" w:themeColor="text1"/>
                <w:szCs w:val="18"/>
                <w:highlight w:val="yellow"/>
              </w:rPr>
            </w:pPr>
            <w:r w:rsidRPr="00217865">
              <w:rPr>
                <w:color w:val="000000" w:themeColor="text1"/>
              </w:rPr>
              <w:t>62.8 (60.2, 65.4)</w:t>
            </w:r>
          </w:p>
        </w:tc>
        <w:tc>
          <w:tcPr>
            <w:tcW w:w="323" w:type="pct"/>
            <w:tcBorders>
              <w:top w:val="single" w:sz="4" w:space="0" w:color="auto"/>
              <w:left w:val="single" w:sz="4" w:space="0" w:color="auto"/>
              <w:bottom w:val="single" w:sz="4" w:space="0" w:color="auto"/>
              <w:right w:val="single" w:sz="4" w:space="0" w:color="auto"/>
            </w:tcBorders>
            <w:vAlign w:val="center"/>
          </w:tcPr>
          <w:p w14:paraId="7C185845" w14:textId="77777777" w:rsidR="00821227" w:rsidRPr="00217865" w:rsidRDefault="00821227" w:rsidP="00E06AED">
            <w:pPr>
              <w:pStyle w:val="Z"/>
              <w:jc w:val="center"/>
              <w:rPr>
                <w:color w:val="000000" w:themeColor="text1"/>
                <w:szCs w:val="18"/>
                <w:highlight w:val="yellow"/>
              </w:rPr>
            </w:pPr>
            <w:r w:rsidRPr="00217865">
              <w:rPr>
                <w:color w:val="000000" w:themeColor="text1"/>
              </w:rPr>
              <w:t>72.5 (69.2, 75.6)</w:t>
            </w:r>
          </w:p>
        </w:tc>
        <w:tc>
          <w:tcPr>
            <w:tcW w:w="322" w:type="pct"/>
            <w:tcBorders>
              <w:top w:val="single" w:sz="4" w:space="0" w:color="auto"/>
              <w:left w:val="single" w:sz="4" w:space="0" w:color="auto"/>
              <w:bottom w:val="single" w:sz="4" w:space="0" w:color="auto"/>
              <w:right w:val="single" w:sz="4" w:space="0" w:color="auto"/>
            </w:tcBorders>
            <w:vAlign w:val="center"/>
          </w:tcPr>
          <w:p w14:paraId="4CFF533D" w14:textId="77777777" w:rsidR="00821227" w:rsidRPr="00217865" w:rsidRDefault="00821227" w:rsidP="00E06AED">
            <w:pPr>
              <w:pStyle w:val="Z"/>
              <w:jc w:val="center"/>
              <w:rPr>
                <w:color w:val="000000" w:themeColor="text1"/>
                <w:szCs w:val="18"/>
                <w:highlight w:val="yellow"/>
              </w:rPr>
            </w:pPr>
            <w:r w:rsidRPr="00217865">
              <w:rPr>
                <w:color w:val="000000" w:themeColor="text1"/>
              </w:rPr>
              <w:t>80.4 (78.1, 82.4)</w:t>
            </w:r>
          </w:p>
        </w:tc>
        <w:tc>
          <w:tcPr>
            <w:tcW w:w="323" w:type="pct"/>
            <w:tcBorders>
              <w:top w:val="single" w:sz="4" w:space="0" w:color="auto"/>
              <w:left w:val="single" w:sz="4" w:space="0" w:color="auto"/>
              <w:bottom w:val="single" w:sz="4" w:space="0" w:color="auto"/>
              <w:right w:val="single" w:sz="4" w:space="0" w:color="auto"/>
            </w:tcBorders>
            <w:vAlign w:val="center"/>
          </w:tcPr>
          <w:p w14:paraId="7A2934E1" w14:textId="77777777" w:rsidR="00821227" w:rsidRPr="00217865" w:rsidRDefault="00821227" w:rsidP="00E06AED">
            <w:pPr>
              <w:pStyle w:val="Z"/>
              <w:jc w:val="center"/>
              <w:rPr>
                <w:color w:val="000000" w:themeColor="text1"/>
                <w:szCs w:val="18"/>
                <w:highlight w:val="yellow"/>
              </w:rPr>
            </w:pPr>
            <w:r w:rsidRPr="00217865">
              <w:rPr>
                <w:color w:val="000000" w:themeColor="text1"/>
              </w:rPr>
              <w:t>84.5 (81.6, 87.0)</w:t>
            </w:r>
          </w:p>
        </w:tc>
        <w:tc>
          <w:tcPr>
            <w:tcW w:w="323" w:type="pct"/>
            <w:tcBorders>
              <w:top w:val="single" w:sz="4" w:space="0" w:color="auto"/>
              <w:left w:val="single" w:sz="4" w:space="0" w:color="auto"/>
              <w:bottom w:val="single" w:sz="4" w:space="0" w:color="auto"/>
              <w:right w:val="single" w:sz="4" w:space="0" w:color="auto"/>
            </w:tcBorders>
            <w:vAlign w:val="center"/>
          </w:tcPr>
          <w:p w14:paraId="19DEA742" w14:textId="77777777" w:rsidR="00821227" w:rsidRPr="00217865" w:rsidRDefault="00821227" w:rsidP="00E06AED">
            <w:pPr>
              <w:pStyle w:val="Z"/>
              <w:jc w:val="center"/>
              <w:rPr>
                <w:color w:val="000000" w:themeColor="text1"/>
                <w:szCs w:val="18"/>
                <w:highlight w:val="yellow"/>
              </w:rPr>
            </w:pPr>
            <w:r w:rsidRPr="00217865">
              <w:rPr>
                <w:color w:val="000000" w:themeColor="text1"/>
              </w:rPr>
              <w:t>74.7 (72.2, 77.1)</w:t>
            </w:r>
          </w:p>
        </w:tc>
        <w:tc>
          <w:tcPr>
            <w:tcW w:w="323" w:type="pct"/>
            <w:tcBorders>
              <w:top w:val="single" w:sz="4" w:space="0" w:color="auto"/>
              <w:left w:val="single" w:sz="4" w:space="0" w:color="auto"/>
              <w:bottom w:val="single" w:sz="4" w:space="0" w:color="auto"/>
              <w:right w:val="single" w:sz="4" w:space="0" w:color="auto"/>
            </w:tcBorders>
            <w:vAlign w:val="center"/>
          </w:tcPr>
          <w:p w14:paraId="0DC34AD9" w14:textId="77777777" w:rsidR="00821227" w:rsidRPr="00217865" w:rsidRDefault="00821227" w:rsidP="00E06AED">
            <w:pPr>
              <w:pStyle w:val="Z"/>
              <w:jc w:val="center"/>
              <w:rPr>
                <w:color w:val="000000" w:themeColor="text1"/>
                <w:szCs w:val="18"/>
                <w:highlight w:val="yellow"/>
              </w:rPr>
            </w:pPr>
            <w:r w:rsidRPr="00217865">
              <w:rPr>
                <w:color w:val="000000" w:themeColor="text1"/>
              </w:rPr>
              <w:t>79.6 (76.1, 82.6)</w:t>
            </w:r>
          </w:p>
        </w:tc>
        <w:tc>
          <w:tcPr>
            <w:tcW w:w="322" w:type="pct"/>
            <w:tcBorders>
              <w:top w:val="single" w:sz="4" w:space="0" w:color="auto"/>
              <w:left w:val="single" w:sz="4" w:space="0" w:color="auto"/>
              <w:bottom w:val="single" w:sz="4" w:space="0" w:color="auto"/>
              <w:right w:val="single" w:sz="4" w:space="0" w:color="auto"/>
            </w:tcBorders>
            <w:vAlign w:val="center"/>
          </w:tcPr>
          <w:p w14:paraId="181B1F55" w14:textId="77777777" w:rsidR="00821227" w:rsidRPr="00217865" w:rsidRDefault="00821227" w:rsidP="00E06AED">
            <w:pPr>
              <w:pStyle w:val="Z"/>
              <w:jc w:val="center"/>
              <w:rPr>
                <w:color w:val="000000" w:themeColor="text1"/>
                <w:szCs w:val="18"/>
                <w:highlight w:val="yellow"/>
              </w:rPr>
            </w:pPr>
            <w:r w:rsidRPr="00217865">
              <w:rPr>
                <w:color w:val="000000" w:themeColor="text1"/>
              </w:rPr>
              <w:t>81.0 (78.7, 83.1)</w:t>
            </w:r>
          </w:p>
        </w:tc>
        <w:tc>
          <w:tcPr>
            <w:tcW w:w="323" w:type="pct"/>
            <w:tcBorders>
              <w:top w:val="single" w:sz="4" w:space="0" w:color="auto"/>
              <w:left w:val="single" w:sz="4" w:space="0" w:color="auto"/>
              <w:bottom w:val="single" w:sz="4" w:space="0" w:color="auto"/>
              <w:right w:val="single" w:sz="4" w:space="0" w:color="auto"/>
            </w:tcBorders>
            <w:vAlign w:val="center"/>
          </w:tcPr>
          <w:p w14:paraId="638DB1B4" w14:textId="77777777" w:rsidR="00821227" w:rsidRPr="00217865" w:rsidRDefault="00821227" w:rsidP="00E06AED">
            <w:pPr>
              <w:pStyle w:val="Z"/>
              <w:jc w:val="center"/>
              <w:rPr>
                <w:color w:val="000000" w:themeColor="text1"/>
                <w:szCs w:val="18"/>
                <w:highlight w:val="yellow"/>
              </w:rPr>
            </w:pPr>
            <w:r w:rsidRPr="00217865">
              <w:rPr>
                <w:color w:val="000000" w:themeColor="text1"/>
              </w:rPr>
              <w:t>88.2 (85.5, 90.4)</w:t>
            </w:r>
          </w:p>
        </w:tc>
        <w:tc>
          <w:tcPr>
            <w:tcW w:w="323" w:type="pct"/>
            <w:tcBorders>
              <w:top w:val="single" w:sz="4" w:space="0" w:color="auto"/>
              <w:left w:val="single" w:sz="4" w:space="0" w:color="auto"/>
              <w:bottom w:val="single" w:sz="4" w:space="0" w:color="auto"/>
              <w:right w:val="single" w:sz="4" w:space="0" w:color="auto"/>
            </w:tcBorders>
            <w:vAlign w:val="center"/>
          </w:tcPr>
          <w:p w14:paraId="4DE73E93" w14:textId="77777777" w:rsidR="00821227" w:rsidRPr="00217865" w:rsidRDefault="00821227" w:rsidP="00E06AED">
            <w:pPr>
              <w:pStyle w:val="Z"/>
              <w:jc w:val="center"/>
              <w:rPr>
                <w:color w:val="000000" w:themeColor="text1"/>
                <w:szCs w:val="18"/>
                <w:highlight w:val="yellow"/>
              </w:rPr>
            </w:pPr>
            <w:r w:rsidRPr="00217865">
              <w:rPr>
                <w:color w:val="000000" w:themeColor="text1"/>
              </w:rPr>
              <w:t>74.5 (72.1, 76.7)</w:t>
            </w:r>
          </w:p>
        </w:tc>
        <w:tc>
          <w:tcPr>
            <w:tcW w:w="323" w:type="pct"/>
            <w:tcBorders>
              <w:top w:val="single" w:sz="4" w:space="0" w:color="auto"/>
              <w:left w:val="single" w:sz="4" w:space="0" w:color="auto"/>
              <w:bottom w:val="single" w:sz="4" w:space="0" w:color="auto"/>
              <w:right w:val="single" w:sz="4" w:space="0" w:color="auto"/>
            </w:tcBorders>
            <w:vAlign w:val="center"/>
          </w:tcPr>
          <w:p w14:paraId="3B5874BB" w14:textId="77777777" w:rsidR="00821227" w:rsidRPr="00217865" w:rsidRDefault="00821227" w:rsidP="00E06AED">
            <w:pPr>
              <w:pStyle w:val="Z"/>
              <w:jc w:val="center"/>
              <w:rPr>
                <w:color w:val="000000" w:themeColor="text1"/>
                <w:szCs w:val="18"/>
                <w:highlight w:val="yellow"/>
              </w:rPr>
            </w:pPr>
            <w:r w:rsidRPr="00217865">
              <w:rPr>
                <w:color w:val="000000" w:themeColor="text1"/>
              </w:rPr>
              <w:t>77.3 (74.1, 80.2)</w:t>
            </w:r>
          </w:p>
        </w:tc>
      </w:tr>
      <w:tr w:rsidR="00217865" w:rsidRPr="00217865" w14:paraId="4E6C9310" w14:textId="77777777" w:rsidTr="007A503F">
        <w:trPr>
          <w:trHeight w:val="60"/>
        </w:trPr>
        <w:tc>
          <w:tcPr>
            <w:tcW w:w="1131"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93AD6DF" w14:textId="77777777" w:rsidR="00821227" w:rsidRPr="00217865" w:rsidRDefault="00821227" w:rsidP="002611FF">
            <w:pPr>
              <w:pStyle w:val="Z"/>
              <w:rPr>
                <w:color w:val="000000" w:themeColor="text1"/>
                <w:szCs w:val="18"/>
                <w:highlight w:val="yellow"/>
              </w:rPr>
            </w:pPr>
            <w:r w:rsidRPr="00217865">
              <w:rPr>
                <w:color w:val="000000" w:themeColor="text1"/>
              </w:rPr>
              <w:t>All Universities</w:t>
            </w:r>
          </w:p>
        </w:tc>
        <w:tc>
          <w:tcPr>
            <w:tcW w:w="322"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152144F" w14:textId="77777777" w:rsidR="00821227" w:rsidRPr="00217865" w:rsidRDefault="00821227" w:rsidP="00E06AED">
            <w:pPr>
              <w:pStyle w:val="Z"/>
              <w:jc w:val="center"/>
              <w:rPr>
                <w:color w:val="000000" w:themeColor="text1"/>
                <w:szCs w:val="18"/>
                <w:highlight w:val="yellow"/>
              </w:rPr>
            </w:pPr>
            <w:r w:rsidRPr="00217865">
              <w:rPr>
                <w:color w:val="000000" w:themeColor="text1"/>
              </w:rPr>
              <w:t>81.5 (81.2, 81.9)</w:t>
            </w:r>
          </w:p>
        </w:tc>
        <w:tc>
          <w:tcPr>
            <w:tcW w:w="323" w:type="pct"/>
            <w:tcBorders>
              <w:top w:val="single" w:sz="4" w:space="0" w:color="auto"/>
              <w:left w:val="single" w:sz="4" w:space="0" w:color="auto"/>
              <w:bottom w:val="single" w:sz="4" w:space="0" w:color="auto"/>
              <w:right w:val="single" w:sz="4" w:space="0" w:color="auto"/>
            </w:tcBorders>
            <w:vAlign w:val="center"/>
          </w:tcPr>
          <w:p w14:paraId="24E1F8BC" w14:textId="77777777" w:rsidR="00821227" w:rsidRPr="00217865" w:rsidRDefault="00821227" w:rsidP="00E06AED">
            <w:pPr>
              <w:pStyle w:val="Z"/>
              <w:jc w:val="center"/>
              <w:rPr>
                <w:color w:val="000000" w:themeColor="text1"/>
                <w:szCs w:val="18"/>
                <w:highlight w:val="yellow"/>
              </w:rPr>
            </w:pPr>
            <w:r w:rsidRPr="00217865">
              <w:rPr>
                <w:color w:val="000000" w:themeColor="text1"/>
              </w:rPr>
              <w:t>83.1 (82.7, 83.4)</w:t>
            </w:r>
          </w:p>
        </w:tc>
        <w:tc>
          <w:tcPr>
            <w:tcW w:w="323" w:type="pct"/>
            <w:tcBorders>
              <w:top w:val="single" w:sz="4" w:space="0" w:color="auto"/>
              <w:left w:val="single" w:sz="4" w:space="0" w:color="auto"/>
              <w:bottom w:val="single" w:sz="4" w:space="0" w:color="auto"/>
              <w:right w:val="single" w:sz="4" w:space="0" w:color="auto"/>
            </w:tcBorders>
            <w:vAlign w:val="center"/>
          </w:tcPr>
          <w:p w14:paraId="0C101C91" w14:textId="77777777" w:rsidR="00821227" w:rsidRPr="00217865" w:rsidRDefault="00821227" w:rsidP="00E06AED">
            <w:pPr>
              <w:pStyle w:val="Z"/>
              <w:jc w:val="center"/>
              <w:rPr>
                <w:color w:val="000000" w:themeColor="text1"/>
                <w:szCs w:val="18"/>
                <w:highlight w:val="yellow"/>
              </w:rPr>
            </w:pPr>
            <w:r w:rsidRPr="00217865">
              <w:rPr>
                <w:color w:val="000000" w:themeColor="text1"/>
              </w:rPr>
              <w:t>60.2 (59.8, 60.7)</w:t>
            </w:r>
          </w:p>
        </w:tc>
        <w:tc>
          <w:tcPr>
            <w:tcW w:w="323" w:type="pct"/>
            <w:tcBorders>
              <w:top w:val="single" w:sz="4" w:space="0" w:color="auto"/>
              <w:left w:val="single" w:sz="4" w:space="0" w:color="auto"/>
              <w:bottom w:val="single" w:sz="4" w:space="0" w:color="auto"/>
              <w:right w:val="single" w:sz="4" w:space="0" w:color="auto"/>
            </w:tcBorders>
            <w:vAlign w:val="center"/>
          </w:tcPr>
          <w:p w14:paraId="6124991A" w14:textId="77777777" w:rsidR="00821227" w:rsidRPr="00217865" w:rsidRDefault="00821227" w:rsidP="00E06AED">
            <w:pPr>
              <w:pStyle w:val="Z"/>
              <w:jc w:val="center"/>
              <w:rPr>
                <w:color w:val="000000" w:themeColor="text1"/>
                <w:szCs w:val="18"/>
                <w:highlight w:val="yellow"/>
              </w:rPr>
            </w:pPr>
            <w:r w:rsidRPr="00217865">
              <w:rPr>
                <w:color w:val="000000" w:themeColor="text1"/>
              </w:rPr>
              <w:t>67.0 (66.6, 67.4)</w:t>
            </w:r>
          </w:p>
        </w:tc>
        <w:tc>
          <w:tcPr>
            <w:tcW w:w="322" w:type="pct"/>
            <w:tcBorders>
              <w:top w:val="single" w:sz="4" w:space="0" w:color="auto"/>
              <w:left w:val="single" w:sz="4" w:space="0" w:color="auto"/>
              <w:bottom w:val="single" w:sz="4" w:space="0" w:color="auto"/>
              <w:right w:val="single" w:sz="4" w:space="0" w:color="auto"/>
            </w:tcBorders>
            <w:vAlign w:val="center"/>
          </w:tcPr>
          <w:p w14:paraId="54125DA6" w14:textId="77777777" w:rsidR="00821227" w:rsidRPr="00217865" w:rsidRDefault="00821227" w:rsidP="00E06AED">
            <w:pPr>
              <w:pStyle w:val="Z"/>
              <w:jc w:val="center"/>
              <w:rPr>
                <w:color w:val="000000" w:themeColor="text1"/>
                <w:szCs w:val="18"/>
                <w:highlight w:val="yellow"/>
              </w:rPr>
            </w:pPr>
            <w:r w:rsidRPr="00217865">
              <w:rPr>
                <w:color w:val="000000" w:themeColor="text1"/>
              </w:rPr>
              <w:t>79.6 (79.2, 79.9)</w:t>
            </w:r>
          </w:p>
        </w:tc>
        <w:tc>
          <w:tcPr>
            <w:tcW w:w="323" w:type="pct"/>
            <w:tcBorders>
              <w:top w:val="single" w:sz="4" w:space="0" w:color="auto"/>
              <w:left w:val="single" w:sz="4" w:space="0" w:color="auto"/>
              <w:bottom w:val="single" w:sz="4" w:space="0" w:color="auto"/>
              <w:right w:val="single" w:sz="4" w:space="0" w:color="auto"/>
            </w:tcBorders>
            <w:vAlign w:val="center"/>
          </w:tcPr>
          <w:p w14:paraId="5F9F9606" w14:textId="77777777" w:rsidR="00821227" w:rsidRPr="00217865" w:rsidRDefault="00821227" w:rsidP="00E06AED">
            <w:pPr>
              <w:pStyle w:val="Z"/>
              <w:jc w:val="center"/>
              <w:rPr>
                <w:color w:val="000000" w:themeColor="text1"/>
                <w:szCs w:val="18"/>
                <w:highlight w:val="yellow"/>
              </w:rPr>
            </w:pPr>
            <w:r w:rsidRPr="00217865">
              <w:rPr>
                <w:color w:val="000000" w:themeColor="text1"/>
              </w:rPr>
              <w:t>81.9 (81.6, 82.3)</w:t>
            </w:r>
          </w:p>
        </w:tc>
        <w:tc>
          <w:tcPr>
            <w:tcW w:w="323" w:type="pct"/>
            <w:tcBorders>
              <w:top w:val="single" w:sz="4" w:space="0" w:color="auto"/>
              <w:left w:val="single" w:sz="4" w:space="0" w:color="auto"/>
              <w:bottom w:val="single" w:sz="4" w:space="0" w:color="auto"/>
              <w:right w:val="single" w:sz="4" w:space="0" w:color="auto"/>
            </w:tcBorders>
            <w:vAlign w:val="center"/>
          </w:tcPr>
          <w:p w14:paraId="084B5387" w14:textId="77777777" w:rsidR="00821227" w:rsidRPr="00217865" w:rsidRDefault="00821227" w:rsidP="00E06AED">
            <w:pPr>
              <w:pStyle w:val="Z"/>
              <w:jc w:val="center"/>
              <w:rPr>
                <w:color w:val="000000" w:themeColor="text1"/>
                <w:szCs w:val="18"/>
                <w:highlight w:val="yellow"/>
              </w:rPr>
            </w:pPr>
            <w:r w:rsidRPr="00217865">
              <w:rPr>
                <w:color w:val="000000" w:themeColor="text1"/>
              </w:rPr>
              <w:t>73.6 (73.2, 74.1)</w:t>
            </w:r>
          </w:p>
        </w:tc>
        <w:tc>
          <w:tcPr>
            <w:tcW w:w="323" w:type="pct"/>
            <w:tcBorders>
              <w:top w:val="single" w:sz="4" w:space="0" w:color="auto"/>
              <w:left w:val="single" w:sz="4" w:space="0" w:color="auto"/>
              <w:bottom w:val="single" w:sz="4" w:space="0" w:color="auto"/>
              <w:right w:val="single" w:sz="4" w:space="0" w:color="auto"/>
            </w:tcBorders>
            <w:vAlign w:val="center"/>
          </w:tcPr>
          <w:p w14:paraId="4CD0125F" w14:textId="77777777" w:rsidR="00821227" w:rsidRPr="00217865" w:rsidRDefault="00821227" w:rsidP="00E06AED">
            <w:pPr>
              <w:pStyle w:val="Z"/>
              <w:jc w:val="center"/>
              <w:rPr>
                <w:color w:val="000000" w:themeColor="text1"/>
                <w:szCs w:val="18"/>
                <w:highlight w:val="yellow"/>
              </w:rPr>
            </w:pPr>
            <w:r w:rsidRPr="00217865">
              <w:rPr>
                <w:color w:val="000000" w:themeColor="text1"/>
              </w:rPr>
              <w:t>77.6 (77.2, 78.1)</w:t>
            </w:r>
          </w:p>
        </w:tc>
        <w:tc>
          <w:tcPr>
            <w:tcW w:w="322" w:type="pct"/>
            <w:tcBorders>
              <w:top w:val="single" w:sz="4" w:space="0" w:color="auto"/>
              <w:left w:val="single" w:sz="4" w:space="0" w:color="auto"/>
              <w:bottom w:val="single" w:sz="4" w:space="0" w:color="auto"/>
              <w:right w:val="single" w:sz="4" w:space="0" w:color="auto"/>
            </w:tcBorders>
            <w:vAlign w:val="center"/>
          </w:tcPr>
          <w:p w14:paraId="655DA66B" w14:textId="77777777" w:rsidR="00821227" w:rsidRPr="00217865" w:rsidRDefault="00821227" w:rsidP="00E06AED">
            <w:pPr>
              <w:pStyle w:val="Z"/>
              <w:jc w:val="center"/>
              <w:rPr>
                <w:color w:val="000000" w:themeColor="text1"/>
                <w:szCs w:val="18"/>
                <w:highlight w:val="yellow"/>
              </w:rPr>
            </w:pPr>
            <w:r w:rsidRPr="00217865">
              <w:rPr>
                <w:color w:val="000000" w:themeColor="text1"/>
              </w:rPr>
              <w:t>85.2 (84.9, 85.5)</w:t>
            </w:r>
          </w:p>
        </w:tc>
        <w:tc>
          <w:tcPr>
            <w:tcW w:w="323" w:type="pct"/>
            <w:tcBorders>
              <w:top w:val="single" w:sz="4" w:space="0" w:color="auto"/>
              <w:left w:val="single" w:sz="4" w:space="0" w:color="auto"/>
              <w:bottom w:val="single" w:sz="4" w:space="0" w:color="auto"/>
              <w:right w:val="single" w:sz="4" w:space="0" w:color="auto"/>
            </w:tcBorders>
            <w:vAlign w:val="center"/>
          </w:tcPr>
          <w:p w14:paraId="54C643E4" w14:textId="77777777" w:rsidR="00821227" w:rsidRPr="00217865" w:rsidRDefault="00821227" w:rsidP="00E06AED">
            <w:pPr>
              <w:pStyle w:val="Z"/>
              <w:jc w:val="center"/>
              <w:rPr>
                <w:color w:val="000000" w:themeColor="text1"/>
                <w:szCs w:val="18"/>
                <w:highlight w:val="yellow"/>
              </w:rPr>
            </w:pPr>
            <w:r w:rsidRPr="00217865">
              <w:rPr>
                <w:color w:val="000000" w:themeColor="text1"/>
              </w:rPr>
              <w:t>86.9 (86.6, 87.2)</w:t>
            </w:r>
          </w:p>
        </w:tc>
        <w:tc>
          <w:tcPr>
            <w:tcW w:w="323" w:type="pct"/>
            <w:tcBorders>
              <w:top w:val="single" w:sz="4" w:space="0" w:color="auto"/>
              <w:left w:val="single" w:sz="4" w:space="0" w:color="auto"/>
              <w:bottom w:val="single" w:sz="4" w:space="0" w:color="auto"/>
              <w:right w:val="single" w:sz="4" w:space="0" w:color="auto"/>
            </w:tcBorders>
            <w:vAlign w:val="center"/>
          </w:tcPr>
          <w:p w14:paraId="552766AE" w14:textId="77777777" w:rsidR="00821227" w:rsidRPr="00217865" w:rsidRDefault="00821227" w:rsidP="00E06AED">
            <w:pPr>
              <w:pStyle w:val="Z"/>
              <w:jc w:val="center"/>
              <w:rPr>
                <w:color w:val="000000" w:themeColor="text1"/>
                <w:szCs w:val="18"/>
                <w:highlight w:val="yellow"/>
              </w:rPr>
            </w:pPr>
            <w:r w:rsidRPr="00217865">
              <w:rPr>
                <w:color w:val="000000" w:themeColor="text1"/>
              </w:rPr>
              <w:t>73.5 (73.1, 73.9)</w:t>
            </w:r>
          </w:p>
        </w:tc>
        <w:tc>
          <w:tcPr>
            <w:tcW w:w="323" w:type="pct"/>
            <w:tcBorders>
              <w:top w:val="single" w:sz="4" w:space="0" w:color="auto"/>
              <w:left w:val="single" w:sz="4" w:space="0" w:color="auto"/>
              <w:bottom w:val="single" w:sz="4" w:space="0" w:color="auto"/>
              <w:right w:val="single" w:sz="4" w:space="0" w:color="auto"/>
            </w:tcBorders>
            <w:vAlign w:val="center"/>
          </w:tcPr>
          <w:p w14:paraId="639B0DC8" w14:textId="77777777" w:rsidR="00821227" w:rsidRPr="00217865" w:rsidRDefault="00821227" w:rsidP="00E06AED">
            <w:pPr>
              <w:pStyle w:val="Z"/>
              <w:jc w:val="center"/>
              <w:rPr>
                <w:color w:val="000000" w:themeColor="text1"/>
                <w:szCs w:val="18"/>
                <w:highlight w:val="yellow"/>
              </w:rPr>
            </w:pPr>
            <w:r w:rsidRPr="00217865">
              <w:rPr>
                <w:color w:val="000000" w:themeColor="text1"/>
              </w:rPr>
              <w:t>75.2 (74.8, 75.6)</w:t>
            </w:r>
          </w:p>
        </w:tc>
      </w:tr>
    </w:tbl>
    <w:p w14:paraId="3652ABBF" w14:textId="77777777" w:rsidR="00821227" w:rsidRPr="007624C4" w:rsidRDefault="00821227" w:rsidP="00821227">
      <w:pPr>
        <w:pStyle w:val="Body"/>
        <w:rPr>
          <w:rFonts w:eastAsiaTheme="minorEastAsia" w:cs="Arial"/>
          <w:color w:val="000000" w:themeColor="text1"/>
          <w:spacing w:val="1"/>
          <w:sz w:val="16"/>
          <w:szCs w:val="16"/>
          <w:lang w:val="en-GB"/>
        </w:rPr>
      </w:pPr>
      <w:r w:rsidRPr="007624C4">
        <w:rPr>
          <w:rFonts w:eastAsiaTheme="minorEastAsia" w:cs="Arial"/>
          <w:color w:val="000000" w:themeColor="text1"/>
          <w:spacing w:val="1"/>
          <w:sz w:val="18"/>
          <w:szCs w:val="18"/>
          <w:lang w:val="en-GB"/>
        </w:rPr>
        <w:t>Note: A blank cell indicates there is no data for that cell and n/a indicates a suppressed value (n&lt;25).</w:t>
      </w:r>
    </w:p>
    <w:p w14:paraId="1C939D8C" w14:textId="77777777" w:rsidR="00821227" w:rsidRPr="00217865" w:rsidRDefault="00821227" w:rsidP="00890892">
      <w:pPr>
        <w:pStyle w:val="Heading3"/>
        <w:rPr>
          <w:color w:val="000000" w:themeColor="text1"/>
        </w:rPr>
      </w:pPr>
      <w:bookmarkStart w:id="59" w:name="_Toc171884206"/>
      <w:bookmarkStart w:id="60" w:name="_Toc178599288"/>
      <w:bookmarkEnd w:id="59"/>
      <w:r w:rsidRPr="00217865">
        <w:rPr>
          <w:color w:val="000000" w:themeColor="text1"/>
        </w:rPr>
        <w:t>Non-university higher education institutions (NUHEIs)</w:t>
      </w:r>
      <w:bookmarkEnd w:id="60"/>
    </w:p>
    <w:p w14:paraId="660FD18F" w14:textId="00479CAA" w:rsidR="00821227" w:rsidRPr="00217865" w:rsidRDefault="00821227" w:rsidP="00821227">
      <w:pPr>
        <w:pStyle w:val="Body"/>
        <w:rPr>
          <w:rFonts w:cs="Arial"/>
          <w:color w:val="000000" w:themeColor="text1"/>
        </w:rPr>
      </w:pPr>
      <w:r w:rsidRPr="00217865">
        <w:rPr>
          <w:rFonts w:cs="Arial"/>
          <w:color w:val="000000" w:themeColor="text1"/>
        </w:rPr>
        <w:t xml:space="preserve">Since the number of international students enrolled in individual NUHEIs tends to be much smaller than at universities, survey data for NUHEIs shown in </w:t>
      </w:r>
      <w:r w:rsidR="009F7D9D" w:rsidRPr="001E2723">
        <w:rPr>
          <w:rFonts w:cs="Arial"/>
          <w:b/>
          <w:bCs/>
          <w:color w:val="000000" w:themeColor="text1"/>
        </w:rPr>
        <w:fldChar w:fldCharType="begin"/>
      </w:r>
      <w:r w:rsidR="009F7D9D" w:rsidRPr="001E2723">
        <w:rPr>
          <w:rFonts w:cs="Arial"/>
          <w:b/>
          <w:bCs/>
          <w:color w:val="000000" w:themeColor="text1"/>
        </w:rPr>
        <w:instrText xml:space="preserve"> REF _Ref66189647 \h </w:instrText>
      </w:r>
      <w:r w:rsidR="00A6216F" w:rsidRPr="001E2723">
        <w:rPr>
          <w:rFonts w:cs="Arial"/>
          <w:b/>
          <w:bCs/>
          <w:color w:val="000000" w:themeColor="text1"/>
        </w:rPr>
        <w:instrText xml:space="preserve"> \* MERGEFORMAT </w:instrText>
      </w:r>
      <w:r w:rsidR="009F7D9D" w:rsidRPr="001E2723">
        <w:rPr>
          <w:rFonts w:cs="Arial"/>
          <w:b/>
          <w:bCs/>
          <w:color w:val="000000" w:themeColor="text1"/>
        </w:rPr>
      </w:r>
      <w:r w:rsidR="009F7D9D"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8</w:t>
      </w:r>
      <w:r w:rsidR="009F7D9D" w:rsidRPr="001E2723">
        <w:rPr>
          <w:rFonts w:cs="Arial"/>
          <w:b/>
          <w:bCs/>
          <w:color w:val="000000" w:themeColor="text1"/>
        </w:rPr>
        <w:fldChar w:fldCharType="end"/>
      </w:r>
      <w:r w:rsidRPr="00217865">
        <w:rPr>
          <w:rFonts w:cs="Arial"/>
          <w:b/>
          <w:color w:val="000000" w:themeColor="text1"/>
        </w:rPr>
        <w:fldChar w:fldCharType="begin"/>
      </w:r>
      <w:r w:rsidRPr="00217865">
        <w:rPr>
          <w:rFonts w:cs="Arial"/>
          <w:b/>
          <w:color w:val="000000" w:themeColor="text1"/>
        </w:rPr>
        <w:instrText xml:space="preserve"> REF _Ref66189647 \h  \* MERGEFORMAT </w:instrText>
      </w:r>
      <w:r w:rsidRPr="00217865">
        <w:rPr>
          <w:rFonts w:cs="Arial"/>
          <w:b/>
          <w:color w:val="000000" w:themeColor="text1"/>
        </w:rPr>
      </w:r>
      <w:r w:rsidRPr="00217865">
        <w:rPr>
          <w:rFonts w:cs="Arial"/>
          <w:b/>
          <w:color w:val="000000" w:themeColor="text1"/>
        </w:rPr>
        <w:fldChar w:fldCharType="separate"/>
      </w:r>
      <w:r w:rsidRPr="00217865">
        <w:rPr>
          <w:rFonts w:cs="Arial"/>
          <w:b/>
          <w:color w:val="000000" w:themeColor="text1"/>
        </w:rPr>
        <w:fldChar w:fldCharType="end"/>
      </w:r>
      <w:r w:rsidRPr="00217865">
        <w:rPr>
          <w:rFonts w:cs="Arial"/>
          <w:color w:val="000000" w:themeColor="text1"/>
        </w:rPr>
        <w:t xml:space="preserve"> of this report uses pooled data for two survey years (2021 and 2022 compared with 2022 and 2023), the same as shown on the </w:t>
      </w:r>
      <w:proofErr w:type="spellStart"/>
      <w:r w:rsidRPr="00217865">
        <w:rPr>
          <w:rFonts w:cs="Arial"/>
          <w:color w:val="000000" w:themeColor="text1"/>
        </w:rPr>
        <w:t>ComparED</w:t>
      </w:r>
      <w:proofErr w:type="spellEnd"/>
      <w:r w:rsidRPr="00217865">
        <w:rPr>
          <w:rFonts w:cs="Arial"/>
          <w:color w:val="000000" w:themeColor="text1"/>
        </w:rPr>
        <w:t xml:space="preserve"> website, and results based on fewer than 25 survey responses have not been published. As a result of pooling data, results for NUHEIs are not directly comparable with those presented for universities in </w:t>
      </w:r>
      <w:r w:rsidR="00301BA7" w:rsidRPr="001E2723">
        <w:rPr>
          <w:rFonts w:cs="Arial"/>
          <w:b/>
          <w:bCs/>
          <w:color w:val="000000" w:themeColor="text1"/>
        </w:rPr>
        <w:fldChar w:fldCharType="begin"/>
      </w:r>
      <w:r w:rsidR="00301BA7" w:rsidRPr="001E2723">
        <w:rPr>
          <w:rFonts w:cs="Arial"/>
          <w:b/>
          <w:bCs/>
          <w:color w:val="000000" w:themeColor="text1"/>
        </w:rPr>
        <w:instrText xml:space="preserve"> REF _Ref65791192 \h </w:instrText>
      </w:r>
      <w:r w:rsidR="00A6216F" w:rsidRPr="001E2723">
        <w:rPr>
          <w:rFonts w:cs="Arial"/>
          <w:b/>
          <w:bCs/>
          <w:color w:val="000000" w:themeColor="text1"/>
        </w:rPr>
        <w:instrText xml:space="preserve"> \* MERGEFORMAT </w:instrText>
      </w:r>
      <w:r w:rsidR="00301BA7" w:rsidRPr="001E2723">
        <w:rPr>
          <w:rFonts w:cs="Arial"/>
          <w:b/>
          <w:bCs/>
          <w:color w:val="000000" w:themeColor="text1"/>
        </w:rPr>
      </w:r>
      <w:r w:rsidR="00301BA7" w:rsidRPr="001E2723">
        <w:rPr>
          <w:rFonts w:cs="Arial"/>
          <w:b/>
          <w:bCs/>
          <w:color w:val="000000" w:themeColor="text1"/>
        </w:rPr>
        <w:fldChar w:fldCharType="separate"/>
      </w:r>
      <w:r w:rsidR="005D5678" w:rsidRPr="001E2723">
        <w:rPr>
          <w:rFonts w:cs="Arial"/>
          <w:b/>
          <w:bCs/>
          <w:color w:val="000000" w:themeColor="text1"/>
        </w:rPr>
        <w:t xml:space="preserve">Figure </w:t>
      </w:r>
      <w:r w:rsidR="005D5678" w:rsidRPr="001E2723">
        <w:rPr>
          <w:rFonts w:cs="Arial"/>
          <w:b/>
          <w:bCs/>
          <w:noProof/>
          <w:color w:val="000000" w:themeColor="text1"/>
        </w:rPr>
        <w:t>5</w:t>
      </w:r>
      <w:r w:rsidR="00301BA7" w:rsidRPr="001E2723">
        <w:rPr>
          <w:rFonts w:cs="Arial"/>
          <w:b/>
          <w:bCs/>
          <w:color w:val="000000" w:themeColor="text1"/>
        </w:rPr>
        <w:fldChar w:fldCharType="end"/>
      </w:r>
      <w:r w:rsidRPr="00217865">
        <w:rPr>
          <w:rFonts w:cs="Arial"/>
          <w:color w:val="000000" w:themeColor="text1"/>
        </w:rPr>
        <w:t xml:space="preserve"> and </w:t>
      </w:r>
      <w:r w:rsidR="00301BA7" w:rsidRPr="001E2723">
        <w:rPr>
          <w:rFonts w:cs="Arial"/>
          <w:b/>
          <w:bCs/>
          <w:color w:val="000000" w:themeColor="text1"/>
        </w:rPr>
        <w:fldChar w:fldCharType="begin"/>
      </w:r>
      <w:r w:rsidR="00301BA7" w:rsidRPr="001E2723">
        <w:rPr>
          <w:rFonts w:cs="Arial"/>
          <w:b/>
          <w:bCs/>
          <w:color w:val="000000" w:themeColor="text1"/>
        </w:rPr>
        <w:instrText xml:space="preserve"> REF _Ref97269490 \h </w:instrText>
      </w:r>
      <w:r w:rsidR="00A6216F" w:rsidRPr="001E2723">
        <w:rPr>
          <w:rFonts w:cs="Arial"/>
          <w:b/>
          <w:bCs/>
          <w:color w:val="000000" w:themeColor="text1"/>
        </w:rPr>
        <w:instrText xml:space="preserve"> \* MERGEFORMAT </w:instrText>
      </w:r>
      <w:r w:rsidR="00301BA7" w:rsidRPr="001E2723">
        <w:rPr>
          <w:rFonts w:cs="Arial"/>
          <w:b/>
          <w:bCs/>
          <w:color w:val="000000" w:themeColor="text1"/>
        </w:rPr>
      </w:r>
      <w:r w:rsidR="00301BA7"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7</w:t>
      </w:r>
      <w:r w:rsidR="00301BA7" w:rsidRPr="001E2723">
        <w:rPr>
          <w:rFonts w:cs="Arial"/>
          <w:b/>
          <w:bCs/>
          <w:color w:val="000000" w:themeColor="text1"/>
        </w:rPr>
        <w:fldChar w:fldCharType="end"/>
      </w:r>
      <w:r w:rsidR="001E2723">
        <w:rPr>
          <w:rFonts w:cs="Arial"/>
          <w:color w:val="000000" w:themeColor="text1"/>
        </w:rPr>
        <w:t>.</w:t>
      </w:r>
      <w:r w:rsidRPr="00217865">
        <w:rPr>
          <w:rFonts w:cs="Arial"/>
          <w:color w:val="000000" w:themeColor="text1"/>
        </w:rPr>
        <w:t xml:space="preserve"> Pooled estimates for the 2021 and 2022 SES compared with the pooled estimates for the 2022 and 2023 SES have the effect of diluting any impact on student ratings due to the impact of COVID-19 that was seen across the sector in 2020 and the improvement in results seen in subsequent years. </w:t>
      </w:r>
    </w:p>
    <w:p w14:paraId="07E742A7" w14:textId="77777777" w:rsidR="00821227" w:rsidRPr="00217865" w:rsidRDefault="00821227" w:rsidP="00821227">
      <w:pPr>
        <w:pStyle w:val="Body"/>
        <w:rPr>
          <w:rFonts w:cs="Arial"/>
          <w:color w:val="000000" w:themeColor="text1"/>
          <w:highlight w:val="yellow"/>
        </w:rPr>
      </w:pPr>
      <w:r w:rsidRPr="00217865">
        <w:rPr>
          <w:rFonts w:cs="Arial"/>
          <w:color w:val="000000" w:themeColor="text1"/>
        </w:rPr>
        <w:t>Of the 57 institutions with sufficient responses between 2021-2022 and 2022-2023, 38 institutions recorded higher student ratings of the Quality of entire educational experience. Institutions with the largest increases were Chisholm Institute, 14.8 percentage points, Australian College of Applied Professions, 14.6 percentage points, and UOW College, 13.6 percentage points.</w:t>
      </w:r>
      <w:bookmarkStart w:id="61" w:name="_Ref66189631"/>
    </w:p>
    <w:p w14:paraId="4DF4C321" w14:textId="77777777" w:rsidR="00821227" w:rsidRPr="00217865" w:rsidRDefault="00821227" w:rsidP="00821227">
      <w:pPr>
        <w:pStyle w:val="Body"/>
        <w:rPr>
          <w:rFonts w:cs="Arial"/>
          <w:color w:val="000000" w:themeColor="text1"/>
        </w:rPr>
      </w:pPr>
      <w:r w:rsidRPr="00217865">
        <w:rPr>
          <w:rFonts w:cs="Arial"/>
          <w:color w:val="000000" w:themeColor="text1"/>
        </w:rPr>
        <w:t xml:space="preserve">The institution with the highest positive rating of the Quality of entire educational experience in 2022-2023 was Leaders Institute, 97.5 per cent, followed by Sheridan Institute of Higher Education, 92.2 per cent, Box Hill Institute, 90.1 per cent, Equals International, 88.9 per cent and Chisholm Institute, 86.9 per cent. </w:t>
      </w:r>
    </w:p>
    <w:p w14:paraId="38A4743E" w14:textId="77777777" w:rsidR="00551B5D" w:rsidRPr="00217865" w:rsidRDefault="00821227" w:rsidP="00821227">
      <w:pPr>
        <w:pStyle w:val="Body"/>
        <w:rPr>
          <w:rFonts w:cs="Arial"/>
          <w:color w:val="000000" w:themeColor="text1"/>
        </w:rPr>
        <w:sectPr w:rsidR="00551B5D" w:rsidRPr="00217865" w:rsidSect="004F5328">
          <w:headerReference w:type="default" r:id="rId55"/>
          <w:footerReference w:type="default" r:id="rId56"/>
          <w:pgSz w:w="11900" w:h="16840"/>
          <w:pgMar w:top="852" w:right="560" w:bottom="994" w:left="710" w:header="397" w:footer="283" w:gutter="0"/>
          <w:cols w:space="708"/>
          <w:docGrid w:linePitch="360"/>
        </w:sectPr>
      </w:pPr>
      <w:r w:rsidRPr="00217865">
        <w:rPr>
          <w:rFonts w:cs="Arial"/>
          <w:color w:val="000000" w:themeColor="text1"/>
        </w:rPr>
        <w:t xml:space="preserve">Student ratings of Learning Resources also increased for 35 out of 49 institutions with sufficient responses, with Endeavour College of Natural Health increasing by 23.3 percentage points, Academy of Information Technology by 13.0 percentage points and Universal Business School Sydney by 12.2 percentage points. </w:t>
      </w:r>
    </w:p>
    <w:p w14:paraId="52CF50E0" w14:textId="332738D4" w:rsidR="00821227" w:rsidRPr="00217865" w:rsidRDefault="00821227" w:rsidP="00CF613B">
      <w:pPr>
        <w:pStyle w:val="Body"/>
        <w:ind w:left="1440" w:hanging="1440"/>
        <w:rPr>
          <w:rFonts w:cs="Arial"/>
          <w:b/>
          <w:color w:val="000000" w:themeColor="text1"/>
          <w:lang w:val="en-GB"/>
        </w:rPr>
      </w:pPr>
      <w:bookmarkStart w:id="62" w:name="_Ref98844501"/>
      <w:bookmarkStart w:id="63" w:name="_Toc208242364"/>
      <w:r w:rsidRPr="00217865">
        <w:rPr>
          <w:rFonts w:cs="Arial"/>
          <w:b/>
          <w:color w:val="000000" w:themeColor="text1"/>
          <w:lang w:val="en-GB"/>
        </w:rPr>
        <w:lastRenderedPageBreak/>
        <w:t xml:space="preserve">Figure </w:t>
      </w:r>
      <w:r w:rsidR="005F7CB1" w:rsidRPr="00217865">
        <w:rPr>
          <w:rFonts w:cs="Arial"/>
          <w:b/>
          <w:color w:val="000000" w:themeColor="text1"/>
          <w:lang w:val="en-GB"/>
        </w:rPr>
        <w:fldChar w:fldCharType="begin"/>
      </w:r>
      <w:r w:rsidR="005F7CB1" w:rsidRPr="00217865">
        <w:rPr>
          <w:rFonts w:cs="Arial"/>
          <w:b/>
          <w:color w:val="000000" w:themeColor="text1"/>
          <w:lang w:val="en-GB"/>
        </w:rPr>
        <w:instrText xml:space="preserve"> SEQ Figure \* ARABIC </w:instrText>
      </w:r>
      <w:r w:rsidR="005F7CB1" w:rsidRPr="00217865">
        <w:rPr>
          <w:rFonts w:cs="Arial"/>
          <w:b/>
          <w:color w:val="000000" w:themeColor="text1"/>
          <w:lang w:val="en-GB"/>
        </w:rPr>
        <w:fldChar w:fldCharType="separate"/>
      </w:r>
      <w:r w:rsidR="005D5678">
        <w:rPr>
          <w:rFonts w:cs="Arial"/>
          <w:b/>
          <w:noProof/>
          <w:color w:val="000000" w:themeColor="text1"/>
          <w:lang w:val="en-GB"/>
        </w:rPr>
        <w:t>7</w:t>
      </w:r>
      <w:r w:rsidR="005F7CB1" w:rsidRPr="00217865">
        <w:rPr>
          <w:rFonts w:cs="Arial"/>
          <w:b/>
          <w:color w:val="000000" w:themeColor="text1"/>
          <w:lang w:val="en-GB"/>
        </w:rPr>
        <w:fldChar w:fldCharType="end"/>
      </w:r>
      <w:bookmarkEnd w:id="61"/>
      <w:bookmarkEnd w:id="62"/>
      <w:r w:rsidR="00CF613B">
        <w:rPr>
          <w:rFonts w:cs="Arial"/>
          <w:b/>
          <w:color w:val="000000" w:themeColor="text1"/>
          <w:lang w:val="en-GB"/>
        </w:rPr>
        <w:tab/>
      </w:r>
      <w:r w:rsidRPr="00217865">
        <w:rPr>
          <w:rFonts w:cs="Arial"/>
          <w:b/>
          <w:color w:val="000000" w:themeColor="text1"/>
          <w:lang w:val="en-GB"/>
        </w:rPr>
        <w:t>Quality of entire educational experience for international undergraduate non-university higher education institution (NUHEI) students, pooled 2022-2023 (% positive rating)</w:t>
      </w:r>
      <w:bookmarkEnd w:id="63"/>
    </w:p>
    <w:p w14:paraId="2B781CD7" w14:textId="1BD84028" w:rsidR="00551B5D" w:rsidRPr="00217865" w:rsidRDefault="00551B5D" w:rsidP="005503FF">
      <w:pPr>
        <w:pStyle w:val="Body"/>
        <w:ind w:right="-426"/>
        <w:rPr>
          <w:rFonts w:cs="Arial"/>
          <w:b/>
          <w:color w:val="000000" w:themeColor="text1"/>
          <w:lang w:val="en-GB"/>
        </w:rPr>
      </w:pPr>
      <w:r w:rsidRPr="00217865">
        <w:rPr>
          <w:rFonts w:cs="Arial"/>
          <w:noProof/>
          <w:color w:val="000000" w:themeColor="text1"/>
        </w:rPr>
        <w:drawing>
          <wp:inline distT="0" distB="0" distL="0" distR="0" wp14:anchorId="52220A95" wp14:editId="03F549CA">
            <wp:extent cx="9658350" cy="5876925"/>
            <wp:effectExtent l="0" t="0" r="0" b="9525"/>
            <wp:docPr id="1289240766" name="Chart 1">
              <a:extLst xmlns:a="http://schemas.openxmlformats.org/drawingml/2006/main">
                <a:ext uri="{FF2B5EF4-FFF2-40B4-BE49-F238E27FC236}">
                  <a16:creationId xmlns:a16="http://schemas.microsoft.com/office/drawing/2014/main" id="{55E3088A-CC3B-AA16-473F-1DF168E6B6E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DB48C32" w14:textId="77777777" w:rsidR="00551B5D" w:rsidRPr="00217865" w:rsidRDefault="00551B5D" w:rsidP="00821227">
      <w:pPr>
        <w:pStyle w:val="Body"/>
        <w:rPr>
          <w:rFonts w:cs="Arial"/>
          <w:color w:val="000000" w:themeColor="text1"/>
          <w:highlight w:val="yellow"/>
        </w:rPr>
        <w:sectPr w:rsidR="00551B5D" w:rsidRPr="00217865" w:rsidSect="005503FF">
          <w:headerReference w:type="default" r:id="rId58"/>
          <w:footerReference w:type="default" r:id="rId59"/>
          <w:pgSz w:w="16840" w:h="11900" w:orient="landscape"/>
          <w:pgMar w:top="560" w:right="1105" w:bottom="710" w:left="852" w:header="397" w:footer="283" w:gutter="0"/>
          <w:cols w:space="708"/>
          <w:docGrid w:linePitch="360"/>
        </w:sectPr>
      </w:pPr>
    </w:p>
    <w:p w14:paraId="233C2C8C" w14:textId="34ACEC97" w:rsidR="00821227" w:rsidRPr="00217865" w:rsidRDefault="00821227" w:rsidP="0081215D">
      <w:pPr>
        <w:pStyle w:val="Tabletitle"/>
      </w:pPr>
      <w:bookmarkStart w:id="64" w:name="_Ref66189647"/>
      <w:bookmarkStart w:id="65" w:name="_Toc178599373"/>
      <w:r w:rsidRPr="00217865">
        <w:lastRenderedPageBreak/>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8</w:t>
      </w:r>
      <w:r w:rsidRPr="00217865">
        <w:rPr>
          <w:i/>
          <w:iCs/>
        </w:rPr>
        <w:fldChar w:fldCharType="end"/>
      </w:r>
      <w:bookmarkEnd w:id="64"/>
      <w:r w:rsidR="00CF613B">
        <w:tab/>
      </w:r>
      <w:r w:rsidRPr="00217865">
        <w:t>International undergraduate student education experience, by non-university higher education institution (NUHEI), pooled 2021-2022 and 2022-2023 (% positive rating, with 90% confidence intervals)</w:t>
      </w:r>
      <w:bookmarkEnd w:id="65"/>
    </w:p>
    <w:tbl>
      <w:tblPr>
        <w:tblStyle w:val="TableGrid"/>
        <w:tblW w:w="5000" w:type="pct"/>
        <w:shd w:val="clear" w:color="auto" w:fill="FFFF00"/>
        <w:tblLook w:val="04A0" w:firstRow="1" w:lastRow="0" w:firstColumn="1" w:lastColumn="0" w:noHBand="0" w:noVBand="1"/>
      </w:tblPr>
      <w:tblGrid>
        <w:gridCol w:w="884"/>
        <w:gridCol w:w="663"/>
        <w:gridCol w:w="663"/>
        <w:gridCol w:w="641"/>
        <w:gridCol w:w="641"/>
        <w:gridCol w:w="891"/>
        <w:gridCol w:w="891"/>
        <w:gridCol w:w="824"/>
        <w:gridCol w:w="824"/>
        <w:gridCol w:w="678"/>
        <w:gridCol w:w="678"/>
        <w:gridCol w:w="969"/>
        <w:gridCol w:w="969"/>
      </w:tblGrid>
      <w:tr w:rsidR="00684E82" w:rsidRPr="00217865" w14:paraId="3CE48CF3" w14:textId="77777777" w:rsidTr="007A503F">
        <w:trPr>
          <w:cnfStyle w:val="100000000000" w:firstRow="1" w:lastRow="0" w:firstColumn="0" w:lastColumn="0" w:oddVBand="0" w:evenVBand="0" w:oddHBand="0" w:evenHBand="0" w:firstRowFirstColumn="0" w:firstRowLastColumn="0" w:lastRowFirstColumn="0" w:lastRowLastColumn="0"/>
          <w:trHeight w:val="62"/>
          <w:tblHeader/>
        </w:trPr>
        <w:tc>
          <w:tcPr>
            <w:tcW w:w="433" w:type="pct"/>
            <w:noWrap/>
            <w:vAlign w:val="center"/>
          </w:tcPr>
          <w:p w14:paraId="18DB2AA2" w14:textId="1673380A" w:rsidR="00684E82" w:rsidRPr="00217865" w:rsidRDefault="00684E82" w:rsidP="00684E82">
            <w:pPr>
              <w:pStyle w:val="Z"/>
              <w:spacing w:before="60" w:after="60"/>
              <w:rPr>
                <w:color w:val="000000" w:themeColor="text1"/>
                <w:sz w:val="16"/>
                <w:szCs w:val="18"/>
              </w:rPr>
            </w:pPr>
            <w:r w:rsidRPr="007624C4">
              <w:rPr>
                <w:color w:val="000000" w:themeColor="text1"/>
                <w:szCs w:val="18"/>
              </w:rPr>
              <w:t>Non-un</w:t>
            </w:r>
            <w:bookmarkStart w:id="66" w:name="Title_8"/>
            <w:bookmarkEnd w:id="66"/>
            <w:r w:rsidRPr="007624C4">
              <w:rPr>
                <w:color w:val="000000" w:themeColor="text1"/>
                <w:szCs w:val="18"/>
              </w:rPr>
              <w:t>iversity higher education institution</w:t>
            </w:r>
          </w:p>
        </w:tc>
        <w:tc>
          <w:tcPr>
            <w:tcW w:w="324" w:type="pct"/>
            <w:noWrap/>
            <w:vAlign w:val="center"/>
          </w:tcPr>
          <w:p w14:paraId="2AFF4E63" w14:textId="40255BD9" w:rsidR="00684E82" w:rsidRPr="00217865" w:rsidRDefault="00684E82" w:rsidP="00684E82">
            <w:pPr>
              <w:pStyle w:val="Z"/>
              <w:spacing w:before="60" w:after="60"/>
              <w:jc w:val="center"/>
              <w:rPr>
                <w:color w:val="000000" w:themeColor="text1"/>
                <w:sz w:val="16"/>
                <w:szCs w:val="18"/>
              </w:rPr>
            </w:pPr>
            <w:r w:rsidRPr="00217865">
              <w:rPr>
                <w:color w:val="000000" w:themeColor="text1"/>
              </w:rPr>
              <w:t>Skills Development</w:t>
            </w:r>
            <w:r w:rsidRPr="00583FFB">
              <w:rPr>
                <w:color w:val="000000" w:themeColor="text1"/>
              </w:rPr>
              <w:t xml:space="preserve"> 2021-2022</w:t>
            </w:r>
          </w:p>
        </w:tc>
        <w:tc>
          <w:tcPr>
            <w:tcW w:w="324" w:type="pct"/>
            <w:noWrap/>
            <w:vAlign w:val="center"/>
          </w:tcPr>
          <w:p w14:paraId="1F6EF506" w14:textId="74415EC2" w:rsidR="00684E82" w:rsidRPr="00217865" w:rsidRDefault="00684E82" w:rsidP="00684E82">
            <w:pPr>
              <w:pStyle w:val="Z"/>
              <w:spacing w:before="60" w:after="60"/>
              <w:jc w:val="center"/>
              <w:rPr>
                <w:color w:val="000000" w:themeColor="text1"/>
                <w:sz w:val="16"/>
                <w:szCs w:val="18"/>
              </w:rPr>
            </w:pPr>
            <w:r w:rsidRPr="00217865">
              <w:rPr>
                <w:color w:val="000000" w:themeColor="text1"/>
              </w:rPr>
              <w:t>Skills Development</w:t>
            </w:r>
            <w:r w:rsidRPr="00583FFB">
              <w:rPr>
                <w:color w:val="000000" w:themeColor="text1"/>
              </w:rPr>
              <w:t xml:space="preserve"> 2022-2023</w:t>
            </w:r>
          </w:p>
        </w:tc>
        <w:tc>
          <w:tcPr>
            <w:tcW w:w="314" w:type="pct"/>
            <w:noWrap/>
            <w:vAlign w:val="center"/>
          </w:tcPr>
          <w:p w14:paraId="7EBA9E79" w14:textId="0ADD2AE5" w:rsidR="00684E82" w:rsidRPr="00217865" w:rsidRDefault="00684E82" w:rsidP="00684E82">
            <w:pPr>
              <w:pStyle w:val="Z"/>
              <w:spacing w:before="60" w:after="60"/>
              <w:jc w:val="center"/>
              <w:rPr>
                <w:color w:val="000000" w:themeColor="text1"/>
                <w:sz w:val="16"/>
                <w:szCs w:val="18"/>
              </w:rPr>
            </w:pPr>
            <w:r w:rsidRPr="00217865">
              <w:rPr>
                <w:color w:val="000000" w:themeColor="text1"/>
              </w:rPr>
              <w:t>Peer Engagement</w:t>
            </w:r>
            <w:r w:rsidRPr="00583FFB">
              <w:rPr>
                <w:color w:val="000000" w:themeColor="text1"/>
              </w:rPr>
              <w:t xml:space="preserve"> 2021-2022</w:t>
            </w:r>
          </w:p>
        </w:tc>
        <w:tc>
          <w:tcPr>
            <w:tcW w:w="314" w:type="pct"/>
            <w:noWrap/>
            <w:vAlign w:val="center"/>
          </w:tcPr>
          <w:p w14:paraId="585E8A1B" w14:textId="61C354C0" w:rsidR="00684E82" w:rsidRPr="00217865" w:rsidRDefault="00684E82" w:rsidP="00684E82">
            <w:pPr>
              <w:pStyle w:val="Z"/>
              <w:spacing w:before="60" w:after="60"/>
              <w:jc w:val="center"/>
              <w:rPr>
                <w:color w:val="000000" w:themeColor="text1"/>
                <w:sz w:val="16"/>
                <w:szCs w:val="18"/>
              </w:rPr>
            </w:pPr>
            <w:r w:rsidRPr="00217865">
              <w:rPr>
                <w:color w:val="000000" w:themeColor="text1"/>
              </w:rPr>
              <w:t>Peer Engagement</w:t>
            </w:r>
            <w:r w:rsidRPr="00583FFB">
              <w:rPr>
                <w:color w:val="000000" w:themeColor="text1"/>
              </w:rPr>
              <w:t xml:space="preserve"> 2022-2023</w:t>
            </w:r>
          </w:p>
        </w:tc>
        <w:tc>
          <w:tcPr>
            <w:tcW w:w="436" w:type="pct"/>
            <w:noWrap/>
            <w:vAlign w:val="center"/>
          </w:tcPr>
          <w:p w14:paraId="3DE51B47" w14:textId="1D97477B" w:rsidR="00684E82" w:rsidRPr="00217865" w:rsidRDefault="00684E82" w:rsidP="00684E82">
            <w:pPr>
              <w:pStyle w:val="Z"/>
              <w:spacing w:before="60" w:after="60"/>
              <w:jc w:val="center"/>
              <w:rPr>
                <w:color w:val="000000" w:themeColor="text1"/>
                <w:sz w:val="16"/>
                <w:szCs w:val="18"/>
              </w:rPr>
            </w:pPr>
            <w:r w:rsidRPr="00217865">
              <w:rPr>
                <w:color w:val="000000" w:themeColor="text1"/>
              </w:rPr>
              <w:t>Teaching Quality and Engagement</w:t>
            </w:r>
            <w:r w:rsidRPr="00583FFB">
              <w:rPr>
                <w:color w:val="000000" w:themeColor="text1"/>
              </w:rPr>
              <w:t xml:space="preserve"> 2021-2022</w:t>
            </w:r>
          </w:p>
        </w:tc>
        <w:tc>
          <w:tcPr>
            <w:tcW w:w="436" w:type="pct"/>
            <w:noWrap/>
            <w:vAlign w:val="center"/>
          </w:tcPr>
          <w:p w14:paraId="19545B19" w14:textId="4F9E0B94" w:rsidR="00684E82" w:rsidRPr="00217865" w:rsidRDefault="00684E82" w:rsidP="00684E82">
            <w:pPr>
              <w:pStyle w:val="Z"/>
              <w:spacing w:before="60" w:after="60"/>
              <w:jc w:val="center"/>
              <w:rPr>
                <w:color w:val="000000" w:themeColor="text1"/>
                <w:sz w:val="16"/>
                <w:szCs w:val="18"/>
              </w:rPr>
            </w:pPr>
            <w:r w:rsidRPr="00217865">
              <w:rPr>
                <w:color w:val="000000" w:themeColor="text1"/>
              </w:rPr>
              <w:t>Teaching Quality and Engagement</w:t>
            </w:r>
            <w:r w:rsidRPr="00583FFB">
              <w:rPr>
                <w:color w:val="000000" w:themeColor="text1"/>
              </w:rPr>
              <w:t xml:space="preserve"> 2022-2023</w:t>
            </w:r>
          </w:p>
        </w:tc>
        <w:tc>
          <w:tcPr>
            <w:tcW w:w="403" w:type="pct"/>
            <w:noWrap/>
            <w:vAlign w:val="center"/>
          </w:tcPr>
          <w:p w14:paraId="54377B90" w14:textId="7D2F1B0F" w:rsidR="00684E82" w:rsidRPr="00217865" w:rsidRDefault="00684E82" w:rsidP="00684E82">
            <w:pPr>
              <w:pStyle w:val="Z"/>
              <w:spacing w:before="60" w:after="60"/>
              <w:jc w:val="center"/>
              <w:rPr>
                <w:color w:val="000000" w:themeColor="text1"/>
                <w:sz w:val="16"/>
                <w:szCs w:val="18"/>
              </w:rPr>
            </w:pPr>
            <w:r w:rsidRPr="00217865">
              <w:rPr>
                <w:color w:val="000000" w:themeColor="text1"/>
              </w:rPr>
              <w:t>Student Support and Services</w:t>
            </w:r>
            <w:r w:rsidRPr="00583FFB">
              <w:rPr>
                <w:color w:val="000000" w:themeColor="text1"/>
              </w:rPr>
              <w:t xml:space="preserve"> 2021-2022</w:t>
            </w:r>
          </w:p>
        </w:tc>
        <w:tc>
          <w:tcPr>
            <w:tcW w:w="403" w:type="pct"/>
            <w:noWrap/>
            <w:vAlign w:val="center"/>
          </w:tcPr>
          <w:p w14:paraId="6F8C26F7" w14:textId="132DF6AD" w:rsidR="00684E82" w:rsidRPr="00217865" w:rsidRDefault="00684E82" w:rsidP="00684E82">
            <w:pPr>
              <w:pStyle w:val="Z"/>
              <w:spacing w:before="60" w:after="60"/>
              <w:jc w:val="center"/>
              <w:rPr>
                <w:color w:val="000000" w:themeColor="text1"/>
                <w:sz w:val="16"/>
                <w:szCs w:val="18"/>
              </w:rPr>
            </w:pPr>
            <w:r w:rsidRPr="00217865">
              <w:rPr>
                <w:color w:val="000000" w:themeColor="text1"/>
              </w:rPr>
              <w:t>Student Support and Services</w:t>
            </w:r>
            <w:r w:rsidRPr="00583FFB">
              <w:rPr>
                <w:color w:val="000000" w:themeColor="text1"/>
              </w:rPr>
              <w:t xml:space="preserve"> 2022-2023</w:t>
            </w:r>
          </w:p>
        </w:tc>
        <w:tc>
          <w:tcPr>
            <w:tcW w:w="332" w:type="pct"/>
            <w:noWrap/>
            <w:vAlign w:val="center"/>
          </w:tcPr>
          <w:p w14:paraId="6EBFC1E5" w14:textId="655D17CC" w:rsidR="00684E82" w:rsidRPr="00217865" w:rsidRDefault="00684E82" w:rsidP="00684E82">
            <w:pPr>
              <w:pStyle w:val="Z"/>
              <w:spacing w:before="60" w:after="60"/>
              <w:jc w:val="center"/>
              <w:rPr>
                <w:color w:val="000000" w:themeColor="text1"/>
                <w:sz w:val="16"/>
                <w:szCs w:val="18"/>
              </w:rPr>
            </w:pPr>
            <w:r w:rsidRPr="00217865">
              <w:rPr>
                <w:color w:val="000000" w:themeColor="text1"/>
              </w:rPr>
              <w:t>Learning Resources</w:t>
            </w:r>
            <w:r w:rsidRPr="00583FFB">
              <w:rPr>
                <w:color w:val="000000" w:themeColor="text1"/>
              </w:rPr>
              <w:t xml:space="preserve"> 2021-2022</w:t>
            </w:r>
          </w:p>
        </w:tc>
        <w:tc>
          <w:tcPr>
            <w:tcW w:w="332" w:type="pct"/>
            <w:noWrap/>
            <w:vAlign w:val="center"/>
          </w:tcPr>
          <w:p w14:paraId="4D7E6B3F" w14:textId="3F66DBDB" w:rsidR="00684E82" w:rsidRPr="00217865" w:rsidRDefault="00684E82" w:rsidP="00684E82">
            <w:pPr>
              <w:pStyle w:val="Z"/>
              <w:spacing w:before="60" w:after="60"/>
              <w:jc w:val="center"/>
              <w:rPr>
                <w:color w:val="000000" w:themeColor="text1"/>
                <w:sz w:val="16"/>
                <w:szCs w:val="18"/>
              </w:rPr>
            </w:pPr>
            <w:r w:rsidRPr="00217865">
              <w:rPr>
                <w:color w:val="000000" w:themeColor="text1"/>
              </w:rPr>
              <w:t>Learning Resources</w:t>
            </w:r>
            <w:r w:rsidRPr="00583FFB">
              <w:rPr>
                <w:color w:val="000000" w:themeColor="text1"/>
              </w:rPr>
              <w:t xml:space="preserve"> 2022-2023</w:t>
            </w:r>
          </w:p>
        </w:tc>
        <w:tc>
          <w:tcPr>
            <w:tcW w:w="474" w:type="pct"/>
            <w:noWrap/>
            <w:vAlign w:val="center"/>
          </w:tcPr>
          <w:p w14:paraId="05E52FE0" w14:textId="680D25DD" w:rsidR="00684E82" w:rsidRPr="00217865" w:rsidRDefault="00684E82" w:rsidP="00684E82">
            <w:pPr>
              <w:pStyle w:val="Z"/>
              <w:spacing w:before="60" w:after="60"/>
              <w:jc w:val="center"/>
              <w:rPr>
                <w:color w:val="000000" w:themeColor="text1"/>
                <w:sz w:val="16"/>
                <w:szCs w:val="18"/>
              </w:rPr>
            </w:pPr>
            <w:r w:rsidRPr="00217865">
              <w:rPr>
                <w:color w:val="000000" w:themeColor="text1"/>
              </w:rPr>
              <w:t>Quality of entire educational experience</w:t>
            </w:r>
            <w:r w:rsidRPr="00583FFB">
              <w:rPr>
                <w:color w:val="000000" w:themeColor="text1"/>
              </w:rPr>
              <w:t xml:space="preserve"> 2021-2022</w:t>
            </w:r>
          </w:p>
        </w:tc>
        <w:tc>
          <w:tcPr>
            <w:tcW w:w="474" w:type="pct"/>
            <w:noWrap/>
            <w:vAlign w:val="center"/>
          </w:tcPr>
          <w:p w14:paraId="446A4BA3" w14:textId="5B729029" w:rsidR="00684E82" w:rsidRPr="00217865" w:rsidRDefault="00684E82" w:rsidP="00684E82">
            <w:pPr>
              <w:pStyle w:val="Z"/>
              <w:spacing w:before="60" w:after="60"/>
              <w:jc w:val="center"/>
              <w:rPr>
                <w:color w:val="000000" w:themeColor="text1"/>
                <w:sz w:val="16"/>
                <w:szCs w:val="18"/>
              </w:rPr>
            </w:pPr>
            <w:r w:rsidRPr="00217865">
              <w:rPr>
                <w:color w:val="000000" w:themeColor="text1"/>
              </w:rPr>
              <w:t>Quality of entire educational experience</w:t>
            </w:r>
            <w:r w:rsidRPr="00583FFB">
              <w:rPr>
                <w:color w:val="000000" w:themeColor="text1"/>
              </w:rPr>
              <w:t xml:space="preserve"> 2022-2023</w:t>
            </w:r>
          </w:p>
        </w:tc>
      </w:tr>
      <w:tr w:rsidR="00217865" w:rsidRPr="00217865" w14:paraId="655CB946" w14:textId="77777777" w:rsidTr="00684E82">
        <w:trPr>
          <w:trHeight w:val="62"/>
        </w:trPr>
        <w:tc>
          <w:tcPr>
            <w:tcW w:w="433" w:type="pct"/>
            <w:noWrap/>
            <w:vAlign w:val="center"/>
          </w:tcPr>
          <w:p w14:paraId="08D76656" w14:textId="77777777" w:rsidR="00821227" w:rsidRPr="00217865" w:rsidRDefault="00821227" w:rsidP="00713E2F">
            <w:pPr>
              <w:pStyle w:val="Z"/>
              <w:spacing w:before="60" w:after="60"/>
              <w:rPr>
                <w:color w:val="000000" w:themeColor="text1"/>
                <w:sz w:val="16"/>
                <w:szCs w:val="18"/>
                <w:highlight w:val="yellow"/>
              </w:rPr>
            </w:pPr>
            <w:r w:rsidRPr="00217865">
              <w:rPr>
                <w:color w:val="000000" w:themeColor="text1"/>
                <w:sz w:val="16"/>
                <w:szCs w:val="18"/>
              </w:rPr>
              <w:t>Academies Australasia Polytechnic Pty Limited</w:t>
            </w:r>
          </w:p>
        </w:tc>
        <w:tc>
          <w:tcPr>
            <w:tcW w:w="324" w:type="pct"/>
            <w:noWrap/>
            <w:vAlign w:val="center"/>
          </w:tcPr>
          <w:p w14:paraId="4A7D953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76.2 (72.3, 79.6)</w:t>
            </w:r>
          </w:p>
        </w:tc>
        <w:tc>
          <w:tcPr>
            <w:tcW w:w="324" w:type="pct"/>
            <w:noWrap/>
            <w:vAlign w:val="center"/>
          </w:tcPr>
          <w:p w14:paraId="4ED1F34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82.7 (79.7, 85.2)</w:t>
            </w:r>
          </w:p>
        </w:tc>
        <w:tc>
          <w:tcPr>
            <w:tcW w:w="314" w:type="pct"/>
            <w:noWrap/>
            <w:vAlign w:val="center"/>
          </w:tcPr>
          <w:p w14:paraId="676F19F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50.2 (46.0, 54.4)</w:t>
            </w:r>
          </w:p>
        </w:tc>
        <w:tc>
          <w:tcPr>
            <w:tcW w:w="314" w:type="pct"/>
            <w:noWrap/>
            <w:vAlign w:val="center"/>
          </w:tcPr>
          <w:p w14:paraId="2C44593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62.0 (58.5, 65.3)</w:t>
            </w:r>
          </w:p>
        </w:tc>
        <w:tc>
          <w:tcPr>
            <w:tcW w:w="436" w:type="pct"/>
            <w:noWrap/>
            <w:vAlign w:val="center"/>
          </w:tcPr>
          <w:p w14:paraId="551FAB8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77.1 (73.2, 80.5)</w:t>
            </w:r>
          </w:p>
        </w:tc>
        <w:tc>
          <w:tcPr>
            <w:tcW w:w="436" w:type="pct"/>
            <w:noWrap/>
            <w:vAlign w:val="center"/>
          </w:tcPr>
          <w:p w14:paraId="3B0479B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85.5 (82.7, 87.7)</w:t>
            </w:r>
          </w:p>
        </w:tc>
        <w:tc>
          <w:tcPr>
            <w:tcW w:w="403" w:type="pct"/>
            <w:noWrap/>
            <w:vAlign w:val="center"/>
          </w:tcPr>
          <w:p w14:paraId="35BE3E3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78.5 (74.5, 81.8)</w:t>
            </w:r>
          </w:p>
        </w:tc>
        <w:tc>
          <w:tcPr>
            <w:tcW w:w="403" w:type="pct"/>
            <w:noWrap/>
            <w:vAlign w:val="center"/>
          </w:tcPr>
          <w:p w14:paraId="5E66A56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83.6 (80.6, 86.1)</w:t>
            </w:r>
          </w:p>
        </w:tc>
        <w:tc>
          <w:tcPr>
            <w:tcW w:w="332" w:type="pct"/>
            <w:noWrap/>
            <w:vAlign w:val="center"/>
          </w:tcPr>
          <w:p w14:paraId="22E4CBF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71.2 (66.7, 75.3)</w:t>
            </w:r>
          </w:p>
        </w:tc>
        <w:tc>
          <w:tcPr>
            <w:tcW w:w="332" w:type="pct"/>
            <w:noWrap/>
            <w:vAlign w:val="center"/>
          </w:tcPr>
          <w:p w14:paraId="3E72AC1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77.8 (74.4, 80.6)</w:t>
            </w:r>
          </w:p>
        </w:tc>
        <w:tc>
          <w:tcPr>
            <w:tcW w:w="474" w:type="pct"/>
            <w:noWrap/>
            <w:vAlign w:val="center"/>
          </w:tcPr>
          <w:p w14:paraId="50418A0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76.9 (73.1, 80.1)</w:t>
            </w:r>
          </w:p>
        </w:tc>
        <w:tc>
          <w:tcPr>
            <w:tcW w:w="474" w:type="pct"/>
            <w:noWrap/>
            <w:vAlign w:val="center"/>
          </w:tcPr>
          <w:p w14:paraId="7D59494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81.6 (78.6, 84.0)</w:t>
            </w:r>
          </w:p>
        </w:tc>
      </w:tr>
      <w:tr w:rsidR="00217865" w:rsidRPr="00217865" w14:paraId="369BE56D" w14:textId="77777777" w:rsidTr="00684E82">
        <w:trPr>
          <w:trHeight w:val="62"/>
        </w:trPr>
        <w:tc>
          <w:tcPr>
            <w:tcW w:w="433" w:type="pct"/>
            <w:noWrap/>
            <w:vAlign w:val="center"/>
          </w:tcPr>
          <w:p w14:paraId="313CB122"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Academy of Information Technology</w:t>
            </w:r>
          </w:p>
        </w:tc>
        <w:tc>
          <w:tcPr>
            <w:tcW w:w="324" w:type="pct"/>
            <w:noWrap/>
            <w:vAlign w:val="center"/>
          </w:tcPr>
          <w:p w14:paraId="0064451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60.6 (54.9, 65.8)</w:t>
            </w:r>
          </w:p>
        </w:tc>
        <w:tc>
          <w:tcPr>
            <w:tcW w:w="324" w:type="pct"/>
            <w:noWrap/>
            <w:vAlign w:val="center"/>
          </w:tcPr>
          <w:p w14:paraId="21BC224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68.3 (63.4, 72.6)</w:t>
            </w:r>
          </w:p>
        </w:tc>
        <w:tc>
          <w:tcPr>
            <w:tcW w:w="314" w:type="pct"/>
            <w:noWrap/>
            <w:vAlign w:val="center"/>
          </w:tcPr>
          <w:p w14:paraId="497B04B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35.8 (30.9, 41.2)</w:t>
            </w:r>
          </w:p>
        </w:tc>
        <w:tc>
          <w:tcPr>
            <w:tcW w:w="314" w:type="pct"/>
            <w:noWrap/>
            <w:vAlign w:val="center"/>
          </w:tcPr>
          <w:p w14:paraId="0F708DF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47.4 (42.6, 52.3)</w:t>
            </w:r>
          </w:p>
        </w:tc>
        <w:tc>
          <w:tcPr>
            <w:tcW w:w="436" w:type="pct"/>
            <w:noWrap/>
            <w:vAlign w:val="center"/>
          </w:tcPr>
          <w:p w14:paraId="6C02FA0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60.5 (55.1, 65.6)</w:t>
            </w:r>
          </w:p>
        </w:tc>
        <w:tc>
          <w:tcPr>
            <w:tcW w:w="436" w:type="pct"/>
            <w:noWrap/>
            <w:vAlign w:val="center"/>
          </w:tcPr>
          <w:p w14:paraId="493E81F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69.0 (64.2, 73.2)</w:t>
            </w:r>
          </w:p>
        </w:tc>
        <w:tc>
          <w:tcPr>
            <w:tcW w:w="403" w:type="pct"/>
            <w:noWrap/>
            <w:vAlign w:val="center"/>
          </w:tcPr>
          <w:p w14:paraId="7E0D773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67.9 (62.2, 72.9)</w:t>
            </w:r>
          </w:p>
        </w:tc>
        <w:tc>
          <w:tcPr>
            <w:tcW w:w="403" w:type="pct"/>
            <w:noWrap/>
            <w:vAlign w:val="center"/>
          </w:tcPr>
          <w:p w14:paraId="65A43F1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72.8 (67.7, 77.2)</w:t>
            </w:r>
          </w:p>
        </w:tc>
        <w:tc>
          <w:tcPr>
            <w:tcW w:w="332" w:type="pct"/>
            <w:noWrap/>
            <w:vAlign w:val="center"/>
          </w:tcPr>
          <w:p w14:paraId="69145C3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58.7 (52.6, 64.5)</w:t>
            </w:r>
          </w:p>
        </w:tc>
        <w:tc>
          <w:tcPr>
            <w:tcW w:w="332" w:type="pct"/>
            <w:noWrap/>
            <w:vAlign w:val="center"/>
          </w:tcPr>
          <w:p w14:paraId="4D21CF0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71.7 (66.7, 76.0)</w:t>
            </w:r>
          </w:p>
        </w:tc>
        <w:tc>
          <w:tcPr>
            <w:tcW w:w="474" w:type="pct"/>
            <w:noWrap/>
            <w:vAlign w:val="center"/>
          </w:tcPr>
          <w:p w14:paraId="250FB90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56.1 (50.6, 61.3)</w:t>
            </w:r>
          </w:p>
        </w:tc>
        <w:tc>
          <w:tcPr>
            <w:tcW w:w="474" w:type="pct"/>
            <w:noWrap/>
            <w:vAlign w:val="center"/>
          </w:tcPr>
          <w:p w14:paraId="6739FC9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62.6 (57.7, 67.1)</w:t>
            </w:r>
          </w:p>
        </w:tc>
      </w:tr>
      <w:tr w:rsidR="00217865" w:rsidRPr="00217865" w14:paraId="36993376" w14:textId="77777777" w:rsidTr="00684E82">
        <w:trPr>
          <w:trHeight w:val="62"/>
        </w:trPr>
        <w:tc>
          <w:tcPr>
            <w:tcW w:w="433" w:type="pct"/>
            <w:noWrap/>
            <w:vAlign w:val="center"/>
          </w:tcPr>
          <w:p w14:paraId="15BD65C2"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Australian College of Applied Professions</w:t>
            </w:r>
          </w:p>
        </w:tc>
        <w:tc>
          <w:tcPr>
            <w:tcW w:w="324" w:type="pct"/>
            <w:noWrap/>
            <w:vAlign w:val="center"/>
          </w:tcPr>
          <w:p w14:paraId="1DF5912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76.7 (71.5, 80.9)</w:t>
            </w:r>
          </w:p>
        </w:tc>
        <w:tc>
          <w:tcPr>
            <w:tcW w:w="324" w:type="pct"/>
            <w:noWrap/>
            <w:vAlign w:val="center"/>
          </w:tcPr>
          <w:p w14:paraId="70CF530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(80.1, 87.4)</w:t>
            </w:r>
          </w:p>
        </w:tc>
        <w:tc>
          <w:tcPr>
            <w:tcW w:w="314" w:type="pct"/>
            <w:noWrap/>
            <w:vAlign w:val="center"/>
          </w:tcPr>
          <w:p w14:paraId="5CB1DC2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56.1 (50.6, 61.3)</w:t>
            </w:r>
          </w:p>
        </w:tc>
        <w:tc>
          <w:tcPr>
            <w:tcW w:w="314" w:type="pct"/>
            <w:noWrap/>
            <w:vAlign w:val="center"/>
          </w:tcPr>
          <w:p w14:paraId="2E58D56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68.0 (63.2, 72.1)</w:t>
            </w:r>
          </w:p>
        </w:tc>
        <w:tc>
          <w:tcPr>
            <w:tcW w:w="436" w:type="pct"/>
            <w:noWrap/>
            <w:vAlign w:val="center"/>
          </w:tcPr>
          <w:p w14:paraId="20FFEAE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73.3 (68.0, 77.6)</w:t>
            </w:r>
          </w:p>
        </w:tc>
        <w:tc>
          <w:tcPr>
            <w:tcW w:w="436" w:type="pct"/>
            <w:noWrap/>
            <w:vAlign w:val="center"/>
          </w:tcPr>
          <w:p w14:paraId="14E4280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80.1 (75.7, 83.5)</w:t>
            </w:r>
          </w:p>
        </w:tc>
        <w:tc>
          <w:tcPr>
            <w:tcW w:w="403" w:type="pct"/>
            <w:noWrap/>
            <w:vAlign w:val="center"/>
          </w:tcPr>
          <w:p w14:paraId="0FE0EC5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63.1 (57.3, 68.4)</w:t>
            </w:r>
          </w:p>
        </w:tc>
        <w:tc>
          <w:tcPr>
            <w:tcW w:w="403" w:type="pct"/>
            <w:noWrap/>
            <w:vAlign w:val="center"/>
          </w:tcPr>
          <w:p w14:paraId="42D77DE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68.7 (63.3, 73.3)</w:t>
            </w:r>
          </w:p>
        </w:tc>
        <w:tc>
          <w:tcPr>
            <w:tcW w:w="332" w:type="pct"/>
            <w:noWrap/>
            <w:vAlign w:val="center"/>
          </w:tcPr>
          <w:p w14:paraId="6004E40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67.2 (61.3, 72.4)</w:t>
            </w:r>
          </w:p>
        </w:tc>
        <w:tc>
          <w:tcPr>
            <w:tcW w:w="332" w:type="pct"/>
            <w:noWrap/>
            <w:vAlign w:val="center"/>
          </w:tcPr>
          <w:p w14:paraId="36AC985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78.2 (73.1, 82.1)</w:t>
            </w:r>
          </w:p>
        </w:tc>
        <w:tc>
          <w:tcPr>
            <w:tcW w:w="474" w:type="pct"/>
            <w:noWrap/>
            <w:vAlign w:val="center"/>
          </w:tcPr>
          <w:p w14:paraId="165E0DF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60.6 (55.1, 65.6)</w:t>
            </w:r>
          </w:p>
        </w:tc>
        <w:tc>
          <w:tcPr>
            <w:tcW w:w="474" w:type="pct"/>
            <w:noWrap/>
            <w:vAlign w:val="center"/>
          </w:tcPr>
          <w:p w14:paraId="314B737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75.2 (70.6, 78.9)</w:t>
            </w:r>
          </w:p>
        </w:tc>
      </w:tr>
      <w:tr w:rsidR="00217865" w:rsidRPr="00217865" w14:paraId="739F4B99" w14:textId="77777777" w:rsidTr="00684E82">
        <w:trPr>
          <w:trHeight w:val="62"/>
        </w:trPr>
        <w:tc>
          <w:tcPr>
            <w:tcW w:w="433" w:type="pct"/>
            <w:noWrap/>
            <w:vAlign w:val="center"/>
          </w:tcPr>
          <w:p w14:paraId="1F735815" w14:textId="77777777" w:rsidR="00821227" w:rsidRPr="00217865" w:rsidRDefault="00821227" w:rsidP="00713E2F">
            <w:pPr>
              <w:pStyle w:val="Z"/>
              <w:spacing w:before="60" w:after="60"/>
              <w:rPr>
                <w:color w:val="000000" w:themeColor="text1"/>
                <w:sz w:val="16"/>
                <w:szCs w:val="18"/>
              </w:rPr>
            </w:pPr>
            <w:proofErr w:type="spellStart"/>
            <w:r w:rsidRPr="00217865">
              <w:rPr>
                <w:color w:val="000000" w:themeColor="text1"/>
                <w:sz w:val="16"/>
                <w:szCs w:val="18"/>
              </w:rPr>
              <w:t>Alphacrucis</w:t>
            </w:r>
            <w:proofErr w:type="spellEnd"/>
            <w:r w:rsidRPr="00217865">
              <w:rPr>
                <w:color w:val="000000" w:themeColor="text1"/>
                <w:sz w:val="16"/>
                <w:szCs w:val="18"/>
              </w:rPr>
              <w:t xml:space="preserve"> University College</w:t>
            </w:r>
          </w:p>
        </w:tc>
        <w:tc>
          <w:tcPr>
            <w:tcW w:w="324" w:type="pct"/>
            <w:noWrap/>
            <w:vAlign w:val="center"/>
          </w:tcPr>
          <w:p w14:paraId="2706D2C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88.3 (83.3, 91.7)</w:t>
            </w:r>
          </w:p>
        </w:tc>
        <w:tc>
          <w:tcPr>
            <w:tcW w:w="324" w:type="pct"/>
            <w:noWrap/>
            <w:vAlign w:val="center"/>
          </w:tcPr>
          <w:p w14:paraId="4BD007A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87.5 (79.8, 92.2)</w:t>
            </w:r>
          </w:p>
        </w:tc>
        <w:tc>
          <w:tcPr>
            <w:tcW w:w="314" w:type="pct"/>
            <w:noWrap/>
            <w:vAlign w:val="center"/>
          </w:tcPr>
          <w:p w14:paraId="06C1C3A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69.1 (62.9, 74.5)</w:t>
            </w:r>
          </w:p>
        </w:tc>
        <w:tc>
          <w:tcPr>
            <w:tcW w:w="314" w:type="pct"/>
            <w:noWrap/>
            <w:vAlign w:val="center"/>
          </w:tcPr>
          <w:p w14:paraId="527C4D9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72.1 (63.4, 79.0)</w:t>
            </w:r>
          </w:p>
        </w:tc>
        <w:tc>
          <w:tcPr>
            <w:tcW w:w="436" w:type="pct"/>
            <w:noWrap/>
            <w:vAlign w:val="center"/>
          </w:tcPr>
          <w:p w14:paraId="05B964D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91.0 (86.3, 93.9)</w:t>
            </w:r>
          </w:p>
        </w:tc>
        <w:tc>
          <w:tcPr>
            <w:tcW w:w="436" w:type="pct"/>
            <w:noWrap/>
            <w:vAlign w:val="center"/>
          </w:tcPr>
          <w:p w14:paraId="345F1EF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84.8 (77.0, 90.0)</w:t>
            </w:r>
          </w:p>
        </w:tc>
        <w:tc>
          <w:tcPr>
            <w:tcW w:w="403" w:type="pct"/>
            <w:noWrap/>
            <w:vAlign w:val="center"/>
          </w:tcPr>
          <w:p w14:paraId="4032E74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83.1 (77.4, 87.2)</w:t>
            </w:r>
          </w:p>
        </w:tc>
        <w:tc>
          <w:tcPr>
            <w:tcW w:w="403" w:type="pct"/>
            <w:noWrap/>
            <w:vAlign w:val="center"/>
          </w:tcPr>
          <w:p w14:paraId="7BDF85E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70.5 (61.2, 78.1)</w:t>
            </w:r>
          </w:p>
        </w:tc>
        <w:tc>
          <w:tcPr>
            <w:tcW w:w="332" w:type="pct"/>
            <w:noWrap/>
            <w:vAlign w:val="center"/>
          </w:tcPr>
          <w:p w14:paraId="4921CDF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82.5 (75.9, 87.3)</w:t>
            </w:r>
          </w:p>
        </w:tc>
        <w:tc>
          <w:tcPr>
            <w:tcW w:w="332" w:type="pct"/>
            <w:noWrap/>
            <w:vAlign w:val="center"/>
          </w:tcPr>
          <w:p w14:paraId="30E7096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77.0 (68.0, 83.8)</w:t>
            </w:r>
          </w:p>
        </w:tc>
        <w:tc>
          <w:tcPr>
            <w:tcW w:w="474" w:type="pct"/>
            <w:noWrap/>
            <w:vAlign w:val="center"/>
          </w:tcPr>
          <w:p w14:paraId="2A6035E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89.4 (84.6, 92.6)</w:t>
            </w:r>
          </w:p>
        </w:tc>
        <w:tc>
          <w:tcPr>
            <w:tcW w:w="474" w:type="pct"/>
            <w:noWrap/>
            <w:vAlign w:val="center"/>
          </w:tcPr>
          <w:p w14:paraId="4801442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82.4 (74.4, 87.9)</w:t>
            </w:r>
          </w:p>
        </w:tc>
      </w:tr>
      <w:tr w:rsidR="00217865" w:rsidRPr="00217865" w14:paraId="16B4748C" w14:textId="77777777" w:rsidTr="00684E82">
        <w:trPr>
          <w:trHeight w:val="62"/>
        </w:trPr>
        <w:tc>
          <w:tcPr>
            <w:tcW w:w="433" w:type="pct"/>
            <w:noWrap/>
            <w:vAlign w:val="center"/>
          </w:tcPr>
          <w:p w14:paraId="412433D4"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Asia Pacific International College</w:t>
            </w:r>
          </w:p>
        </w:tc>
        <w:tc>
          <w:tcPr>
            <w:tcW w:w="324" w:type="pct"/>
            <w:noWrap/>
            <w:vAlign w:val="center"/>
          </w:tcPr>
          <w:p w14:paraId="24E5209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83.3 (79.6, 86.2)</w:t>
            </w:r>
          </w:p>
        </w:tc>
        <w:tc>
          <w:tcPr>
            <w:tcW w:w="324" w:type="pct"/>
            <w:noWrap/>
            <w:vAlign w:val="center"/>
          </w:tcPr>
          <w:p w14:paraId="0520DD4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86.4 (82.5, 89.4)</w:t>
            </w:r>
          </w:p>
        </w:tc>
        <w:tc>
          <w:tcPr>
            <w:tcW w:w="314" w:type="pct"/>
            <w:noWrap/>
            <w:vAlign w:val="center"/>
          </w:tcPr>
          <w:p w14:paraId="58D6007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66.0 (61.9, 69.8)</w:t>
            </w:r>
          </w:p>
        </w:tc>
        <w:tc>
          <w:tcPr>
            <w:tcW w:w="314" w:type="pct"/>
            <w:noWrap/>
            <w:vAlign w:val="center"/>
          </w:tcPr>
          <w:p w14:paraId="24DD22B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81.7 (77.6, 85.0)</w:t>
            </w:r>
          </w:p>
        </w:tc>
        <w:tc>
          <w:tcPr>
            <w:tcW w:w="436" w:type="pct"/>
            <w:noWrap/>
            <w:vAlign w:val="center"/>
          </w:tcPr>
          <w:p w14:paraId="52886FA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80.8 (77.1, 83.8)</w:t>
            </w:r>
          </w:p>
        </w:tc>
        <w:tc>
          <w:tcPr>
            <w:tcW w:w="436" w:type="pct"/>
            <w:noWrap/>
            <w:vAlign w:val="center"/>
          </w:tcPr>
          <w:p w14:paraId="5730894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87.6 (83.9, 90.3)</w:t>
            </w:r>
          </w:p>
        </w:tc>
        <w:tc>
          <w:tcPr>
            <w:tcW w:w="403" w:type="pct"/>
            <w:noWrap/>
            <w:vAlign w:val="center"/>
          </w:tcPr>
          <w:p w14:paraId="7C101FD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77.2 (73.1, 80.7)</w:t>
            </w:r>
          </w:p>
        </w:tc>
        <w:tc>
          <w:tcPr>
            <w:tcW w:w="403" w:type="pct"/>
            <w:noWrap/>
            <w:vAlign w:val="center"/>
          </w:tcPr>
          <w:p w14:paraId="11A194C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83.2 (78.9, 86.6)</w:t>
            </w:r>
          </w:p>
        </w:tc>
        <w:tc>
          <w:tcPr>
            <w:tcW w:w="332" w:type="pct"/>
            <w:noWrap/>
            <w:vAlign w:val="center"/>
          </w:tcPr>
          <w:p w14:paraId="7ED4857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78.1 (73.9, 81.7)</w:t>
            </w:r>
          </w:p>
        </w:tc>
        <w:tc>
          <w:tcPr>
            <w:tcW w:w="332" w:type="pct"/>
            <w:noWrap/>
            <w:vAlign w:val="center"/>
          </w:tcPr>
          <w:p w14:paraId="3A10AF1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87.4 (83.5, 90.2)</w:t>
            </w:r>
          </w:p>
        </w:tc>
        <w:tc>
          <w:tcPr>
            <w:tcW w:w="474" w:type="pct"/>
            <w:noWrap/>
            <w:vAlign w:val="center"/>
          </w:tcPr>
          <w:p w14:paraId="2D19302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73.2 (69.2, 76.6)</w:t>
            </w:r>
          </w:p>
        </w:tc>
        <w:tc>
          <w:tcPr>
            <w:tcW w:w="474" w:type="pct"/>
            <w:noWrap/>
            <w:vAlign w:val="center"/>
          </w:tcPr>
          <w:p w14:paraId="3A5980F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81.8 (77.7, 85.0)</w:t>
            </w:r>
          </w:p>
        </w:tc>
      </w:tr>
      <w:tr w:rsidR="00217865" w:rsidRPr="00217865" w14:paraId="03C9543A" w14:textId="77777777" w:rsidTr="00684E82">
        <w:trPr>
          <w:trHeight w:val="62"/>
        </w:trPr>
        <w:tc>
          <w:tcPr>
            <w:tcW w:w="433" w:type="pct"/>
            <w:noWrap/>
            <w:vAlign w:val="center"/>
          </w:tcPr>
          <w:p w14:paraId="23E7CDE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Australia Advance Education Group Pty Ltd</w:t>
            </w:r>
          </w:p>
        </w:tc>
        <w:tc>
          <w:tcPr>
            <w:tcW w:w="324" w:type="pct"/>
            <w:noWrap/>
            <w:vAlign w:val="center"/>
          </w:tcPr>
          <w:p w14:paraId="0ED3668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82.4 (75.7, 87.3)</w:t>
            </w:r>
          </w:p>
        </w:tc>
        <w:tc>
          <w:tcPr>
            <w:tcW w:w="324" w:type="pct"/>
            <w:noWrap/>
            <w:vAlign w:val="center"/>
          </w:tcPr>
          <w:p w14:paraId="5F11C8D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79.4 (72.8, 84.5)</w:t>
            </w:r>
          </w:p>
        </w:tc>
        <w:tc>
          <w:tcPr>
            <w:tcW w:w="314" w:type="pct"/>
            <w:noWrap/>
            <w:vAlign w:val="center"/>
          </w:tcPr>
          <w:p w14:paraId="48530B5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75.0 (68.0, 80.6)</w:t>
            </w:r>
          </w:p>
        </w:tc>
        <w:tc>
          <w:tcPr>
            <w:tcW w:w="314" w:type="pct"/>
            <w:noWrap/>
            <w:vAlign w:val="center"/>
          </w:tcPr>
          <w:p w14:paraId="34E5FE2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78.0 (71.6, 83.0)</w:t>
            </w:r>
          </w:p>
        </w:tc>
        <w:tc>
          <w:tcPr>
            <w:tcW w:w="436" w:type="pct"/>
            <w:noWrap/>
            <w:vAlign w:val="center"/>
          </w:tcPr>
          <w:p w14:paraId="76536B2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85.1 (78.8, 89.4)</w:t>
            </w:r>
          </w:p>
        </w:tc>
        <w:tc>
          <w:tcPr>
            <w:tcW w:w="436" w:type="pct"/>
            <w:noWrap/>
            <w:vAlign w:val="center"/>
          </w:tcPr>
          <w:p w14:paraId="7942298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84.9 (79.0, 89.1)</w:t>
            </w:r>
          </w:p>
        </w:tc>
        <w:tc>
          <w:tcPr>
            <w:tcW w:w="403" w:type="pct"/>
            <w:noWrap/>
            <w:vAlign w:val="center"/>
          </w:tcPr>
          <w:p w14:paraId="7A401E2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85.4 (78.9, 89.8)</w:t>
            </w:r>
          </w:p>
        </w:tc>
        <w:tc>
          <w:tcPr>
            <w:tcW w:w="403" w:type="pct"/>
            <w:noWrap/>
            <w:vAlign w:val="center"/>
          </w:tcPr>
          <w:p w14:paraId="08D1664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83.7 (77.3, 88.3)</w:t>
            </w:r>
          </w:p>
        </w:tc>
        <w:tc>
          <w:tcPr>
            <w:tcW w:w="332" w:type="pct"/>
            <w:noWrap/>
            <w:vAlign w:val="center"/>
          </w:tcPr>
          <w:p w14:paraId="644CAC5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81.7 (74.4, 87.0)</w:t>
            </w:r>
          </w:p>
        </w:tc>
        <w:tc>
          <w:tcPr>
            <w:tcW w:w="332" w:type="pct"/>
            <w:noWrap/>
            <w:vAlign w:val="center"/>
          </w:tcPr>
          <w:p w14:paraId="6C7C98E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76.8 (69.8, 82.4)</w:t>
            </w:r>
          </w:p>
        </w:tc>
        <w:tc>
          <w:tcPr>
            <w:tcW w:w="474" w:type="pct"/>
            <w:noWrap/>
            <w:vAlign w:val="center"/>
          </w:tcPr>
          <w:p w14:paraId="030326E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80.0 (73.3, 85.0)</w:t>
            </w:r>
          </w:p>
        </w:tc>
        <w:tc>
          <w:tcPr>
            <w:tcW w:w="474" w:type="pct"/>
            <w:noWrap/>
            <w:vAlign w:val="center"/>
          </w:tcPr>
          <w:p w14:paraId="2AF7E99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81.5 (75.3, 86.1)</w:t>
            </w:r>
          </w:p>
        </w:tc>
      </w:tr>
      <w:tr w:rsidR="00217865" w:rsidRPr="00217865" w14:paraId="3287CE8D" w14:textId="77777777" w:rsidTr="00684E82">
        <w:trPr>
          <w:trHeight w:val="62"/>
        </w:trPr>
        <w:tc>
          <w:tcPr>
            <w:tcW w:w="433" w:type="pct"/>
            <w:noWrap/>
            <w:vAlign w:val="center"/>
          </w:tcPr>
          <w:p w14:paraId="6ACB632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Australian College of Theology Limited</w:t>
            </w:r>
          </w:p>
        </w:tc>
        <w:tc>
          <w:tcPr>
            <w:tcW w:w="324" w:type="pct"/>
            <w:noWrap/>
            <w:vAlign w:val="center"/>
          </w:tcPr>
          <w:p w14:paraId="17A7A5D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89.7 (79.2, 93.3)</w:t>
            </w:r>
          </w:p>
        </w:tc>
        <w:tc>
          <w:tcPr>
            <w:tcW w:w="324" w:type="pct"/>
            <w:noWrap/>
            <w:vAlign w:val="center"/>
          </w:tcPr>
          <w:p w14:paraId="1592C8E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14" w:type="pct"/>
            <w:noWrap/>
            <w:vAlign w:val="center"/>
          </w:tcPr>
          <w:p w14:paraId="3B3239E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72.4 (61.2, 79.8)</w:t>
            </w:r>
          </w:p>
        </w:tc>
        <w:tc>
          <w:tcPr>
            <w:tcW w:w="314" w:type="pct"/>
            <w:noWrap/>
            <w:vAlign w:val="center"/>
          </w:tcPr>
          <w:p w14:paraId="10E45A0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36" w:type="pct"/>
            <w:noWrap/>
            <w:vAlign w:val="center"/>
          </w:tcPr>
          <w:p w14:paraId="235E120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100.0 (91.6, 99.9)</w:t>
            </w:r>
          </w:p>
        </w:tc>
        <w:tc>
          <w:tcPr>
            <w:tcW w:w="436" w:type="pct"/>
            <w:noWrap/>
            <w:vAlign w:val="center"/>
          </w:tcPr>
          <w:p w14:paraId="6AE6C12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03" w:type="pct"/>
            <w:noWrap/>
            <w:vAlign w:val="center"/>
          </w:tcPr>
          <w:p w14:paraId="318CE5D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93.1 (83.1, 95.7)</w:t>
            </w:r>
          </w:p>
        </w:tc>
        <w:tc>
          <w:tcPr>
            <w:tcW w:w="403" w:type="pct"/>
            <w:noWrap/>
            <w:vAlign w:val="center"/>
          </w:tcPr>
          <w:p w14:paraId="055B09F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32" w:type="pct"/>
            <w:noWrap/>
            <w:vAlign w:val="center"/>
          </w:tcPr>
          <w:p w14:paraId="1099B81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32" w:type="pct"/>
            <w:noWrap/>
            <w:vAlign w:val="center"/>
          </w:tcPr>
          <w:p w14:paraId="7438647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74" w:type="pct"/>
            <w:noWrap/>
            <w:vAlign w:val="center"/>
          </w:tcPr>
          <w:p w14:paraId="3273B4E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100.0 (91.6, 99.9)</w:t>
            </w:r>
          </w:p>
        </w:tc>
        <w:tc>
          <w:tcPr>
            <w:tcW w:w="474" w:type="pct"/>
            <w:noWrap/>
            <w:vAlign w:val="center"/>
          </w:tcPr>
          <w:p w14:paraId="1BEEC85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r>
      <w:tr w:rsidR="00217865" w:rsidRPr="00217865" w14:paraId="666CC206" w14:textId="77777777" w:rsidTr="00684E82">
        <w:trPr>
          <w:trHeight w:val="62"/>
        </w:trPr>
        <w:tc>
          <w:tcPr>
            <w:tcW w:w="433" w:type="pct"/>
            <w:noWrap/>
            <w:vAlign w:val="center"/>
          </w:tcPr>
          <w:p w14:paraId="1F0BCC1E"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Australian Institute of Higher Education</w:t>
            </w:r>
          </w:p>
        </w:tc>
        <w:tc>
          <w:tcPr>
            <w:tcW w:w="324" w:type="pct"/>
            <w:noWrap/>
            <w:vAlign w:val="center"/>
          </w:tcPr>
          <w:p w14:paraId="22A26D0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79.8 (77.6, 81.8)</w:t>
            </w:r>
          </w:p>
        </w:tc>
        <w:tc>
          <w:tcPr>
            <w:tcW w:w="324" w:type="pct"/>
            <w:noWrap/>
            <w:vAlign w:val="center"/>
          </w:tcPr>
          <w:p w14:paraId="4C3D35A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82.4 (79.7, 84.7)</w:t>
            </w:r>
          </w:p>
        </w:tc>
        <w:tc>
          <w:tcPr>
            <w:tcW w:w="314" w:type="pct"/>
            <w:noWrap/>
            <w:vAlign w:val="center"/>
          </w:tcPr>
          <w:p w14:paraId="6340238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66.2 (63.8, 68.5)</w:t>
            </w:r>
          </w:p>
        </w:tc>
        <w:tc>
          <w:tcPr>
            <w:tcW w:w="314" w:type="pct"/>
            <w:noWrap/>
            <w:vAlign w:val="center"/>
          </w:tcPr>
          <w:p w14:paraId="2E9FE66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76.9 (74.1, 79.4)</w:t>
            </w:r>
          </w:p>
        </w:tc>
        <w:tc>
          <w:tcPr>
            <w:tcW w:w="436" w:type="pct"/>
            <w:noWrap/>
            <w:vAlign w:val="center"/>
          </w:tcPr>
          <w:p w14:paraId="475700F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76.9 (74.7, 79.0)</w:t>
            </w:r>
          </w:p>
        </w:tc>
        <w:tc>
          <w:tcPr>
            <w:tcW w:w="436" w:type="pct"/>
            <w:noWrap/>
            <w:vAlign w:val="center"/>
          </w:tcPr>
          <w:p w14:paraId="6FCDE89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82.9 (80.2, 85.1)</w:t>
            </w:r>
          </w:p>
        </w:tc>
        <w:tc>
          <w:tcPr>
            <w:tcW w:w="403" w:type="pct"/>
            <w:noWrap/>
            <w:vAlign w:val="center"/>
          </w:tcPr>
          <w:p w14:paraId="4961AEC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70.8 (68.2, 73.1)</w:t>
            </w:r>
          </w:p>
        </w:tc>
        <w:tc>
          <w:tcPr>
            <w:tcW w:w="403" w:type="pct"/>
            <w:noWrap/>
            <w:vAlign w:val="center"/>
          </w:tcPr>
          <w:p w14:paraId="437B80F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81.8 (79.0, 84.2)</w:t>
            </w:r>
          </w:p>
        </w:tc>
        <w:tc>
          <w:tcPr>
            <w:tcW w:w="332" w:type="pct"/>
            <w:noWrap/>
            <w:vAlign w:val="center"/>
          </w:tcPr>
          <w:p w14:paraId="740FF1D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69.5 (66.9, 71.9)</w:t>
            </w:r>
          </w:p>
        </w:tc>
        <w:tc>
          <w:tcPr>
            <w:tcW w:w="332" w:type="pct"/>
            <w:noWrap/>
            <w:vAlign w:val="center"/>
          </w:tcPr>
          <w:p w14:paraId="22BE1BC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78.9 (76.0, 81.4)</w:t>
            </w:r>
          </w:p>
        </w:tc>
        <w:tc>
          <w:tcPr>
            <w:tcW w:w="474" w:type="pct"/>
            <w:noWrap/>
            <w:vAlign w:val="center"/>
          </w:tcPr>
          <w:p w14:paraId="723C643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72.0 (69.7, 74.1)</w:t>
            </w:r>
          </w:p>
        </w:tc>
        <w:tc>
          <w:tcPr>
            <w:tcW w:w="474" w:type="pct"/>
            <w:noWrap/>
            <w:vAlign w:val="center"/>
          </w:tcPr>
          <w:p w14:paraId="11DD009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79.4 (76.7, 81.7)</w:t>
            </w:r>
          </w:p>
        </w:tc>
      </w:tr>
      <w:tr w:rsidR="00217865" w:rsidRPr="00217865" w14:paraId="7443E5EE" w14:textId="77777777" w:rsidTr="00684E82">
        <w:trPr>
          <w:trHeight w:val="62"/>
        </w:trPr>
        <w:tc>
          <w:tcPr>
            <w:tcW w:w="433" w:type="pct"/>
            <w:noWrap/>
            <w:vAlign w:val="center"/>
          </w:tcPr>
          <w:p w14:paraId="755C553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Australian School of Accounting</w:t>
            </w:r>
          </w:p>
        </w:tc>
        <w:tc>
          <w:tcPr>
            <w:tcW w:w="324" w:type="pct"/>
            <w:noWrap/>
            <w:vAlign w:val="center"/>
          </w:tcPr>
          <w:p w14:paraId="723E148A" w14:textId="76E5FEFC"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52A6F22F"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90.6 (83.1, 94.1)</w:t>
            </w:r>
          </w:p>
        </w:tc>
        <w:tc>
          <w:tcPr>
            <w:tcW w:w="314" w:type="pct"/>
            <w:noWrap/>
            <w:vAlign w:val="center"/>
          </w:tcPr>
          <w:p w14:paraId="69A5DF3F" w14:textId="7074106A"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14" w:type="pct"/>
            <w:noWrap/>
            <w:vAlign w:val="center"/>
          </w:tcPr>
          <w:p w14:paraId="1B725C7D"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96.4 (90.3, 98.1)</w:t>
            </w:r>
          </w:p>
        </w:tc>
        <w:tc>
          <w:tcPr>
            <w:tcW w:w="436" w:type="pct"/>
            <w:noWrap/>
            <w:vAlign w:val="center"/>
          </w:tcPr>
          <w:p w14:paraId="0D52F0C5" w14:textId="2FA6B0EA"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41EB6260"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96.3 (90.1, 98.1)</w:t>
            </w:r>
          </w:p>
        </w:tc>
        <w:tc>
          <w:tcPr>
            <w:tcW w:w="403" w:type="pct"/>
            <w:noWrap/>
            <w:vAlign w:val="center"/>
          </w:tcPr>
          <w:p w14:paraId="7E29C82D" w14:textId="28DDC4F8"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23F1553E"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90.4 (82.8, 94.0)</w:t>
            </w:r>
          </w:p>
        </w:tc>
        <w:tc>
          <w:tcPr>
            <w:tcW w:w="332" w:type="pct"/>
            <w:noWrap/>
            <w:vAlign w:val="center"/>
          </w:tcPr>
          <w:p w14:paraId="7C5FFEC4" w14:textId="5EDA2E44"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32" w:type="pct"/>
            <w:noWrap/>
            <w:vAlign w:val="center"/>
          </w:tcPr>
          <w:p w14:paraId="09BD9DD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92.5 (85.3, 95.5)</w:t>
            </w:r>
          </w:p>
        </w:tc>
        <w:tc>
          <w:tcPr>
            <w:tcW w:w="474" w:type="pct"/>
            <w:noWrap/>
            <w:vAlign w:val="center"/>
          </w:tcPr>
          <w:p w14:paraId="4A5D05AA" w14:textId="732DCE2D"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74" w:type="pct"/>
            <w:noWrap/>
            <w:vAlign w:val="center"/>
          </w:tcPr>
          <w:p w14:paraId="6DAF2C50"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83.3 (75.2, 88.3)</w:t>
            </w:r>
          </w:p>
        </w:tc>
      </w:tr>
      <w:tr w:rsidR="00217865" w:rsidRPr="00217865" w14:paraId="0B4AA8F6" w14:textId="77777777" w:rsidTr="00684E82">
        <w:trPr>
          <w:trHeight w:val="62"/>
        </w:trPr>
        <w:tc>
          <w:tcPr>
            <w:tcW w:w="433" w:type="pct"/>
            <w:noWrap/>
            <w:vAlign w:val="center"/>
          </w:tcPr>
          <w:p w14:paraId="6BD8D8D0"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Box Hill Institute</w:t>
            </w:r>
          </w:p>
        </w:tc>
        <w:tc>
          <w:tcPr>
            <w:tcW w:w="324" w:type="pct"/>
            <w:noWrap/>
            <w:vAlign w:val="center"/>
          </w:tcPr>
          <w:p w14:paraId="79029F6A"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84.0 (79.1, 87.5)</w:t>
            </w:r>
          </w:p>
        </w:tc>
        <w:tc>
          <w:tcPr>
            <w:tcW w:w="324" w:type="pct"/>
            <w:noWrap/>
            <w:vAlign w:val="center"/>
          </w:tcPr>
          <w:p w14:paraId="74AAAF7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87.6 (81.8, 91.3)</w:t>
            </w:r>
          </w:p>
        </w:tc>
        <w:tc>
          <w:tcPr>
            <w:tcW w:w="314" w:type="pct"/>
            <w:noWrap/>
            <w:vAlign w:val="center"/>
          </w:tcPr>
          <w:p w14:paraId="5319B80D"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64.3 (58.7, 69.3)</w:t>
            </w:r>
          </w:p>
        </w:tc>
        <w:tc>
          <w:tcPr>
            <w:tcW w:w="314" w:type="pct"/>
            <w:noWrap/>
            <w:vAlign w:val="center"/>
          </w:tcPr>
          <w:p w14:paraId="1CB6AC8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76.9 (70.3, 82.0)</w:t>
            </w:r>
          </w:p>
        </w:tc>
        <w:tc>
          <w:tcPr>
            <w:tcW w:w="436" w:type="pct"/>
            <w:noWrap/>
            <w:vAlign w:val="center"/>
          </w:tcPr>
          <w:p w14:paraId="2704AC4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86.5 (81.9, 89.6)</w:t>
            </w:r>
          </w:p>
        </w:tc>
        <w:tc>
          <w:tcPr>
            <w:tcW w:w="436" w:type="pct"/>
            <w:noWrap/>
            <w:vAlign w:val="center"/>
          </w:tcPr>
          <w:p w14:paraId="7951EA5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93.4 (88.5, 95.8)</w:t>
            </w:r>
          </w:p>
        </w:tc>
        <w:tc>
          <w:tcPr>
            <w:tcW w:w="403" w:type="pct"/>
            <w:noWrap/>
            <w:vAlign w:val="center"/>
          </w:tcPr>
          <w:p w14:paraId="569827E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77.4 (71.7, 81.8)</w:t>
            </w:r>
          </w:p>
        </w:tc>
        <w:tc>
          <w:tcPr>
            <w:tcW w:w="403" w:type="pct"/>
            <w:noWrap/>
            <w:vAlign w:val="center"/>
          </w:tcPr>
          <w:p w14:paraId="263FC58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79.3 (72.3, 84.4)</w:t>
            </w:r>
          </w:p>
        </w:tc>
        <w:tc>
          <w:tcPr>
            <w:tcW w:w="332" w:type="pct"/>
            <w:noWrap/>
            <w:vAlign w:val="center"/>
          </w:tcPr>
          <w:p w14:paraId="7789822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71.4 (65.7, 76.2)</w:t>
            </w:r>
          </w:p>
        </w:tc>
        <w:tc>
          <w:tcPr>
            <w:tcW w:w="332" w:type="pct"/>
            <w:noWrap/>
            <w:vAlign w:val="center"/>
          </w:tcPr>
          <w:p w14:paraId="71527E76"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75.3 (68.2, 80.8)</w:t>
            </w:r>
          </w:p>
        </w:tc>
        <w:tc>
          <w:tcPr>
            <w:tcW w:w="474" w:type="pct"/>
            <w:noWrap/>
            <w:vAlign w:val="center"/>
          </w:tcPr>
          <w:p w14:paraId="04CA578D"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82.7 (77.8, 86.2)</w:t>
            </w:r>
          </w:p>
        </w:tc>
        <w:tc>
          <w:tcPr>
            <w:tcW w:w="474" w:type="pct"/>
            <w:noWrap/>
            <w:vAlign w:val="center"/>
          </w:tcPr>
          <w:p w14:paraId="618D783D"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90.1 (84.7, 93.2)</w:t>
            </w:r>
          </w:p>
        </w:tc>
      </w:tr>
      <w:tr w:rsidR="00217865" w:rsidRPr="00217865" w14:paraId="29D1D5AF" w14:textId="77777777" w:rsidTr="00684E82">
        <w:trPr>
          <w:trHeight w:val="62"/>
        </w:trPr>
        <w:tc>
          <w:tcPr>
            <w:tcW w:w="433" w:type="pct"/>
            <w:noWrap/>
            <w:vAlign w:val="center"/>
          </w:tcPr>
          <w:p w14:paraId="4A408EF4"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Chisholm Institute</w:t>
            </w:r>
          </w:p>
        </w:tc>
        <w:tc>
          <w:tcPr>
            <w:tcW w:w="324" w:type="pct"/>
            <w:noWrap/>
            <w:vAlign w:val="center"/>
          </w:tcPr>
          <w:p w14:paraId="29B8F93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78.4 (73.2, 82.4)</w:t>
            </w:r>
          </w:p>
        </w:tc>
        <w:tc>
          <w:tcPr>
            <w:tcW w:w="324" w:type="pct"/>
            <w:noWrap/>
            <w:vAlign w:val="center"/>
          </w:tcPr>
          <w:p w14:paraId="383D6CE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81.4 (73.0, 87.0)</w:t>
            </w:r>
          </w:p>
        </w:tc>
        <w:tc>
          <w:tcPr>
            <w:tcW w:w="314" w:type="pct"/>
            <w:noWrap/>
            <w:vAlign w:val="center"/>
          </w:tcPr>
          <w:p w14:paraId="27879D0E"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61.5 (56.0, 66.4)</w:t>
            </w:r>
          </w:p>
        </w:tc>
        <w:tc>
          <w:tcPr>
            <w:tcW w:w="314" w:type="pct"/>
            <w:noWrap/>
            <w:vAlign w:val="center"/>
          </w:tcPr>
          <w:p w14:paraId="18A0F256"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70.5 (61.7, 77.5)</w:t>
            </w:r>
          </w:p>
        </w:tc>
        <w:tc>
          <w:tcPr>
            <w:tcW w:w="436" w:type="pct"/>
            <w:noWrap/>
            <w:vAlign w:val="center"/>
          </w:tcPr>
          <w:p w14:paraId="717D955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79.0 (73.9, 82.8)</w:t>
            </w:r>
          </w:p>
        </w:tc>
        <w:tc>
          <w:tcPr>
            <w:tcW w:w="436" w:type="pct"/>
            <w:noWrap/>
            <w:vAlign w:val="center"/>
          </w:tcPr>
          <w:p w14:paraId="79D660F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81.7 (73.4, 87.2)</w:t>
            </w:r>
          </w:p>
        </w:tc>
        <w:tc>
          <w:tcPr>
            <w:tcW w:w="403" w:type="pct"/>
            <w:noWrap/>
            <w:vAlign w:val="center"/>
          </w:tcPr>
          <w:p w14:paraId="3052355A"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81.4 (76.2, 85.2)</w:t>
            </w:r>
          </w:p>
        </w:tc>
        <w:tc>
          <w:tcPr>
            <w:tcW w:w="403" w:type="pct"/>
            <w:noWrap/>
            <w:vAlign w:val="center"/>
          </w:tcPr>
          <w:p w14:paraId="5CD586E6"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86.0 (77.8, 90.9)</w:t>
            </w:r>
          </w:p>
        </w:tc>
        <w:tc>
          <w:tcPr>
            <w:tcW w:w="332" w:type="pct"/>
            <w:noWrap/>
            <w:vAlign w:val="center"/>
          </w:tcPr>
          <w:p w14:paraId="06A5112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76.4 (70.7, 80.7)</w:t>
            </w:r>
          </w:p>
        </w:tc>
        <w:tc>
          <w:tcPr>
            <w:tcW w:w="332" w:type="pct"/>
            <w:noWrap/>
            <w:vAlign w:val="center"/>
          </w:tcPr>
          <w:p w14:paraId="058FD8B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83.1 (74.8, 88.4)</w:t>
            </w:r>
          </w:p>
        </w:tc>
        <w:tc>
          <w:tcPr>
            <w:tcW w:w="474" w:type="pct"/>
            <w:noWrap/>
            <w:vAlign w:val="center"/>
          </w:tcPr>
          <w:p w14:paraId="7A79AC4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72.1 (66.9, 76.4)</w:t>
            </w:r>
          </w:p>
        </w:tc>
        <w:tc>
          <w:tcPr>
            <w:tcW w:w="474" w:type="pct"/>
            <w:noWrap/>
            <w:vAlign w:val="center"/>
          </w:tcPr>
          <w:p w14:paraId="28D260A1"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86.9 (79.3, 91.4)</w:t>
            </w:r>
          </w:p>
        </w:tc>
      </w:tr>
      <w:tr w:rsidR="00217865" w:rsidRPr="00217865" w14:paraId="4972D7EB" w14:textId="77777777" w:rsidTr="00684E82">
        <w:trPr>
          <w:trHeight w:val="62"/>
        </w:trPr>
        <w:tc>
          <w:tcPr>
            <w:tcW w:w="433" w:type="pct"/>
            <w:noWrap/>
            <w:vAlign w:val="center"/>
          </w:tcPr>
          <w:p w14:paraId="64E025CE"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 xml:space="preserve">CIC Higher </w:t>
            </w:r>
            <w:r w:rsidRPr="00217865">
              <w:rPr>
                <w:color w:val="000000" w:themeColor="text1"/>
                <w:sz w:val="16"/>
                <w:szCs w:val="18"/>
              </w:rPr>
              <w:lastRenderedPageBreak/>
              <w:t>Education</w:t>
            </w:r>
          </w:p>
        </w:tc>
        <w:tc>
          <w:tcPr>
            <w:tcW w:w="324" w:type="pct"/>
            <w:noWrap/>
            <w:vAlign w:val="center"/>
          </w:tcPr>
          <w:p w14:paraId="06174674"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lastRenderedPageBreak/>
              <w:t>78.5 (73.8, 82.2)</w:t>
            </w:r>
          </w:p>
        </w:tc>
        <w:tc>
          <w:tcPr>
            <w:tcW w:w="324" w:type="pct"/>
            <w:noWrap/>
            <w:vAlign w:val="center"/>
          </w:tcPr>
          <w:p w14:paraId="45F671DC"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81.6 (76.3, 85.6)</w:t>
            </w:r>
          </w:p>
        </w:tc>
        <w:tc>
          <w:tcPr>
            <w:tcW w:w="314" w:type="pct"/>
            <w:noWrap/>
            <w:vAlign w:val="center"/>
          </w:tcPr>
          <w:p w14:paraId="1A7AD4B9"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58.7 (53.8, 63.5)</w:t>
            </w:r>
          </w:p>
        </w:tc>
        <w:tc>
          <w:tcPr>
            <w:tcW w:w="314" w:type="pct"/>
            <w:noWrap/>
            <w:vAlign w:val="center"/>
          </w:tcPr>
          <w:p w14:paraId="753F81D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62.1 (56.4, 67.4)</w:t>
            </w:r>
          </w:p>
        </w:tc>
        <w:tc>
          <w:tcPr>
            <w:tcW w:w="436" w:type="pct"/>
            <w:noWrap/>
            <w:vAlign w:val="center"/>
          </w:tcPr>
          <w:p w14:paraId="2064FDA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82.2 (77.8, 85.6)</w:t>
            </w:r>
          </w:p>
        </w:tc>
        <w:tc>
          <w:tcPr>
            <w:tcW w:w="436" w:type="pct"/>
            <w:noWrap/>
            <w:vAlign w:val="center"/>
          </w:tcPr>
          <w:p w14:paraId="5D62F250"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83.1 (78.0, 86.8)</w:t>
            </w:r>
          </w:p>
        </w:tc>
        <w:tc>
          <w:tcPr>
            <w:tcW w:w="403" w:type="pct"/>
            <w:noWrap/>
            <w:vAlign w:val="center"/>
          </w:tcPr>
          <w:p w14:paraId="37F6C55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80.9 (76.3, 84.6)</w:t>
            </w:r>
          </w:p>
        </w:tc>
        <w:tc>
          <w:tcPr>
            <w:tcW w:w="403" w:type="pct"/>
            <w:noWrap/>
            <w:vAlign w:val="center"/>
          </w:tcPr>
          <w:p w14:paraId="10FCC7F6"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82.8 (77.5, 86.7)</w:t>
            </w:r>
          </w:p>
        </w:tc>
        <w:tc>
          <w:tcPr>
            <w:tcW w:w="332" w:type="pct"/>
            <w:noWrap/>
            <w:vAlign w:val="center"/>
          </w:tcPr>
          <w:p w14:paraId="4C8FF4CB"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77.0 (71.3, 81.6)</w:t>
            </w:r>
          </w:p>
        </w:tc>
        <w:tc>
          <w:tcPr>
            <w:tcW w:w="332" w:type="pct"/>
            <w:noWrap/>
            <w:vAlign w:val="center"/>
          </w:tcPr>
          <w:p w14:paraId="49AEF41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82.1 (76.1, 86.5)</w:t>
            </w:r>
          </w:p>
        </w:tc>
        <w:tc>
          <w:tcPr>
            <w:tcW w:w="474" w:type="pct"/>
            <w:noWrap/>
            <w:vAlign w:val="center"/>
          </w:tcPr>
          <w:p w14:paraId="57D65F0F"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78.4 (74.0, 82.1)</w:t>
            </w:r>
          </w:p>
        </w:tc>
        <w:tc>
          <w:tcPr>
            <w:tcW w:w="474" w:type="pct"/>
            <w:noWrap/>
            <w:vAlign w:val="center"/>
          </w:tcPr>
          <w:p w14:paraId="56099A5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77.4 (72.1, 81.7)</w:t>
            </w:r>
          </w:p>
        </w:tc>
      </w:tr>
      <w:tr w:rsidR="00217865" w:rsidRPr="00217865" w14:paraId="7E17C3A6" w14:textId="77777777" w:rsidTr="00684E82">
        <w:trPr>
          <w:trHeight w:val="62"/>
        </w:trPr>
        <w:tc>
          <w:tcPr>
            <w:tcW w:w="433" w:type="pct"/>
            <w:noWrap/>
            <w:vAlign w:val="center"/>
          </w:tcPr>
          <w:p w14:paraId="55D223D1" w14:textId="77777777" w:rsidR="00821227" w:rsidRPr="00217865" w:rsidRDefault="00821227" w:rsidP="00713E2F">
            <w:pPr>
              <w:pStyle w:val="Z"/>
              <w:spacing w:before="60" w:after="60"/>
              <w:rPr>
                <w:color w:val="000000" w:themeColor="text1"/>
                <w:sz w:val="16"/>
                <w:szCs w:val="18"/>
              </w:rPr>
            </w:pPr>
            <w:proofErr w:type="spellStart"/>
            <w:r w:rsidRPr="00217865">
              <w:rPr>
                <w:color w:val="000000" w:themeColor="text1"/>
                <w:sz w:val="16"/>
                <w:szCs w:val="18"/>
              </w:rPr>
              <w:t>Collarts</w:t>
            </w:r>
            <w:proofErr w:type="spellEnd"/>
            <w:r w:rsidRPr="00217865">
              <w:rPr>
                <w:color w:val="000000" w:themeColor="text1"/>
                <w:sz w:val="16"/>
                <w:szCs w:val="18"/>
              </w:rPr>
              <w:t xml:space="preserve"> (Australian College of the Arts)</w:t>
            </w:r>
          </w:p>
        </w:tc>
        <w:tc>
          <w:tcPr>
            <w:tcW w:w="324" w:type="pct"/>
            <w:noWrap/>
            <w:vAlign w:val="center"/>
          </w:tcPr>
          <w:p w14:paraId="79B4F3C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80.6 (70.3, 86.5)</w:t>
            </w:r>
          </w:p>
        </w:tc>
        <w:tc>
          <w:tcPr>
            <w:tcW w:w="324" w:type="pct"/>
            <w:noWrap/>
            <w:vAlign w:val="center"/>
          </w:tcPr>
          <w:p w14:paraId="2DF8CD8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80.8 (67.3, 88.4)</w:t>
            </w:r>
          </w:p>
        </w:tc>
        <w:tc>
          <w:tcPr>
            <w:tcW w:w="314" w:type="pct"/>
            <w:noWrap/>
            <w:vAlign w:val="center"/>
          </w:tcPr>
          <w:p w14:paraId="3CF1320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47.5 (38.7, 56.6)</w:t>
            </w:r>
          </w:p>
        </w:tc>
        <w:tc>
          <w:tcPr>
            <w:tcW w:w="314" w:type="pct"/>
            <w:noWrap/>
            <w:vAlign w:val="center"/>
          </w:tcPr>
          <w:p w14:paraId="0C18C75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55.2 (43.0, 66.5)</w:t>
            </w:r>
          </w:p>
        </w:tc>
        <w:tc>
          <w:tcPr>
            <w:tcW w:w="436" w:type="pct"/>
            <w:noWrap/>
            <w:vAlign w:val="center"/>
          </w:tcPr>
          <w:p w14:paraId="2DA3AF5E"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80.6 (70.3, 86.5)</w:t>
            </w:r>
          </w:p>
        </w:tc>
        <w:tc>
          <w:tcPr>
            <w:tcW w:w="436" w:type="pct"/>
            <w:noWrap/>
            <w:vAlign w:val="center"/>
          </w:tcPr>
          <w:p w14:paraId="7B8B786B"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84.6 (71.4, 91.3)</w:t>
            </w:r>
          </w:p>
        </w:tc>
        <w:tc>
          <w:tcPr>
            <w:tcW w:w="403" w:type="pct"/>
            <w:noWrap/>
            <w:vAlign w:val="center"/>
          </w:tcPr>
          <w:p w14:paraId="3097A7D1"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71.0 (59.0, 79.6)</w:t>
            </w:r>
          </w:p>
        </w:tc>
        <w:tc>
          <w:tcPr>
            <w:tcW w:w="403" w:type="pct"/>
            <w:noWrap/>
            <w:vAlign w:val="center"/>
          </w:tcPr>
          <w:p w14:paraId="450DDC0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n/a</w:t>
            </w:r>
          </w:p>
        </w:tc>
        <w:tc>
          <w:tcPr>
            <w:tcW w:w="332" w:type="pct"/>
            <w:noWrap/>
            <w:vAlign w:val="center"/>
          </w:tcPr>
          <w:p w14:paraId="3FBE25D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73.1 (59.4, 82.4)</w:t>
            </w:r>
          </w:p>
        </w:tc>
        <w:tc>
          <w:tcPr>
            <w:tcW w:w="332" w:type="pct"/>
            <w:noWrap/>
            <w:vAlign w:val="center"/>
          </w:tcPr>
          <w:p w14:paraId="7CBDD51C"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n/a</w:t>
            </w:r>
          </w:p>
        </w:tc>
        <w:tc>
          <w:tcPr>
            <w:tcW w:w="474" w:type="pct"/>
            <w:noWrap/>
            <w:vAlign w:val="center"/>
          </w:tcPr>
          <w:p w14:paraId="19A57BA0"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80.0 (70.7, 85.5)</w:t>
            </w:r>
          </w:p>
        </w:tc>
        <w:tc>
          <w:tcPr>
            <w:tcW w:w="474" w:type="pct"/>
            <w:noWrap/>
            <w:vAlign w:val="center"/>
          </w:tcPr>
          <w:p w14:paraId="7C8464B1"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86.2 (74.3, 91.9)</w:t>
            </w:r>
          </w:p>
        </w:tc>
      </w:tr>
      <w:tr w:rsidR="00217865" w:rsidRPr="00217865" w14:paraId="6E975E7B" w14:textId="77777777" w:rsidTr="00684E82">
        <w:trPr>
          <w:trHeight w:val="62"/>
        </w:trPr>
        <w:tc>
          <w:tcPr>
            <w:tcW w:w="433" w:type="pct"/>
            <w:noWrap/>
            <w:vAlign w:val="center"/>
          </w:tcPr>
          <w:p w14:paraId="70B9A020"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Curtin College</w:t>
            </w:r>
          </w:p>
        </w:tc>
        <w:tc>
          <w:tcPr>
            <w:tcW w:w="324" w:type="pct"/>
            <w:noWrap/>
            <w:vAlign w:val="center"/>
          </w:tcPr>
          <w:p w14:paraId="1C40F05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81.8 (78.6, 84.4)</w:t>
            </w:r>
          </w:p>
        </w:tc>
        <w:tc>
          <w:tcPr>
            <w:tcW w:w="324" w:type="pct"/>
            <w:noWrap/>
            <w:vAlign w:val="center"/>
          </w:tcPr>
          <w:p w14:paraId="02506E0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82.8 (79.5, 85.5)</w:t>
            </w:r>
          </w:p>
        </w:tc>
        <w:tc>
          <w:tcPr>
            <w:tcW w:w="314" w:type="pct"/>
            <w:noWrap/>
            <w:vAlign w:val="center"/>
          </w:tcPr>
          <w:p w14:paraId="6298EBA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60.1 (56.5, 63.6)</w:t>
            </w:r>
          </w:p>
        </w:tc>
        <w:tc>
          <w:tcPr>
            <w:tcW w:w="314" w:type="pct"/>
            <w:noWrap/>
            <w:vAlign w:val="center"/>
          </w:tcPr>
          <w:p w14:paraId="1F94ACCD"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67.7 (64.0, 71.0)</w:t>
            </w:r>
          </w:p>
        </w:tc>
        <w:tc>
          <w:tcPr>
            <w:tcW w:w="436" w:type="pct"/>
            <w:noWrap/>
            <w:vAlign w:val="center"/>
          </w:tcPr>
          <w:p w14:paraId="25B60420"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83.8 (80.8, 86.3)</w:t>
            </w:r>
          </w:p>
        </w:tc>
        <w:tc>
          <w:tcPr>
            <w:tcW w:w="436" w:type="pct"/>
            <w:noWrap/>
            <w:vAlign w:val="center"/>
          </w:tcPr>
          <w:p w14:paraId="52C8F65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84.4 (81.3, 86.9)</w:t>
            </w:r>
          </w:p>
        </w:tc>
        <w:tc>
          <w:tcPr>
            <w:tcW w:w="403" w:type="pct"/>
            <w:noWrap/>
            <w:vAlign w:val="center"/>
          </w:tcPr>
          <w:p w14:paraId="029E988F"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81.8 (78.4, 84.5)</w:t>
            </w:r>
          </w:p>
        </w:tc>
        <w:tc>
          <w:tcPr>
            <w:tcW w:w="403" w:type="pct"/>
            <w:noWrap/>
            <w:vAlign w:val="center"/>
          </w:tcPr>
          <w:p w14:paraId="194F679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83.3 (79.9, 86.1)</w:t>
            </w:r>
          </w:p>
        </w:tc>
        <w:tc>
          <w:tcPr>
            <w:tcW w:w="332" w:type="pct"/>
            <w:noWrap/>
            <w:vAlign w:val="center"/>
          </w:tcPr>
          <w:p w14:paraId="1645C3D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82.4 (78.7, 85.3)</w:t>
            </w:r>
          </w:p>
        </w:tc>
        <w:tc>
          <w:tcPr>
            <w:tcW w:w="332" w:type="pct"/>
            <w:noWrap/>
            <w:vAlign w:val="center"/>
          </w:tcPr>
          <w:p w14:paraId="0D7680CC"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87.2 (84.2, 89.5)</w:t>
            </w:r>
          </w:p>
        </w:tc>
        <w:tc>
          <w:tcPr>
            <w:tcW w:w="474" w:type="pct"/>
            <w:noWrap/>
            <w:vAlign w:val="center"/>
          </w:tcPr>
          <w:p w14:paraId="1637D15A"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73.3 (69.9, 76.3)</w:t>
            </w:r>
          </w:p>
        </w:tc>
        <w:tc>
          <w:tcPr>
            <w:tcW w:w="474" w:type="pct"/>
            <w:noWrap/>
            <w:vAlign w:val="center"/>
          </w:tcPr>
          <w:p w14:paraId="766728DB"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80.9 (77.7, 83.5)</w:t>
            </w:r>
          </w:p>
        </w:tc>
      </w:tr>
      <w:tr w:rsidR="00217865" w:rsidRPr="00217865" w14:paraId="3C56861C" w14:textId="77777777" w:rsidTr="00684E82">
        <w:trPr>
          <w:trHeight w:val="62"/>
        </w:trPr>
        <w:tc>
          <w:tcPr>
            <w:tcW w:w="433" w:type="pct"/>
            <w:noWrap/>
            <w:vAlign w:val="center"/>
          </w:tcPr>
          <w:p w14:paraId="40107784"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Crown Institute of Higher Education Pty Ltd</w:t>
            </w:r>
          </w:p>
        </w:tc>
        <w:tc>
          <w:tcPr>
            <w:tcW w:w="324" w:type="pct"/>
            <w:noWrap/>
            <w:vAlign w:val="center"/>
          </w:tcPr>
          <w:p w14:paraId="52C5CCE8" w14:textId="64B361EE"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0952C4D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74.8 (70.9, 78.3)</w:t>
            </w:r>
          </w:p>
        </w:tc>
        <w:tc>
          <w:tcPr>
            <w:tcW w:w="314" w:type="pct"/>
            <w:noWrap/>
            <w:vAlign w:val="center"/>
          </w:tcPr>
          <w:p w14:paraId="47561671" w14:textId="3A4ADAA9"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14" w:type="pct"/>
            <w:noWrap/>
            <w:vAlign w:val="center"/>
          </w:tcPr>
          <w:p w14:paraId="4CA7B894"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80.8 (77.4, 83.8)</w:t>
            </w:r>
          </w:p>
        </w:tc>
        <w:tc>
          <w:tcPr>
            <w:tcW w:w="436" w:type="pct"/>
            <w:noWrap/>
            <w:vAlign w:val="center"/>
          </w:tcPr>
          <w:p w14:paraId="5960E333" w14:textId="265F8A56"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74F908C5"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77.4 (73.6, 80.6)</w:t>
            </w:r>
          </w:p>
        </w:tc>
        <w:tc>
          <w:tcPr>
            <w:tcW w:w="403" w:type="pct"/>
            <w:noWrap/>
            <w:vAlign w:val="center"/>
          </w:tcPr>
          <w:p w14:paraId="10D26754" w14:textId="63509B37"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72D2BB6F"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69.9 (65.6, 73.8)</w:t>
            </w:r>
          </w:p>
        </w:tc>
        <w:tc>
          <w:tcPr>
            <w:tcW w:w="332" w:type="pct"/>
            <w:noWrap/>
            <w:vAlign w:val="center"/>
          </w:tcPr>
          <w:p w14:paraId="196D7AD3" w14:textId="50ABA11C"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32" w:type="pct"/>
            <w:noWrap/>
            <w:vAlign w:val="center"/>
          </w:tcPr>
          <w:p w14:paraId="180DC0E7"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62.5 (58.3, 66.5)</w:t>
            </w:r>
          </w:p>
        </w:tc>
        <w:tc>
          <w:tcPr>
            <w:tcW w:w="474" w:type="pct"/>
            <w:noWrap/>
            <w:vAlign w:val="center"/>
          </w:tcPr>
          <w:p w14:paraId="62AE25FF" w14:textId="3F4B8EA2"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74" w:type="pct"/>
            <w:noWrap/>
            <w:vAlign w:val="center"/>
          </w:tcPr>
          <w:p w14:paraId="4DF49DCC"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71.2 (67.4, 74.7)</w:t>
            </w:r>
          </w:p>
        </w:tc>
      </w:tr>
      <w:tr w:rsidR="00217865" w:rsidRPr="00217865" w14:paraId="4616A581" w14:textId="77777777" w:rsidTr="00684E82">
        <w:trPr>
          <w:trHeight w:val="62"/>
        </w:trPr>
        <w:tc>
          <w:tcPr>
            <w:tcW w:w="433" w:type="pct"/>
            <w:noWrap/>
            <w:vAlign w:val="center"/>
          </w:tcPr>
          <w:p w14:paraId="5E63A255"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Deakin College</w:t>
            </w:r>
          </w:p>
        </w:tc>
        <w:tc>
          <w:tcPr>
            <w:tcW w:w="324" w:type="pct"/>
            <w:noWrap/>
            <w:vAlign w:val="center"/>
          </w:tcPr>
          <w:p w14:paraId="2F577FA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71.8 (68.0, 75.2)</w:t>
            </w:r>
          </w:p>
        </w:tc>
        <w:tc>
          <w:tcPr>
            <w:tcW w:w="324" w:type="pct"/>
            <w:noWrap/>
            <w:vAlign w:val="center"/>
          </w:tcPr>
          <w:p w14:paraId="4AC81AC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76.4 (72.1, 80.1)</w:t>
            </w:r>
          </w:p>
        </w:tc>
        <w:tc>
          <w:tcPr>
            <w:tcW w:w="314" w:type="pct"/>
            <w:noWrap/>
            <w:vAlign w:val="center"/>
          </w:tcPr>
          <w:p w14:paraId="79B8359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45.5 (41.8, 49.4)</w:t>
            </w:r>
          </w:p>
        </w:tc>
        <w:tc>
          <w:tcPr>
            <w:tcW w:w="314" w:type="pct"/>
            <w:noWrap/>
            <w:vAlign w:val="center"/>
          </w:tcPr>
          <w:p w14:paraId="2AEC878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58.9 (54.4, 63.2)</w:t>
            </w:r>
          </w:p>
        </w:tc>
        <w:tc>
          <w:tcPr>
            <w:tcW w:w="436" w:type="pct"/>
            <w:noWrap/>
            <w:vAlign w:val="center"/>
          </w:tcPr>
          <w:p w14:paraId="4F18C76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80.3 (76.9, 83.1)</w:t>
            </w:r>
          </w:p>
        </w:tc>
        <w:tc>
          <w:tcPr>
            <w:tcW w:w="436" w:type="pct"/>
            <w:noWrap/>
            <w:vAlign w:val="center"/>
          </w:tcPr>
          <w:p w14:paraId="04A7519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80.5 (76.4, 83.8)</w:t>
            </w:r>
          </w:p>
        </w:tc>
        <w:tc>
          <w:tcPr>
            <w:tcW w:w="403" w:type="pct"/>
            <w:noWrap/>
            <w:vAlign w:val="center"/>
          </w:tcPr>
          <w:p w14:paraId="21F252D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72.4 (68.5, 75.9)</w:t>
            </w:r>
          </w:p>
        </w:tc>
        <w:tc>
          <w:tcPr>
            <w:tcW w:w="403" w:type="pct"/>
            <w:noWrap/>
            <w:vAlign w:val="center"/>
          </w:tcPr>
          <w:p w14:paraId="6860F06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77.2 (72.6, 81.0)</w:t>
            </w:r>
          </w:p>
        </w:tc>
        <w:tc>
          <w:tcPr>
            <w:tcW w:w="332" w:type="pct"/>
            <w:noWrap/>
            <w:vAlign w:val="center"/>
          </w:tcPr>
          <w:p w14:paraId="69F3614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81.4 (77.6, 84.6)</w:t>
            </w:r>
          </w:p>
        </w:tc>
        <w:tc>
          <w:tcPr>
            <w:tcW w:w="332" w:type="pct"/>
            <w:noWrap/>
            <w:vAlign w:val="center"/>
          </w:tcPr>
          <w:p w14:paraId="38E7D40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90.5 (87.1, 92.9)</w:t>
            </w:r>
          </w:p>
        </w:tc>
        <w:tc>
          <w:tcPr>
            <w:tcW w:w="474" w:type="pct"/>
            <w:noWrap/>
            <w:vAlign w:val="center"/>
          </w:tcPr>
          <w:p w14:paraId="30BE1EA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74.8 (71.3, 77.8)</w:t>
            </w:r>
          </w:p>
        </w:tc>
        <w:tc>
          <w:tcPr>
            <w:tcW w:w="474" w:type="pct"/>
            <w:noWrap/>
            <w:vAlign w:val="center"/>
          </w:tcPr>
          <w:p w14:paraId="08ABE90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81.3 (77.5, 84.5)</w:t>
            </w:r>
          </w:p>
        </w:tc>
      </w:tr>
      <w:tr w:rsidR="00217865" w:rsidRPr="00217865" w14:paraId="7D25E005" w14:textId="77777777" w:rsidTr="00684E82">
        <w:trPr>
          <w:trHeight w:val="62"/>
        </w:trPr>
        <w:tc>
          <w:tcPr>
            <w:tcW w:w="433" w:type="pct"/>
            <w:noWrap/>
            <w:vAlign w:val="center"/>
          </w:tcPr>
          <w:p w14:paraId="6DD80D0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Edith Cowan College</w:t>
            </w:r>
          </w:p>
        </w:tc>
        <w:tc>
          <w:tcPr>
            <w:tcW w:w="324" w:type="pct"/>
            <w:noWrap/>
            <w:vAlign w:val="center"/>
          </w:tcPr>
          <w:p w14:paraId="14794E4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84.6 (80.2, 87.8)</w:t>
            </w:r>
          </w:p>
        </w:tc>
        <w:tc>
          <w:tcPr>
            <w:tcW w:w="324" w:type="pct"/>
            <w:noWrap/>
            <w:vAlign w:val="center"/>
          </w:tcPr>
          <w:p w14:paraId="0CBC568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84.5 (81.8, 86.7)</w:t>
            </w:r>
          </w:p>
        </w:tc>
        <w:tc>
          <w:tcPr>
            <w:tcW w:w="314" w:type="pct"/>
            <w:noWrap/>
            <w:vAlign w:val="center"/>
          </w:tcPr>
          <w:p w14:paraId="304F578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70.5 (65.7, 74.7)</w:t>
            </w:r>
          </w:p>
        </w:tc>
        <w:tc>
          <w:tcPr>
            <w:tcW w:w="314" w:type="pct"/>
            <w:noWrap/>
            <w:vAlign w:val="center"/>
          </w:tcPr>
          <w:p w14:paraId="6EDC8BA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77.7 (74.8, 80.3)</w:t>
            </w:r>
          </w:p>
        </w:tc>
        <w:tc>
          <w:tcPr>
            <w:tcW w:w="436" w:type="pct"/>
            <w:noWrap/>
            <w:vAlign w:val="center"/>
          </w:tcPr>
          <w:p w14:paraId="1DE6BB2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84.1 (79.9, 87.2)</w:t>
            </w:r>
          </w:p>
        </w:tc>
        <w:tc>
          <w:tcPr>
            <w:tcW w:w="436" w:type="pct"/>
            <w:noWrap/>
            <w:vAlign w:val="center"/>
          </w:tcPr>
          <w:p w14:paraId="37A651E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88.6 (86.2, 90.4)</w:t>
            </w:r>
          </w:p>
        </w:tc>
        <w:tc>
          <w:tcPr>
            <w:tcW w:w="403" w:type="pct"/>
            <w:noWrap/>
            <w:vAlign w:val="center"/>
          </w:tcPr>
          <w:p w14:paraId="02A023F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(80.0, 87.6)</w:t>
            </w:r>
          </w:p>
        </w:tc>
        <w:tc>
          <w:tcPr>
            <w:tcW w:w="403" w:type="pct"/>
            <w:noWrap/>
            <w:vAlign w:val="center"/>
          </w:tcPr>
          <w:p w14:paraId="5490A4E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84.5 (81.7, 86.8)</w:t>
            </w:r>
          </w:p>
        </w:tc>
        <w:tc>
          <w:tcPr>
            <w:tcW w:w="332" w:type="pct"/>
            <w:noWrap/>
            <w:vAlign w:val="center"/>
          </w:tcPr>
          <w:p w14:paraId="4C131A8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84.8 (80.4, 88.0)</w:t>
            </w:r>
          </w:p>
        </w:tc>
        <w:tc>
          <w:tcPr>
            <w:tcW w:w="332" w:type="pct"/>
            <w:noWrap/>
            <w:vAlign w:val="center"/>
          </w:tcPr>
          <w:p w14:paraId="13ED40A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87.3 (84.7, 89.3)</w:t>
            </w:r>
          </w:p>
        </w:tc>
        <w:tc>
          <w:tcPr>
            <w:tcW w:w="474" w:type="pct"/>
            <w:noWrap/>
            <w:vAlign w:val="center"/>
          </w:tcPr>
          <w:p w14:paraId="0FD6F6F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76.9 (72.3, 80.6)</w:t>
            </w:r>
          </w:p>
        </w:tc>
        <w:tc>
          <w:tcPr>
            <w:tcW w:w="474" w:type="pct"/>
            <w:noWrap/>
            <w:vAlign w:val="center"/>
          </w:tcPr>
          <w:p w14:paraId="44CCBAC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80.2 (77.4, 82.6)</w:t>
            </w:r>
          </w:p>
        </w:tc>
      </w:tr>
      <w:tr w:rsidR="00217865" w:rsidRPr="00217865" w14:paraId="06AF1D27" w14:textId="77777777" w:rsidTr="00684E82">
        <w:trPr>
          <w:trHeight w:val="62"/>
        </w:trPr>
        <w:tc>
          <w:tcPr>
            <w:tcW w:w="433" w:type="pct"/>
            <w:noWrap/>
            <w:vAlign w:val="center"/>
          </w:tcPr>
          <w:p w14:paraId="31101275"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Endeavour College of Natural Health</w:t>
            </w:r>
          </w:p>
        </w:tc>
        <w:tc>
          <w:tcPr>
            <w:tcW w:w="324" w:type="pct"/>
            <w:noWrap/>
            <w:vAlign w:val="center"/>
          </w:tcPr>
          <w:p w14:paraId="50A0E90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61.2 (52.2, 69.1)</w:t>
            </w:r>
          </w:p>
        </w:tc>
        <w:tc>
          <w:tcPr>
            <w:tcW w:w="324" w:type="pct"/>
            <w:noWrap/>
            <w:vAlign w:val="center"/>
          </w:tcPr>
          <w:p w14:paraId="4819435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78.6 (68.9, 84.7)</w:t>
            </w:r>
          </w:p>
        </w:tc>
        <w:tc>
          <w:tcPr>
            <w:tcW w:w="314" w:type="pct"/>
            <w:noWrap/>
            <w:vAlign w:val="center"/>
          </w:tcPr>
          <w:p w14:paraId="0C38E2C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19.6 (14.3, 28.0)</w:t>
            </w:r>
          </w:p>
        </w:tc>
        <w:tc>
          <w:tcPr>
            <w:tcW w:w="314" w:type="pct"/>
            <w:noWrap/>
            <w:vAlign w:val="center"/>
          </w:tcPr>
          <w:p w14:paraId="7D60D06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39.5 (31.1, 49.2)</w:t>
            </w:r>
          </w:p>
        </w:tc>
        <w:tc>
          <w:tcPr>
            <w:tcW w:w="436" w:type="pct"/>
            <w:noWrap/>
            <w:vAlign w:val="center"/>
          </w:tcPr>
          <w:p w14:paraId="0627A64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59.2 (50.2, 67.2)</w:t>
            </w:r>
          </w:p>
        </w:tc>
        <w:tc>
          <w:tcPr>
            <w:tcW w:w="436" w:type="pct"/>
            <w:noWrap/>
            <w:vAlign w:val="center"/>
          </w:tcPr>
          <w:p w14:paraId="3A23E2A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72.1 (62.4, 79.1)</w:t>
            </w:r>
          </w:p>
        </w:tc>
        <w:tc>
          <w:tcPr>
            <w:tcW w:w="403" w:type="pct"/>
            <w:noWrap/>
            <w:vAlign w:val="center"/>
          </w:tcPr>
          <w:p w14:paraId="0DBB75E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55.3 (46.1, 63.9)</w:t>
            </w:r>
          </w:p>
        </w:tc>
        <w:tc>
          <w:tcPr>
            <w:tcW w:w="403" w:type="pct"/>
            <w:noWrap/>
            <w:vAlign w:val="center"/>
          </w:tcPr>
          <w:p w14:paraId="6BA769E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62.2 (51.2, 71.4)</w:t>
            </w:r>
          </w:p>
        </w:tc>
        <w:tc>
          <w:tcPr>
            <w:tcW w:w="332" w:type="pct"/>
            <w:noWrap/>
            <w:vAlign w:val="center"/>
          </w:tcPr>
          <w:p w14:paraId="109678D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37.8 (28.2, 49.1)</w:t>
            </w:r>
          </w:p>
        </w:tc>
        <w:tc>
          <w:tcPr>
            <w:tcW w:w="332" w:type="pct"/>
            <w:noWrap/>
            <w:vAlign w:val="center"/>
          </w:tcPr>
          <w:p w14:paraId="77A7AE1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61.1 (50.0, 70.7)</w:t>
            </w:r>
          </w:p>
        </w:tc>
        <w:tc>
          <w:tcPr>
            <w:tcW w:w="474" w:type="pct"/>
            <w:noWrap/>
            <w:vAlign w:val="center"/>
          </w:tcPr>
          <w:p w14:paraId="76CEB99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58.8 (50.2, 66.6)</w:t>
            </w:r>
          </w:p>
        </w:tc>
        <w:tc>
          <w:tcPr>
            <w:tcW w:w="474" w:type="pct"/>
            <w:noWrap/>
            <w:vAlign w:val="center"/>
          </w:tcPr>
          <w:p w14:paraId="73B1CA6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72.1 (62.4, 79.1)</w:t>
            </w:r>
          </w:p>
        </w:tc>
      </w:tr>
      <w:tr w:rsidR="00217865" w:rsidRPr="00217865" w14:paraId="42CF6D97" w14:textId="77777777" w:rsidTr="00684E82">
        <w:trPr>
          <w:trHeight w:val="62"/>
        </w:trPr>
        <w:tc>
          <w:tcPr>
            <w:tcW w:w="433" w:type="pct"/>
            <w:noWrap/>
            <w:vAlign w:val="center"/>
          </w:tcPr>
          <w:p w14:paraId="06FE102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Engineering Institute of Technology</w:t>
            </w:r>
          </w:p>
        </w:tc>
        <w:tc>
          <w:tcPr>
            <w:tcW w:w="324" w:type="pct"/>
            <w:noWrap/>
            <w:vAlign w:val="center"/>
          </w:tcPr>
          <w:p w14:paraId="5BBE575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24" w:type="pct"/>
            <w:noWrap/>
            <w:vAlign w:val="center"/>
          </w:tcPr>
          <w:p w14:paraId="302AC1F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79.6 (71.8, 84.6)</w:t>
            </w:r>
          </w:p>
        </w:tc>
        <w:tc>
          <w:tcPr>
            <w:tcW w:w="314" w:type="pct"/>
            <w:noWrap/>
            <w:vAlign w:val="center"/>
          </w:tcPr>
          <w:p w14:paraId="7360BEA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14" w:type="pct"/>
            <w:noWrap/>
            <w:vAlign w:val="center"/>
          </w:tcPr>
          <w:p w14:paraId="617F124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57.1 (49.4, 64.2)</w:t>
            </w:r>
          </w:p>
        </w:tc>
        <w:tc>
          <w:tcPr>
            <w:tcW w:w="436" w:type="pct"/>
            <w:noWrap/>
            <w:vAlign w:val="center"/>
          </w:tcPr>
          <w:p w14:paraId="62EC8F7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36" w:type="pct"/>
            <w:noWrap/>
            <w:vAlign w:val="center"/>
          </w:tcPr>
          <w:p w14:paraId="2847F2F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81.5 (73.8, 86.2)</w:t>
            </w:r>
          </w:p>
        </w:tc>
        <w:tc>
          <w:tcPr>
            <w:tcW w:w="403" w:type="pct"/>
            <w:noWrap/>
            <w:vAlign w:val="center"/>
          </w:tcPr>
          <w:p w14:paraId="6B40AC7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03" w:type="pct"/>
            <w:noWrap/>
            <w:vAlign w:val="center"/>
          </w:tcPr>
          <w:p w14:paraId="2B246C8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70.6 (62.0, 77.1)</w:t>
            </w:r>
          </w:p>
        </w:tc>
        <w:tc>
          <w:tcPr>
            <w:tcW w:w="332" w:type="pct"/>
            <w:noWrap/>
            <w:vAlign w:val="center"/>
          </w:tcPr>
          <w:p w14:paraId="2F644C1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332" w:type="pct"/>
            <w:noWrap/>
            <w:vAlign w:val="center"/>
          </w:tcPr>
          <w:p w14:paraId="35C7C80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57.4 (49.4, 64.7)</w:t>
            </w:r>
          </w:p>
        </w:tc>
        <w:tc>
          <w:tcPr>
            <w:tcW w:w="474" w:type="pct"/>
            <w:noWrap/>
            <w:vAlign w:val="center"/>
          </w:tcPr>
          <w:p w14:paraId="4C526F5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n/a</w:t>
            </w:r>
          </w:p>
        </w:tc>
        <w:tc>
          <w:tcPr>
            <w:tcW w:w="474" w:type="pct"/>
            <w:noWrap/>
            <w:vAlign w:val="center"/>
          </w:tcPr>
          <w:p w14:paraId="1185530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75.0 (67.3, 80.4)</w:t>
            </w:r>
          </w:p>
        </w:tc>
      </w:tr>
      <w:tr w:rsidR="00217865" w:rsidRPr="00217865" w14:paraId="7F4F945E" w14:textId="77777777" w:rsidTr="00684E82">
        <w:trPr>
          <w:trHeight w:val="62"/>
        </w:trPr>
        <w:tc>
          <w:tcPr>
            <w:tcW w:w="433" w:type="pct"/>
            <w:noWrap/>
            <w:vAlign w:val="center"/>
          </w:tcPr>
          <w:p w14:paraId="2AAC1438"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Equals International</w:t>
            </w:r>
          </w:p>
        </w:tc>
        <w:tc>
          <w:tcPr>
            <w:tcW w:w="324" w:type="pct"/>
            <w:noWrap/>
            <w:vAlign w:val="center"/>
          </w:tcPr>
          <w:p w14:paraId="2690846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324" w:type="pct"/>
            <w:noWrap/>
            <w:vAlign w:val="center"/>
          </w:tcPr>
          <w:p w14:paraId="113552D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(91.5, 100.0)</w:t>
            </w:r>
          </w:p>
        </w:tc>
        <w:tc>
          <w:tcPr>
            <w:tcW w:w="314" w:type="pct"/>
            <w:noWrap/>
            <w:vAlign w:val="center"/>
          </w:tcPr>
          <w:p w14:paraId="45B8DF7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314" w:type="pct"/>
            <w:noWrap/>
            <w:vAlign w:val="center"/>
          </w:tcPr>
          <w:p w14:paraId="6062E49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(92.4, 100.0)</w:t>
            </w:r>
          </w:p>
        </w:tc>
        <w:tc>
          <w:tcPr>
            <w:tcW w:w="436" w:type="pct"/>
            <w:noWrap/>
            <w:vAlign w:val="center"/>
          </w:tcPr>
          <w:p w14:paraId="4CE8BD2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436" w:type="pct"/>
            <w:noWrap/>
            <w:vAlign w:val="center"/>
          </w:tcPr>
          <w:p w14:paraId="17ACD5B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97.0 (87.6, 99.2)</w:t>
            </w:r>
          </w:p>
        </w:tc>
        <w:tc>
          <w:tcPr>
            <w:tcW w:w="403" w:type="pct"/>
            <w:noWrap/>
            <w:vAlign w:val="center"/>
          </w:tcPr>
          <w:p w14:paraId="5C8F737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403" w:type="pct"/>
            <w:noWrap/>
            <w:vAlign w:val="center"/>
          </w:tcPr>
          <w:p w14:paraId="064D9FF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96.4 (85.4, 99.3)</w:t>
            </w:r>
          </w:p>
        </w:tc>
        <w:tc>
          <w:tcPr>
            <w:tcW w:w="332" w:type="pct"/>
            <w:noWrap/>
            <w:vAlign w:val="center"/>
          </w:tcPr>
          <w:p w14:paraId="6AFE39E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332" w:type="pct"/>
            <w:noWrap/>
            <w:vAlign w:val="center"/>
          </w:tcPr>
          <w:p w14:paraId="3600C3E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96.9 (87.2, 99.2)</w:t>
            </w:r>
          </w:p>
        </w:tc>
        <w:tc>
          <w:tcPr>
            <w:tcW w:w="474" w:type="pct"/>
            <w:noWrap/>
            <w:vAlign w:val="center"/>
          </w:tcPr>
          <w:p w14:paraId="5667BB4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474" w:type="pct"/>
            <w:noWrap/>
            <w:vAlign w:val="center"/>
          </w:tcPr>
          <w:p w14:paraId="648938A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88.9 (78.5, 93.8)</w:t>
            </w:r>
          </w:p>
        </w:tc>
      </w:tr>
      <w:tr w:rsidR="00217865" w:rsidRPr="00217865" w14:paraId="42318D43" w14:textId="77777777" w:rsidTr="00684E82">
        <w:trPr>
          <w:trHeight w:val="62"/>
        </w:trPr>
        <w:tc>
          <w:tcPr>
            <w:tcW w:w="433" w:type="pct"/>
            <w:noWrap/>
            <w:vAlign w:val="center"/>
          </w:tcPr>
          <w:p w14:paraId="2AFBC659" w14:textId="77777777" w:rsidR="00821227" w:rsidRPr="00217865" w:rsidRDefault="00821227" w:rsidP="00713E2F">
            <w:pPr>
              <w:pStyle w:val="Z"/>
              <w:spacing w:before="60" w:after="60"/>
              <w:rPr>
                <w:color w:val="000000" w:themeColor="text1"/>
                <w:sz w:val="16"/>
                <w:szCs w:val="18"/>
              </w:rPr>
            </w:pPr>
            <w:proofErr w:type="spellStart"/>
            <w:r w:rsidRPr="00217865">
              <w:rPr>
                <w:color w:val="000000" w:themeColor="text1"/>
                <w:sz w:val="16"/>
                <w:szCs w:val="18"/>
              </w:rPr>
              <w:t>Excelsia</w:t>
            </w:r>
            <w:proofErr w:type="spellEnd"/>
            <w:r w:rsidRPr="00217865">
              <w:rPr>
                <w:color w:val="000000" w:themeColor="text1"/>
                <w:sz w:val="16"/>
                <w:szCs w:val="18"/>
              </w:rPr>
              <w:t xml:space="preserve"> College</w:t>
            </w:r>
          </w:p>
        </w:tc>
        <w:tc>
          <w:tcPr>
            <w:tcW w:w="324" w:type="pct"/>
            <w:noWrap/>
            <w:vAlign w:val="center"/>
          </w:tcPr>
          <w:p w14:paraId="17F502E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88.8 (86.1, 90.8)</w:t>
            </w:r>
          </w:p>
        </w:tc>
        <w:tc>
          <w:tcPr>
            <w:tcW w:w="324" w:type="pct"/>
            <w:noWrap/>
            <w:vAlign w:val="center"/>
          </w:tcPr>
          <w:p w14:paraId="2D7CFEB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90.2 (87.8, 92.0)</w:t>
            </w:r>
          </w:p>
        </w:tc>
        <w:tc>
          <w:tcPr>
            <w:tcW w:w="314" w:type="pct"/>
            <w:noWrap/>
            <w:vAlign w:val="center"/>
          </w:tcPr>
          <w:p w14:paraId="2F45293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74.0 (70.7, 76.9)</w:t>
            </w:r>
          </w:p>
        </w:tc>
        <w:tc>
          <w:tcPr>
            <w:tcW w:w="314" w:type="pct"/>
            <w:noWrap/>
            <w:vAlign w:val="center"/>
          </w:tcPr>
          <w:p w14:paraId="0B4B28A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79.2 (76.3, 81.6)</w:t>
            </w:r>
          </w:p>
        </w:tc>
        <w:tc>
          <w:tcPr>
            <w:tcW w:w="436" w:type="pct"/>
            <w:noWrap/>
            <w:vAlign w:val="center"/>
          </w:tcPr>
          <w:p w14:paraId="5D636A4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88.4 (85.7, 90.4)</w:t>
            </w:r>
          </w:p>
        </w:tc>
        <w:tc>
          <w:tcPr>
            <w:tcW w:w="436" w:type="pct"/>
            <w:noWrap/>
            <w:vAlign w:val="center"/>
          </w:tcPr>
          <w:p w14:paraId="49F211C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87.3 (84.8, 89.3)</w:t>
            </w:r>
          </w:p>
        </w:tc>
        <w:tc>
          <w:tcPr>
            <w:tcW w:w="403" w:type="pct"/>
            <w:noWrap/>
            <w:vAlign w:val="center"/>
          </w:tcPr>
          <w:p w14:paraId="66A1825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84.0 (81.0, 86.6)</w:t>
            </w:r>
          </w:p>
        </w:tc>
        <w:tc>
          <w:tcPr>
            <w:tcW w:w="403" w:type="pct"/>
            <w:noWrap/>
            <w:vAlign w:val="center"/>
          </w:tcPr>
          <w:p w14:paraId="5D115B0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80.9 (77.9, 83.5)</w:t>
            </w:r>
          </w:p>
        </w:tc>
        <w:tc>
          <w:tcPr>
            <w:tcW w:w="332" w:type="pct"/>
            <w:noWrap/>
            <w:vAlign w:val="center"/>
          </w:tcPr>
          <w:p w14:paraId="7DDD1FA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75.6 (72.1, 78.7)</w:t>
            </w:r>
          </w:p>
        </w:tc>
        <w:tc>
          <w:tcPr>
            <w:tcW w:w="332" w:type="pct"/>
            <w:noWrap/>
            <w:vAlign w:val="center"/>
          </w:tcPr>
          <w:p w14:paraId="2715731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75.9 (72.7, 78.7)</w:t>
            </w:r>
          </w:p>
        </w:tc>
        <w:tc>
          <w:tcPr>
            <w:tcW w:w="474" w:type="pct"/>
            <w:noWrap/>
            <w:vAlign w:val="center"/>
          </w:tcPr>
          <w:p w14:paraId="7CEDE0C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83.5 (80.6, 85.9)</w:t>
            </w:r>
          </w:p>
        </w:tc>
        <w:tc>
          <w:tcPr>
            <w:tcW w:w="474" w:type="pct"/>
            <w:noWrap/>
            <w:vAlign w:val="center"/>
          </w:tcPr>
          <w:p w14:paraId="4CD5D3F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81.4 (78.6, 83.7)</w:t>
            </w:r>
          </w:p>
        </w:tc>
      </w:tr>
      <w:tr w:rsidR="00217865" w:rsidRPr="00217865" w14:paraId="05155A93" w14:textId="77777777" w:rsidTr="00684E82">
        <w:trPr>
          <w:trHeight w:val="62"/>
        </w:trPr>
        <w:tc>
          <w:tcPr>
            <w:tcW w:w="433" w:type="pct"/>
            <w:noWrap/>
            <w:vAlign w:val="center"/>
          </w:tcPr>
          <w:p w14:paraId="020517B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Eynesbury College</w:t>
            </w:r>
          </w:p>
        </w:tc>
        <w:tc>
          <w:tcPr>
            <w:tcW w:w="324" w:type="pct"/>
            <w:noWrap/>
            <w:vAlign w:val="center"/>
          </w:tcPr>
          <w:p w14:paraId="186B68D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63.3 (55.4, 70.3)</w:t>
            </w:r>
          </w:p>
        </w:tc>
        <w:tc>
          <w:tcPr>
            <w:tcW w:w="324" w:type="pct"/>
            <w:noWrap/>
            <w:vAlign w:val="center"/>
          </w:tcPr>
          <w:p w14:paraId="6BA139F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72.9 (64.8, 79.2)</w:t>
            </w:r>
          </w:p>
        </w:tc>
        <w:tc>
          <w:tcPr>
            <w:tcW w:w="314" w:type="pct"/>
            <w:noWrap/>
            <w:vAlign w:val="center"/>
          </w:tcPr>
          <w:p w14:paraId="2339F5B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46.9 (39.5, 54.6)</w:t>
            </w:r>
          </w:p>
        </w:tc>
        <w:tc>
          <w:tcPr>
            <w:tcW w:w="314" w:type="pct"/>
            <w:noWrap/>
            <w:vAlign w:val="center"/>
          </w:tcPr>
          <w:p w14:paraId="0193B1C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52.8 (44.9, 60.5)</w:t>
            </w:r>
          </w:p>
        </w:tc>
        <w:tc>
          <w:tcPr>
            <w:tcW w:w="436" w:type="pct"/>
            <w:noWrap/>
            <w:vAlign w:val="center"/>
          </w:tcPr>
          <w:p w14:paraId="1A17689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63.8 (55.9, 70.7)</w:t>
            </w:r>
          </w:p>
        </w:tc>
        <w:tc>
          <w:tcPr>
            <w:tcW w:w="436" w:type="pct"/>
            <w:noWrap/>
            <w:vAlign w:val="center"/>
          </w:tcPr>
          <w:p w14:paraId="0F14787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73.2 (65.3, 79.4)</w:t>
            </w:r>
          </w:p>
        </w:tc>
        <w:tc>
          <w:tcPr>
            <w:tcW w:w="403" w:type="pct"/>
            <w:noWrap/>
            <w:vAlign w:val="center"/>
          </w:tcPr>
          <w:p w14:paraId="1F5F66F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76.9 (69.4, 82.7)</w:t>
            </w:r>
          </w:p>
        </w:tc>
        <w:tc>
          <w:tcPr>
            <w:tcW w:w="403" w:type="pct"/>
            <w:noWrap/>
            <w:vAlign w:val="center"/>
          </w:tcPr>
          <w:p w14:paraId="29FE8E4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81.2 (73.5, 86.4)</w:t>
            </w:r>
          </w:p>
        </w:tc>
        <w:tc>
          <w:tcPr>
            <w:tcW w:w="332" w:type="pct"/>
            <w:noWrap/>
            <w:vAlign w:val="center"/>
          </w:tcPr>
          <w:p w14:paraId="25A508E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70.8 (62.6, 77.6)</w:t>
            </w:r>
          </w:p>
        </w:tc>
        <w:tc>
          <w:tcPr>
            <w:tcW w:w="332" w:type="pct"/>
            <w:noWrap/>
            <w:vAlign w:val="center"/>
          </w:tcPr>
          <w:p w14:paraId="4752821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70.6 (62.3, 77.3)</w:t>
            </w:r>
          </w:p>
        </w:tc>
        <w:tc>
          <w:tcPr>
            <w:tcW w:w="474" w:type="pct"/>
            <w:noWrap/>
            <w:vAlign w:val="center"/>
          </w:tcPr>
          <w:p w14:paraId="435535C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66.7 (59.0, 73.3)</w:t>
            </w:r>
          </w:p>
        </w:tc>
        <w:tc>
          <w:tcPr>
            <w:tcW w:w="474" w:type="pct"/>
            <w:noWrap/>
            <w:vAlign w:val="center"/>
          </w:tcPr>
          <w:p w14:paraId="36FC38A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70.4 (62.4, 76.9)</w:t>
            </w:r>
          </w:p>
        </w:tc>
      </w:tr>
      <w:tr w:rsidR="00217865" w:rsidRPr="00217865" w14:paraId="21F5C6BA" w14:textId="77777777" w:rsidTr="00684E82">
        <w:trPr>
          <w:trHeight w:val="62"/>
        </w:trPr>
        <w:tc>
          <w:tcPr>
            <w:tcW w:w="433" w:type="pct"/>
            <w:noWrap/>
            <w:vAlign w:val="center"/>
          </w:tcPr>
          <w:p w14:paraId="1F4063F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Griffith College</w:t>
            </w:r>
          </w:p>
        </w:tc>
        <w:tc>
          <w:tcPr>
            <w:tcW w:w="324" w:type="pct"/>
            <w:noWrap/>
            <w:vAlign w:val="center"/>
          </w:tcPr>
          <w:p w14:paraId="0447B4C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81.8 (76.9, 85.7)</w:t>
            </w:r>
          </w:p>
        </w:tc>
        <w:tc>
          <w:tcPr>
            <w:tcW w:w="324" w:type="pct"/>
            <w:noWrap/>
            <w:vAlign w:val="center"/>
          </w:tcPr>
          <w:p w14:paraId="4DEFED8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80.9 (76.8, 84.2)</w:t>
            </w:r>
          </w:p>
        </w:tc>
        <w:tc>
          <w:tcPr>
            <w:tcW w:w="314" w:type="pct"/>
            <w:noWrap/>
            <w:vAlign w:val="center"/>
          </w:tcPr>
          <w:p w14:paraId="0878DBD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58.6 (53.1, 63.9)</w:t>
            </w:r>
          </w:p>
        </w:tc>
        <w:tc>
          <w:tcPr>
            <w:tcW w:w="314" w:type="pct"/>
            <w:noWrap/>
            <w:vAlign w:val="center"/>
          </w:tcPr>
          <w:p w14:paraId="1F979C7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63.4 (58.9, 67.6)</w:t>
            </w:r>
          </w:p>
        </w:tc>
        <w:tc>
          <w:tcPr>
            <w:tcW w:w="436" w:type="pct"/>
            <w:noWrap/>
            <w:vAlign w:val="center"/>
          </w:tcPr>
          <w:p w14:paraId="165AE37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84.0 (79.3, 87.6)</w:t>
            </w:r>
          </w:p>
        </w:tc>
        <w:tc>
          <w:tcPr>
            <w:tcW w:w="436" w:type="pct"/>
            <w:noWrap/>
            <w:vAlign w:val="center"/>
          </w:tcPr>
          <w:p w14:paraId="37D427D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81.5 (77.6, 84.7)</w:t>
            </w:r>
          </w:p>
        </w:tc>
        <w:tc>
          <w:tcPr>
            <w:tcW w:w="403" w:type="pct"/>
            <w:noWrap/>
            <w:vAlign w:val="center"/>
          </w:tcPr>
          <w:p w14:paraId="6109290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80.8 (75.6, 84.9)</w:t>
            </w:r>
          </w:p>
        </w:tc>
        <w:tc>
          <w:tcPr>
            <w:tcW w:w="403" w:type="pct"/>
            <w:noWrap/>
            <w:vAlign w:val="center"/>
          </w:tcPr>
          <w:p w14:paraId="377743F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84.0 (79.9, 87.2)</w:t>
            </w:r>
          </w:p>
        </w:tc>
        <w:tc>
          <w:tcPr>
            <w:tcW w:w="332" w:type="pct"/>
            <w:noWrap/>
            <w:vAlign w:val="center"/>
          </w:tcPr>
          <w:p w14:paraId="757809F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83.0 (78.1, 86.9)</w:t>
            </w:r>
          </w:p>
        </w:tc>
        <w:tc>
          <w:tcPr>
            <w:tcW w:w="332" w:type="pct"/>
            <w:noWrap/>
            <w:vAlign w:val="center"/>
          </w:tcPr>
          <w:p w14:paraId="1923266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87.1 (83.4, 89.9)</w:t>
            </w:r>
          </w:p>
        </w:tc>
        <w:tc>
          <w:tcPr>
            <w:tcW w:w="474" w:type="pct"/>
            <w:noWrap/>
            <w:vAlign w:val="center"/>
          </w:tcPr>
          <w:p w14:paraId="7484A64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79.3 (74.4, 83.3)</w:t>
            </w:r>
          </w:p>
        </w:tc>
        <w:tc>
          <w:tcPr>
            <w:tcW w:w="474" w:type="pct"/>
            <w:noWrap/>
            <w:vAlign w:val="center"/>
          </w:tcPr>
          <w:p w14:paraId="1FEB53A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77.8 (73.7, 81.2)</w:t>
            </w:r>
          </w:p>
        </w:tc>
      </w:tr>
      <w:tr w:rsidR="00217865" w:rsidRPr="00217865" w14:paraId="387E969B" w14:textId="77777777" w:rsidTr="00684E82">
        <w:trPr>
          <w:trHeight w:val="62"/>
        </w:trPr>
        <w:tc>
          <w:tcPr>
            <w:tcW w:w="433" w:type="pct"/>
            <w:noWrap/>
            <w:vAlign w:val="center"/>
          </w:tcPr>
          <w:p w14:paraId="6CD58DD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Holmes Institute</w:t>
            </w:r>
          </w:p>
        </w:tc>
        <w:tc>
          <w:tcPr>
            <w:tcW w:w="324" w:type="pct"/>
            <w:noWrap/>
            <w:vAlign w:val="center"/>
          </w:tcPr>
          <w:p w14:paraId="57B004E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82.5 (79.0, 85.3)</w:t>
            </w:r>
          </w:p>
        </w:tc>
        <w:tc>
          <w:tcPr>
            <w:tcW w:w="324" w:type="pct"/>
            <w:noWrap/>
            <w:vAlign w:val="center"/>
          </w:tcPr>
          <w:p w14:paraId="16B976A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83.8 (78.6, 87.7)</w:t>
            </w:r>
          </w:p>
        </w:tc>
        <w:tc>
          <w:tcPr>
            <w:tcW w:w="314" w:type="pct"/>
            <w:noWrap/>
            <w:vAlign w:val="center"/>
          </w:tcPr>
          <w:p w14:paraId="640A936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58.0 (54.2, 61.8)</w:t>
            </w:r>
          </w:p>
        </w:tc>
        <w:tc>
          <w:tcPr>
            <w:tcW w:w="314" w:type="pct"/>
            <w:noWrap/>
            <w:vAlign w:val="center"/>
          </w:tcPr>
          <w:p w14:paraId="04C4C37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61.3 (55.4, 66.7)</w:t>
            </w:r>
          </w:p>
        </w:tc>
        <w:tc>
          <w:tcPr>
            <w:tcW w:w="436" w:type="pct"/>
            <w:noWrap/>
            <w:vAlign w:val="center"/>
          </w:tcPr>
          <w:p w14:paraId="0B8C3E5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79.1 (75.7, 82.1)</w:t>
            </w:r>
          </w:p>
        </w:tc>
        <w:tc>
          <w:tcPr>
            <w:tcW w:w="436" w:type="pct"/>
            <w:noWrap/>
            <w:vAlign w:val="center"/>
          </w:tcPr>
          <w:p w14:paraId="1E3F943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83.8 (78.8, 87.6)</w:t>
            </w:r>
          </w:p>
        </w:tc>
        <w:tc>
          <w:tcPr>
            <w:tcW w:w="403" w:type="pct"/>
            <w:noWrap/>
            <w:vAlign w:val="center"/>
          </w:tcPr>
          <w:p w14:paraId="08253C2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76.9 (73.1, 80.2)</w:t>
            </w:r>
          </w:p>
        </w:tc>
        <w:tc>
          <w:tcPr>
            <w:tcW w:w="403" w:type="pct"/>
            <w:noWrap/>
            <w:vAlign w:val="center"/>
          </w:tcPr>
          <w:p w14:paraId="17814C8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80.6 (75.1, 84.9)</w:t>
            </w:r>
          </w:p>
        </w:tc>
        <w:tc>
          <w:tcPr>
            <w:tcW w:w="332" w:type="pct"/>
            <w:noWrap/>
            <w:vAlign w:val="center"/>
          </w:tcPr>
          <w:p w14:paraId="5662B9C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73.1 (68.9, 76.9)</w:t>
            </w:r>
          </w:p>
        </w:tc>
        <w:tc>
          <w:tcPr>
            <w:tcW w:w="332" w:type="pct"/>
            <w:noWrap/>
            <w:vAlign w:val="center"/>
          </w:tcPr>
          <w:p w14:paraId="247CF69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75.6 (69.5, 80.6)</w:t>
            </w:r>
          </w:p>
        </w:tc>
        <w:tc>
          <w:tcPr>
            <w:tcW w:w="474" w:type="pct"/>
            <w:noWrap/>
            <w:vAlign w:val="center"/>
          </w:tcPr>
          <w:p w14:paraId="690D7BD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74.6 (71.1, 77.8)</w:t>
            </w:r>
          </w:p>
        </w:tc>
        <w:tc>
          <w:tcPr>
            <w:tcW w:w="474" w:type="pct"/>
            <w:noWrap/>
            <w:vAlign w:val="center"/>
          </w:tcPr>
          <w:p w14:paraId="4553BCC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81.3 (76.2, 85.3)</w:t>
            </w:r>
          </w:p>
        </w:tc>
      </w:tr>
      <w:tr w:rsidR="00217865" w:rsidRPr="00217865" w14:paraId="2E0CF6FC" w14:textId="77777777" w:rsidTr="00684E82">
        <w:trPr>
          <w:trHeight w:val="62"/>
        </w:trPr>
        <w:tc>
          <w:tcPr>
            <w:tcW w:w="433" w:type="pct"/>
            <w:noWrap/>
            <w:vAlign w:val="center"/>
          </w:tcPr>
          <w:p w14:paraId="6B64907F" w14:textId="77777777" w:rsidR="00821227" w:rsidRPr="00217865" w:rsidRDefault="00821227" w:rsidP="00713E2F">
            <w:pPr>
              <w:pStyle w:val="Z"/>
              <w:spacing w:before="60" w:after="60"/>
              <w:rPr>
                <w:color w:val="000000" w:themeColor="text1"/>
                <w:sz w:val="16"/>
                <w:szCs w:val="18"/>
              </w:rPr>
            </w:pPr>
            <w:proofErr w:type="spellStart"/>
            <w:r w:rsidRPr="00217865">
              <w:rPr>
                <w:color w:val="000000" w:themeColor="text1"/>
                <w:sz w:val="16"/>
                <w:szCs w:val="18"/>
              </w:rPr>
              <w:t>Holmesglen</w:t>
            </w:r>
            <w:proofErr w:type="spellEnd"/>
            <w:r w:rsidRPr="00217865">
              <w:rPr>
                <w:color w:val="000000" w:themeColor="text1"/>
                <w:sz w:val="16"/>
                <w:szCs w:val="18"/>
              </w:rPr>
              <w:t xml:space="preserve"> Institute</w:t>
            </w:r>
          </w:p>
        </w:tc>
        <w:tc>
          <w:tcPr>
            <w:tcW w:w="324" w:type="pct"/>
            <w:noWrap/>
            <w:vAlign w:val="center"/>
          </w:tcPr>
          <w:p w14:paraId="0C08505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88.1 (85.1, 90.5)</w:t>
            </w:r>
          </w:p>
        </w:tc>
        <w:tc>
          <w:tcPr>
            <w:tcW w:w="324" w:type="pct"/>
            <w:noWrap/>
            <w:vAlign w:val="center"/>
          </w:tcPr>
          <w:p w14:paraId="35FE411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89.3 (85.5, 92.0)</w:t>
            </w:r>
          </w:p>
        </w:tc>
        <w:tc>
          <w:tcPr>
            <w:tcW w:w="314" w:type="pct"/>
            <w:noWrap/>
            <w:vAlign w:val="center"/>
          </w:tcPr>
          <w:p w14:paraId="7614E1E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71.2 (67.5, 74.6)</w:t>
            </w:r>
          </w:p>
        </w:tc>
        <w:tc>
          <w:tcPr>
            <w:tcW w:w="314" w:type="pct"/>
            <w:noWrap/>
            <w:vAlign w:val="center"/>
          </w:tcPr>
          <w:p w14:paraId="1A2A679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77.6 (73.0, 81.4)</w:t>
            </w:r>
          </w:p>
        </w:tc>
        <w:tc>
          <w:tcPr>
            <w:tcW w:w="436" w:type="pct"/>
            <w:noWrap/>
            <w:vAlign w:val="center"/>
          </w:tcPr>
          <w:p w14:paraId="67D56A5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80.7 (77.2, 83.6)</w:t>
            </w:r>
          </w:p>
        </w:tc>
        <w:tc>
          <w:tcPr>
            <w:tcW w:w="436" w:type="pct"/>
            <w:noWrap/>
            <w:vAlign w:val="center"/>
          </w:tcPr>
          <w:p w14:paraId="015C8A6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79.0 (74.5, 82.8)</w:t>
            </w:r>
          </w:p>
        </w:tc>
        <w:tc>
          <w:tcPr>
            <w:tcW w:w="403" w:type="pct"/>
            <w:noWrap/>
            <w:vAlign w:val="center"/>
          </w:tcPr>
          <w:p w14:paraId="5637721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77.8 (74.1, 81.1)</w:t>
            </w:r>
          </w:p>
        </w:tc>
        <w:tc>
          <w:tcPr>
            <w:tcW w:w="403" w:type="pct"/>
            <w:noWrap/>
            <w:vAlign w:val="center"/>
          </w:tcPr>
          <w:p w14:paraId="28214EF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78.0 (73.0, 82.1)</w:t>
            </w:r>
          </w:p>
        </w:tc>
        <w:tc>
          <w:tcPr>
            <w:tcW w:w="332" w:type="pct"/>
            <w:noWrap/>
            <w:vAlign w:val="center"/>
          </w:tcPr>
          <w:p w14:paraId="20DF919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78.8 (75.1, 82.0)</w:t>
            </w:r>
          </w:p>
        </w:tc>
        <w:tc>
          <w:tcPr>
            <w:tcW w:w="332" w:type="pct"/>
            <w:noWrap/>
            <w:vAlign w:val="center"/>
          </w:tcPr>
          <w:p w14:paraId="3BE1B76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83.1 (78.7, 86.5)</w:t>
            </w:r>
          </w:p>
        </w:tc>
        <w:tc>
          <w:tcPr>
            <w:tcW w:w="474" w:type="pct"/>
            <w:noWrap/>
            <w:vAlign w:val="center"/>
          </w:tcPr>
          <w:p w14:paraId="5D45F14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68.7 (64.9, 72.2)</w:t>
            </w:r>
          </w:p>
        </w:tc>
        <w:tc>
          <w:tcPr>
            <w:tcW w:w="474" w:type="pct"/>
            <w:noWrap/>
            <w:vAlign w:val="center"/>
          </w:tcPr>
          <w:p w14:paraId="5F467BE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71.6 (66.8, 75.8)</w:t>
            </w:r>
          </w:p>
        </w:tc>
      </w:tr>
      <w:tr w:rsidR="00217865" w:rsidRPr="00217865" w14:paraId="21A8162E" w14:textId="77777777" w:rsidTr="00684E82">
        <w:trPr>
          <w:trHeight w:val="62"/>
        </w:trPr>
        <w:tc>
          <w:tcPr>
            <w:tcW w:w="433" w:type="pct"/>
            <w:noWrap/>
            <w:vAlign w:val="center"/>
          </w:tcPr>
          <w:p w14:paraId="426BEAC1"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Ikon Institute of Australia</w:t>
            </w:r>
          </w:p>
        </w:tc>
        <w:tc>
          <w:tcPr>
            <w:tcW w:w="324" w:type="pct"/>
            <w:noWrap/>
            <w:vAlign w:val="center"/>
          </w:tcPr>
          <w:p w14:paraId="4119B35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81.1 (74.2, 85.8)</w:t>
            </w:r>
          </w:p>
        </w:tc>
        <w:tc>
          <w:tcPr>
            <w:tcW w:w="324" w:type="pct"/>
            <w:noWrap/>
            <w:vAlign w:val="center"/>
          </w:tcPr>
          <w:p w14:paraId="120230E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82.0 (78.4, 84.8)</w:t>
            </w:r>
          </w:p>
        </w:tc>
        <w:tc>
          <w:tcPr>
            <w:tcW w:w="314" w:type="pct"/>
            <w:noWrap/>
            <w:vAlign w:val="center"/>
          </w:tcPr>
          <w:p w14:paraId="7919EF8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76.0 (68.9, 81.3)</w:t>
            </w:r>
          </w:p>
        </w:tc>
        <w:tc>
          <w:tcPr>
            <w:tcW w:w="314" w:type="pct"/>
            <w:noWrap/>
            <w:vAlign w:val="center"/>
          </w:tcPr>
          <w:p w14:paraId="73069B9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77.8 (74.2, 80.8)</w:t>
            </w:r>
          </w:p>
        </w:tc>
        <w:tc>
          <w:tcPr>
            <w:tcW w:w="436" w:type="pct"/>
            <w:noWrap/>
            <w:vAlign w:val="center"/>
          </w:tcPr>
          <w:p w14:paraId="5F8C5E8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79.7 (72.7, 84.6)</w:t>
            </w:r>
          </w:p>
        </w:tc>
        <w:tc>
          <w:tcPr>
            <w:tcW w:w="436" w:type="pct"/>
            <w:noWrap/>
            <w:vAlign w:val="center"/>
          </w:tcPr>
          <w:p w14:paraId="2712429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78.0 (74.3, 81.0)</w:t>
            </w:r>
          </w:p>
        </w:tc>
        <w:tc>
          <w:tcPr>
            <w:tcW w:w="403" w:type="pct"/>
            <w:noWrap/>
            <w:vAlign w:val="center"/>
          </w:tcPr>
          <w:p w14:paraId="0290AE5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76.5 (68.8, 82.1)</w:t>
            </w:r>
          </w:p>
        </w:tc>
        <w:tc>
          <w:tcPr>
            <w:tcW w:w="403" w:type="pct"/>
            <w:noWrap/>
            <w:vAlign w:val="center"/>
          </w:tcPr>
          <w:p w14:paraId="037DD8A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72.0 (67.6, 75.8)</w:t>
            </w:r>
          </w:p>
        </w:tc>
        <w:tc>
          <w:tcPr>
            <w:tcW w:w="332" w:type="pct"/>
            <w:noWrap/>
            <w:vAlign w:val="center"/>
          </w:tcPr>
          <w:p w14:paraId="0DEDB20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60.6 (52.8, 67.5)</w:t>
            </w:r>
          </w:p>
        </w:tc>
        <w:tc>
          <w:tcPr>
            <w:tcW w:w="332" w:type="pct"/>
            <w:noWrap/>
            <w:vAlign w:val="center"/>
          </w:tcPr>
          <w:p w14:paraId="72D4615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62.3 (58.1, 66.2)</w:t>
            </w:r>
          </w:p>
        </w:tc>
        <w:tc>
          <w:tcPr>
            <w:tcW w:w="474" w:type="pct"/>
            <w:noWrap/>
            <w:vAlign w:val="center"/>
          </w:tcPr>
          <w:p w14:paraId="58A76C9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70.7 (63.4, 76.5)</w:t>
            </w:r>
          </w:p>
        </w:tc>
        <w:tc>
          <w:tcPr>
            <w:tcW w:w="474" w:type="pct"/>
            <w:noWrap/>
            <w:vAlign w:val="center"/>
          </w:tcPr>
          <w:p w14:paraId="29FE73A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73.0 (69.2, 76.3)</w:t>
            </w:r>
          </w:p>
        </w:tc>
      </w:tr>
      <w:tr w:rsidR="00217865" w:rsidRPr="00217865" w14:paraId="1E5B8BA9" w14:textId="77777777" w:rsidTr="00684E82">
        <w:trPr>
          <w:trHeight w:val="62"/>
        </w:trPr>
        <w:tc>
          <w:tcPr>
            <w:tcW w:w="433" w:type="pct"/>
            <w:noWrap/>
            <w:vAlign w:val="center"/>
          </w:tcPr>
          <w:p w14:paraId="704D97F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ICHM</w:t>
            </w:r>
          </w:p>
        </w:tc>
        <w:tc>
          <w:tcPr>
            <w:tcW w:w="324" w:type="pct"/>
            <w:noWrap/>
            <w:vAlign w:val="center"/>
          </w:tcPr>
          <w:p w14:paraId="6BCC5D2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95.2 (87.3, 97.7)</w:t>
            </w:r>
          </w:p>
        </w:tc>
        <w:tc>
          <w:tcPr>
            <w:tcW w:w="324" w:type="pct"/>
            <w:noWrap/>
            <w:vAlign w:val="center"/>
          </w:tcPr>
          <w:p w14:paraId="1A1FCE9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86.0 (76.5, 91.3)</w:t>
            </w:r>
          </w:p>
        </w:tc>
        <w:tc>
          <w:tcPr>
            <w:tcW w:w="314" w:type="pct"/>
            <w:noWrap/>
            <w:vAlign w:val="center"/>
          </w:tcPr>
          <w:p w14:paraId="5145035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73.8 (63.6, 81.2)</w:t>
            </w:r>
          </w:p>
        </w:tc>
        <w:tc>
          <w:tcPr>
            <w:tcW w:w="314" w:type="pct"/>
            <w:noWrap/>
            <w:vAlign w:val="center"/>
          </w:tcPr>
          <w:p w14:paraId="5F9F13C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75.0 (64.8, 82.3)</w:t>
            </w:r>
          </w:p>
        </w:tc>
        <w:tc>
          <w:tcPr>
            <w:tcW w:w="436" w:type="pct"/>
            <w:noWrap/>
            <w:vAlign w:val="center"/>
          </w:tcPr>
          <w:p w14:paraId="74C7737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88.1 (78.9, 92.7)</w:t>
            </w:r>
          </w:p>
        </w:tc>
        <w:tc>
          <w:tcPr>
            <w:tcW w:w="436" w:type="pct"/>
            <w:noWrap/>
            <w:vAlign w:val="center"/>
          </w:tcPr>
          <w:p w14:paraId="22A58DD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88.4 (79.1, 93.1)</w:t>
            </w:r>
          </w:p>
        </w:tc>
        <w:tc>
          <w:tcPr>
            <w:tcW w:w="403" w:type="pct"/>
            <w:noWrap/>
            <w:vAlign w:val="center"/>
          </w:tcPr>
          <w:p w14:paraId="443E993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95.1 (87.0, 97.7)</w:t>
            </w:r>
          </w:p>
        </w:tc>
        <w:tc>
          <w:tcPr>
            <w:tcW w:w="403" w:type="pct"/>
            <w:noWrap/>
            <w:vAlign w:val="center"/>
          </w:tcPr>
          <w:p w14:paraId="3088AA5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87.8 (78.1, 92.8)</w:t>
            </w:r>
          </w:p>
        </w:tc>
        <w:tc>
          <w:tcPr>
            <w:tcW w:w="332" w:type="pct"/>
            <w:noWrap/>
            <w:vAlign w:val="center"/>
          </w:tcPr>
          <w:p w14:paraId="05FBEA3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85.4 (75.7, 90.7)</w:t>
            </w:r>
          </w:p>
        </w:tc>
        <w:tc>
          <w:tcPr>
            <w:tcW w:w="332" w:type="pct"/>
            <w:noWrap/>
            <w:vAlign w:val="center"/>
          </w:tcPr>
          <w:p w14:paraId="2C55A15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85.7 (76.0, 91.1)</w:t>
            </w:r>
          </w:p>
        </w:tc>
        <w:tc>
          <w:tcPr>
            <w:tcW w:w="474" w:type="pct"/>
            <w:noWrap/>
            <w:vAlign w:val="center"/>
          </w:tcPr>
          <w:p w14:paraId="6C1C550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85.7 (76.3, 90.9)</w:t>
            </w:r>
          </w:p>
        </w:tc>
        <w:tc>
          <w:tcPr>
            <w:tcW w:w="474" w:type="pct"/>
            <w:noWrap/>
            <w:vAlign w:val="center"/>
          </w:tcPr>
          <w:p w14:paraId="15F620F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86.4 (77.0, 91.5)</w:t>
            </w:r>
          </w:p>
        </w:tc>
      </w:tr>
      <w:tr w:rsidR="00217865" w:rsidRPr="00217865" w14:paraId="0BFDCD0B" w14:textId="77777777" w:rsidTr="00684E82">
        <w:trPr>
          <w:trHeight w:val="62"/>
        </w:trPr>
        <w:tc>
          <w:tcPr>
            <w:tcW w:w="433" w:type="pct"/>
            <w:noWrap/>
            <w:vAlign w:val="center"/>
          </w:tcPr>
          <w:p w14:paraId="3909836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lastRenderedPageBreak/>
              <w:t>International College of Management, Sydney</w:t>
            </w:r>
          </w:p>
        </w:tc>
        <w:tc>
          <w:tcPr>
            <w:tcW w:w="324" w:type="pct"/>
            <w:noWrap/>
            <w:vAlign w:val="center"/>
          </w:tcPr>
          <w:p w14:paraId="3D02B1F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79.1 (73.9, 83.2)</w:t>
            </w:r>
          </w:p>
        </w:tc>
        <w:tc>
          <w:tcPr>
            <w:tcW w:w="324" w:type="pct"/>
            <w:noWrap/>
            <w:vAlign w:val="center"/>
          </w:tcPr>
          <w:p w14:paraId="2B71A59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83.5 (78.0, 87.4)</w:t>
            </w:r>
          </w:p>
        </w:tc>
        <w:tc>
          <w:tcPr>
            <w:tcW w:w="314" w:type="pct"/>
            <w:noWrap/>
            <w:vAlign w:val="center"/>
          </w:tcPr>
          <w:p w14:paraId="41E9BA4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54.4 (48.9, 59.8)</w:t>
            </w:r>
          </w:p>
        </w:tc>
        <w:tc>
          <w:tcPr>
            <w:tcW w:w="314" w:type="pct"/>
            <w:noWrap/>
            <w:vAlign w:val="center"/>
          </w:tcPr>
          <w:p w14:paraId="3E9B8F9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68.9 (62.8, 74.1)</w:t>
            </w:r>
          </w:p>
        </w:tc>
        <w:tc>
          <w:tcPr>
            <w:tcW w:w="436" w:type="pct"/>
            <w:noWrap/>
            <w:vAlign w:val="center"/>
          </w:tcPr>
          <w:p w14:paraId="70E0088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85.3 (80.6, 88.7)</w:t>
            </w:r>
          </w:p>
        </w:tc>
        <w:tc>
          <w:tcPr>
            <w:tcW w:w="436" w:type="pct"/>
            <w:noWrap/>
            <w:vAlign w:val="center"/>
          </w:tcPr>
          <w:p w14:paraId="5DB485E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88.8 (83.9, 91.9)</w:t>
            </w:r>
          </w:p>
        </w:tc>
        <w:tc>
          <w:tcPr>
            <w:tcW w:w="403" w:type="pct"/>
            <w:noWrap/>
            <w:vAlign w:val="center"/>
          </w:tcPr>
          <w:p w14:paraId="7182AF3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74.4 (68.8, 79.1)</w:t>
            </w:r>
          </w:p>
        </w:tc>
        <w:tc>
          <w:tcPr>
            <w:tcW w:w="403" w:type="pct"/>
            <w:noWrap/>
            <w:vAlign w:val="center"/>
          </w:tcPr>
          <w:p w14:paraId="3D897E5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83.6 (78.0, 87.7)</w:t>
            </w:r>
          </w:p>
        </w:tc>
        <w:tc>
          <w:tcPr>
            <w:tcW w:w="332" w:type="pct"/>
            <w:noWrap/>
            <w:vAlign w:val="center"/>
          </w:tcPr>
          <w:p w14:paraId="5EC0BF0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74.6 (68.6, 79.5)</w:t>
            </w:r>
          </w:p>
        </w:tc>
        <w:tc>
          <w:tcPr>
            <w:tcW w:w="332" w:type="pct"/>
            <w:noWrap/>
            <w:vAlign w:val="center"/>
          </w:tcPr>
          <w:p w14:paraId="236D26D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80.9 (75.0, 85.3)</w:t>
            </w:r>
          </w:p>
        </w:tc>
        <w:tc>
          <w:tcPr>
            <w:tcW w:w="474" w:type="pct"/>
            <w:noWrap/>
            <w:vAlign w:val="center"/>
          </w:tcPr>
          <w:p w14:paraId="2D77E1E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72.3 (67.0, 76.8)</w:t>
            </w:r>
          </w:p>
        </w:tc>
        <w:tc>
          <w:tcPr>
            <w:tcW w:w="474" w:type="pct"/>
            <w:noWrap/>
            <w:vAlign w:val="center"/>
          </w:tcPr>
          <w:p w14:paraId="6B21D53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84.9 (79.7, 88.5)</w:t>
            </w:r>
          </w:p>
        </w:tc>
      </w:tr>
      <w:tr w:rsidR="00217865" w:rsidRPr="00217865" w14:paraId="543CEFA6" w14:textId="77777777" w:rsidTr="00684E82">
        <w:trPr>
          <w:trHeight w:val="62"/>
        </w:trPr>
        <w:tc>
          <w:tcPr>
            <w:tcW w:w="433" w:type="pct"/>
            <w:noWrap/>
            <w:vAlign w:val="center"/>
          </w:tcPr>
          <w:p w14:paraId="1191A59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Kaplan Business School</w:t>
            </w:r>
          </w:p>
        </w:tc>
        <w:tc>
          <w:tcPr>
            <w:tcW w:w="324" w:type="pct"/>
            <w:noWrap/>
            <w:vAlign w:val="center"/>
          </w:tcPr>
          <w:p w14:paraId="1B8A30A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84.7 (81.7, 87.2)</w:t>
            </w:r>
          </w:p>
        </w:tc>
        <w:tc>
          <w:tcPr>
            <w:tcW w:w="324" w:type="pct"/>
            <w:noWrap/>
            <w:vAlign w:val="center"/>
          </w:tcPr>
          <w:p w14:paraId="1F79433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85.3 (82.9, 87.3)</w:t>
            </w:r>
          </w:p>
        </w:tc>
        <w:tc>
          <w:tcPr>
            <w:tcW w:w="314" w:type="pct"/>
            <w:noWrap/>
            <w:vAlign w:val="center"/>
          </w:tcPr>
          <w:p w14:paraId="0A1593C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60.8 (57.2, 64.4)</w:t>
            </w:r>
          </w:p>
        </w:tc>
        <w:tc>
          <w:tcPr>
            <w:tcW w:w="314" w:type="pct"/>
            <w:noWrap/>
            <w:vAlign w:val="center"/>
          </w:tcPr>
          <w:p w14:paraId="78D3864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71.9 (69.1, 74.5)</w:t>
            </w:r>
          </w:p>
        </w:tc>
        <w:tc>
          <w:tcPr>
            <w:tcW w:w="436" w:type="pct"/>
            <w:noWrap/>
            <w:vAlign w:val="center"/>
          </w:tcPr>
          <w:p w14:paraId="65D3EA3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84.6 (81.6, 87.0)</w:t>
            </w:r>
          </w:p>
        </w:tc>
        <w:tc>
          <w:tcPr>
            <w:tcW w:w="436" w:type="pct"/>
            <w:noWrap/>
            <w:vAlign w:val="center"/>
          </w:tcPr>
          <w:p w14:paraId="0DCE6E9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86.6 (84.4, 88.5)</w:t>
            </w:r>
          </w:p>
        </w:tc>
        <w:tc>
          <w:tcPr>
            <w:tcW w:w="403" w:type="pct"/>
            <w:noWrap/>
            <w:vAlign w:val="center"/>
          </w:tcPr>
          <w:p w14:paraId="437592C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84.7 (81.7, 87.2)</w:t>
            </w:r>
          </w:p>
        </w:tc>
        <w:tc>
          <w:tcPr>
            <w:tcW w:w="403" w:type="pct"/>
            <w:noWrap/>
            <w:vAlign w:val="center"/>
          </w:tcPr>
          <w:p w14:paraId="108D137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86.5 (84.0, 88.5)</w:t>
            </w:r>
          </w:p>
        </w:tc>
        <w:tc>
          <w:tcPr>
            <w:tcW w:w="332" w:type="pct"/>
            <w:noWrap/>
            <w:vAlign w:val="center"/>
          </w:tcPr>
          <w:p w14:paraId="0F31A6E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81.9 (78.2, 85.0)</w:t>
            </w:r>
          </w:p>
        </w:tc>
        <w:tc>
          <w:tcPr>
            <w:tcW w:w="332" w:type="pct"/>
            <w:noWrap/>
            <w:vAlign w:val="center"/>
          </w:tcPr>
          <w:p w14:paraId="7EDC0B5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84.2 (81.7, 86.4)</w:t>
            </w:r>
          </w:p>
        </w:tc>
        <w:tc>
          <w:tcPr>
            <w:tcW w:w="474" w:type="pct"/>
            <w:noWrap/>
            <w:vAlign w:val="center"/>
          </w:tcPr>
          <w:p w14:paraId="5AABB6E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84.2 (81.2, 86.6)</w:t>
            </w:r>
          </w:p>
        </w:tc>
        <w:tc>
          <w:tcPr>
            <w:tcW w:w="474" w:type="pct"/>
            <w:noWrap/>
            <w:vAlign w:val="center"/>
          </w:tcPr>
          <w:p w14:paraId="0894EC6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84.8 (82.4, 86.8)</w:t>
            </w:r>
          </w:p>
        </w:tc>
      </w:tr>
      <w:tr w:rsidR="00217865" w:rsidRPr="00217865" w14:paraId="7AD58ADA" w14:textId="77777777" w:rsidTr="00684E82">
        <w:trPr>
          <w:trHeight w:val="62"/>
        </w:trPr>
        <w:tc>
          <w:tcPr>
            <w:tcW w:w="433" w:type="pct"/>
            <w:noWrap/>
            <w:vAlign w:val="center"/>
          </w:tcPr>
          <w:p w14:paraId="40C285CD"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King's Own Institute</w:t>
            </w:r>
          </w:p>
        </w:tc>
        <w:tc>
          <w:tcPr>
            <w:tcW w:w="324" w:type="pct"/>
            <w:noWrap/>
            <w:vAlign w:val="center"/>
          </w:tcPr>
          <w:p w14:paraId="0193E2C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81.5 (79.9, 82.9)</w:t>
            </w:r>
          </w:p>
        </w:tc>
        <w:tc>
          <w:tcPr>
            <w:tcW w:w="324" w:type="pct"/>
            <w:noWrap/>
            <w:vAlign w:val="center"/>
          </w:tcPr>
          <w:p w14:paraId="217026A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81.6 (79.8, 83.3)</w:t>
            </w:r>
          </w:p>
        </w:tc>
        <w:tc>
          <w:tcPr>
            <w:tcW w:w="314" w:type="pct"/>
            <w:noWrap/>
            <w:vAlign w:val="center"/>
          </w:tcPr>
          <w:p w14:paraId="6687317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62.1 (60.3, 63.9)</w:t>
            </w:r>
          </w:p>
        </w:tc>
        <w:tc>
          <w:tcPr>
            <w:tcW w:w="314" w:type="pct"/>
            <w:noWrap/>
            <w:vAlign w:val="center"/>
          </w:tcPr>
          <w:p w14:paraId="6B81063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70.9 (68.9, 72.8)</w:t>
            </w:r>
          </w:p>
        </w:tc>
        <w:tc>
          <w:tcPr>
            <w:tcW w:w="436" w:type="pct"/>
            <w:noWrap/>
            <w:vAlign w:val="center"/>
          </w:tcPr>
          <w:p w14:paraId="4FD96B9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83.8 (82.4, 85.1)</w:t>
            </w:r>
          </w:p>
        </w:tc>
        <w:tc>
          <w:tcPr>
            <w:tcW w:w="436" w:type="pct"/>
            <w:noWrap/>
            <w:vAlign w:val="center"/>
          </w:tcPr>
          <w:p w14:paraId="63023FD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86.3 (84.6, 87.7)</w:t>
            </w:r>
          </w:p>
        </w:tc>
        <w:tc>
          <w:tcPr>
            <w:tcW w:w="403" w:type="pct"/>
            <w:noWrap/>
            <w:vAlign w:val="center"/>
          </w:tcPr>
          <w:p w14:paraId="6859460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82.2 (80.6, 83.6)</w:t>
            </w:r>
          </w:p>
        </w:tc>
        <w:tc>
          <w:tcPr>
            <w:tcW w:w="403" w:type="pct"/>
            <w:noWrap/>
            <w:vAlign w:val="center"/>
          </w:tcPr>
          <w:p w14:paraId="43E113C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82.2 (80.4, 83.9)</w:t>
            </w:r>
          </w:p>
        </w:tc>
        <w:tc>
          <w:tcPr>
            <w:tcW w:w="332" w:type="pct"/>
            <w:noWrap/>
            <w:vAlign w:val="center"/>
          </w:tcPr>
          <w:p w14:paraId="2CBF7AF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76.0 (74.2, 77.6)</w:t>
            </w:r>
          </w:p>
        </w:tc>
        <w:tc>
          <w:tcPr>
            <w:tcW w:w="332" w:type="pct"/>
            <w:noWrap/>
            <w:vAlign w:val="center"/>
          </w:tcPr>
          <w:p w14:paraId="48DD949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83.4 (81.6, 84.9)</w:t>
            </w:r>
          </w:p>
        </w:tc>
        <w:tc>
          <w:tcPr>
            <w:tcW w:w="474" w:type="pct"/>
            <w:noWrap/>
            <w:vAlign w:val="center"/>
          </w:tcPr>
          <w:p w14:paraId="7799976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77.5 (75.9, 79.0)</w:t>
            </w:r>
          </w:p>
        </w:tc>
        <w:tc>
          <w:tcPr>
            <w:tcW w:w="474" w:type="pct"/>
            <w:noWrap/>
            <w:vAlign w:val="center"/>
          </w:tcPr>
          <w:p w14:paraId="5A51451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81.7 (79.9, 83.2)</w:t>
            </w:r>
          </w:p>
        </w:tc>
      </w:tr>
      <w:tr w:rsidR="00217865" w:rsidRPr="00217865" w14:paraId="0F587057" w14:textId="77777777" w:rsidTr="00684E82">
        <w:trPr>
          <w:trHeight w:val="62"/>
        </w:trPr>
        <w:tc>
          <w:tcPr>
            <w:tcW w:w="433" w:type="pct"/>
            <w:noWrap/>
            <w:vAlign w:val="center"/>
          </w:tcPr>
          <w:p w14:paraId="6D3CD02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La Trobe College Australia</w:t>
            </w:r>
          </w:p>
        </w:tc>
        <w:tc>
          <w:tcPr>
            <w:tcW w:w="324" w:type="pct"/>
            <w:noWrap/>
            <w:vAlign w:val="center"/>
          </w:tcPr>
          <w:p w14:paraId="510AEEF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77.9 (73.9, 81.2)</w:t>
            </w:r>
          </w:p>
        </w:tc>
        <w:tc>
          <w:tcPr>
            <w:tcW w:w="324" w:type="pct"/>
            <w:noWrap/>
            <w:vAlign w:val="center"/>
          </w:tcPr>
          <w:p w14:paraId="2B7D6DF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84.4 (81.3, 86.8)</w:t>
            </w:r>
          </w:p>
        </w:tc>
        <w:tc>
          <w:tcPr>
            <w:tcW w:w="314" w:type="pct"/>
            <w:noWrap/>
            <w:vAlign w:val="center"/>
          </w:tcPr>
          <w:p w14:paraId="05F165F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51.5 (47.3, 55.6)</w:t>
            </w:r>
          </w:p>
        </w:tc>
        <w:tc>
          <w:tcPr>
            <w:tcW w:w="314" w:type="pct"/>
            <w:noWrap/>
            <w:vAlign w:val="center"/>
          </w:tcPr>
          <w:p w14:paraId="18E1938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62.4 (58.8, 65.7)</w:t>
            </w:r>
          </w:p>
        </w:tc>
        <w:tc>
          <w:tcPr>
            <w:tcW w:w="436" w:type="pct"/>
            <w:noWrap/>
            <w:vAlign w:val="center"/>
          </w:tcPr>
          <w:p w14:paraId="20E5002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81.5 (77.9, 84.5)</w:t>
            </w:r>
          </w:p>
        </w:tc>
        <w:tc>
          <w:tcPr>
            <w:tcW w:w="436" w:type="pct"/>
            <w:noWrap/>
            <w:vAlign w:val="center"/>
          </w:tcPr>
          <w:p w14:paraId="0C44944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85.8 (82.9, 88.1)</w:t>
            </w:r>
          </w:p>
        </w:tc>
        <w:tc>
          <w:tcPr>
            <w:tcW w:w="403" w:type="pct"/>
            <w:noWrap/>
            <w:vAlign w:val="center"/>
          </w:tcPr>
          <w:p w14:paraId="3DF9C1D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81.4 (77.5, 84.5)</w:t>
            </w:r>
          </w:p>
        </w:tc>
        <w:tc>
          <w:tcPr>
            <w:tcW w:w="403" w:type="pct"/>
            <w:noWrap/>
            <w:vAlign w:val="center"/>
          </w:tcPr>
          <w:p w14:paraId="318DF84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81.7 (78.2, 84.5)</w:t>
            </w:r>
          </w:p>
        </w:tc>
        <w:tc>
          <w:tcPr>
            <w:tcW w:w="332" w:type="pct"/>
            <w:noWrap/>
            <w:vAlign w:val="center"/>
          </w:tcPr>
          <w:p w14:paraId="2E7969F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78.8 (74.3, 82.5)</w:t>
            </w:r>
          </w:p>
        </w:tc>
        <w:tc>
          <w:tcPr>
            <w:tcW w:w="332" w:type="pct"/>
            <w:noWrap/>
            <w:vAlign w:val="center"/>
          </w:tcPr>
          <w:p w14:paraId="02E41EB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86.2 (83.1, 88.5)</w:t>
            </w:r>
          </w:p>
        </w:tc>
        <w:tc>
          <w:tcPr>
            <w:tcW w:w="474" w:type="pct"/>
            <w:noWrap/>
            <w:vAlign w:val="center"/>
          </w:tcPr>
          <w:p w14:paraId="047A825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72.9 (69.0, 76.4)</w:t>
            </w:r>
          </w:p>
        </w:tc>
        <w:tc>
          <w:tcPr>
            <w:tcW w:w="474" w:type="pct"/>
            <w:noWrap/>
            <w:vAlign w:val="center"/>
          </w:tcPr>
          <w:p w14:paraId="6AE5DCE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79.3 (76.2, 82.0)</w:t>
            </w:r>
          </w:p>
        </w:tc>
      </w:tr>
      <w:tr w:rsidR="00217865" w:rsidRPr="00217865" w14:paraId="42DFB537" w14:textId="77777777" w:rsidTr="00684E82">
        <w:trPr>
          <w:trHeight w:val="62"/>
        </w:trPr>
        <w:tc>
          <w:tcPr>
            <w:tcW w:w="433" w:type="pct"/>
            <w:noWrap/>
            <w:vAlign w:val="center"/>
          </w:tcPr>
          <w:p w14:paraId="2E72938E"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Le Cordon Bleu Australia</w:t>
            </w:r>
          </w:p>
        </w:tc>
        <w:tc>
          <w:tcPr>
            <w:tcW w:w="324" w:type="pct"/>
            <w:noWrap/>
            <w:vAlign w:val="center"/>
          </w:tcPr>
          <w:p w14:paraId="7C9386D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78.3 (67.7, 85.7)</w:t>
            </w:r>
          </w:p>
        </w:tc>
        <w:tc>
          <w:tcPr>
            <w:tcW w:w="324" w:type="pct"/>
            <w:noWrap/>
            <w:vAlign w:val="center"/>
          </w:tcPr>
          <w:p w14:paraId="42A931F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73.5 (60.9, 82.7)</w:t>
            </w:r>
          </w:p>
        </w:tc>
        <w:tc>
          <w:tcPr>
            <w:tcW w:w="314" w:type="pct"/>
            <w:noWrap/>
            <w:vAlign w:val="center"/>
          </w:tcPr>
          <w:p w14:paraId="6FEF73D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48.9 (38.5, 59.5)</w:t>
            </w:r>
          </w:p>
        </w:tc>
        <w:tc>
          <w:tcPr>
            <w:tcW w:w="314" w:type="pct"/>
            <w:noWrap/>
            <w:vAlign w:val="center"/>
          </w:tcPr>
          <w:p w14:paraId="503B595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69.4 (57.1, 79.0)</w:t>
            </w:r>
          </w:p>
        </w:tc>
        <w:tc>
          <w:tcPr>
            <w:tcW w:w="436" w:type="pct"/>
            <w:noWrap/>
            <w:vAlign w:val="center"/>
          </w:tcPr>
          <w:p w14:paraId="0FDF49D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80.4 (70.1, 87.4)</w:t>
            </w:r>
          </w:p>
        </w:tc>
        <w:tc>
          <w:tcPr>
            <w:tcW w:w="436" w:type="pct"/>
            <w:noWrap/>
            <w:vAlign w:val="center"/>
          </w:tcPr>
          <w:p w14:paraId="0420211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71.4 (58.9, 80.9)</w:t>
            </w:r>
          </w:p>
        </w:tc>
        <w:tc>
          <w:tcPr>
            <w:tcW w:w="403" w:type="pct"/>
            <w:noWrap/>
            <w:vAlign w:val="center"/>
          </w:tcPr>
          <w:p w14:paraId="5FA1FF0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56.8 (45.6, 67.2)</w:t>
            </w:r>
          </w:p>
        </w:tc>
        <w:tc>
          <w:tcPr>
            <w:tcW w:w="403" w:type="pct"/>
            <w:noWrap/>
            <w:vAlign w:val="center"/>
          </w:tcPr>
          <w:p w14:paraId="64C114DE"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57.6 (44.8, 69.3)</w:t>
            </w:r>
          </w:p>
        </w:tc>
        <w:tc>
          <w:tcPr>
            <w:tcW w:w="332" w:type="pct"/>
            <w:noWrap/>
            <w:vAlign w:val="center"/>
          </w:tcPr>
          <w:p w14:paraId="5E4A6F6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62.9 (49.9, 74.0)</w:t>
            </w:r>
          </w:p>
        </w:tc>
        <w:tc>
          <w:tcPr>
            <w:tcW w:w="332" w:type="pct"/>
            <w:noWrap/>
            <w:vAlign w:val="center"/>
          </w:tcPr>
          <w:p w14:paraId="689F90D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52.9 (40.6, 64.9)</w:t>
            </w:r>
          </w:p>
        </w:tc>
        <w:tc>
          <w:tcPr>
            <w:tcW w:w="474" w:type="pct"/>
            <w:noWrap/>
            <w:vAlign w:val="center"/>
          </w:tcPr>
          <w:p w14:paraId="4C844F3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61.7 (50.9, 71.3)</w:t>
            </w:r>
          </w:p>
        </w:tc>
        <w:tc>
          <w:tcPr>
            <w:tcW w:w="474" w:type="pct"/>
            <w:noWrap/>
            <w:vAlign w:val="center"/>
          </w:tcPr>
          <w:p w14:paraId="0ADFB2E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55.6 (43.5, 66.9)</w:t>
            </w:r>
          </w:p>
        </w:tc>
      </w:tr>
      <w:tr w:rsidR="00217865" w:rsidRPr="00217865" w14:paraId="1CA7A932" w14:textId="77777777" w:rsidTr="00684E82">
        <w:trPr>
          <w:trHeight w:val="62"/>
        </w:trPr>
        <w:tc>
          <w:tcPr>
            <w:tcW w:w="433" w:type="pct"/>
            <w:noWrap/>
            <w:vAlign w:val="center"/>
          </w:tcPr>
          <w:p w14:paraId="1B37E2A3"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Leaders Institute</w:t>
            </w:r>
          </w:p>
        </w:tc>
        <w:tc>
          <w:tcPr>
            <w:tcW w:w="324" w:type="pct"/>
            <w:noWrap/>
            <w:vAlign w:val="center"/>
          </w:tcPr>
          <w:p w14:paraId="49FE510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(98.4, 99.9)</w:t>
            </w:r>
          </w:p>
        </w:tc>
        <w:tc>
          <w:tcPr>
            <w:tcW w:w="324" w:type="pct"/>
            <w:noWrap/>
            <w:vAlign w:val="center"/>
          </w:tcPr>
          <w:p w14:paraId="3C77036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(98.0, 99.8)</w:t>
            </w:r>
          </w:p>
        </w:tc>
        <w:tc>
          <w:tcPr>
            <w:tcW w:w="314" w:type="pct"/>
            <w:noWrap/>
            <w:vAlign w:val="center"/>
          </w:tcPr>
          <w:p w14:paraId="3CCB924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97.4 (95.1, 98.1)</w:t>
            </w:r>
          </w:p>
        </w:tc>
        <w:tc>
          <w:tcPr>
            <w:tcW w:w="314" w:type="pct"/>
            <w:noWrap/>
            <w:vAlign w:val="center"/>
          </w:tcPr>
          <w:p w14:paraId="68B7057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97.5 (94.9, 98.1)</w:t>
            </w:r>
          </w:p>
        </w:tc>
        <w:tc>
          <w:tcPr>
            <w:tcW w:w="436" w:type="pct"/>
            <w:noWrap/>
            <w:vAlign w:val="center"/>
          </w:tcPr>
          <w:p w14:paraId="505A242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(98.4, 99.9)</w:t>
            </w:r>
          </w:p>
        </w:tc>
        <w:tc>
          <w:tcPr>
            <w:tcW w:w="436" w:type="pct"/>
            <w:noWrap/>
            <w:vAlign w:val="center"/>
          </w:tcPr>
          <w:p w14:paraId="2D2A28F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99.2 (96.9, 99.3)</w:t>
            </w:r>
          </w:p>
        </w:tc>
        <w:tc>
          <w:tcPr>
            <w:tcW w:w="403" w:type="pct"/>
            <w:noWrap/>
            <w:vAlign w:val="center"/>
          </w:tcPr>
          <w:p w14:paraId="4573418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(98.4, 99.9)</w:t>
            </w:r>
          </w:p>
        </w:tc>
        <w:tc>
          <w:tcPr>
            <w:tcW w:w="403" w:type="pct"/>
            <w:noWrap/>
            <w:vAlign w:val="center"/>
          </w:tcPr>
          <w:p w14:paraId="71A6E80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99.2 (96.9, 99.3)</w:t>
            </w:r>
          </w:p>
        </w:tc>
        <w:tc>
          <w:tcPr>
            <w:tcW w:w="332" w:type="pct"/>
            <w:noWrap/>
            <w:vAlign w:val="center"/>
          </w:tcPr>
          <w:p w14:paraId="2B1F857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99.3 (97.5, 99.5)</w:t>
            </w:r>
          </w:p>
        </w:tc>
        <w:tc>
          <w:tcPr>
            <w:tcW w:w="332" w:type="pct"/>
            <w:noWrap/>
            <w:vAlign w:val="center"/>
          </w:tcPr>
          <w:p w14:paraId="73511AD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98.3 (95.8, 98.7)</w:t>
            </w:r>
          </w:p>
        </w:tc>
        <w:tc>
          <w:tcPr>
            <w:tcW w:w="474" w:type="pct"/>
            <w:noWrap/>
            <w:vAlign w:val="center"/>
          </w:tcPr>
          <w:p w14:paraId="097FDC2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100.0 (98.4, 99.9)</w:t>
            </w:r>
          </w:p>
        </w:tc>
        <w:tc>
          <w:tcPr>
            <w:tcW w:w="474" w:type="pct"/>
            <w:noWrap/>
            <w:vAlign w:val="center"/>
          </w:tcPr>
          <w:p w14:paraId="092CF45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97.5 (94.9, 98.1)</w:t>
            </w:r>
          </w:p>
        </w:tc>
      </w:tr>
      <w:tr w:rsidR="00217865" w:rsidRPr="00217865" w14:paraId="76B9BFD7" w14:textId="77777777" w:rsidTr="00684E82">
        <w:trPr>
          <w:trHeight w:val="62"/>
        </w:trPr>
        <w:tc>
          <w:tcPr>
            <w:tcW w:w="433" w:type="pct"/>
            <w:noWrap/>
            <w:vAlign w:val="center"/>
          </w:tcPr>
          <w:p w14:paraId="6866289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The Institute of Creative Arts and Technology</w:t>
            </w:r>
          </w:p>
        </w:tc>
        <w:tc>
          <w:tcPr>
            <w:tcW w:w="324" w:type="pct"/>
            <w:noWrap/>
            <w:vAlign w:val="center"/>
          </w:tcPr>
          <w:p w14:paraId="3230A51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88.1 (77.8, 93.8)</w:t>
            </w:r>
          </w:p>
        </w:tc>
        <w:tc>
          <w:tcPr>
            <w:tcW w:w="324" w:type="pct"/>
            <w:noWrap/>
            <w:vAlign w:val="center"/>
          </w:tcPr>
          <w:p w14:paraId="0F39401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314" w:type="pct"/>
            <w:noWrap/>
            <w:vAlign w:val="center"/>
          </w:tcPr>
          <w:p w14:paraId="225C6DB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72.1 (60.5, 81.0)</w:t>
            </w:r>
          </w:p>
        </w:tc>
        <w:tc>
          <w:tcPr>
            <w:tcW w:w="314" w:type="pct"/>
            <w:noWrap/>
            <w:vAlign w:val="center"/>
          </w:tcPr>
          <w:p w14:paraId="4EE9407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56.0 (40.8, 70.0)</w:t>
            </w:r>
          </w:p>
        </w:tc>
        <w:tc>
          <w:tcPr>
            <w:tcW w:w="436" w:type="pct"/>
            <w:noWrap/>
            <w:vAlign w:val="center"/>
          </w:tcPr>
          <w:p w14:paraId="655B30A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88.4 (78.3, 93.9)</w:t>
            </w:r>
          </w:p>
        </w:tc>
        <w:tc>
          <w:tcPr>
            <w:tcW w:w="436" w:type="pct"/>
            <w:noWrap/>
            <w:vAlign w:val="center"/>
          </w:tcPr>
          <w:p w14:paraId="7665860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84.0 (69.1, 92.3)</w:t>
            </w:r>
          </w:p>
        </w:tc>
        <w:tc>
          <w:tcPr>
            <w:tcW w:w="403" w:type="pct"/>
            <w:noWrap/>
            <w:vAlign w:val="center"/>
          </w:tcPr>
          <w:p w14:paraId="2FD47A5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90.5 (80.6, 95.4)</w:t>
            </w:r>
          </w:p>
        </w:tc>
        <w:tc>
          <w:tcPr>
            <w:tcW w:w="403" w:type="pct"/>
            <w:noWrap/>
            <w:vAlign w:val="center"/>
          </w:tcPr>
          <w:p w14:paraId="0566186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332" w:type="pct"/>
            <w:noWrap/>
            <w:vAlign w:val="center"/>
          </w:tcPr>
          <w:p w14:paraId="38C1DA4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90.3 (78.1, 96.1)</w:t>
            </w:r>
          </w:p>
        </w:tc>
        <w:tc>
          <w:tcPr>
            <w:tcW w:w="332" w:type="pct"/>
            <w:noWrap/>
            <w:vAlign w:val="center"/>
          </w:tcPr>
          <w:p w14:paraId="7FDF2FCD"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c>
          <w:tcPr>
            <w:tcW w:w="474" w:type="pct"/>
            <w:noWrap/>
            <w:vAlign w:val="center"/>
          </w:tcPr>
          <w:p w14:paraId="3039C82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74.4 (63.0, 83.0)</w:t>
            </w:r>
          </w:p>
        </w:tc>
        <w:tc>
          <w:tcPr>
            <w:tcW w:w="474" w:type="pct"/>
            <w:noWrap/>
            <w:vAlign w:val="center"/>
          </w:tcPr>
          <w:p w14:paraId="33C06399"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n/a</w:t>
            </w:r>
          </w:p>
        </w:tc>
      </w:tr>
      <w:tr w:rsidR="00217865" w:rsidRPr="00217865" w14:paraId="0D90019E" w14:textId="77777777" w:rsidTr="00684E82">
        <w:trPr>
          <w:trHeight w:val="62"/>
        </w:trPr>
        <w:tc>
          <w:tcPr>
            <w:tcW w:w="433" w:type="pct"/>
            <w:noWrap/>
            <w:vAlign w:val="center"/>
          </w:tcPr>
          <w:p w14:paraId="3C25CCD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Melbourne Institute of Technology</w:t>
            </w:r>
          </w:p>
        </w:tc>
        <w:tc>
          <w:tcPr>
            <w:tcW w:w="324" w:type="pct"/>
            <w:noWrap/>
            <w:vAlign w:val="center"/>
          </w:tcPr>
          <w:p w14:paraId="112FFA9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72.9 (68.9, 76.5)</w:t>
            </w:r>
          </w:p>
        </w:tc>
        <w:tc>
          <w:tcPr>
            <w:tcW w:w="324" w:type="pct"/>
            <w:noWrap/>
            <w:vAlign w:val="center"/>
          </w:tcPr>
          <w:p w14:paraId="78AE672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75.6 (72.9, 78.1)</w:t>
            </w:r>
          </w:p>
        </w:tc>
        <w:tc>
          <w:tcPr>
            <w:tcW w:w="314" w:type="pct"/>
            <w:noWrap/>
            <w:vAlign w:val="center"/>
          </w:tcPr>
          <w:p w14:paraId="55B8F2C7"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60.7 (56.6, 64.7)</w:t>
            </w:r>
          </w:p>
        </w:tc>
        <w:tc>
          <w:tcPr>
            <w:tcW w:w="314" w:type="pct"/>
            <w:noWrap/>
            <w:vAlign w:val="center"/>
          </w:tcPr>
          <w:p w14:paraId="3346966F"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74.7 (72.1, 77.0)</w:t>
            </w:r>
          </w:p>
        </w:tc>
        <w:tc>
          <w:tcPr>
            <w:tcW w:w="436" w:type="pct"/>
            <w:noWrap/>
            <w:vAlign w:val="center"/>
          </w:tcPr>
          <w:p w14:paraId="3605E78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72.5 (68.5, 76.0)</w:t>
            </w:r>
          </w:p>
        </w:tc>
        <w:tc>
          <w:tcPr>
            <w:tcW w:w="436" w:type="pct"/>
            <w:noWrap/>
            <w:vAlign w:val="center"/>
          </w:tcPr>
          <w:p w14:paraId="1B8F2F22"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75.9 (73.2, 78.2)</w:t>
            </w:r>
          </w:p>
        </w:tc>
        <w:tc>
          <w:tcPr>
            <w:tcW w:w="403" w:type="pct"/>
            <w:noWrap/>
            <w:vAlign w:val="center"/>
          </w:tcPr>
          <w:p w14:paraId="5F0FFB13"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77.2 (73.3, 80.7)</w:t>
            </w:r>
          </w:p>
        </w:tc>
        <w:tc>
          <w:tcPr>
            <w:tcW w:w="403" w:type="pct"/>
            <w:noWrap/>
            <w:vAlign w:val="center"/>
          </w:tcPr>
          <w:p w14:paraId="031FEBF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81.3 (78.7, 83.6)</w:t>
            </w:r>
          </w:p>
        </w:tc>
        <w:tc>
          <w:tcPr>
            <w:tcW w:w="332" w:type="pct"/>
            <w:noWrap/>
            <w:vAlign w:val="center"/>
          </w:tcPr>
          <w:p w14:paraId="7AAAF61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72.3 (68.2, 76.0)</w:t>
            </w:r>
          </w:p>
        </w:tc>
        <w:tc>
          <w:tcPr>
            <w:tcW w:w="332" w:type="pct"/>
            <w:noWrap/>
            <w:vAlign w:val="center"/>
          </w:tcPr>
          <w:p w14:paraId="0BB05231"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76.4 (73.7, 78.8)</w:t>
            </w:r>
          </w:p>
        </w:tc>
        <w:tc>
          <w:tcPr>
            <w:tcW w:w="474" w:type="pct"/>
            <w:noWrap/>
            <w:vAlign w:val="center"/>
          </w:tcPr>
          <w:p w14:paraId="064DC6E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70.7 (66.8, 74.3)</w:t>
            </w:r>
          </w:p>
        </w:tc>
        <w:tc>
          <w:tcPr>
            <w:tcW w:w="474" w:type="pct"/>
            <w:noWrap/>
            <w:vAlign w:val="center"/>
          </w:tcPr>
          <w:p w14:paraId="70D3EF4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72.0 (69.3, 74.4)</w:t>
            </w:r>
          </w:p>
        </w:tc>
      </w:tr>
      <w:tr w:rsidR="00217865" w:rsidRPr="00217865" w14:paraId="10399A3A" w14:textId="77777777" w:rsidTr="00684E82">
        <w:trPr>
          <w:trHeight w:val="62"/>
        </w:trPr>
        <w:tc>
          <w:tcPr>
            <w:tcW w:w="433" w:type="pct"/>
            <w:noWrap/>
            <w:vAlign w:val="center"/>
          </w:tcPr>
          <w:p w14:paraId="689AB721"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Melbourne Polytechnic</w:t>
            </w:r>
          </w:p>
        </w:tc>
        <w:tc>
          <w:tcPr>
            <w:tcW w:w="324" w:type="pct"/>
            <w:noWrap/>
            <w:vAlign w:val="center"/>
          </w:tcPr>
          <w:p w14:paraId="127057B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76.6 (72.7, 79.9)</w:t>
            </w:r>
          </w:p>
        </w:tc>
        <w:tc>
          <w:tcPr>
            <w:tcW w:w="324" w:type="pct"/>
            <w:noWrap/>
            <w:vAlign w:val="center"/>
          </w:tcPr>
          <w:p w14:paraId="7AE0C796"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78.5 (74.1, 82.2)</w:t>
            </w:r>
          </w:p>
        </w:tc>
        <w:tc>
          <w:tcPr>
            <w:tcW w:w="314" w:type="pct"/>
            <w:noWrap/>
            <w:vAlign w:val="center"/>
          </w:tcPr>
          <w:p w14:paraId="1C55BEB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55.0 (50.9, 59.1)</w:t>
            </w:r>
          </w:p>
        </w:tc>
        <w:tc>
          <w:tcPr>
            <w:tcW w:w="314" w:type="pct"/>
            <w:noWrap/>
            <w:vAlign w:val="center"/>
          </w:tcPr>
          <w:p w14:paraId="2082BB84"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65.8 (61.1, 70.2)</w:t>
            </w:r>
          </w:p>
        </w:tc>
        <w:tc>
          <w:tcPr>
            <w:tcW w:w="436" w:type="pct"/>
            <w:noWrap/>
            <w:vAlign w:val="center"/>
          </w:tcPr>
          <w:p w14:paraId="5260778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79.6 (76.0, 82.7)</w:t>
            </w:r>
          </w:p>
        </w:tc>
        <w:tc>
          <w:tcPr>
            <w:tcW w:w="436" w:type="pct"/>
            <w:noWrap/>
            <w:vAlign w:val="center"/>
          </w:tcPr>
          <w:p w14:paraId="59D6D900"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82.1 (78.0, 85.5)</w:t>
            </w:r>
          </w:p>
        </w:tc>
        <w:tc>
          <w:tcPr>
            <w:tcW w:w="403" w:type="pct"/>
            <w:noWrap/>
            <w:vAlign w:val="center"/>
          </w:tcPr>
          <w:p w14:paraId="224FB61C"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77.9 (74.0, 81.2)</w:t>
            </w:r>
          </w:p>
        </w:tc>
        <w:tc>
          <w:tcPr>
            <w:tcW w:w="403" w:type="pct"/>
            <w:noWrap/>
            <w:vAlign w:val="center"/>
          </w:tcPr>
          <w:p w14:paraId="670A133B"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79.0 (74.5, 82.8)</w:t>
            </w:r>
          </w:p>
        </w:tc>
        <w:tc>
          <w:tcPr>
            <w:tcW w:w="332" w:type="pct"/>
            <w:noWrap/>
            <w:vAlign w:val="center"/>
          </w:tcPr>
          <w:p w14:paraId="0890AE1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70.8 (66.4, 74.8)</w:t>
            </w:r>
          </w:p>
        </w:tc>
        <w:tc>
          <w:tcPr>
            <w:tcW w:w="332" w:type="pct"/>
            <w:noWrap/>
            <w:vAlign w:val="center"/>
          </w:tcPr>
          <w:p w14:paraId="31730178"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80.9 (76.5, 84.5)</w:t>
            </w:r>
          </w:p>
        </w:tc>
        <w:tc>
          <w:tcPr>
            <w:tcW w:w="474" w:type="pct"/>
            <w:noWrap/>
            <w:vAlign w:val="center"/>
          </w:tcPr>
          <w:p w14:paraId="240C2805"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73.2 (69.3, 76.6)</w:t>
            </w:r>
          </w:p>
        </w:tc>
        <w:tc>
          <w:tcPr>
            <w:tcW w:w="474" w:type="pct"/>
            <w:noWrap/>
            <w:vAlign w:val="center"/>
          </w:tcPr>
          <w:p w14:paraId="01680FFA" w14:textId="77777777" w:rsidR="00821227" w:rsidRPr="00217865" w:rsidRDefault="00821227" w:rsidP="00713E2F">
            <w:pPr>
              <w:pStyle w:val="Z"/>
              <w:spacing w:before="60" w:after="60"/>
              <w:jc w:val="center"/>
              <w:rPr>
                <w:b/>
                <w:bCs/>
                <w:color w:val="000000" w:themeColor="text1"/>
                <w:sz w:val="16"/>
                <w:szCs w:val="18"/>
                <w:highlight w:val="yellow"/>
              </w:rPr>
            </w:pPr>
            <w:r w:rsidRPr="00217865">
              <w:rPr>
                <w:color w:val="000000" w:themeColor="text1"/>
                <w:sz w:val="16"/>
                <w:szCs w:val="18"/>
              </w:rPr>
              <w:t>75.2 (70.8, 79.1)</w:t>
            </w:r>
          </w:p>
        </w:tc>
      </w:tr>
      <w:tr w:rsidR="00217865" w:rsidRPr="00217865" w14:paraId="44740508" w14:textId="77777777" w:rsidTr="00684E82">
        <w:trPr>
          <w:trHeight w:val="62"/>
        </w:trPr>
        <w:tc>
          <w:tcPr>
            <w:tcW w:w="433" w:type="pct"/>
            <w:noWrap/>
            <w:vAlign w:val="center"/>
          </w:tcPr>
          <w:p w14:paraId="0CDE639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 xml:space="preserve">Monash College </w:t>
            </w:r>
          </w:p>
        </w:tc>
        <w:tc>
          <w:tcPr>
            <w:tcW w:w="324" w:type="pct"/>
            <w:noWrap/>
            <w:vAlign w:val="center"/>
          </w:tcPr>
          <w:p w14:paraId="4A9F3F88" w14:textId="50C0CDD0"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324" w:type="pct"/>
            <w:noWrap/>
            <w:vAlign w:val="center"/>
          </w:tcPr>
          <w:p w14:paraId="5A5511EB"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82.2 (77.5, 86.0)</w:t>
            </w:r>
          </w:p>
        </w:tc>
        <w:tc>
          <w:tcPr>
            <w:tcW w:w="314" w:type="pct"/>
            <w:noWrap/>
            <w:vAlign w:val="center"/>
          </w:tcPr>
          <w:p w14:paraId="0C9D4DE0" w14:textId="0FA4830D"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314" w:type="pct"/>
            <w:noWrap/>
            <w:vAlign w:val="center"/>
          </w:tcPr>
          <w:p w14:paraId="09C1344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79.1 (74.4, 82.9)</w:t>
            </w:r>
          </w:p>
        </w:tc>
        <w:tc>
          <w:tcPr>
            <w:tcW w:w="436" w:type="pct"/>
            <w:noWrap/>
            <w:vAlign w:val="center"/>
          </w:tcPr>
          <w:p w14:paraId="53FEB66C" w14:textId="35443F13"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436" w:type="pct"/>
            <w:noWrap/>
            <w:vAlign w:val="center"/>
          </w:tcPr>
          <w:p w14:paraId="6DA91D08"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86.9 (82.7, 90.0)</w:t>
            </w:r>
          </w:p>
        </w:tc>
        <w:tc>
          <w:tcPr>
            <w:tcW w:w="403" w:type="pct"/>
            <w:noWrap/>
            <w:vAlign w:val="center"/>
          </w:tcPr>
          <w:p w14:paraId="0BCBA6E8" w14:textId="16347BF8"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403" w:type="pct"/>
            <w:noWrap/>
            <w:vAlign w:val="center"/>
          </w:tcPr>
          <w:p w14:paraId="1ECED472"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79.6 (74.3, 83.8)</w:t>
            </w:r>
          </w:p>
        </w:tc>
        <w:tc>
          <w:tcPr>
            <w:tcW w:w="332" w:type="pct"/>
            <w:noWrap/>
            <w:vAlign w:val="center"/>
          </w:tcPr>
          <w:p w14:paraId="7FB8DBCC" w14:textId="7684982E"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332" w:type="pct"/>
            <w:noWrap/>
            <w:vAlign w:val="center"/>
          </w:tcPr>
          <w:p w14:paraId="71D51EC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87.7 (83.4, 90.9)</w:t>
            </w:r>
          </w:p>
        </w:tc>
        <w:tc>
          <w:tcPr>
            <w:tcW w:w="474" w:type="pct"/>
            <w:noWrap/>
            <w:vAlign w:val="center"/>
          </w:tcPr>
          <w:p w14:paraId="180A1036" w14:textId="57CF1AAA" w:rsidR="00821227" w:rsidRPr="00217865" w:rsidRDefault="00713E2F" w:rsidP="00713E2F">
            <w:pPr>
              <w:pStyle w:val="Z"/>
              <w:spacing w:before="60" w:after="60"/>
              <w:jc w:val="center"/>
              <w:rPr>
                <w:b/>
                <w:bCs/>
                <w:color w:val="000000" w:themeColor="text1"/>
                <w:sz w:val="16"/>
                <w:szCs w:val="18"/>
              </w:rPr>
            </w:pPr>
            <w:r w:rsidRPr="00217865">
              <w:rPr>
                <w:b/>
                <w:bCs/>
                <w:color w:val="000000" w:themeColor="text1"/>
                <w:sz w:val="16"/>
                <w:szCs w:val="18"/>
              </w:rPr>
              <w:t>-</w:t>
            </w:r>
          </w:p>
        </w:tc>
        <w:tc>
          <w:tcPr>
            <w:tcW w:w="474" w:type="pct"/>
            <w:noWrap/>
            <w:vAlign w:val="center"/>
          </w:tcPr>
          <w:p w14:paraId="551C9459"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77.5 (72.7, 81.4)</w:t>
            </w:r>
          </w:p>
        </w:tc>
      </w:tr>
      <w:tr w:rsidR="00217865" w:rsidRPr="00217865" w14:paraId="6021ED87" w14:textId="77777777" w:rsidTr="00684E82">
        <w:trPr>
          <w:trHeight w:val="62"/>
        </w:trPr>
        <w:tc>
          <w:tcPr>
            <w:tcW w:w="433" w:type="pct"/>
            <w:noWrap/>
            <w:vAlign w:val="center"/>
          </w:tcPr>
          <w:p w14:paraId="2141F360" w14:textId="77777777" w:rsidR="00821227" w:rsidRPr="00217865" w:rsidRDefault="00821227" w:rsidP="00713E2F">
            <w:pPr>
              <w:pStyle w:val="Z"/>
              <w:spacing w:before="60" w:after="60"/>
              <w:rPr>
                <w:color w:val="000000" w:themeColor="text1"/>
                <w:sz w:val="16"/>
                <w:szCs w:val="18"/>
              </w:rPr>
            </w:pPr>
            <w:proofErr w:type="spellStart"/>
            <w:r w:rsidRPr="00217865">
              <w:rPr>
                <w:color w:val="000000" w:themeColor="text1"/>
                <w:sz w:val="16"/>
                <w:szCs w:val="18"/>
              </w:rPr>
              <w:t>Ozford</w:t>
            </w:r>
            <w:proofErr w:type="spellEnd"/>
            <w:r w:rsidRPr="00217865">
              <w:rPr>
                <w:color w:val="000000" w:themeColor="text1"/>
                <w:sz w:val="16"/>
                <w:szCs w:val="18"/>
              </w:rPr>
              <w:t xml:space="preserve"> Institute of Higher Education</w:t>
            </w:r>
          </w:p>
        </w:tc>
        <w:tc>
          <w:tcPr>
            <w:tcW w:w="324" w:type="pct"/>
            <w:noWrap/>
            <w:vAlign w:val="center"/>
          </w:tcPr>
          <w:p w14:paraId="7A226A76"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80.0 (65.4, 88.7)</w:t>
            </w:r>
          </w:p>
        </w:tc>
        <w:tc>
          <w:tcPr>
            <w:tcW w:w="324" w:type="pct"/>
            <w:noWrap/>
            <w:vAlign w:val="center"/>
          </w:tcPr>
          <w:p w14:paraId="155B20BD"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n/a</w:t>
            </w:r>
          </w:p>
        </w:tc>
        <w:tc>
          <w:tcPr>
            <w:tcW w:w="314" w:type="pct"/>
            <w:noWrap/>
            <w:vAlign w:val="center"/>
          </w:tcPr>
          <w:p w14:paraId="6403AD7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53.6 (40.3, 66.2)</w:t>
            </w:r>
          </w:p>
        </w:tc>
        <w:tc>
          <w:tcPr>
            <w:tcW w:w="314" w:type="pct"/>
            <w:noWrap/>
            <w:vAlign w:val="center"/>
          </w:tcPr>
          <w:p w14:paraId="7C2311B6"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48.1 (34.8, 61.8)</w:t>
            </w:r>
          </w:p>
        </w:tc>
        <w:tc>
          <w:tcPr>
            <w:tcW w:w="436" w:type="pct"/>
            <w:noWrap/>
            <w:vAlign w:val="center"/>
          </w:tcPr>
          <w:p w14:paraId="686B5EA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80.8 (66.6, 89.1)</w:t>
            </w:r>
          </w:p>
        </w:tc>
        <w:tc>
          <w:tcPr>
            <w:tcW w:w="436" w:type="pct"/>
            <w:noWrap/>
            <w:vAlign w:val="center"/>
          </w:tcPr>
          <w:p w14:paraId="7A1A863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60.0 (45.1, 72.9)</w:t>
            </w:r>
          </w:p>
        </w:tc>
        <w:tc>
          <w:tcPr>
            <w:tcW w:w="403" w:type="pct"/>
            <w:noWrap/>
            <w:vAlign w:val="center"/>
          </w:tcPr>
          <w:p w14:paraId="669C584D"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80.0 (65.4, 88.7)</w:t>
            </w:r>
          </w:p>
        </w:tc>
        <w:tc>
          <w:tcPr>
            <w:tcW w:w="403" w:type="pct"/>
            <w:noWrap/>
            <w:vAlign w:val="center"/>
          </w:tcPr>
          <w:p w14:paraId="16F47E48"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n/a</w:t>
            </w:r>
          </w:p>
        </w:tc>
        <w:tc>
          <w:tcPr>
            <w:tcW w:w="332" w:type="pct"/>
            <w:noWrap/>
            <w:vAlign w:val="center"/>
          </w:tcPr>
          <w:p w14:paraId="3C9D50BF"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n/a</w:t>
            </w:r>
          </w:p>
        </w:tc>
        <w:tc>
          <w:tcPr>
            <w:tcW w:w="332" w:type="pct"/>
            <w:noWrap/>
            <w:vAlign w:val="center"/>
          </w:tcPr>
          <w:p w14:paraId="7A2F78E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n/a</w:t>
            </w:r>
          </w:p>
        </w:tc>
        <w:tc>
          <w:tcPr>
            <w:tcW w:w="474" w:type="pct"/>
            <w:noWrap/>
            <w:vAlign w:val="center"/>
          </w:tcPr>
          <w:p w14:paraId="0A3DA3F0"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75.0 (61.3, 84.3)</w:t>
            </w:r>
          </w:p>
        </w:tc>
        <w:tc>
          <w:tcPr>
            <w:tcW w:w="474" w:type="pct"/>
            <w:noWrap/>
            <w:vAlign w:val="center"/>
          </w:tcPr>
          <w:p w14:paraId="79C6F13F"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63.0 (48.6, 74.9)</w:t>
            </w:r>
          </w:p>
        </w:tc>
      </w:tr>
      <w:tr w:rsidR="00217865" w:rsidRPr="00217865" w14:paraId="65AD812F" w14:textId="77777777" w:rsidTr="00684E82">
        <w:trPr>
          <w:trHeight w:val="62"/>
        </w:trPr>
        <w:tc>
          <w:tcPr>
            <w:tcW w:w="433" w:type="pct"/>
            <w:noWrap/>
            <w:vAlign w:val="center"/>
          </w:tcPr>
          <w:p w14:paraId="042A5E05"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Polytechnic Institute Australia Pty Ltd</w:t>
            </w:r>
          </w:p>
        </w:tc>
        <w:tc>
          <w:tcPr>
            <w:tcW w:w="324" w:type="pct"/>
            <w:noWrap/>
            <w:vAlign w:val="center"/>
          </w:tcPr>
          <w:p w14:paraId="68659B17"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75.9 (68.2, 82.0)</w:t>
            </w:r>
          </w:p>
        </w:tc>
        <w:tc>
          <w:tcPr>
            <w:tcW w:w="324" w:type="pct"/>
            <w:noWrap/>
            <w:vAlign w:val="center"/>
          </w:tcPr>
          <w:p w14:paraId="1CFBA0D1"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81.6 (71.5, 88.4)</w:t>
            </w:r>
          </w:p>
        </w:tc>
        <w:tc>
          <w:tcPr>
            <w:tcW w:w="314" w:type="pct"/>
            <w:noWrap/>
            <w:vAlign w:val="center"/>
          </w:tcPr>
          <w:p w14:paraId="7C553522"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58.4 (50.6, 65.7)</w:t>
            </w:r>
          </w:p>
        </w:tc>
        <w:tc>
          <w:tcPr>
            <w:tcW w:w="314" w:type="pct"/>
            <w:noWrap/>
            <w:vAlign w:val="center"/>
          </w:tcPr>
          <w:p w14:paraId="6BE456EE"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76.0 (65.6, 83.8)</w:t>
            </w:r>
          </w:p>
        </w:tc>
        <w:tc>
          <w:tcPr>
            <w:tcW w:w="436" w:type="pct"/>
            <w:noWrap/>
            <w:vAlign w:val="center"/>
          </w:tcPr>
          <w:p w14:paraId="31E7D2C9"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77.9 (70.5, 83.6)</w:t>
            </w:r>
          </w:p>
        </w:tc>
        <w:tc>
          <w:tcPr>
            <w:tcW w:w="436" w:type="pct"/>
            <w:noWrap/>
            <w:vAlign w:val="center"/>
          </w:tcPr>
          <w:p w14:paraId="258E3945"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86.0 (76.5, 91.8)</w:t>
            </w:r>
          </w:p>
        </w:tc>
        <w:tc>
          <w:tcPr>
            <w:tcW w:w="403" w:type="pct"/>
            <w:noWrap/>
            <w:vAlign w:val="center"/>
          </w:tcPr>
          <w:p w14:paraId="5C37D425"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73.4 (65.3, 80.0)</w:t>
            </w:r>
          </w:p>
        </w:tc>
        <w:tc>
          <w:tcPr>
            <w:tcW w:w="403" w:type="pct"/>
            <w:noWrap/>
            <w:vAlign w:val="center"/>
          </w:tcPr>
          <w:p w14:paraId="64D2859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73.9 (62.8, 82.4)</w:t>
            </w:r>
          </w:p>
        </w:tc>
        <w:tc>
          <w:tcPr>
            <w:tcW w:w="332" w:type="pct"/>
            <w:noWrap/>
            <w:vAlign w:val="center"/>
          </w:tcPr>
          <w:p w14:paraId="7B5C4FF1"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64.9 (56.2, 72.5)</w:t>
            </w:r>
          </w:p>
        </w:tc>
        <w:tc>
          <w:tcPr>
            <w:tcW w:w="332" w:type="pct"/>
            <w:noWrap/>
            <w:vAlign w:val="center"/>
          </w:tcPr>
          <w:p w14:paraId="1F73B914"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72.9 (62.1, 81.3)</w:t>
            </w:r>
          </w:p>
        </w:tc>
        <w:tc>
          <w:tcPr>
            <w:tcW w:w="474" w:type="pct"/>
            <w:noWrap/>
            <w:vAlign w:val="center"/>
          </w:tcPr>
          <w:p w14:paraId="358FF6B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71.9 (64.4, 78.2)</w:t>
            </w:r>
          </w:p>
        </w:tc>
        <w:tc>
          <w:tcPr>
            <w:tcW w:w="474" w:type="pct"/>
            <w:noWrap/>
            <w:vAlign w:val="center"/>
          </w:tcPr>
          <w:p w14:paraId="6EF91BD4"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80.0 (69.9, 87.1)</w:t>
            </w:r>
          </w:p>
        </w:tc>
      </w:tr>
      <w:tr w:rsidR="00217865" w:rsidRPr="00217865" w14:paraId="61CEE114" w14:textId="77777777" w:rsidTr="00684E82">
        <w:trPr>
          <w:trHeight w:val="62"/>
        </w:trPr>
        <w:tc>
          <w:tcPr>
            <w:tcW w:w="433" w:type="pct"/>
            <w:noWrap/>
            <w:vAlign w:val="center"/>
          </w:tcPr>
          <w:p w14:paraId="4C41DAF0"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SAE Institute</w:t>
            </w:r>
          </w:p>
        </w:tc>
        <w:tc>
          <w:tcPr>
            <w:tcW w:w="324" w:type="pct"/>
            <w:noWrap/>
            <w:vAlign w:val="center"/>
          </w:tcPr>
          <w:p w14:paraId="1579147D"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88.6 (83.7, 92.0)</w:t>
            </w:r>
          </w:p>
        </w:tc>
        <w:tc>
          <w:tcPr>
            <w:tcW w:w="324" w:type="pct"/>
            <w:noWrap/>
            <w:vAlign w:val="center"/>
          </w:tcPr>
          <w:p w14:paraId="6113B715"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87.7 (82.8, 91.1)</w:t>
            </w:r>
          </w:p>
        </w:tc>
        <w:tc>
          <w:tcPr>
            <w:tcW w:w="314" w:type="pct"/>
            <w:noWrap/>
            <w:vAlign w:val="center"/>
          </w:tcPr>
          <w:p w14:paraId="4C6378E5"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73.1 (67.0, 78.3)</w:t>
            </w:r>
          </w:p>
        </w:tc>
        <w:tc>
          <w:tcPr>
            <w:tcW w:w="314" w:type="pct"/>
            <w:noWrap/>
            <w:vAlign w:val="center"/>
          </w:tcPr>
          <w:p w14:paraId="1F21C1FC"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72.2 (66.4, 77.3)</w:t>
            </w:r>
          </w:p>
        </w:tc>
        <w:tc>
          <w:tcPr>
            <w:tcW w:w="436" w:type="pct"/>
            <w:noWrap/>
            <w:vAlign w:val="center"/>
          </w:tcPr>
          <w:p w14:paraId="6D1B9D6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87.9 (82.8, 91.4)</w:t>
            </w:r>
          </w:p>
        </w:tc>
        <w:tc>
          <w:tcPr>
            <w:tcW w:w="436" w:type="pct"/>
            <w:noWrap/>
            <w:vAlign w:val="center"/>
          </w:tcPr>
          <w:p w14:paraId="5771CBAF"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84.2 (78.9, 88.1)</w:t>
            </w:r>
          </w:p>
        </w:tc>
        <w:tc>
          <w:tcPr>
            <w:tcW w:w="403" w:type="pct"/>
            <w:noWrap/>
            <w:vAlign w:val="center"/>
          </w:tcPr>
          <w:p w14:paraId="439FE7FE"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74.2 (68.0, 79.4)</w:t>
            </w:r>
          </w:p>
        </w:tc>
        <w:tc>
          <w:tcPr>
            <w:tcW w:w="403" w:type="pct"/>
            <w:noWrap/>
            <w:vAlign w:val="center"/>
          </w:tcPr>
          <w:p w14:paraId="6893D8EF"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73.6 (67.4, 78.9)</w:t>
            </w:r>
          </w:p>
        </w:tc>
        <w:tc>
          <w:tcPr>
            <w:tcW w:w="332" w:type="pct"/>
            <w:noWrap/>
            <w:vAlign w:val="center"/>
          </w:tcPr>
          <w:p w14:paraId="0AF6249D"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80.8 (75.0, 85.3)</w:t>
            </w:r>
          </w:p>
        </w:tc>
        <w:tc>
          <w:tcPr>
            <w:tcW w:w="332" w:type="pct"/>
            <w:noWrap/>
            <w:vAlign w:val="center"/>
          </w:tcPr>
          <w:p w14:paraId="1FE76212"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82.4 (76.9, 86.6)</w:t>
            </w:r>
          </w:p>
        </w:tc>
        <w:tc>
          <w:tcPr>
            <w:tcW w:w="474" w:type="pct"/>
            <w:noWrap/>
            <w:vAlign w:val="center"/>
          </w:tcPr>
          <w:p w14:paraId="0AAA0783"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78.2 (72.3, 82.9)</w:t>
            </w:r>
          </w:p>
        </w:tc>
        <w:tc>
          <w:tcPr>
            <w:tcW w:w="474" w:type="pct"/>
            <w:noWrap/>
            <w:vAlign w:val="center"/>
          </w:tcPr>
          <w:p w14:paraId="37EEDE31"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72.9 (67.1, 77.9)</w:t>
            </w:r>
          </w:p>
        </w:tc>
      </w:tr>
      <w:tr w:rsidR="00217865" w:rsidRPr="00217865" w14:paraId="45583D3D" w14:textId="77777777" w:rsidTr="00684E82">
        <w:trPr>
          <w:trHeight w:val="62"/>
        </w:trPr>
        <w:tc>
          <w:tcPr>
            <w:tcW w:w="433" w:type="pct"/>
            <w:noWrap/>
            <w:vAlign w:val="center"/>
          </w:tcPr>
          <w:p w14:paraId="589DAFF4"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Sheridan Institute of Higher Education</w:t>
            </w:r>
          </w:p>
        </w:tc>
        <w:tc>
          <w:tcPr>
            <w:tcW w:w="324" w:type="pct"/>
            <w:noWrap/>
            <w:vAlign w:val="center"/>
          </w:tcPr>
          <w:p w14:paraId="34740EDD"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96.6 (91.9, 97.0)</w:t>
            </w:r>
          </w:p>
        </w:tc>
        <w:tc>
          <w:tcPr>
            <w:tcW w:w="324" w:type="pct"/>
            <w:noWrap/>
            <w:vAlign w:val="center"/>
          </w:tcPr>
          <w:p w14:paraId="636B0B5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95.3 (90.9, 96.0)</w:t>
            </w:r>
          </w:p>
        </w:tc>
        <w:tc>
          <w:tcPr>
            <w:tcW w:w="314" w:type="pct"/>
            <w:noWrap/>
            <w:vAlign w:val="center"/>
          </w:tcPr>
          <w:p w14:paraId="1C9F5816"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81.0 (75.1, 84.2)</w:t>
            </w:r>
          </w:p>
        </w:tc>
        <w:tc>
          <w:tcPr>
            <w:tcW w:w="314" w:type="pct"/>
            <w:noWrap/>
            <w:vAlign w:val="center"/>
          </w:tcPr>
          <w:p w14:paraId="2802F60C"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84.4 (79.1, 86.9)</w:t>
            </w:r>
          </w:p>
        </w:tc>
        <w:tc>
          <w:tcPr>
            <w:tcW w:w="436" w:type="pct"/>
            <w:noWrap/>
            <w:vAlign w:val="center"/>
          </w:tcPr>
          <w:p w14:paraId="14A5EABA"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98.3 (94.0, 98.3)</w:t>
            </w:r>
          </w:p>
        </w:tc>
        <w:tc>
          <w:tcPr>
            <w:tcW w:w="436" w:type="pct"/>
            <w:noWrap/>
            <w:vAlign w:val="center"/>
          </w:tcPr>
          <w:p w14:paraId="3C2A962C"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96.9 (92.7, 97.2)</w:t>
            </w:r>
          </w:p>
        </w:tc>
        <w:tc>
          <w:tcPr>
            <w:tcW w:w="403" w:type="pct"/>
            <w:noWrap/>
            <w:vAlign w:val="center"/>
          </w:tcPr>
          <w:p w14:paraId="48CFDD17"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100.0 (96.1, 99.4)</w:t>
            </w:r>
          </w:p>
        </w:tc>
        <w:tc>
          <w:tcPr>
            <w:tcW w:w="403" w:type="pct"/>
            <w:noWrap/>
            <w:vAlign w:val="center"/>
          </w:tcPr>
          <w:p w14:paraId="6961A3A7"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98.3 (94.0, 98.4)</w:t>
            </w:r>
          </w:p>
        </w:tc>
        <w:tc>
          <w:tcPr>
            <w:tcW w:w="332" w:type="pct"/>
            <w:noWrap/>
            <w:vAlign w:val="center"/>
          </w:tcPr>
          <w:p w14:paraId="61D037E0"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93.1 (88.0, 94.4)</w:t>
            </w:r>
          </w:p>
        </w:tc>
        <w:tc>
          <w:tcPr>
            <w:tcW w:w="332" w:type="pct"/>
            <w:noWrap/>
            <w:vAlign w:val="center"/>
          </w:tcPr>
          <w:p w14:paraId="0BFC7008"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92.2 (87.4, 93.5)</w:t>
            </w:r>
          </w:p>
        </w:tc>
        <w:tc>
          <w:tcPr>
            <w:tcW w:w="474" w:type="pct"/>
            <w:noWrap/>
            <w:vAlign w:val="center"/>
          </w:tcPr>
          <w:p w14:paraId="6E62ACB5"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94.8 (89.9, 95.7)</w:t>
            </w:r>
          </w:p>
        </w:tc>
        <w:tc>
          <w:tcPr>
            <w:tcW w:w="474" w:type="pct"/>
            <w:noWrap/>
            <w:vAlign w:val="center"/>
          </w:tcPr>
          <w:p w14:paraId="5A8898BC" w14:textId="77777777" w:rsidR="00821227" w:rsidRPr="00217865" w:rsidRDefault="00821227" w:rsidP="00713E2F">
            <w:pPr>
              <w:pStyle w:val="Z"/>
              <w:spacing w:before="60" w:after="60"/>
              <w:jc w:val="center"/>
              <w:rPr>
                <w:b/>
                <w:bCs/>
                <w:color w:val="000000" w:themeColor="text1"/>
                <w:sz w:val="16"/>
                <w:szCs w:val="18"/>
              </w:rPr>
            </w:pPr>
            <w:r w:rsidRPr="00217865">
              <w:rPr>
                <w:color w:val="000000" w:themeColor="text1"/>
                <w:sz w:val="16"/>
                <w:szCs w:val="18"/>
              </w:rPr>
              <w:t>92.2 (87.4, 93.5)</w:t>
            </w:r>
          </w:p>
        </w:tc>
      </w:tr>
      <w:tr w:rsidR="00217865" w:rsidRPr="00217865" w14:paraId="5A9663AC" w14:textId="77777777" w:rsidTr="00684E82">
        <w:trPr>
          <w:trHeight w:val="62"/>
        </w:trPr>
        <w:tc>
          <w:tcPr>
            <w:tcW w:w="433" w:type="pct"/>
            <w:noWrap/>
            <w:vAlign w:val="center"/>
          </w:tcPr>
          <w:p w14:paraId="653217F0"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lastRenderedPageBreak/>
              <w:t>Southern Cross Education Institute (Higher Education)</w:t>
            </w:r>
          </w:p>
        </w:tc>
        <w:tc>
          <w:tcPr>
            <w:tcW w:w="324" w:type="pct"/>
            <w:noWrap/>
            <w:vAlign w:val="center"/>
          </w:tcPr>
          <w:p w14:paraId="4DCD36AA" w14:textId="3F3ED2A2"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54B707D9"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86.4 (79.3, 90.6)</w:t>
            </w:r>
          </w:p>
        </w:tc>
        <w:tc>
          <w:tcPr>
            <w:tcW w:w="314" w:type="pct"/>
            <w:noWrap/>
            <w:vAlign w:val="center"/>
          </w:tcPr>
          <w:p w14:paraId="0CB505D9" w14:textId="682379C0"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14" w:type="pct"/>
            <w:noWrap/>
            <w:vAlign w:val="center"/>
          </w:tcPr>
          <w:p w14:paraId="17AE0C8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90.1 (83.9, 93.4)</w:t>
            </w:r>
          </w:p>
        </w:tc>
        <w:tc>
          <w:tcPr>
            <w:tcW w:w="436" w:type="pct"/>
            <w:noWrap/>
            <w:vAlign w:val="center"/>
          </w:tcPr>
          <w:p w14:paraId="0B2387D0" w14:textId="34029FFB"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6D1DF83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83.1 (76.1, 87.7)</w:t>
            </w:r>
          </w:p>
        </w:tc>
        <w:tc>
          <w:tcPr>
            <w:tcW w:w="403" w:type="pct"/>
            <w:noWrap/>
            <w:vAlign w:val="center"/>
          </w:tcPr>
          <w:p w14:paraId="31C79ADD" w14:textId="63C022DE"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518CDE23"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75.0 (66.4, 81.4)</w:t>
            </w:r>
          </w:p>
        </w:tc>
        <w:tc>
          <w:tcPr>
            <w:tcW w:w="332" w:type="pct"/>
            <w:noWrap/>
            <w:vAlign w:val="center"/>
          </w:tcPr>
          <w:p w14:paraId="2432B3FE" w14:textId="5D0691D0"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32" w:type="pct"/>
            <w:noWrap/>
            <w:vAlign w:val="center"/>
          </w:tcPr>
          <w:p w14:paraId="482FD17E"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52.9 (45.1, 60.6)</w:t>
            </w:r>
          </w:p>
        </w:tc>
        <w:tc>
          <w:tcPr>
            <w:tcW w:w="474" w:type="pct"/>
            <w:noWrap/>
            <w:vAlign w:val="center"/>
          </w:tcPr>
          <w:p w14:paraId="6D84ADC8" w14:textId="6014B95E"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74" w:type="pct"/>
            <w:noWrap/>
            <w:vAlign w:val="center"/>
          </w:tcPr>
          <w:p w14:paraId="160BB7C9"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67.1 (59.4, 73.7)</w:t>
            </w:r>
          </w:p>
        </w:tc>
      </w:tr>
      <w:tr w:rsidR="00217865" w:rsidRPr="00217865" w14:paraId="5237F415" w14:textId="77777777" w:rsidTr="00684E82">
        <w:trPr>
          <w:trHeight w:val="62"/>
        </w:trPr>
        <w:tc>
          <w:tcPr>
            <w:tcW w:w="433" w:type="pct"/>
            <w:noWrap/>
            <w:vAlign w:val="center"/>
          </w:tcPr>
          <w:p w14:paraId="567AAC8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South Australian Institute of Business and Technology</w:t>
            </w:r>
          </w:p>
        </w:tc>
        <w:tc>
          <w:tcPr>
            <w:tcW w:w="324" w:type="pct"/>
            <w:noWrap/>
            <w:vAlign w:val="center"/>
          </w:tcPr>
          <w:p w14:paraId="3B39983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74.3 (69.9, 78.0)</w:t>
            </w:r>
          </w:p>
        </w:tc>
        <w:tc>
          <w:tcPr>
            <w:tcW w:w="324" w:type="pct"/>
            <w:noWrap/>
            <w:vAlign w:val="center"/>
          </w:tcPr>
          <w:p w14:paraId="2B91B31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82.6 (78.1, 86.0)</w:t>
            </w:r>
          </w:p>
        </w:tc>
        <w:tc>
          <w:tcPr>
            <w:tcW w:w="314" w:type="pct"/>
            <w:noWrap/>
            <w:vAlign w:val="center"/>
          </w:tcPr>
          <w:p w14:paraId="0F90B19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53.3 (48.8, 57.7)</w:t>
            </w:r>
          </w:p>
        </w:tc>
        <w:tc>
          <w:tcPr>
            <w:tcW w:w="314" w:type="pct"/>
            <w:noWrap/>
            <w:vAlign w:val="center"/>
          </w:tcPr>
          <w:p w14:paraId="3CFA53E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74.0 (69.3, 78.1)</w:t>
            </w:r>
          </w:p>
        </w:tc>
        <w:tc>
          <w:tcPr>
            <w:tcW w:w="436" w:type="pct"/>
            <w:noWrap/>
            <w:vAlign w:val="center"/>
          </w:tcPr>
          <w:p w14:paraId="6A70F75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79.3 (75.2, 82.7)</w:t>
            </w:r>
          </w:p>
        </w:tc>
        <w:tc>
          <w:tcPr>
            <w:tcW w:w="436" w:type="pct"/>
            <w:noWrap/>
            <w:vAlign w:val="center"/>
          </w:tcPr>
          <w:p w14:paraId="0ACEAB1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87.0 (83.0, 89.9)</w:t>
            </w:r>
          </w:p>
        </w:tc>
        <w:tc>
          <w:tcPr>
            <w:tcW w:w="403" w:type="pct"/>
            <w:noWrap/>
            <w:vAlign w:val="center"/>
          </w:tcPr>
          <w:p w14:paraId="35855D7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80.7 (76.5, 84.1)</w:t>
            </w:r>
          </w:p>
        </w:tc>
        <w:tc>
          <w:tcPr>
            <w:tcW w:w="403" w:type="pct"/>
            <w:noWrap/>
            <w:vAlign w:val="center"/>
          </w:tcPr>
          <w:p w14:paraId="585F006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85.3 (80.8, 88.6)</w:t>
            </w:r>
          </w:p>
        </w:tc>
        <w:tc>
          <w:tcPr>
            <w:tcW w:w="332" w:type="pct"/>
            <w:noWrap/>
            <w:vAlign w:val="center"/>
          </w:tcPr>
          <w:p w14:paraId="4F9F8AB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80.2 (75.7, 83.8)</w:t>
            </w:r>
          </w:p>
        </w:tc>
        <w:tc>
          <w:tcPr>
            <w:tcW w:w="332" w:type="pct"/>
            <w:noWrap/>
            <w:vAlign w:val="center"/>
          </w:tcPr>
          <w:p w14:paraId="369A899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85.5 (81.2, 88.6)</w:t>
            </w:r>
          </w:p>
        </w:tc>
        <w:tc>
          <w:tcPr>
            <w:tcW w:w="474" w:type="pct"/>
            <w:noWrap/>
            <w:vAlign w:val="center"/>
          </w:tcPr>
          <w:p w14:paraId="619E502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70.3 (65.9, 74.1)</w:t>
            </w:r>
          </w:p>
        </w:tc>
        <w:tc>
          <w:tcPr>
            <w:tcW w:w="474" w:type="pct"/>
            <w:noWrap/>
            <w:vAlign w:val="center"/>
          </w:tcPr>
          <w:p w14:paraId="11750B1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72.8 (68.0, 76.9)</w:t>
            </w:r>
          </w:p>
        </w:tc>
      </w:tr>
      <w:tr w:rsidR="00217865" w:rsidRPr="00217865" w14:paraId="23093F74" w14:textId="77777777" w:rsidTr="00684E82">
        <w:trPr>
          <w:trHeight w:val="62"/>
        </w:trPr>
        <w:tc>
          <w:tcPr>
            <w:tcW w:w="433" w:type="pct"/>
            <w:noWrap/>
            <w:vAlign w:val="center"/>
          </w:tcPr>
          <w:p w14:paraId="479BAB5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SP Jain School of Management</w:t>
            </w:r>
          </w:p>
        </w:tc>
        <w:tc>
          <w:tcPr>
            <w:tcW w:w="324" w:type="pct"/>
            <w:noWrap/>
            <w:vAlign w:val="center"/>
          </w:tcPr>
          <w:p w14:paraId="3A08D6B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89.4 (86.2, 91.4)</w:t>
            </w:r>
          </w:p>
        </w:tc>
        <w:tc>
          <w:tcPr>
            <w:tcW w:w="324" w:type="pct"/>
            <w:noWrap/>
            <w:vAlign w:val="center"/>
          </w:tcPr>
          <w:p w14:paraId="0020EC9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86.8 (84.4, 88.4)</w:t>
            </w:r>
          </w:p>
        </w:tc>
        <w:tc>
          <w:tcPr>
            <w:tcW w:w="314" w:type="pct"/>
            <w:noWrap/>
            <w:vAlign w:val="center"/>
          </w:tcPr>
          <w:p w14:paraId="0A22123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77.3 (73.5, 80.3)</w:t>
            </w:r>
          </w:p>
        </w:tc>
        <w:tc>
          <w:tcPr>
            <w:tcW w:w="314" w:type="pct"/>
            <w:noWrap/>
            <w:vAlign w:val="center"/>
          </w:tcPr>
          <w:p w14:paraId="5822616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86.3 (84.0, 88.0)</w:t>
            </w:r>
          </w:p>
        </w:tc>
        <w:tc>
          <w:tcPr>
            <w:tcW w:w="436" w:type="pct"/>
            <w:noWrap/>
            <w:vAlign w:val="center"/>
          </w:tcPr>
          <w:p w14:paraId="39FFEAA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82.6 (79.0, 85.1)</w:t>
            </w:r>
          </w:p>
        </w:tc>
        <w:tc>
          <w:tcPr>
            <w:tcW w:w="436" w:type="pct"/>
            <w:noWrap/>
            <w:vAlign w:val="center"/>
          </w:tcPr>
          <w:p w14:paraId="29D9DA5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82.2 (79.7, 84.1)</w:t>
            </w:r>
          </w:p>
        </w:tc>
        <w:tc>
          <w:tcPr>
            <w:tcW w:w="403" w:type="pct"/>
            <w:noWrap/>
            <w:vAlign w:val="center"/>
          </w:tcPr>
          <w:p w14:paraId="259A14F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81.9 (78.2, 84.7)</w:t>
            </w:r>
          </w:p>
        </w:tc>
        <w:tc>
          <w:tcPr>
            <w:tcW w:w="403" w:type="pct"/>
            <w:noWrap/>
            <w:vAlign w:val="center"/>
          </w:tcPr>
          <w:p w14:paraId="232448D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76.8 (74.0, 79.1)</w:t>
            </w:r>
          </w:p>
        </w:tc>
        <w:tc>
          <w:tcPr>
            <w:tcW w:w="332" w:type="pct"/>
            <w:noWrap/>
            <w:vAlign w:val="center"/>
          </w:tcPr>
          <w:p w14:paraId="420C120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71.3 (66.7, 75.2)</w:t>
            </w:r>
          </w:p>
        </w:tc>
        <w:tc>
          <w:tcPr>
            <w:tcW w:w="332" w:type="pct"/>
            <w:noWrap/>
            <w:vAlign w:val="center"/>
          </w:tcPr>
          <w:p w14:paraId="641CD59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70.0 (67.2, 72.5)</w:t>
            </w:r>
          </w:p>
        </w:tc>
        <w:tc>
          <w:tcPr>
            <w:tcW w:w="474" w:type="pct"/>
            <w:noWrap/>
            <w:vAlign w:val="center"/>
          </w:tcPr>
          <w:p w14:paraId="413BA28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72.1 (68.1, 75.4)</w:t>
            </w:r>
          </w:p>
        </w:tc>
        <w:tc>
          <w:tcPr>
            <w:tcW w:w="474" w:type="pct"/>
            <w:noWrap/>
            <w:vAlign w:val="center"/>
          </w:tcPr>
          <w:p w14:paraId="27D7F61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69.1 (66.3, 71.6)</w:t>
            </w:r>
          </w:p>
        </w:tc>
      </w:tr>
      <w:tr w:rsidR="00217865" w:rsidRPr="00217865" w14:paraId="2277A760" w14:textId="77777777" w:rsidTr="00684E82">
        <w:trPr>
          <w:trHeight w:val="62"/>
        </w:trPr>
        <w:tc>
          <w:tcPr>
            <w:tcW w:w="433" w:type="pct"/>
            <w:noWrap/>
            <w:vAlign w:val="center"/>
          </w:tcPr>
          <w:p w14:paraId="34D41038"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Stanley College</w:t>
            </w:r>
          </w:p>
        </w:tc>
        <w:tc>
          <w:tcPr>
            <w:tcW w:w="324" w:type="pct"/>
            <w:noWrap/>
            <w:vAlign w:val="center"/>
          </w:tcPr>
          <w:p w14:paraId="467F0E5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86.7 (77.7, 91.5)</w:t>
            </w:r>
          </w:p>
        </w:tc>
        <w:tc>
          <w:tcPr>
            <w:tcW w:w="324" w:type="pct"/>
            <w:noWrap/>
            <w:vAlign w:val="center"/>
          </w:tcPr>
          <w:p w14:paraId="1355B27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89.5 (85.0, 92.4)</w:t>
            </w:r>
          </w:p>
        </w:tc>
        <w:tc>
          <w:tcPr>
            <w:tcW w:w="314" w:type="pct"/>
            <w:noWrap/>
            <w:vAlign w:val="center"/>
          </w:tcPr>
          <w:p w14:paraId="59AD368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(75.2, 89.8)</w:t>
            </w:r>
          </w:p>
        </w:tc>
        <w:tc>
          <w:tcPr>
            <w:tcW w:w="314" w:type="pct"/>
            <w:noWrap/>
            <w:vAlign w:val="center"/>
          </w:tcPr>
          <w:p w14:paraId="6512DAE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83.2 (78.3, 86.8)</w:t>
            </w:r>
          </w:p>
        </w:tc>
        <w:tc>
          <w:tcPr>
            <w:tcW w:w="436" w:type="pct"/>
            <w:noWrap/>
            <w:vAlign w:val="center"/>
          </w:tcPr>
          <w:p w14:paraId="1F657AC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93.3 (85.4, 96.4)</w:t>
            </w:r>
          </w:p>
        </w:tc>
        <w:tc>
          <w:tcPr>
            <w:tcW w:w="436" w:type="pct"/>
            <w:noWrap/>
            <w:vAlign w:val="center"/>
          </w:tcPr>
          <w:p w14:paraId="1325205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89.1 (84.7, 92.0)</w:t>
            </w:r>
          </w:p>
        </w:tc>
        <w:tc>
          <w:tcPr>
            <w:tcW w:w="403" w:type="pct"/>
            <w:noWrap/>
            <w:vAlign w:val="center"/>
          </w:tcPr>
          <w:p w14:paraId="12561B2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72.1 (61.8, 79.8)</w:t>
            </w:r>
          </w:p>
        </w:tc>
        <w:tc>
          <w:tcPr>
            <w:tcW w:w="403" w:type="pct"/>
            <w:noWrap/>
            <w:vAlign w:val="center"/>
          </w:tcPr>
          <w:p w14:paraId="0C5C321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83.1 (77.7, 86.9)</w:t>
            </w:r>
          </w:p>
        </w:tc>
        <w:tc>
          <w:tcPr>
            <w:tcW w:w="332" w:type="pct"/>
            <w:noWrap/>
            <w:vAlign w:val="center"/>
          </w:tcPr>
          <w:p w14:paraId="47FB239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73.3 (63.4, 80.6)</w:t>
            </w:r>
          </w:p>
        </w:tc>
        <w:tc>
          <w:tcPr>
            <w:tcW w:w="332" w:type="pct"/>
            <w:noWrap/>
            <w:vAlign w:val="center"/>
          </w:tcPr>
          <w:p w14:paraId="0890C29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72.6 (66.8, 77.3)</w:t>
            </w:r>
          </w:p>
        </w:tc>
        <w:tc>
          <w:tcPr>
            <w:tcW w:w="474" w:type="pct"/>
            <w:noWrap/>
            <w:vAlign w:val="center"/>
          </w:tcPr>
          <w:p w14:paraId="34856B2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82.2 (72.8, 88.0)</w:t>
            </w:r>
          </w:p>
        </w:tc>
        <w:tc>
          <w:tcPr>
            <w:tcW w:w="474" w:type="pct"/>
            <w:noWrap/>
            <w:vAlign w:val="center"/>
          </w:tcPr>
          <w:p w14:paraId="7D6B8FC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83.2 (78.3, 86.8)</w:t>
            </w:r>
          </w:p>
        </w:tc>
      </w:tr>
      <w:tr w:rsidR="00217865" w:rsidRPr="00217865" w14:paraId="166D2586" w14:textId="77777777" w:rsidTr="00684E82">
        <w:trPr>
          <w:trHeight w:val="62"/>
        </w:trPr>
        <w:tc>
          <w:tcPr>
            <w:tcW w:w="433" w:type="pct"/>
            <w:noWrap/>
            <w:vAlign w:val="center"/>
          </w:tcPr>
          <w:p w14:paraId="635CDEDF"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Stott's College</w:t>
            </w:r>
          </w:p>
        </w:tc>
        <w:tc>
          <w:tcPr>
            <w:tcW w:w="324" w:type="pct"/>
            <w:noWrap/>
            <w:vAlign w:val="center"/>
          </w:tcPr>
          <w:p w14:paraId="7CDEF86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89.6 (88.1, 90.9)</w:t>
            </w:r>
          </w:p>
        </w:tc>
        <w:tc>
          <w:tcPr>
            <w:tcW w:w="324" w:type="pct"/>
            <w:noWrap/>
            <w:vAlign w:val="center"/>
          </w:tcPr>
          <w:p w14:paraId="10ECC77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90.6 (89.5, 91.6)</w:t>
            </w:r>
          </w:p>
        </w:tc>
        <w:tc>
          <w:tcPr>
            <w:tcW w:w="314" w:type="pct"/>
            <w:noWrap/>
            <w:vAlign w:val="center"/>
          </w:tcPr>
          <w:p w14:paraId="66ACC25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71.7 (69.6, 73.6)</w:t>
            </w:r>
          </w:p>
        </w:tc>
        <w:tc>
          <w:tcPr>
            <w:tcW w:w="314" w:type="pct"/>
            <w:noWrap/>
            <w:vAlign w:val="center"/>
          </w:tcPr>
          <w:p w14:paraId="0CA7B66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81.0 (79.6, 82.3)</w:t>
            </w:r>
          </w:p>
        </w:tc>
        <w:tc>
          <w:tcPr>
            <w:tcW w:w="436" w:type="pct"/>
            <w:noWrap/>
            <w:vAlign w:val="center"/>
          </w:tcPr>
          <w:p w14:paraId="190E705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84.7 (82.9, 86.2)</w:t>
            </w:r>
          </w:p>
        </w:tc>
        <w:tc>
          <w:tcPr>
            <w:tcW w:w="436" w:type="pct"/>
            <w:noWrap/>
            <w:vAlign w:val="center"/>
          </w:tcPr>
          <w:p w14:paraId="59F9171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86.0 (84.7, 87.1)</w:t>
            </w:r>
          </w:p>
        </w:tc>
        <w:tc>
          <w:tcPr>
            <w:tcW w:w="403" w:type="pct"/>
            <w:noWrap/>
            <w:vAlign w:val="center"/>
          </w:tcPr>
          <w:p w14:paraId="43F7CAD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76.7 (74.6, 78.6)</w:t>
            </w:r>
          </w:p>
        </w:tc>
        <w:tc>
          <w:tcPr>
            <w:tcW w:w="403" w:type="pct"/>
            <w:noWrap/>
            <w:vAlign w:val="center"/>
          </w:tcPr>
          <w:p w14:paraId="142E3D4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76.8 (75.2, 78.4)</w:t>
            </w:r>
          </w:p>
        </w:tc>
        <w:tc>
          <w:tcPr>
            <w:tcW w:w="332" w:type="pct"/>
            <w:noWrap/>
            <w:vAlign w:val="center"/>
          </w:tcPr>
          <w:p w14:paraId="4CF1A11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65.8 (63.6, 68.0)</w:t>
            </w:r>
          </w:p>
        </w:tc>
        <w:tc>
          <w:tcPr>
            <w:tcW w:w="332" w:type="pct"/>
            <w:noWrap/>
            <w:vAlign w:val="center"/>
          </w:tcPr>
          <w:p w14:paraId="6CBDB01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65.5 (63.8, 67.2)</w:t>
            </w:r>
          </w:p>
        </w:tc>
        <w:tc>
          <w:tcPr>
            <w:tcW w:w="474" w:type="pct"/>
            <w:noWrap/>
            <w:vAlign w:val="center"/>
          </w:tcPr>
          <w:p w14:paraId="4419602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74.1 (72.1, 76.0)</w:t>
            </w:r>
          </w:p>
        </w:tc>
        <w:tc>
          <w:tcPr>
            <w:tcW w:w="474" w:type="pct"/>
            <w:noWrap/>
            <w:vAlign w:val="center"/>
          </w:tcPr>
          <w:p w14:paraId="1C8ADDD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76.4 (74.9, 77.8)</w:t>
            </w:r>
          </w:p>
        </w:tc>
      </w:tr>
      <w:tr w:rsidR="00217865" w:rsidRPr="00217865" w14:paraId="2129BC1C" w14:textId="77777777" w:rsidTr="00684E82">
        <w:trPr>
          <w:trHeight w:val="62"/>
        </w:trPr>
        <w:tc>
          <w:tcPr>
            <w:tcW w:w="433" w:type="pct"/>
            <w:noWrap/>
            <w:vAlign w:val="center"/>
          </w:tcPr>
          <w:p w14:paraId="6A01D6EF"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Sydney Institute of Business and Technology</w:t>
            </w:r>
          </w:p>
        </w:tc>
        <w:tc>
          <w:tcPr>
            <w:tcW w:w="324" w:type="pct"/>
            <w:noWrap/>
            <w:vAlign w:val="center"/>
          </w:tcPr>
          <w:p w14:paraId="639F739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84.5 (78.9, 88.2)</w:t>
            </w:r>
          </w:p>
        </w:tc>
        <w:tc>
          <w:tcPr>
            <w:tcW w:w="324" w:type="pct"/>
            <w:noWrap/>
            <w:vAlign w:val="center"/>
          </w:tcPr>
          <w:p w14:paraId="7722C08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87.7 (81.3, 91.3)</w:t>
            </w:r>
          </w:p>
        </w:tc>
        <w:tc>
          <w:tcPr>
            <w:tcW w:w="314" w:type="pct"/>
            <w:noWrap/>
            <w:vAlign w:val="center"/>
          </w:tcPr>
          <w:p w14:paraId="0B41A06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54.3 (48.0, 60.4)</w:t>
            </w:r>
          </w:p>
        </w:tc>
        <w:tc>
          <w:tcPr>
            <w:tcW w:w="314" w:type="pct"/>
            <w:noWrap/>
            <w:vAlign w:val="center"/>
          </w:tcPr>
          <w:p w14:paraId="6FB2D49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63.6 (56.5, 69.9)</w:t>
            </w:r>
          </w:p>
        </w:tc>
        <w:tc>
          <w:tcPr>
            <w:tcW w:w="436" w:type="pct"/>
            <w:noWrap/>
            <w:vAlign w:val="center"/>
          </w:tcPr>
          <w:p w14:paraId="3A92DB3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83.0 (77.5, 86.9)</w:t>
            </w:r>
          </w:p>
        </w:tc>
        <w:tc>
          <w:tcPr>
            <w:tcW w:w="436" w:type="pct"/>
            <w:noWrap/>
            <w:vAlign w:val="center"/>
          </w:tcPr>
          <w:p w14:paraId="2EF144C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89.5 (83.6, 92.7)</w:t>
            </w:r>
          </w:p>
        </w:tc>
        <w:tc>
          <w:tcPr>
            <w:tcW w:w="403" w:type="pct"/>
            <w:noWrap/>
            <w:vAlign w:val="center"/>
          </w:tcPr>
          <w:p w14:paraId="78E8075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84.7 (78.9, 88.6)</w:t>
            </w:r>
          </w:p>
        </w:tc>
        <w:tc>
          <w:tcPr>
            <w:tcW w:w="403" w:type="pct"/>
            <w:noWrap/>
            <w:vAlign w:val="center"/>
          </w:tcPr>
          <w:p w14:paraId="786E834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87.3 (80.8, 91.1)</w:t>
            </w:r>
          </w:p>
        </w:tc>
        <w:tc>
          <w:tcPr>
            <w:tcW w:w="332" w:type="pct"/>
            <w:noWrap/>
            <w:vAlign w:val="center"/>
          </w:tcPr>
          <w:p w14:paraId="42AEF93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78.2 (71.3, 83.3)</w:t>
            </w:r>
          </w:p>
        </w:tc>
        <w:tc>
          <w:tcPr>
            <w:tcW w:w="332" w:type="pct"/>
            <w:noWrap/>
            <w:vAlign w:val="center"/>
          </w:tcPr>
          <w:p w14:paraId="4D9B4BE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88.9 (82.6, 92.3)</w:t>
            </w:r>
          </w:p>
        </w:tc>
        <w:tc>
          <w:tcPr>
            <w:tcW w:w="474" w:type="pct"/>
            <w:noWrap/>
            <w:vAlign w:val="center"/>
          </w:tcPr>
          <w:p w14:paraId="59BCD5F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81.0 (75.2, 85.1)</w:t>
            </w:r>
          </w:p>
        </w:tc>
        <w:tc>
          <w:tcPr>
            <w:tcW w:w="474" w:type="pct"/>
            <w:noWrap/>
            <w:vAlign w:val="center"/>
          </w:tcPr>
          <w:p w14:paraId="3C68F27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(78.1, 88.4)</w:t>
            </w:r>
          </w:p>
        </w:tc>
      </w:tr>
      <w:tr w:rsidR="00217865" w:rsidRPr="00217865" w14:paraId="727246EE" w14:textId="77777777" w:rsidTr="00684E82">
        <w:trPr>
          <w:trHeight w:val="62"/>
        </w:trPr>
        <w:tc>
          <w:tcPr>
            <w:tcW w:w="433" w:type="pct"/>
            <w:noWrap/>
            <w:vAlign w:val="center"/>
          </w:tcPr>
          <w:p w14:paraId="5922369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TAFE NSW</w:t>
            </w:r>
          </w:p>
        </w:tc>
        <w:tc>
          <w:tcPr>
            <w:tcW w:w="324" w:type="pct"/>
            <w:noWrap/>
            <w:vAlign w:val="center"/>
          </w:tcPr>
          <w:p w14:paraId="1095367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82.9 (81.0, 84.6)</w:t>
            </w:r>
          </w:p>
        </w:tc>
        <w:tc>
          <w:tcPr>
            <w:tcW w:w="324" w:type="pct"/>
            <w:noWrap/>
            <w:vAlign w:val="center"/>
          </w:tcPr>
          <w:p w14:paraId="475662F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(82.5, 86.0)</w:t>
            </w:r>
          </w:p>
        </w:tc>
        <w:tc>
          <w:tcPr>
            <w:tcW w:w="314" w:type="pct"/>
            <w:noWrap/>
            <w:vAlign w:val="center"/>
          </w:tcPr>
          <w:p w14:paraId="5820913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56.1 (53.8, 58.4)</w:t>
            </w:r>
          </w:p>
        </w:tc>
        <w:tc>
          <w:tcPr>
            <w:tcW w:w="314" w:type="pct"/>
            <w:noWrap/>
            <w:vAlign w:val="center"/>
          </w:tcPr>
          <w:p w14:paraId="7470279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65.3 (63.0, 67.4)</w:t>
            </w:r>
          </w:p>
        </w:tc>
        <w:tc>
          <w:tcPr>
            <w:tcW w:w="436" w:type="pct"/>
            <w:noWrap/>
            <w:vAlign w:val="center"/>
          </w:tcPr>
          <w:p w14:paraId="0DAB138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75.6 (73.5, 77.5)</w:t>
            </w:r>
          </w:p>
        </w:tc>
        <w:tc>
          <w:tcPr>
            <w:tcW w:w="436" w:type="pct"/>
            <w:noWrap/>
            <w:vAlign w:val="center"/>
          </w:tcPr>
          <w:p w14:paraId="77184BA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79.6 (77.6, 81.4)</w:t>
            </w:r>
          </w:p>
        </w:tc>
        <w:tc>
          <w:tcPr>
            <w:tcW w:w="403" w:type="pct"/>
            <w:noWrap/>
            <w:vAlign w:val="center"/>
          </w:tcPr>
          <w:p w14:paraId="7A1B0EF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69.8 (67.5, 72.0)</w:t>
            </w:r>
          </w:p>
        </w:tc>
        <w:tc>
          <w:tcPr>
            <w:tcW w:w="403" w:type="pct"/>
            <w:noWrap/>
            <w:vAlign w:val="center"/>
          </w:tcPr>
          <w:p w14:paraId="7B194CA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72.3 (69.9, 74.4)</w:t>
            </w:r>
          </w:p>
        </w:tc>
        <w:tc>
          <w:tcPr>
            <w:tcW w:w="332" w:type="pct"/>
            <w:noWrap/>
            <w:vAlign w:val="center"/>
          </w:tcPr>
          <w:p w14:paraId="149D99E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61.2 (58.7, 63.5)</w:t>
            </w:r>
          </w:p>
        </w:tc>
        <w:tc>
          <w:tcPr>
            <w:tcW w:w="332" w:type="pct"/>
            <w:noWrap/>
            <w:vAlign w:val="center"/>
          </w:tcPr>
          <w:p w14:paraId="7D26E00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66.1 (63.7, 68.3)</w:t>
            </w:r>
          </w:p>
        </w:tc>
        <w:tc>
          <w:tcPr>
            <w:tcW w:w="474" w:type="pct"/>
            <w:noWrap/>
            <w:vAlign w:val="center"/>
          </w:tcPr>
          <w:p w14:paraId="576E537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69.4 (67.1, 71.4)</w:t>
            </w:r>
          </w:p>
        </w:tc>
        <w:tc>
          <w:tcPr>
            <w:tcW w:w="474" w:type="pct"/>
            <w:noWrap/>
            <w:vAlign w:val="center"/>
          </w:tcPr>
          <w:p w14:paraId="3E843F0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73.6 (71.4, 75.5)</w:t>
            </w:r>
          </w:p>
        </w:tc>
      </w:tr>
      <w:tr w:rsidR="00217865" w:rsidRPr="00217865" w14:paraId="36DBAD6D" w14:textId="77777777" w:rsidTr="00684E82">
        <w:trPr>
          <w:trHeight w:val="62"/>
        </w:trPr>
        <w:tc>
          <w:tcPr>
            <w:tcW w:w="433" w:type="pct"/>
            <w:noWrap/>
            <w:vAlign w:val="center"/>
          </w:tcPr>
          <w:p w14:paraId="2518076F"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TAFE Queensland</w:t>
            </w:r>
          </w:p>
        </w:tc>
        <w:tc>
          <w:tcPr>
            <w:tcW w:w="324" w:type="pct"/>
            <w:noWrap/>
            <w:vAlign w:val="center"/>
          </w:tcPr>
          <w:p w14:paraId="25E1E14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(76.9, 89.1)</w:t>
            </w:r>
          </w:p>
        </w:tc>
        <w:tc>
          <w:tcPr>
            <w:tcW w:w="324" w:type="pct"/>
            <w:noWrap/>
            <w:vAlign w:val="center"/>
          </w:tcPr>
          <w:p w14:paraId="658B295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78.4 (71.0, 83.8)</w:t>
            </w:r>
          </w:p>
        </w:tc>
        <w:tc>
          <w:tcPr>
            <w:tcW w:w="314" w:type="pct"/>
            <w:noWrap/>
            <w:vAlign w:val="center"/>
          </w:tcPr>
          <w:p w14:paraId="26BEE22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78.8 (71.1, 84.3)</w:t>
            </w:r>
          </w:p>
        </w:tc>
        <w:tc>
          <w:tcPr>
            <w:tcW w:w="314" w:type="pct"/>
            <w:noWrap/>
            <w:vAlign w:val="center"/>
          </w:tcPr>
          <w:p w14:paraId="03F7A8D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77.6 (70.3, 83.0)</w:t>
            </w:r>
          </w:p>
        </w:tc>
        <w:tc>
          <w:tcPr>
            <w:tcW w:w="436" w:type="pct"/>
            <w:noWrap/>
            <w:vAlign w:val="center"/>
          </w:tcPr>
          <w:p w14:paraId="4F145D4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86.4 (79.3, 90.6)</w:t>
            </w:r>
          </w:p>
        </w:tc>
        <w:tc>
          <w:tcPr>
            <w:tcW w:w="436" w:type="pct"/>
            <w:noWrap/>
            <w:vAlign w:val="center"/>
          </w:tcPr>
          <w:p w14:paraId="5B4B303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81.6 (74.5, 86.5)</w:t>
            </w:r>
          </w:p>
        </w:tc>
        <w:tc>
          <w:tcPr>
            <w:tcW w:w="403" w:type="pct"/>
            <w:noWrap/>
            <w:vAlign w:val="center"/>
          </w:tcPr>
          <w:p w14:paraId="6E860D3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80.6 (72.6, 86.1)</w:t>
            </w:r>
          </w:p>
        </w:tc>
        <w:tc>
          <w:tcPr>
            <w:tcW w:w="403" w:type="pct"/>
            <w:noWrap/>
            <w:vAlign w:val="center"/>
          </w:tcPr>
          <w:p w14:paraId="27B4EEC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76.1 (68.0, 82.2)</w:t>
            </w:r>
          </w:p>
        </w:tc>
        <w:tc>
          <w:tcPr>
            <w:tcW w:w="332" w:type="pct"/>
            <w:noWrap/>
            <w:vAlign w:val="center"/>
          </w:tcPr>
          <w:p w14:paraId="6338804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83.1 (75.6, 87.9)</w:t>
            </w:r>
          </w:p>
        </w:tc>
        <w:tc>
          <w:tcPr>
            <w:tcW w:w="332" w:type="pct"/>
            <w:noWrap/>
            <w:vAlign w:val="center"/>
          </w:tcPr>
          <w:p w14:paraId="099E5B5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80.0 (72.8, 85.2)</w:t>
            </w:r>
          </w:p>
        </w:tc>
        <w:tc>
          <w:tcPr>
            <w:tcW w:w="474" w:type="pct"/>
            <w:noWrap/>
            <w:vAlign w:val="center"/>
          </w:tcPr>
          <w:p w14:paraId="1B23FFB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87.9 (81.0, 91.8)</w:t>
            </w:r>
          </w:p>
        </w:tc>
        <w:tc>
          <w:tcPr>
            <w:tcW w:w="474" w:type="pct"/>
            <w:noWrap/>
            <w:vAlign w:val="center"/>
          </w:tcPr>
          <w:p w14:paraId="4F16C04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80.3 (73.1, 85.3)</w:t>
            </w:r>
          </w:p>
        </w:tc>
      </w:tr>
      <w:tr w:rsidR="00217865" w:rsidRPr="00217865" w14:paraId="2BF8ED6D" w14:textId="77777777" w:rsidTr="00684E82">
        <w:trPr>
          <w:trHeight w:val="62"/>
        </w:trPr>
        <w:tc>
          <w:tcPr>
            <w:tcW w:w="433" w:type="pct"/>
            <w:noWrap/>
            <w:vAlign w:val="center"/>
          </w:tcPr>
          <w:p w14:paraId="24990092"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TAFE South Australia</w:t>
            </w:r>
          </w:p>
        </w:tc>
        <w:tc>
          <w:tcPr>
            <w:tcW w:w="324" w:type="pct"/>
            <w:noWrap/>
            <w:vAlign w:val="center"/>
          </w:tcPr>
          <w:p w14:paraId="1CB7AFF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84.4 (78.2, 88.7)</w:t>
            </w:r>
          </w:p>
        </w:tc>
        <w:tc>
          <w:tcPr>
            <w:tcW w:w="324" w:type="pct"/>
            <w:noWrap/>
            <w:vAlign w:val="center"/>
          </w:tcPr>
          <w:p w14:paraId="4DE56E4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87.0 (81.4, 90.6)</w:t>
            </w:r>
          </w:p>
        </w:tc>
        <w:tc>
          <w:tcPr>
            <w:tcW w:w="314" w:type="pct"/>
            <w:noWrap/>
            <w:vAlign w:val="center"/>
          </w:tcPr>
          <w:p w14:paraId="75C5007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70.2 (63.3, 76.0)</w:t>
            </w:r>
          </w:p>
        </w:tc>
        <w:tc>
          <w:tcPr>
            <w:tcW w:w="314" w:type="pct"/>
            <w:noWrap/>
            <w:vAlign w:val="center"/>
          </w:tcPr>
          <w:p w14:paraId="21B0EC6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74.0 (67.8, 79.1)</w:t>
            </w:r>
          </w:p>
        </w:tc>
        <w:tc>
          <w:tcPr>
            <w:tcW w:w="436" w:type="pct"/>
            <w:noWrap/>
            <w:vAlign w:val="center"/>
          </w:tcPr>
          <w:p w14:paraId="1B6993A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80.2 (73.6, 85.1)</w:t>
            </w:r>
          </w:p>
        </w:tc>
        <w:tc>
          <w:tcPr>
            <w:tcW w:w="436" w:type="pct"/>
            <w:noWrap/>
            <w:vAlign w:val="center"/>
          </w:tcPr>
          <w:p w14:paraId="3C52CAB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83.3 (77.5, 87.4)</w:t>
            </w:r>
          </w:p>
        </w:tc>
        <w:tc>
          <w:tcPr>
            <w:tcW w:w="403" w:type="pct"/>
            <w:noWrap/>
            <w:vAlign w:val="center"/>
          </w:tcPr>
          <w:p w14:paraId="4F37557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84.7 (78.2, 89.1)</w:t>
            </w:r>
          </w:p>
        </w:tc>
        <w:tc>
          <w:tcPr>
            <w:tcW w:w="403" w:type="pct"/>
            <w:noWrap/>
            <w:vAlign w:val="center"/>
          </w:tcPr>
          <w:p w14:paraId="18D5F27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85.6 (79.7, 89.5)</w:t>
            </w:r>
          </w:p>
        </w:tc>
        <w:tc>
          <w:tcPr>
            <w:tcW w:w="332" w:type="pct"/>
            <w:noWrap/>
            <w:vAlign w:val="center"/>
          </w:tcPr>
          <w:p w14:paraId="62C4C42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76.7 (69.8, 82.0)</w:t>
            </w:r>
          </w:p>
        </w:tc>
        <w:tc>
          <w:tcPr>
            <w:tcW w:w="332" w:type="pct"/>
            <w:noWrap/>
            <w:vAlign w:val="center"/>
          </w:tcPr>
          <w:p w14:paraId="31A714F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76.8 (70.4, 81.7)</w:t>
            </w:r>
          </w:p>
        </w:tc>
        <w:tc>
          <w:tcPr>
            <w:tcW w:w="474" w:type="pct"/>
            <w:noWrap/>
            <w:vAlign w:val="center"/>
          </w:tcPr>
          <w:p w14:paraId="71DB418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78.7 (72.2, 83.6)</w:t>
            </w:r>
          </w:p>
        </w:tc>
        <w:tc>
          <w:tcPr>
            <w:tcW w:w="474" w:type="pct"/>
            <w:noWrap/>
            <w:vAlign w:val="center"/>
          </w:tcPr>
          <w:p w14:paraId="036DF26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73.1 (66.8, 78.2)</w:t>
            </w:r>
          </w:p>
        </w:tc>
      </w:tr>
      <w:tr w:rsidR="00217865" w:rsidRPr="00217865" w14:paraId="3AC04B2E" w14:textId="77777777" w:rsidTr="00684E82">
        <w:trPr>
          <w:trHeight w:val="62"/>
        </w:trPr>
        <w:tc>
          <w:tcPr>
            <w:tcW w:w="433" w:type="pct"/>
            <w:noWrap/>
            <w:vAlign w:val="center"/>
          </w:tcPr>
          <w:p w14:paraId="26A99F8C"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The Australian Institute of Music</w:t>
            </w:r>
          </w:p>
        </w:tc>
        <w:tc>
          <w:tcPr>
            <w:tcW w:w="324" w:type="pct"/>
            <w:noWrap/>
            <w:vAlign w:val="center"/>
          </w:tcPr>
          <w:p w14:paraId="545A739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80.0 (73.6, 84.7)</w:t>
            </w:r>
          </w:p>
        </w:tc>
        <w:tc>
          <w:tcPr>
            <w:tcW w:w="324" w:type="pct"/>
            <w:noWrap/>
            <w:vAlign w:val="center"/>
          </w:tcPr>
          <w:p w14:paraId="2D10FE0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85.2 (77.3, 90.2)</w:t>
            </w:r>
          </w:p>
        </w:tc>
        <w:tc>
          <w:tcPr>
            <w:tcW w:w="314" w:type="pct"/>
            <w:noWrap/>
            <w:vAlign w:val="center"/>
          </w:tcPr>
          <w:p w14:paraId="7FEE701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59.0 (52.3, 65.3)</w:t>
            </w:r>
          </w:p>
        </w:tc>
        <w:tc>
          <w:tcPr>
            <w:tcW w:w="314" w:type="pct"/>
            <w:noWrap/>
            <w:vAlign w:val="center"/>
          </w:tcPr>
          <w:p w14:paraId="7950085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68.3 (59.5, 75.5)</w:t>
            </w:r>
          </w:p>
        </w:tc>
        <w:tc>
          <w:tcPr>
            <w:tcW w:w="436" w:type="pct"/>
            <w:noWrap/>
            <w:vAlign w:val="center"/>
          </w:tcPr>
          <w:p w14:paraId="0E5DAD2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80.6 (74.4, 85.2)</w:t>
            </w:r>
          </w:p>
        </w:tc>
        <w:tc>
          <w:tcPr>
            <w:tcW w:w="436" w:type="pct"/>
            <w:noWrap/>
            <w:vAlign w:val="center"/>
          </w:tcPr>
          <w:p w14:paraId="3AC7A0A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85.2 (77.3, 90.2)</w:t>
            </w:r>
          </w:p>
        </w:tc>
        <w:tc>
          <w:tcPr>
            <w:tcW w:w="403" w:type="pct"/>
            <w:noWrap/>
            <w:vAlign w:val="center"/>
          </w:tcPr>
          <w:p w14:paraId="176A31E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83.7 (77.4, 88.0)</w:t>
            </w:r>
          </w:p>
        </w:tc>
        <w:tc>
          <w:tcPr>
            <w:tcW w:w="403" w:type="pct"/>
            <w:noWrap/>
            <w:vAlign w:val="center"/>
          </w:tcPr>
          <w:p w14:paraId="600A517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70.9 (61.4, 78.5)</w:t>
            </w:r>
          </w:p>
        </w:tc>
        <w:tc>
          <w:tcPr>
            <w:tcW w:w="332" w:type="pct"/>
            <w:noWrap/>
            <w:vAlign w:val="center"/>
          </w:tcPr>
          <w:p w14:paraId="06E3886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75.3 (67.8, 81.2)</w:t>
            </w:r>
          </w:p>
        </w:tc>
        <w:tc>
          <w:tcPr>
            <w:tcW w:w="332" w:type="pct"/>
            <w:noWrap/>
            <w:vAlign w:val="center"/>
          </w:tcPr>
          <w:p w14:paraId="61F40F1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74.6 (65.6, 81.4)</w:t>
            </w:r>
          </w:p>
        </w:tc>
        <w:tc>
          <w:tcPr>
            <w:tcW w:w="474" w:type="pct"/>
            <w:noWrap/>
            <w:vAlign w:val="center"/>
          </w:tcPr>
          <w:p w14:paraId="6AF49A8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68.0 (61.3, 73.7)</w:t>
            </w:r>
          </w:p>
        </w:tc>
        <w:tc>
          <w:tcPr>
            <w:tcW w:w="474" w:type="pct"/>
            <w:noWrap/>
            <w:vAlign w:val="center"/>
          </w:tcPr>
          <w:p w14:paraId="44D8584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73.0 (64.4, 79.7)</w:t>
            </w:r>
          </w:p>
        </w:tc>
      </w:tr>
      <w:tr w:rsidR="00217865" w:rsidRPr="00217865" w14:paraId="621DB82D" w14:textId="77777777" w:rsidTr="00684E82">
        <w:trPr>
          <w:trHeight w:val="62"/>
        </w:trPr>
        <w:tc>
          <w:tcPr>
            <w:tcW w:w="433" w:type="pct"/>
            <w:noWrap/>
            <w:vAlign w:val="center"/>
          </w:tcPr>
          <w:p w14:paraId="294826A3"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The JMC Academy</w:t>
            </w:r>
          </w:p>
        </w:tc>
        <w:tc>
          <w:tcPr>
            <w:tcW w:w="324" w:type="pct"/>
            <w:noWrap/>
            <w:vAlign w:val="center"/>
          </w:tcPr>
          <w:p w14:paraId="4FFF0F5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86.2 (81.5, 89.3)</w:t>
            </w:r>
          </w:p>
        </w:tc>
        <w:tc>
          <w:tcPr>
            <w:tcW w:w="324" w:type="pct"/>
            <w:noWrap/>
            <w:vAlign w:val="center"/>
          </w:tcPr>
          <w:p w14:paraId="06FD159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87.7 (83.7, 90.3)</w:t>
            </w:r>
          </w:p>
        </w:tc>
        <w:tc>
          <w:tcPr>
            <w:tcW w:w="314" w:type="pct"/>
            <w:noWrap/>
            <w:vAlign w:val="center"/>
          </w:tcPr>
          <w:p w14:paraId="3631FB2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62.2 (56.7, 67.1)</w:t>
            </w:r>
          </w:p>
        </w:tc>
        <w:tc>
          <w:tcPr>
            <w:tcW w:w="314" w:type="pct"/>
            <w:noWrap/>
            <w:vAlign w:val="center"/>
          </w:tcPr>
          <w:p w14:paraId="367DC57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68.9 (64.1, 73.0)</w:t>
            </w:r>
          </w:p>
        </w:tc>
        <w:tc>
          <w:tcPr>
            <w:tcW w:w="436" w:type="pct"/>
            <w:noWrap/>
            <w:vAlign w:val="center"/>
          </w:tcPr>
          <w:p w14:paraId="120D311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88.1 (83.7, 90.9)</w:t>
            </w:r>
          </w:p>
        </w:tc>
        <w:tc>
          <w:tcPr>
            <w:tcW w:w="436" w:type="pct"/>
            <w:noWrap/>
            <w:vAlign w:val="center"/>
          </w:tcPr>
          <w:p w14:paraId="1F20DE1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85.9 (81.8, 88.7)</w:t>
            </w:r>
          </w:p>
        </w:tc>
        <w:tc>
          <w:tcPr>
            <w:tcW w:w="403" w:type="pct"/>
            <w:noWrap/>
            <w:vAlign w:val="center"/>
          </w:tcPr>
          <w:p w14:paraId="4AF46AE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85.3 (80.3, 88.7)</w:t>
            </w:r>
          </w:p>
        </w:tc>
        <w:tc>
          <w:tcPr>
            <w:tcW w:w="403" w:type="pct"/>
            <w:noWrap/>
            <w:vAlign w:val="center"/>
          </w:tcPr>
          <w:p w14:paraId="1DB4E36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81.3 (76.2, 85.0)</w:t>
            </w:r>
          </w:p>
        </w:tc>
        <w:tc>
          <w:tcPr>
            <w:tcW w:w="332" w:type="pct"/>
            <w:noWrap/>
            <w:vAlign w:val="center"/>
          </w:tcPr>
          <w:p w14:paraId="3F84999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79.6 (74.1, 83.7)</w:t>
            </w:r>
          </w:p>
        </w:tc>
        <w:tc>
          <w:tcPr>
            <w:tcW w:w="332" w:type="pct"/>
            <w:noWrap/>
            <w:vAlign w:val="center"/>
          </w:tcPr>
          <w:p w14:paraId="5D05386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78.2 (73.4, 81.9)</w:t>
            </w:r>
          </w:p>
        </w:tc>
        <w:tc>
          <w:tcPr>
            <w:tcW w:w="474" w:type="pct"/>
            <w:noWrap/>
            <w:vAlign w:val="center"/>
          </w:tcPr>
          <w:p w14:paraId="2C50CB1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77.5 (72.4, 81.4)</w:t>
            </w:r>
          </w:p>
        </w:tc>
        <w:tc>
          <w:tcPr>
            <w:tcW w:w="474" w:type="pct"/>
            <w:noWrap/>
            <w:vAlign w:val="center"/>
          </w:tcPr>
          <w:p w14:paraId="328CE44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78.7 (74.2, 82.1)</w:t>
            </w:r>
          </w:p>
        </w:tc>
      </w:tr>
      <w:tr w:rsidR="00217865" w:rsidRPr="00217865" w14:paraId="3B27A613" w14:textId="77777777" w:rsidTr="00684E82">
        <w:trPr>
          <w:trHeight w:val="62"/>
        </w:trPr>
        <w:tc>
          <w:tcPr>
            <w:tcW w:w="433" w:type="pct"/>
            <w:noWrap/>
            <w:vAlign w:val="center"/>
          </w:tcPr>
          <w:p w14:paraId="05AD324A"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Universal Business School Sydney</w:t>
            </w:r>
          </w:p>
        </w:tc>
        <w:tc>
          <w:tcPr>
            <w:tcW w:w="324" w:type="pct"/>
            <w:noWrap/>
            <w:vAlign w:val="center"/>
          </w:tcPr>
          <w:p w14:paraId="606EEEB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77.8 (72.7, 82.0)</w:t>
            </w:r>
          </w:p>
        </w:tc>
        <w:tc>
          <w:tcPr>
            <w:tcW w:w="324" w:type="pct"/>
            <w:noWrap/>
            <w:vAlign w:val="center"/>
          </w:tcPr>
          <w:p w14:paraId="1AC9A8C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83.3 (75.7, 88.6)</w:t>
            </w:r>
          </w:p>
        </w:tc>
        <w:tc>
          <w:tcPr>
            <w:tcW w:w="314" w:type="pct"/>
            <w:noWrap/>
            <w:vAlign w:val="center"/>
          </w:tcPr>
          <w:p w14:paraId="455D4F4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60.2 (55.0, 65.1)</w:t>
            </w:r>
          </w:p>
        </w:tc>
        <w:tc>
          <w:tcPr>
            <w:tcW w:w="314" w:type="pct"/>
            <w:noWrap/>
            <w:vAlign w:val="center"/>
          </w:tcPr>
          <w:p w14:paraId="27B8623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71.1 (62.9, 77.8)</w:t>
            </w:r>
          </w:p>
        </w:tc>
        <w:tc>
          <w:tcPr>
            <w:tcW w:w="436" w:type="pct"/>
            <w:noWrap/>
            <w:vAlign w:val="center"/>
          </w:tcPr>
          <w:p w14:paraId="679BB92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79.9 (75.1, 83.7)</w:t>
            </w:r>
          </w:p>
        </w:tc>
        <w:tc>
          <w:tcPr>
            <w:tcW w:w="436" w:type="pct"/>
            <w:noWrap/>
            <w:vAlign w:val="center"/>
          </w:tcPr>
          <w:p w14:paraId="5C1A243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85.1 (77.8, 90.0)</w:t>
            </w:r>
          </w:p>
        </w:tc>
        <w:tc>
          <w:tcPr>
            <w:tcW w:w="403" w:type="pct"/>
            <w:noWrap/>
            <w:vAlign w:val="center"/>
          </w:tcPr>
          <w:p w14:paraId="71EB59A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77.5 (72.2, 81.8)</w:t>
            </w:r>
          </w:p>
        </w:tc>
        <w:tc>
          <w:tcPr>
            <w:tcW w:w="403" w:type="pct"/>
            <w:noWrap/>
            <w:vAlign w:val="center"/>
          </w:tcPr>
          <w:p w14:paraId="6CDAF3B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84.5 (76.9, 89.6)</w:t>
            </w:r>
          </w:p>
        </w:tc>
        <w:tc>
          <w:tcPr>
            <w:tcW w:w="332" w:type="pct"/>
            <w:noWrap/>
            <w:vAlign w:val="center"/>
          </w:tcPr>
          <w:p w14:paraId="26C4BF8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76.5 (71.1, 81.0)</w:t>
            </w:r>
          </w:p>
        </w:tc>
        <w:tc>
          <w:tcPr>
            <w:tcW w:w="332" w:type="pct"/>
            <w:noWrap/>
            <w:vAlign w:val="center"/>
          </w:tcPr>
          <w:p w14:paraId="64F43DE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88.7 (80.9, 93.3)</w:t>
            </w:r>
          </w:p>
        </w:tc>
        <w:tc>
          <w:tcPr>
            <w:tcW w:w="474" w:type="pct"/>
            <w:noWrap/>
            <w:vAlign w:val="center"/>
          </w:tcPr>
          <w:p w14:paraId="08F70EE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76.6 (71.8, 80.6)</w:t>
            </w:r>
          </w:p>
        </w:tc>
        <w:tc>
          <w:tcPr>
            <w:tcW w:w="474" w:type="pct"/>
            <w:noWrap/>
            <w:vAlign w:val="center"/>
          </w:tcPr>
          <w:p w14:paraId="09025FF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82.9 (75.5, 88.1)</w:t>
            </w:r>
          </w:p>
        </w:tc>
      </w:tr>
      <w:tr w:rsidR="00217865" w:rsidRPr="00217865" w14:paraId="0E7DFD75" w14:textId="77777777" w:rsidTr="00684E82">
        <w:trPr>
          <w:trHeight w:val="62"/>
        </w:trPr>
        <w:tc>
          <w:tcPr>
            <w:tcW w:w="433" w:type="pct"/>
            <w:noWrap/>
            <w:vAlign w:val="center"/>
          </w:tcPr>
          <w:p w14:paraId="7B1AF49A"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UOW College</w:t>
            </w:r>
          </w:p>
        </w:tc>
        <w:tc>
          <w:tcPr>
            <w:tcW w:w="324" w:type="pct"/>
            <w:noWrap/>
            <w:vAlign w:val="center"/>
          </w:tcPr>
          <w:p w14:paraId="54269FA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73.3 (65.9, 79.1)</w:t>
            </w:r>
          </w:p>
        </w:tc>
        <w:tc>
          <w:tcPr>
            <w:tcW w:w="324" w:type="pct"/>
            <w:noWrap/>
            <w:vAlign w:val="center"/>
          </w:tcPr>
          <w:p w14:paraId="68C765C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82.4 (75.9, 87.0)</w:t>
            </w:r>
          </w:p>
        </w:tc>
        <w:tc>
          <w:tcPr>
            <w:tcW w:w="314" w:type="pct"/>
            <w:noWrap/>
            <w:vAlign w:val="center"/>
          </w:tcPr>
          <w:p w14:paraId="4497EE7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44.2 (37.2, 51.5)</w:t>
            </w:r>
          </w:p>
        </w:tc>
        <w:tc>
          <w:tcPr>
            <w:tcW w:w="314" w:type="pct"/>
            <w:noWrap/>
            <w:vAlign w:val="center"/>
          </w:tcPr>
          <w:p w14:paraId="13A4120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66.7 (59.5, 72.8)</w:t>
            </w:r>
          </w:p>
        </w:tc>
        <w:tc>
          <w:tcPr>
            <w:tcW w:w="436" w:type="pct"/>
            <w:noWrap/>
            <w:vAlign w:val="center"/>
          </w:tcPr>
          <w:p w14:paraId="1854D61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80.0 (73.0, 85.0)</w:t>
            </w:r>
          </w:p>
        </w:tc>
        <w:tc>
          <w:tcPr>
            <w:tcW w:w="436" w:type="pct"/>
            <w:noWrap/>
            <w:vAlign w:val="center"/>
          </w:tcPr>
          <w:p w14:paraId="09A4E1C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91.2 (85.7, 94.3)</w:t>
            </w:r>
          </w:p>
        </w:tc>
        <w:tc>
          <w:tcPr>
            <w:tcW w:w="403" w:type="pct"/>
            <w:noWrap/>
            <w:vAlign w:val="center"/>
          </w:tcPr>
          <w:p w14:paraId="1576717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75.3 (67.9, 81.0)</w:t>
            </w:r>
          </w:p>
        </w:tc>
        <w:tc>
          <w:tcPr>
            <w:tcW w:w="403" w:type="pct"/>
            <w:noWrap/>
            <w:vAlign w:val="center"/>
          </w:tcPr>
          <w:p w14:paraId="7BEB20A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82.6 (75.8, 87.3)</w:t>
            </w:r>
          </w:p>
        </w:tc>
        <w:tc>
          <w:tcPr>
            <w:tcW w:w="332" w:type="pct"/>
            <w:noWrap/>
            <w:vAlign w:val="center"/>
          </w:tcPr>
          <w:p w14:paraId="06511C7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81.3 (73.3, 86.6)</w:t>
            </w:r>
          </w:p>
        </w:tc>
        <w:tc>
          <w:tcPr>
            <w:tcW w:w="332" w:type="pct"/>
            <w:noWrap/>
            <w:vAlign w:val="center"/>
          </w:tcPr>
          <w:p w14:paraId="70BC9FC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90.7 (84.9, 94.0)</w:t>
            </w:r>
          </w:p>
        </w:tc>
        <w:tc>
          <w:tcPr>
            <w:tcW w:w="474" w:type="pct"/>
            <w:noWrap/>
            <w:vAlign w:val="center"/>
          </w:tcPr>
          <w:p w14:paraId="0F4A336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70.1 (62.8, 76.1)</w:t>
            </w:r>
          </w:p>
        </w:tc>
        <w:tc>
          <w:tcPr>
            <w:tcW w:w="474" w:type="pct"/>
            <w:noWrap/>
            <w:vAlign w:val="center"/>
          </w:tcPr>
          <w:p w14:paraId="2CA3443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83.7 (77.4, 88.1)</w:t>
            </w:r>
          </w:p>
        </w:tc>
      </w:tr>
      <w:tr w:rsidR="00217865" w:rsidRPr="00217865" w14:paraId="609C08BF" w14:textId="77777777" w:rsidTr="00684E82">
        <w:trPr>
          <w:trHeight w:val="62"/>
        </w:trPr>
        <w:tc>
          <w:tcPr>
            <w:tcW w:w="433" w:type="pct"/>
            <w:noWrap/>
            <w:vAlign w:val="center"/>
          </w:tcPr>
          <w:p w14:paraId="12711972"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UTS College</w:t>
            </w:r>
          </w:p>
        </w:tc>
        <w:tc>
          <w:tcPr>
            <w:tcW w:w="324" w:type="pct"/>
            <w:noWrap/>
            <w:vAlign w:val="center"/>
          </w:tcPr>
          <w:p w14:paraId="17E9D6C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76.3 (73.0, 79.2)</w:t>
            </w:r>
          </w:p>
        </w:tc>
        <w:tc>
          <w:tcPr>
            <w:tcW w:w="324" w:type="pct"/>
            <w:noWrap/>
            <w:vAlign w:val="center"/>
          </w:tcPr>
          <w:p w14:paraId="00E131C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76.9 (73.3, 79.9)</w:t>
            </w:r>
          </w:p>
        </w:tc>
        <w:tc>
          <w:tcPr>
            <w:tcW w:w="314" w:type="pct"/>
            <w:noWrap/>
            <w:vAlign w:val="center"/>
          </w:tcPr>
          <w:p w14:paraId="5A3FCD4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60.9 (57.4, 64.3)</w:t>
            </w:r>
          </w:p>
        </w:tc>
        <w:tc>
          <w:tcPr>
            <w:tcW w:w="314" w:type="pct"/>
            <w:noWrap/>
            <w:vAlign w:val="center"/>
          </w:tcPr>
          <w:p w14:paraId="5CB2EDC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71.9 (68.4, 75.1)</w:t>
            </w:r>
          </w:p>
        </w:tc>
        <w:tc>
          <w:tcPr>
            <w:tcW w:w="436" w:type="pct"/>
            <w:noWrap/>
            <w:vAlign w:val="center"/>
          </w:tcPr>
          <w:p w14:paraId="5759513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78.7 (75.5, 81.4)</w:t>
            </w:r>
          </w:p>
        </w:tc>
        <w:tc>
          <w:tcPr>
            <w:tcW w:w="436" w:type="pct"/>
            <w:noWrap/>
            <w:vAlign w:val="center"/>
          </w:tcPr>
          <w:p w14:paraId="188EC93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78.7 (75.3, 81.6)</w:t>
            </w:r>
          </w:p>
        </w:tc>
        <w:tc>
          <w:tcPr>
            <w:tcW w:w="403" w:type="pct"/>
            <w:noWrap/>
            <w:vAlign w:val="center"/>
          </w:tcPr>
          <w:p w14:paraId="38C8EE1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75.3 (71.9, 78.4)</w:t>
            </w:r>
          </w:p>
        </w:tc>
        <w:tc>
          <w:tcPr>
            <w:tcW w:w="403" w:type="pct"/>
            <w:noWrap/>
            <w:vAlign w:val="center"/>
          </w:tcPr>
          <w:p w14:paraId="0F63807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74.2 (70.4, 77.6)</w:t>
            </w:r>
          </w:p>
        </w:tc>
        <w:tc>
          <w:tcPr>
            <w:tcW w:w="332" w:type="pct"/>
            <w:noWrap/>
            <w:vAlign w:val="center"/>
          </w:tcPr>
          <w:p w14:paraId="7743217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79.9 (76.5, 82.8)</w:t>
            </w:r>
          </w:p>
        </w:tc>
        <w:tc>
          <w:tcPr>
            <w:tcW w:w="332" w:type="pct"/>
            <w:noWrap/>
            <w:vAlign w:val="center"/>
          </w:tcPr>
          <w:p w14:paraId="6568288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85.3 (82.1, 87.8)</w:t>
            </w:r>
          </w:p>
        </w:tc>
        <w:tc>
          <w:tcPr>
            <w:tcW w:w="474" w:type="pct"/>
            <w:noWrap/>
            <w:vAlign w:val="center"/>
          </w:tcPr>
          <w:p w14:paraId="67E7896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71.1 (67.8, 74.2)</w:t>
            </w:r>
          </w:p>
        </w:tc>
        <w:tc>
          <w:tcPr>
            <w:tcW w:w="474" w:type="pct"/>
            <w:noWrap/>
            <w:vAlign w:val="center"/>
          </w:tcPr>
          <w:p w14:paraId="388EFD6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70.6 (67.0, 73.8)</w:t>
            </w:r>
          </w:p>
        </w:tc>
      </w:tr>
      <w:tr w:rsidR="00217865" w:rsidRPr="00217865" w14:paraId="72E704DC" w14:textId="77777777" w:rsidTr="00684E82">
        <w:trPr>
          <w:trHeight w:val="62"/>
        </w:trPr>
        <w:tc>
          <w:tcPr>
            <w:tcW w:w="433" w:type="pct"/>
            <w:noWrap/>
            <w:vAlign w:val="center"/>
          </w:tcPr>
          <w:p w14:paraId="5D08674B"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lastRenderedPageBreak/>
              <w:t>VIT (Victorian Institute of Technology)</w:t>
            </w:r>
          </w:p>
        </w:tc>
        <w:tc>
          <w:tcPr>
            <w:tcW w:w="324" w:type="pct"/>
            <w:noWrap/>
            <w:vAlign w:val="center"/>
          </w:tcPr>
          <w:p w14:paraId="266F954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80.2 (77.9, 82.2)</w:t>
            </w:r>
          </w:p>
        </w:tc>
        <w:tc>
          <w:tcPr>
            <w:tcW w:w="324" w:type="pct"/>
            <w:noWrap/>
            <w:vAlign w:val="center"/>
          </w:tcPr>
          <w:p w14:paraId="21BE368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82.0 (79.0, 84.3)</w:t>
            </w:r>
          </w:p>
        </w:tc>
        <w:tc>
          <w:tcPr>
            <w:tcW w:w="314" w:type="pct"/>
            <w:noWrap/>
            <w:vAlign w:val="center"/>
          </w:tcPr>
          <w:p w14:paraId="193FD22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65.5 (62.9, 67.9)</w:t>
            </w:r>
          </w:p>
        </w:tc>
        <w:tc>
          <w:tcPr>
            <w:tcW w:w="314" w:type="pct"/>
            <w:noWrap/>
            <w:vAlign w:val="center"/>
          </w:tcPr>
          <w:p w14:paraId="406E29F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69.7 (66.5, 72.5)</w:t>
            </w:r>
          </w:p>
        </w:tc>
        <w:tc>
          <w:tcPr>
            <w:tcW w:w="436" w:type="pct"/>
            <w:noWrap/>
            <w:vAlign w:val="center"/>
          </w:tcPr>
          <w:p w14:paraId="5D4BBB1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78.8 (76.4, 80.8)</w:t>
            </w:r>
          </w:p>
        </w:tc>
        <w:tc>
          <w:tcPr>
            <w:tcW w:w="436" w:type="pct"/>
            <w:noWrap/>
            <w:vAlign w:val="center"/>
          </w:tcPr>
          <w:p w14:paraId="3D56736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80.5 (77.6, 82.8)</w:t>
            </w:r>
          </w:p>
        </w:tc>
        <w:tc>
          <w:tcPr>
            <w:tcW w:w="403" w:type="pct"/>
            <w:noWrap/>
            <w:vAlign w:val="center"/>
          </w:tcPr>
          <w:p w14:paraId="3896C3F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79.8 (77.4, 81.8)</w:t>
            </w:r>
          </w:p>
        </w:tc>
        <w:tc>
          <w:tcPr>
            <w:tcW w:w="403" w:type="pct"/>
            <w:noWrap/>
            <w:vAlign w:val="center"/>
          </w:tcPr>
          <w:p w14:paraId="0AE78F8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80.1 (77.0, 82.6)</w:t>
            </w:r>
          </w:p>
        </w:tc>
        <w:tc>
          <w:tcPr>
            <w:tcW w:w="332" w:type="pct"/>
            <w:noWrap/>
            <w:vAlign w:val="center"/>
          </w:tcPr>
          <w:p w14:paraId="7079F08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76.5 (74.0, 78.7)</w:t>
            </w:r>
          </w:p>
        </w:tc>
        <w:tc>
          <w:tcPr>
            <w:tcW w:w="332" w:type="pct"/>
            <w:noWrap/>
            <w:vAlign w:val="center"/>
          </w:tcPr>
          <w:p w14:paraId="110C632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73.7 (70.5, 76.5)</w:t>
            </w:r>
          </w:p>
        </w:tc>
        <w:tc>
          <w:tcPr>
            <w:tcW w:w="474" w:type="pct"/>
            <w:noWrap/>
            <w:vAlign w:val="center"/>
          </w:tcPr>
          <w:p w14:paraId="2343899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75.4 (73.0, 77.5)</w:t>
            </w:r>
          </w:p>
        </w:tc>
        <w:tc>
          <w:tcPr>
            <w:tcW w:w="474" w:type="pct"/>
            <w:noWrap/>
            <w:vAlign w:val="center"/>
          </w:tcPr>
          <w:p w14:paraId="7101F37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76.4 (73.4, 79.0)</w:t>
            </w:r>
          </w:p>
        </w:tc>
      </w:tr>
      <w:tr w:rsidR="00217865" w:rsidRPr="00217865" w14:paraId="56850383" w14:textId="77777777" w:rsidTr="00684E82">
        <w:trPr>
          <w:trHeight w:val="62"/>
        </w:trPr>
        <w:tc>
          <w:tcPr>
            <w:tcW w:w="433" w:type="pct"/>
            <w:noWrap/>
            <w:vAlign w:val="center"/>
          </w:tcPr>
          <w:p w14:paraId="23B24EE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Wentworth Institute of Higher Education</w:t>
            </w:r>
          </w:p>
        </w:tc>
        <w:tc>
          <w:tcPr>
            <w:tcW w:w="324" w:type="pct"/>
            <w:noWrap/>
            <w:vAlign w:val="center"/>
          </w:tcPr>
          <w:p w14:paraId="0A89CBD0"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86.4 (82.0, 89.4)</w:t>
            </w:r>
          </w:p>
        </w:tc>
        <w:tc>
          <w:tcPr>
            <w:tcW w:w="324" w:type="pct"/>
            <w:noWrap/>
            <w:vAlign w:val="center"/>
          </w:tcPr>
          <w:p w14:paraId="635CA08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82.1 (78.8, 84.8)</w:t>
            </w:r>
          </w:p>
        </w:tc>
        <w:tc>
          <w:tcPr>
            <w:tcW w:w="314" w:type="pct"/>
            <w:noWrap/>
            <w:vAlign w:val="center"/>
          </w:tcPr>
          <w:p w14:paraId="73869309"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55.1 (50.1, 59.9)</w:t>
            </w:r>
          </w:p>
        </w:tc>
        <w:tc>
          <w:tcPr>
            <w:tcW w:w="314" w:type="pct"/>
            <w:noWrap/>
            <w:vAlign w:val="center"/>
          </w:tcPr>
          <w:p w14:paraId="0CC3AB1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71.5 (68.0, 74.6)</w:t>
            </w:r>
          </w:p>
        </w:tc>
        <w:tc>
          <w:tcPr>
            <w:tcW w:w="436" w:type="pct"/>
            <w:noWrap/>
            <w:vAlign w:val="center"/>
          </w:tcPr>
          <w:p w14:paraId="498878A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86.3 (82.2, 89.3)</w:t>
            </w:r>
          </w:p>
        </w:tc>
        <w:tc>
          <w:tcPr>
            <w:tcW w:w="436" w:type="pct"/>
            <w:noWrap/>
            <w:vAlign w:val="center"/>
          </w:tcPr>
          <w:p w14:paraId="1388DDC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82.4 (79.2, 85.0)</w:t>
            </w:r>
          </w:p>
        </w:tc>
        <w:tc>
          <w:tcPr>
            <w:tcW w:w="403" w:type="pct"/>
            <w:noWrap/>
            <w:vAlign w:val="center"/>
          </w:tcPr>
          <w:p w14:paraId="04B10FF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83.9 (79.2, 87.3)</w:t>
            </w:r>
          </w:p>
        </w:tc>
        <w:tc>
          <w:tcPr>
            <w:tcW w:w="403" w:type="pct"/>
            <w:noWrap/>
            <w:vAlign w:val="center"/>
          </w:tcPr>
          <w:p w14:paraId="17BDFCB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77.8 (74.1, 80.9)</w:t>
            </w:r>
          </w:p>
        </w:tc>
        <w:tc>
          <w:tcPr>
            <w:tcW w:w="332" w:type="pct"/>
            <w:noWrap/>
            <w:vAlign w:val="center"/>
          </w:tcPr>
          <w:p w14:paraId="6E95336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78.1 (73.0, 82.2)</w:t>
            </w:r>
          </w:p>
        </w:tc>
        <w:tc>
          <w:tcPr>
            <w:tcW w:w="332" w:type="pct"/>
            <w:noWrap/>
            <w:vAlign w:val="center"/>
          </w:tcPr>
          <w:p w14:paraId="6CE2BDD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77.9 (74.4, 80.8)</w:t>
            </w:r>
          </w:p>
        </w:tc>
        <w:tc>
          <w:tcPr>
            <w:tcW w:w="474" w:type="pct"/>
            <w:noWrap/>
            <w:vAlign w:val="center"/>
          </w:tcPr>
          <w:p w14:paraId="519A4BB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74.1 (69.3, 78.1)</w:t>
            </w:r>
          </w:p>
        </w:tc>
        <w:tc>
          <w:tcPr>
            <w:tcW w:w="474" w:type="pct"/>
            <w:noWrap/>
            <w:vAlign w:val="center"/>
          </w:tcPr>
          <w:p w14:paraId="27572DC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76.3 (73.0, 79.2)</w:t>
            </w:r>
          </w:p>
        </w:tc>
      </w:tr>
      <w:tr w:rsidR="00217865" w:rsidRPr="00217865" w14:paraId="2FC6E13F" w14:textId="77777777" w:rsidTr="00684E82">
        <w:trPr>
          <w:trHeight w:val="62"/>
        </w:trPr>
        <w:tc>
          <w:tcPr>
            <w:tcW w:w="433" w:type="pct"/>
            <w:noWrap/>
            <w:vAlign w:val="center"/>
          </w:tcPr>
          <w:p w14:paraId="47E4A3F6"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 xml:space="preserve">Western Sydney University International College </w:t>
            </w:r>
          </w:p>
        </w:tc>
        <w:tc>
          <w:tcPr>
            <w:tcW w:w="324" w:type="pct"/>
            <w:noWrap/>
            <w:vAlign w:val="center"/>
          </w:tcPr>
          <w:p w14:paraId="2972F95F" w14:textId="16183F11"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3AD585A8"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67.9 (54.1, 78.5)</w:t>
            </w:r>
          </w:p>
        </w:tc>
        <w:tc>
          <w:tcPr>
            <w:tcW w:w="314" w:type="pct"/>
            <w:noWrap/>
            <w:vAlign w:val="center"/>
          </w:tcPr>
          <w:p w14:paraId="2C755733" w14:textId="3B382294"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14" w:type="pct"/>
            <w:noWrap/>
            <w:vAlign w:val="center"/>
          </w:tcPr>
          <w:p w14:paraId="2C9EF8D9"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82.1 (68.9, 89.7)</w:t>
            </w:r>
          </w:p>
        </w:tc>
        <w:tc>
          <w:tcPr>
            <w:tcW w:w="436" w:type="pct"/>
            <w:noWrap/>
            <w:vAlign w:val="center"/>
          </w:tcPr>
          <w:p w14:paraId="69BD74F2" w14:textId="73935277"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243C5922"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86.2 (73.7, 92.6)</w:t>
            </w:r>
          </w:p>
        </w:tc>
        <w:tc>
          <w:tcPr>
            <w:tcW w:w="403" w:type="pct"/>
            <w:noWrap/>
            <w:vAlign w:val="center"/>
          </w:tcPr>
          <w:p w14:paraId="3A343270" w14:textId="75CFA31A"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7F7FB84B"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81.5 (67.8, 89.4)</w:t>
            </w:r>
          </w:p>
        </w:tc>
        <w:tc>
          <w:tcPr>
            <w:tcW w:w="332" w:type="pct"/>
            <w:noWrap/>
            <w:vAlign w:val="center"/>
          </w:tcPr>
          <w:p w14:paraId="61CE0BA2" w14:textId="58D8F2BE"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332" w:type="pct"/>
            <w:noWrap/>
            <w:vAlign w:val="center"/>
          </w:tcPr>
          <w:p w14:paraId="38A11F64"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88.9 (76.0, 94.7)</w:t>
            </w:r>
          </w:p>
        </w:tc>
        <w:tc>
          <w:tcPr>
            <w:tcW w:w="474" w:type="pct"/>
            <w:noWrap/>
            <w:vAlign w:val="center"/>
          </w:tcPr>
          <w:p w14:paraId="183E1B7E" w14:textId="39B110A9" w:rsidR="00821227" w:rsidRPr="00217865" w:rsidRDefault="00713E2F" w:rsidP="00713E2F">
            <w:pPr>
              <w:pStyle w:val="Z"/>
              <w:spacing w:before="60" w:after="60"/>
              <w:jc w:val="center"/>
              <w:rPr>
                <w:color w:val="000000" w:themeColor="text1"/>
                <w:sz w:val="16"/>
                <w:szCs w:val="18"/>
              </w:rPr>
            </w:pPr>
            <w:r w:rsidRPr="00217865">
              <w:rPr>
                <w:color w:val="000000" w:themeColor="text1"/>
                <w:sz w:val="16"/>
                <w:szCs w:val="18"/>
              </w:rPr>
              <w:t>-</w:t>
            </w:r>
          </w:p>
        </w:tc>
        <w:tc>
          <w:tcPr>
            <w:tcW w:w="474" w:type="pct"/>
            <w:noWrap/>
            <w:vAlign w:val="center"/>
          </w:tcPr>
          <w:p w14:paraId="21B17449" w14:textId="77777777" w:rsidR="00821227" w:rsidRPr="00217865" w:rsidRDefault="00821227" w:rsidP="00713E2F">
            <w:pPr>
              <w:pStyle w:val="Z"/>
              <w:spacing w:before="60" w:after="60"/>
              <w:jc w:val="center"/>
              <w:rPr>
                <w:color w:val="000000" w:themeColor="text1"/>
                <w:sz w:val="16"/>
                <w:szCs w:val="18"/>
              </w:rPr>
            </w:pPr>
            <w:r w:rsidRPr="00217865">
              <w:rPr>
                <w:color w:val="000000" w:themeColor="text1"/>
                <w:sz w:val="16"/>
                <w:szCs w:val="18"/>
              </w:rPr>
              <w:t>86.2 (73.7, 92.6)</w:t>
            </w:r>
          </w:p>
        </w:tc>
      </w:tr>
      <w:tr w:rsidR="00217865" w:rsidRPr="00217865" w14:paraId="46CA785D" w14:textId="77777777" w:rsidTr="00684E82">
        <w:trPr>
          <w:trHeight w:val="62"/>
        </w:trPr>
        <w:tc>
          <w:tcPr>
            <w:tcW w:w="433" w:type="pct"/>
            <w:noWrap/>
            <w:vAlign w:val="center"/>
          </w:tcPr>
          <w:p w14:paraId="26E4A85D"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William Angliss Institute</w:t>
            </w:r>
          </w:p>
        </w:tc>
        <w:tc>
          <w:tcPr>
            <w:tcW w:w="324" w:type="pct"/>
            <w:noWrap/>
            <w:vAlign w:val="center"/>
          </w:tcPr>
          <w:p w14:paraId="2D1BBA8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78.6 (73.2, 82.9)</w:t>
            </w:r>
          </w:p>
        </w:tc>
        <w:tc>
          <w:tcPr>
            <w:tcW w:w="324" w:type="pct"/>
            <w:noWrap/>
            <w:vAlign w:val="center"/>
          </w:tcPr>
          <w:p w14:paraId="1BD060A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81.1 (75.4, 85.4)</w:t>
            </w:r>
          </w:p>
        </w:tc>
        <w:tc>
          <w:tcPr>
            <w:tcW w:w="314" w:type="pct"/>
            <w:noWrap/>
            <w:vAlign w:val="center"/>
          </w:tcPr>
          <w:p w14:paraId="2417DD2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57.9 (52.1, 63.4)</w:t>
            </w:r>
          </w:p>
        </w:tc>
        <w:tc>
          <w:tcPr>
            <w:tcW w:w="314" w:type="pct"/>
            <w:noWrap/>
            <w:vAlign w:val="center"/>
          </w:tcPr>
          <w:p w14:paraId="428CD54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67.6 (61.5, 73.1)</w:t>
            </w:r>
          </w:p>
        </w:tc>
        <w:tc>
          <w:tcPr>
            <w:tcW w:w="436" w:type="pct"/>
            <w:noWrap/>
            <w:vAlign w:val="center"/>
          </w:tcPr>
          <w:p w14:paraId="2FDEB4AC"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79.5 (74.3, 83.7)</w:t>
            </w:r>
          </w:p>
        </w:tc>
        <w:tc>
          <w:tcPr>
            <w:tcW w:w="436" w:type="pct"/>
            <w:noWrap/>
            <w:vAlign w:val="center"/>
          </w:tcPr>
          <w:p w14:paraId="0DC606F3"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78.9 (73.2, 83.5)</w:t>
            </w:r>
          </w:p>
        </w:tc>
        <w:tc>
          <w:tcPr>
            <w:tcW w:w="403" w:type="pct"/>
            <w:noWrap/>
            <w:vAlign w:val="center"/>
          </w:tcPr>
          <w:p w14:paraId="0105514D"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75.4 (69.5, 80.2)</w:t>
            </w:r>
          </w:p>
        </w:tc>
        <w:tc>
          <w:tcPr>
            <w:tcW w:w="403" w:type="pct"/>
            <w:noWrap/>
            <w:vAlign w:val="center"/>
          </w:tcPr>
          <w:p w14:paraId="440CB337"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79.5 (73.5, 84.3)</w:t>
            </w:r>
          </w:p>
        </w:tc>
        <w:tc>
          <w:tcPr>
            <w:tcW w:w="332" w:type="pct"/>
            <w:noWrap/>
            <w:vAlign w:val="center"/>
          </w:tcPr>
          <w:p w14:paraId="3644205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74.2 (68.1, 79.4)</w:t>
            </w:r>
          </w:p>
        </w:tc>
        <w:tc>
          <w:tcPr>
            <w:tcW w:w="332" w:type="pct"/>
            <w:noWrap/>
            <w:vAlign w:val="center"/>
          </w:tcPr>
          <w:p w14:paraId="6E98B8D6"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75.4 (69.2, 80.5)</w:t>
            </w:r>
          </w:p>
        </w:tc>
        <w:tc>
          <w:tcPr>
            <w:tcW w:w="474" w:type="pct"/>
            <w:noWrap/>
            <w:vAlign w:val="center"/>
          </w:tcPr>
          <w:p w14:paraId="73F7DBC8"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69.2 (63.6, 74.2)</w:t>
            </w:r>
          </w:p>
        </w:tc>
        <w:tc>
          <w:tcPr>
            <w:tcW w:w="474" w:type="pct"/>
            <w:noWrap/>
            <w:vAlign w:val="center"/>
          </w:tcPr>
          <w:p w14:paraId="06B7732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74.1 (68.1, 79.1)</w:t>
            </w:r>
          </w:p>
        </w:tc>
      </w:tr>
      <w:tr w:rsidR="00217865" w:rsidRPr="00217865" w14:paraId="274999FF" w14:textId="77777777" w:rsidTr="00684E82">
        <w:trPr>
          <w:trHeight w:val="62"/>
        </w:trPr>
        <w:tc>
          <w:tcPr>
            <w:tcW w:w="433" w:type="pct"/>
            <w:noWrap/>
            <w:vAlign w:val="center"/>
          </w:tcPr>
          <w:p w14:paraId="60785AA7" w14:textId="77777777" w:rsidR="00821227" w:rsidRPr="00217865" w:rsidRDefault="00821227" w:rsidP="00713E2F">
            <w:pPr>
              <w:pStyle w:val="Z"/>
              <w:spacing w:before="60" w:after="60"/>
              <w:rPr>
                <w:color w:val="000000" w:themeColor="text1"/>
                <w:sz w:val="16"/>
                <w:szCs w:val="18"/>
              </w:rPr>
            </w:pPr>
            <w:r w:rsidRPr="00217865">
              <w:rPr>
                <w:color w:val="000000" w:themeColor="text1"/>
                <w:sz w:val="16"/>
                <w:szCs w:val="18"/>
              </w:rPr>
              <w:t>All NUHEIs</w:t>
            </w:r>
          </w:p>
        </w:tc>
        <w:tc>
          <w:tcPr>
            <w:tcW w:w="324" w:type="pct"/>
            <w:noWrap/>
            <w:vAlign w:val="center"/>
          </w:tcPr>
          <w:p w14:paraId="043AB4D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81.7 (81.2, 82.2)</w:t>
            </w:r>
          </w:p>
        </w:tc>
        <w:tc>
          <w:tcPr>
            <w:tcW w:w="324" w:type="pct"/>
            <w:noWrap/>
            <w:vAlign w:val="center"/>
          </w:tcPr>
          <w:p w14:paraId="5B37DBA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83.8 (83.4, 84.3)</w:t>
            </w:r>
          </w:p>
        </w:tc>
        <w:tc>
          <w:tcPr>
            <w:tcW w:w="314" w:type="pct"/>
            <w:noWrap/>
            <w:vAlign w:val="center"/>
          </w:tcPr>
          <w:p w14:paraId="08F300D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62.3 (61.7, 62.9)</w:t>
            </w:r>
          </w:p>
        </w:tc>
        <w:tc>
          <w:tcPr>
            <w:tcW w:w="314" w:type="pct"/>
            <w:noWrap/>
            <w:vAlign w:val="center"/>
          </w:tcPr>
          <w:p w14:paraId="6D75250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72.8 (72.3, 73.3)</w:t>
            </w:r>
          </w:p>
        </w:tc>
        <w:tc>
          <w:tcPr>
            <w:tcW w:w="436" w:type="pct"/>
            <w:noWrap/>
            <w:vAlign w:val="center"/>
          </w:tcPr>
          <w:p w14:paraId="421987D5"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81.4 (80.9, 81.9)</w:t>
            </w:r>
          </w:p>
        </w:tc>
        <w:tc>
          <w:tcPr>
            <w:tcW w:w="436" w:type="pct"/>
            <w:noWrap/>
            <w:vAlign w:val="center"/>
          </w:tcPr>
          <w:p w14:paraId="687CC294"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83.8 (83.4, 84.3)</w:t>
            </w:r>
          </w:p>
        </w:tc>
        <w:tc>
          <w:tcPr>
            <w:tcW w:w="403" w:type="pct"/>
            <w:noWrap/>
            <w:vAlign w:val="center"/>
          </w:tcPr>
          <w:p w14:paraId="15419D8E"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78.4 (77.9, 79.0)</w:t>
            </w:r>
          </w:p>
        </w:tc>
        <w:tc>
          <w:tcPr>
            <w:tcW w:w="403" w:type="pct"/>
            <w:noWrap/>
            <w:vAlign w:val="center"/>
          </w:tcPr>
          <w:p w14:paraId="114618BF"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79.8 (79.3, 80.3)</w:t>
            </w:r>
          </w:p>
        </w:tc>
        <w:tc>
          <w:tcPr>
            <w:tcW w:w="332" w:type="pct"/>
            <w:noWrap/>
            <w:vAlign w:val="center"/>
          </w:tcPr>
          <w:p w14:paraId="493007CA"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74.5 (73.8, 75.0)</w:t>
            </w:r>
          </w:p>
        </w:tc>
        <w:tc>
          <w:tcPr>
            <w:tcW w:w="332" w:type="pct"/>
            <w:noWrap/>
            <w:vAlign w:val="center"/>
          </w:tcPr>
          <w:p w14:paraId="52A7B742"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77.6 (77.0, 78.1)</w:t>
            </w:r>
          </w:p>
        </w:tc>
        <w:tc>
          <w:tcPr>
            <w:tcW w:w="474" w:type="pct"/>
            <w:noWrap/>
            <w:vAlign w:val="center"/>
          </w:tcPr>
          <w:p w14:paraId="072E47E1"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75.0 (74.4, 75.5)</w:t>
            </w:r>
          </w:p>
        </w:tc>
        <w:tc>
          <w:tcPr>
            <w:tcW w:w="474" w:type="pct"/>
            <w:noWrap/>
            <w:vAlign w:val="center"/>
          </w:tcPr>
          <w:p w14:paraId="1588419B" w14:textId="77777777" w:rsidR="00821227" w:rsidRPr="00217865" w:rsidRDefault="00821227" w:rsidP="00713E2F">
            <w:pPr>
              <w:pStyle w:val="Z"/>
              <w:spacing w:before="60" w:after="60"/>
              <w:jc w:val="center"/>
              <w:rPr>
                <w:color w:val="000000" w:themeColor="text1"/>
                <w:sz w:val="16"/>
                <w:szCs w:val="18"/>
                <w:highlight w:val="yellow"/>
              </w:rPr>
            </w:pPr>
            <w:r w:rsidRPr="00217865">
              <w:rPr>
                <w:color w:val="000000" w:themeColor="text1"/>
                <w:sz w:val="16"/>
                <w:szCs w:val="18"/>
              </w:rPr>
              <w:t>77.8 (77.3, 78.3)</w:t>
            </w:r>
          </w:p>
        </w:tc>
      </w:tr>
    </w:tbl>
    <w:p w14:paraId="4C59CCBD" w14:textId="34E29E41" w:rsidR="00646636" w:rsidRPr="00AA77D3" w:rsidRDefault="00821227" w:rsidP="00713E2F">
      <w:pPr>
        <w:pStyle w:val="Footertable"/>
        <w:spacing w:before="120"/>
        <w:rPr>
          <w:rFonts w:ascii="Arial" w:hAnsi="Arial" w:cs="Arial"/>
          <w:color w:val="000000" w:themeColor="text1"/>
        </w:rPr>
        <w:sectPr w:rsidR="00646636" w:rsidRPr="00AA77D3" w:rsidSect="00AF5B38">
          <w:footerReference w:type="default" r:id="rId60"/>
          <w:pgSz w:w="11900" w:h="16840"/>
          <w:pgMar w:top="852" w:right="964" w:bottom="994" w:left="710" w:header="397" w:footer="283" w:gutter="0"/>
          <w:cols w:space="708"/>
          <w:docGrid w:linePitch="360"/>
        </w:sectPr>
      </w:pPr>
      <w:r w:rsidRPr="00AA77D3">
        <w:rPr>
          <w:rFonts w:ascii="Arial" w:hAnsi="Arial" w:cs="Arial"/>
          <w:color w:val="000000" w:themeColor="text1"/>
          <w:sz w:val="18"/>
          <w:szCs w:val="18"/>
        </w:rPr>
        <w:t>Note: A blank cell indicates there is no data for that cell and n/a indicates a suppressed value (n&lt;25).</w:t>
      </w:r>
      <w:r w:rsidR="00286CDE" w:rsidRPr="00AA77D3">
        <w:rPr>
          <w:rFonts w:ascii="Arial" w:hAnsi="Arial" w:cs="Arial"/>
          <w:color w:val="000000" w:themeColor="text1"/>
          <w:sz w:val="18"/>
          <w:szCs w:val="18"/>
        </w:rPr>
        <w:t xml:space="preserve"> Institutions with no data or suppressed values for all cells are excluded from this table.</w:t>
      </w:r>
      <w:r w:rsidR="00286CDE" w:rsidRPr="00AA77D3">
        <w:rPr>
          <w:rFonts w:ascii="Arial" w:hAnsi="Arial" w:cs="Arial"/>
          <w:color w:val="000000" w:themeColor="text1"/>
        </w:rPr>
        <w:t xml:space="preserve"> </w:t>
      </w:r>
    </w:p>
    <w:p w14:paraId="5ACD6EB9" w14:textId="5384FF10" w:rsidR="005F7CB1" w:rsidRPr="00217865" w:rsidRDefault="005F7CB1" w:rsidP="005F7CB1">
      <w:pPr>
        <w:pStyle w:val="Caption"/>
        <w:rPr>
          <w:color w:val="000000" w:themeColor="text1"/>
        </w:rPr>
      </w:pPr>
      <w:bookmarkStart w:id="67" w:name="_Ref176437224"/>
      <w:bookmarkStart w:id="68" w:name="_Toc208242365"/>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8</w:t>
      </w:r>
      <w:r w:rsidR="001706E8" w:rsidRPr="00217865">
        <w:rPr>
          <w:noProof/>
          <w:color w:val="000000" w:themeColor="text1"/>
        </w:rPr>
        <w:fldChar w:fldCharType="end"/>
      </w:r>
      <w:bookmarkEnd w:id="67"/>
      <w:r w:rsidR="00AA77D3">
        <w:rPr>
          <w:noProof/>
          <w:color w:val="000000" w:themeColor="text1"/>
        </w:rPr>
        <w:tab/>
      </w:r>
      <w:r w:rsidRPr="00217865">
        <w:rPr>
          <w:color w:val="000000" w:themeColor="text1"/>
        </w:rPr>
        <w:t>Quality of entire educational experience for international postgraduate coursework non-university higher education institution (NUHEI) students, pooled 2022-2023 (% positive rating)</w:t>
      </w:r>
      <w:bookmarkEnd w:id="68"/>
    </w:p>
    <w:p w14:paraId="7F9F91C0" w14:textId="77777777" w:rsidR="00646636" w:rsidRPr="00217865" w:rsidRDefault="00646636" w:rsidP="00535E2A">
      <w:pPr>
        <w:pStyle w:val="Body"/>
        <w:rPr>
          <w:rFonts w:cs="Arial"/>
          <w:color w:val="000000" w:themeColor="text1"/>
        </w:rPr>
        <w:sectPr w:rsidR="00646636" w:rsidRPr="00217865" w:rsidSect="00AF5B38">
          <w:headerReference w:type="default" r:id="rId61"/>
          <w:footerReference w:type="default" r:id="rId62"/>
          <w:pgSz w:w="16840" w:h="11900" w:orient="landscape"/>
          <w:pgMar w:top="710" w:right="822" w:bottom="560" w:left="994" w:header="397" w:footer="283" w:gutter="0"/>
          <w:cols w:space="708"/>
          <w:docGrid w:linePitch="360"/>
        </w:sectPr>
      </w:pPr>
      <w:r w:rsidRPr="00217865">
        <w:rPr>
          <w:rFonts w:cs="Arial"/>
          <w:noProof/>
          <w:color w:val="000000" w:themeColor="text1"/>
        </w:rPr>
        <w:drawing>
          <wp:inline distT="0" distB="0" distL="0" distR="0" wp14:anchorId="113A0B18" wp14:editId="15E54A94">
            <wp:extent cx="9326880" cy="4518660"/>
            <wp:effectExtent l="0" t="0" r="7620" b="0"/>
            <wp:docPr id="923342808" name="Chart 1">
              <a:extLst xmlns:a="http://schemas.openxmlformats.org/drawingml/2006/main">
                <a:ext uri="{FF2B5EF4-FFF2-40B4-BE49-F238E27FC236}">
                  <a16:creationId xmlns:a16="http://schemas.microsoft.com/office/drawing/2014/main" id="{61389309-A86A-43F6-EEF7-8A3424AC92E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CE1FE38" w14:textId="153DFEE9" w:rsidR="005B26F5" w:rsidRPr="00217865" w:rsidRDefault="005B26F5" w:rsidP="0081215D">
      <w:pPr>
        <w:pStyle w:val="Tabletitle"/>
      </w:pPr>
      <w:bookmarkStart w:id="69" w:name="_Toc178599374"/>
      <w:r w:rsidRPr="00217865">
        <w:lastRenderedPageBreak/>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9</w:t>
      </w:r>
      <w:r w:rsidRPr="00217865">
        <w:rPr>
          <w:i/>
          <w:iCs/>
        </w:rPr>
        <w:fldChar w:fldCharType="end"/>
      </w:r>
      <w:r w:rsidR="00AA77D3">
        <w:tab/>
      </w:r>
      <w:r w:rsidRPr="00217865">
        <w:t xml:space="preserve">International </w:t>
      </w:r>
      <w:r w:rsidR="00907152" w:rsidRPr="00217865">
        <w:t xml:space="preserve">postgraduate coursework </w:t>
      </w:r>
      <w:r w:rsidRPr="00217865">
        <w:t>student education experience, by non-university higher education institution (NUHEI), pooled 2021-2022 and 2022-2023 (% positive rating, with 90% confidence intervals)</w:t>
      </w:r>
      <w:bookmarkEnd w:id="69"/>
    </w:p>
    <w:tbl>
      <w:tblPr>
        <w:tblStyle w:val="TableGrid"/>
        <w:tblW w:w="5000" w:type="pct"/>
        <w:shd w:val="clear" w:color="auto" w:fill="FFFF00"/>
        <w:tblLook w:val="04A0" w:firstRow="1" w:lastRow="0" w:firstColumn="1" w:lastColumn="0" w:noHBand="0" w:noVBand="1"/>
      </w:tblPr>
      <w:tblGrid>
        <w:gridCol w:w="920"/>
        <w:gridCol w:w="688"/>
        <w:gridCol w:w="688"/>
        <w:gridCol w:w="664"/>
        <w:gridCol w:w="664"/>
        <w:gridCol w:w="927"/>
        <w:gridCol w:w="927"/>
        <w:gridCol w:w="857"/>
        <w:gridCol w:w="857"/>
        <w:gridCol w:w="703"/>
        <w:gridCol w:w="703"/>
        <w:gridCol w:w="1011"/>
        <w:gridCol w:w="1011"/>
      </w:tblGrid>
      <w:tr w:rsidR="00CF411A" w:rsidRPr="00217865" w14:paraId="51261BE4" w14:textId="77777777" w:rsidTr="007A503F">
        <w:trPr>
          <w:cnfStyle w:val="100000000000" w:firstRow="1" w:lastRow="0" w:firstColumn="0" w:lastColumn="0" w:oddVBand="0" w:evenVBand="0" w:oddHBand="0" w:evenHBand="0" w:firstRowFirstColumn="0" w:firstRowLastColumn="0" w:lastRowFirstColumn="0" w:lastRowLastColumn="0"/>
          <w:trHeight w:val="62"/>
          <w:tblHeader/>
        </w:trPr>
        <w:tc>
          <w:tcPr>
            <w:tcW w:w="433" w:type="pct"/>
            <w:noWrap/>
            <w:vAlign w:val="center"/>
          </w:tcPr>
          <w:p w14:paraId="2077B003" w14:textId="289B58FB" w:rsidR="00CF411A" w:rsidRPr="00217865" w:rsidRDefault="00CF411A" w:rsidP="00CF411A">
            <w:pPr>
              <w:pStyle w:val="Z"/>
              <w:spacing w:before="60" w:after="60"/>
              <w:rPr>
                <w:color w:val="000000" w:themeColor="text1"/>
                <w:sz w:val="16"/>
                <w:szCs w:val="18"/>
              </w:rPr>
            </w:pPr>
            <w:r>
              <w:t>N</w:t>
            </w:r>
            <w:r w:rsidRPr="00217865">
              <w:t>on-university h</w:t>
            </w:r>
            <w:bookmarkStart w:id="70" w:name="Title_9"/>
            <w:bookmarkEnd w:id="70"/>
            <w:r w:rsidRPr="00217865">
              <w:t>igher education institution</w:t>
            </w:r>
          </w:p>
        </w:tc>
        <w:tc>
          <w:tcPr>
            <w:tcW w:w="324" w:type="pct"/>
            <w:noWrap/>
          </w:tcPr>
          <w:p w14:paraId="2AA827F3" w14:textId="3499B7B7" w:rsidR="00CF411A" w:rsidRPr="00217865" w:rsidRDefault="00CF411A" w:rsidP="00CF411A">
            <w:pPr>
              <w:pStyle w:val="Z"/>
              <w:spacing w:before="60" w:after="60"/>
              <w:jc w:val="center"/>
              <w:rPr>
                <w:color w:val="000000" w:themeColor="text1"/>
                <w:sz w:val="16"/>
                <w:szCs w:val="18"/>
              </w:rPr>
            </w:pPr>
            <w:r w:rsidRPr="00217865">
              <w:rPr>
                <w:color w:val="000000" w:themeColor="text1"/>
              </w:rPr>
              <w:t>Skills Development</w:t>
            </w:r>
            <w:r w:rsidRPr="00217865">
              <w:rPr>
                <w:b w:val="0"/>
                <w:bCs/>
                <w:color w:val="000000" w:themeColor="text1"/>
              </w:rPr>
              <w:t xml:space="preserve"> </w:t>
            </w:r>
            <w:r w:rsidRPr="00CF411A">
              <w:rPr>
                <w:b w:val="0"/>
                <w:bCs/>
                <w:color w:val="000000" w:themeColor="text1"/>
              </w:rPr>
              <w:t>2021-2022</w:t>
            </w:r>
          </w:p>
        </w:tc>
        <w:tc>
          <w:tcPr>
            <w:tcW w:w="324" w:type="pct"/>
            <w:noWrap/>
          </w:tcPr>
          <w:p w14:paraId="10116C59" w14:textId="0829A945" w:rsidR="00CF411A" w:rsidRPr="00217865" w:rsidRDefault="00CF411A" w:rsidP="00CF411A">
            <w:pPr>
              <w:pStyle w:val="Z"/>
              <w:spacing w:before="60" w:after="60"/>
              <w:jc w:val="center"/>
              <w:rPr>
                <w:color w:val="000000" w:themeColor="text1"/>
                <w:sz w:val="16"/>
                <w:szCs w:val="18"/>
              </w:rPr>
            </w:pPr>
            <w:r w:rsidRPr="00217865">
              <w:rPr>
                <w:color w:val="000000" w:themeColor="text1"/>
              </w:rPr>
              <w:t>Skills Development</w:t>
            </w:r>
            <w:r w:rsidRPr="00217865">
              <w:rPr>
                <w:b w:val="0"/>
                <w:bCs/>
                <w:color w:val="000000" w:themeColor="text1"/>
              </w:rPr>
              <w:t xml:space="preserve"> </w:t>
            </w:r>
            <w:r w:rsidRPr="00CF411A">
              <w:rPr>
                <w:b w:val="0"/>
                <w:bCs/>
                <w:color w:val="000000" w:themeColor="text1"/>
              </w:rPr>
              <w:t>2022-2023</w:t>
            </w:r>
          </w:p>
        </w:tc>
        <w:tc>
          <w:tcPr>
            <w:tcW w:w="313" w:type="pct"/>
            <w:noWrap/>
          </w:tcPr>
          <w:p w14:paraId="0776485C" w14:textId="414F81FA" w:rsidR="00CF411A" w:rsidRPr="00217865" w:rsidRDefault="00CF411A" w:rsidP="00CF411A">
            <w:pPr>
              <w:pStyle w:val="Z"/>
              <w:spacing w:before="60" w:after="60"/>
              <w:jc w:val="center"/>
              <w:rPr>
                <w:color w:val="000000" w:themeColor="text1"/>
                <w:sz w:val="16"/>
                <w:szCs w:val="18"/>
              </w:rPr>
            </w:pPr>
            <w:r w:rsidRPr="00217865">
              <w:rPr>
                <w:color w:val="000000" w:themeColor="text1"/>
              </w:rPr>
              <w:t>Peer Engagement</w:t>
            </w:r>
            <w:r w:rsidRPr="00217865">
              <w:rPr>
                <w:b w:val="0"/>
                <w:bCs/>
                <w:color w:val="000000" w:themeColor="text1"/>
              </w:rPr>
              <w:t xml:space="preserve"> </w:t>
            </w:r>
            <w:r w:rsidRPr="00CF411A">
              <w:rPr>
                <w:b w:val="0"/>
                <w:bCs/>
                <w:color w:val="000000" w:themeColor="text1"/>
              </w:rPr>
              <w:t>2021-2022</w:t>
            </w:r>
          </w:p>
        </w:tc>
        <w:tc>
          <w:tcPr>
            <w:tcW w:w="313" w:type="pct"/>
            <w:noWrap/>
          </w:tcPr>
          <w:p w14:paraId="5FC2A379" w14:textId="223A195B" w:rsidR="00CF411A" w:rsidRPr="00217865" w:rsidRDefault="00CF411A" w:rsidP="00CF411A">
            <w:pPr>
              <w:pStyle w:val="Z"/>
              <w:spacing w:before="60" w:after="60"/>
              <w:jc w:val="center"/>
              <w:rPr>
                <w:color w:val="000000" w:themeColor="text1"/>
                <w:sz w:val="16"/>
                <w:szCs w:val="18"/>
              </w:rPr>
            </w:pPr>
            <w:r w:rsidRPr="00217865">
              <w:rPr>
                <w:color w:val="000000" w:themeColor="text1"/>
              </w:rPr>
              <w:t>Peer Engagement</w:t>
            </w:r>
            <w:r w:rsidRPr="00217865">
              <w:rPr>
                <w:b w:val="0"/>
                <w:bCs/>
                <w:color w:val="000000" w:themeColor="text1"/>
              </w:rPr>
              <w:t xml:space="preserve"> </w:t>
            </w:r>
            <w:r w:rsidRPr="00CF411A">
              <w:rPr>
                <w:b w:val="0"/>
                <w:bCs/>
                <w:color w:val="000000" w:themeColor="text1"/>
              </w:rPr>
              <w:t>2022-2023</w:t>
            </w:r>
          </w:p>
        </w:tc>
        <w:tc>
          <w:tcPr>
            <w:tcW w:w="436" w:type="pct"/>
            <w:noWrap/>
          </w:tcPr>
          <w:p w14:paraId="49063FAF" w14:textId="29EB811E" w:rsidR="00CF411A" w:rsidRPr="00217865" w:rsidRDefault="00CF411A" w:rsidP="00CF411A">
            <w:pPr>
              <w:pStyle w:val="Z"/>
              <w:spacing w:before="60" w:after="60"/>
              <w:jc w:val="center"/>
              <w:rPr>
                <w:color w:val="000000" w:themeColor="text1"/>
                <w:sz w:val="16"/>
                <w:szCs w:val="18"/>
              </w:rPr>
            </w:pPr>
            <w:r w:rsidRPr="00217865">
              <w:rPr>
                <w:color w:val="000000" w:themeColor="text1"/>
              </w:rPr>
              <w:t>Teaching Quality and Engagement</w:t>
            </w:r>
            <w:r w:rsidRPr="00217865">
              <w:rPr>
                <w:b w:val="0"/>
                <w:bCs/>
                <w:color w:val="000000" w:themeColor="text1"/>
              </w:rPr>
              <w:t xml:space="preserve"> </w:t>
            </w:r>
            <w:r w:rsidRPr="00CF411A">
              <w:rPr>
                <w:b w:val="0"/>
                <w:bCs/>
                <w:color w:val="000000" w:themeColor="text1"/>
              </w:rPr>
              <w:t>2021-2022</w:t>
            </w:r>
          </w:p>
        </w:tc>
        <w:tc>
          <w:tcPr>
            <w:tcW w:w="436" w:type="pct"/>
            <w:noWrap/>
          </w:tcPr>
          <w:p w14:paraId="0FC5F78A" w14:textId="4AC51332" w:rsidR="00CF411A" w:rsidRPr="00217865" w:rsidRDefault="00CF411A" w:rsidP="00CF411A">
            <w:pPr>
              <w:pStyle w:val="Z"/>
              <w:spacing w:before="60" w:after="60"/>
              <w:jc w:val="center"/>
              <w:rPr>
                <w:color w:val="000000" w:themeColor="text1"/>
                <w:sz w:val="16"/>
                <w:szCs w:val="18"/>
              </w:rPr>
            </w:pPr>
            <w:r w:rsidRPr="00217865">
              <w:rPr>
                <w:color w:val="000000" w:themeColor="text1"/>
              </w:rPr>
              <w:t>Teaching Quality and Engagement</w:t>
            </w:r>
            <w:r w:rsidRPr="00217865">
              <w:rPr>
                <w:b w:val="0"/>
                <w:bCs/>
                <w:color w:val="000000" w:themeColor="text1"/>
              </w:rPr>
              <w:t xml:space="preserve"> </w:t>
            </w:r>
            <w:r w:rsidRPr="00CF411A">
              <w:rPr>
                <w:b w:val="0"/>
                <w:bCs/>
                <w:color w:val="000000" w:themeColor="text1"/>
              </w:rPr>
              <w:t>2022-2023</w:t>
            </w:r>
          </w:p>
        </w:tc>
        <w:tc>
          <w:tcPr>
            <w:tcW w:w="403" w:type="pct"/>
            <w:noWrap/>
          </w:tcPr>
          <w:p w14:paraId="38B6303E" w14:textId="057E40F5" w:rsidR="00CF411A" w:rsidRPr="00217865" w:rsidRDefault="00CF411A" w:rsidP="00CF411A">
            <w:pPr>
              <w:pStyle w:val="Z"/>
              <w:spacing w:before="60" w:after="60"/>
              <w:jc w:val="center"/>
              <w:rPr>
                <w:color w:val="000000" w:themeColor="text1"/>
                <w:sz w:val="16"/>
                <w:szCs w:val="18"/>
              </w:rPr>
            </w:pPr>
            <w:r w:rsidRPr="00217865">
              <w:rPr>
                <w:color w:val="000000" w:themeColor="text1"/>
              </w:rPr>
              <w:t>Student Support and Services</w:t>
            </w:r>
            <w:r w:rsidRPr="00217865">
              <w:rPr>
                <w:b w:val="0"/>
                <w:bCs/>
                <w:color w:val="000000" w:themeColor="text1"/>
              </w:rPr>
              <w:t xml:space="preserve"> </w:t>
            </w:r>
            <w:r w:rsidRPr="00CF411A">
              <w:rPr>
                <w:b w:val="0"/>
                <w:bCs/>
                <w:color w:val="000000" w:themeColor="text1"/>
              </w:rPr>
              <w:t>2021-2022</w:t>
            </w:r>
          </w:p>
        </w:tc>
        <w:tc>
          <w:tcPr>
            <w:tcW w:w="403" w:type="pct"/>
            <w:noWrap/>
          </w:tcPr>
          <w:p w14:paraId="40657C76" w14:textId="578E97AC" w:rsidR="00CF411A" w:rsidRPr="00217865" w:rsidRDefault="00CF411A" w:rsidP="00CF411A">
            <w:pPr>
              <w:pStyle w:val="Z"/>
              <w:spacing w:before="60" w:after="60"/>
              <w:jc w:val="center"/>
              <w:rPr>
                <w:color w:val="000000" w:themeColor="text1"/>
                <w:sz w:val="16"/>
                <w:szCs w:val="18"/>
              </w:rPr>
            </w:pPr>
            <w:r w:rsidRPr="00217865">
              <w:rPr>
                <w:color w:val="000000" w:themeColor="text1"/>
              </w:rPr>
              <w:t>Student Support and Services</w:t>
            </w:r>
            <w:r w:rsidRPr="00217865">
              <w:rPr>
                <w:b w:val="0"/>
                <w:bCs/>
                <w:color w:val="000000" w:themeColor="text1"/>
              </w:rPr>
              <w:t xml:space="preserve"> </w:t>
            </w:r>
            <w:r w:rsidRPr="00CF411A">
              <w:rPr>
                <w:b w:val="0"/>
                <w:bCs/>
                <w:color w:val="000000" w:themeColor="text1"/>
              </w:rPr>
              <w:t>2022-2023</w:t>
            </w:r>
          </w:p>
        </w:tc>
        <w:tc>
          <w:tcPr>
            <w:tcW w:w="331" w:type="pct"/>
            <w:noWrap/>
          </w:tcPr>
          <w:p w14:paraId="10648EB7" w14:textId="145D82D2" w:rsidR="00CF411A" w:rsidRPr="00217865" w:rsidRDefault="00CF411A" w:rsidP="00CF411A">
            <w:pPr>
              <w:pStyle w:val="Z"/>
              <w:spacing w:before="60" w:after="60"/>
              <w:jc w:val="center"/>
              <w:rPr>
                <w:color w:val="000000" w:themeColor="text1"/>
                <w:sz w:val="16"/>
                <w:szCs w:val="18"/>
              </w:rPr>
            </w:pPr>
            <w:r w:rsidRPr="00217865">
              <w:rPr>
                <w:color w:val="000000" w:themeColor="text1"/>
              </w:rPr>
              <w:t>Learning Resources</w:t>
            </w:r>
            <w:r w:rsidRPr="00217865">
              <w:rPr>
                <w:b w:val="0"/>
                <w:bCs/>
                <w:color w:val="000000" w:themeColor="text1"/>
              </w:rPr>
              <w:t xml:space="preserve"> </w:t>
            </w:r>
            <w:r w:rsidRPr="00CF411A">
              <w:rPr>
                <w:b w:val="0"/>
                <w:bCs/>
                <w:color w:val="000000" w:themeColor="text1"/>
              </w:rPr>
              <w:t>2021-2022</w:t>
            </w:r>
          </w:p>
        </w:tc>
        <w:tc>
          <w:tcPr>
            <w:tcW w:w="331" w:type="pct"/>
            <w:noWrap/>
          </w:tcPr>
          <w:p w14:paraId="7CC3BFC5" w14:textId="627063E4" w:rsidR="00CF411A" w:rsidRPr="00217865" w:rsidRDefault="00CF411A" w:rsidP="00CF411A">
            <w:pPr>
              <w:pStyle w:val="Z"/>
              <w:spacing w:before="60" w:after="60"/>
              <w:jc w:val="center"/>
              <w:rPr>
                <w:color w:val="000000" w:themeColor="text1"/>
                <w:sz w:val="16"/>
                <w:szCs w:val="18"/>
              </w:rPr>
            </w:pPr>
            <w:r w:rsidRPr="00217865">
              <w:rPr>
                <w:color w:val="000000" w:themeColor="text1"/>
              </w:rPr>
              <w:t>Learning Resources</w:t>
            </w:r>
            <w:r w:rsidRPr="00217865">
              <w:rPr>
                <w:b w:val="0"/>
                <w:bCs/>
                <w:color w:val="000000" w:themeColor="text1"/>
              </w:rPr>
              <w:t xml:space="preserve"> </w:t>
            </w:r>
            <w:r w:rsidRPr="00CF411A">
              <w:rPr>
                <w:b w:val="0"/>
                <w:bCs/>
                <w:color w:val="000000" w:themeColor="text1"/>
              </w:rPr>
              <w:t>2022-2023</w:t>
            </w:r>
          </w:p>
        </w:tc>
        <w:tc>
          <w:tcPr>
            <w:tcW w:w="476" w:type="pct"/>
            <w:noWrap/>
          </w:tcPr>
          <w:p w14:paraId="7CA0D8BB" w14:textId="0CB5051D" w:rsidR="00CF411A" w:rsidRPr="00217865" w:rsidRDefault="00CF411A" w:rsidP="00CF411A">
            <w:pPr>
              <w:pStyle w:val="Z"/>
              <w:spacing w:before="60" w:after="60"/>
              <w:jc w:val="center"/>
              <w:rPr>
                <w:color w:val="000000" w:themeColor="text1"/>
                <w:sz w:val="16"/>
                <w:szCs w:val="18"/>
              </w:rPr>
            </w:pPr>
            <w:r w:rsidRPr="00217865">
              <w:rPr>
                <w:color w:val="000000" w:themeColor="text1"/>
              </w:rPr>
              <w:t>Quality of entire educational experience</w:t>
            </w:r>
            <w:r w:rsidRPr="00217865">
              <w:rPr>
                <w:b w:val="0"/>
                <w:bCs/>
                <w:color w:val="000000" w:themeColor="text1"/>
              </w:rPr>
              <w:t xml:space="preserve"> </w:t>
            </w:r>
            <w:r w:rsidRPr="00CF411A">
              <w:rPr>
                <w:b w:val="0"/>
                <w:bCs/>
                <w:color w:val="000000" w:themeColor="text1"/>
              </w:rPr>
              <w:t>2021-2022</w:t>
            </w:r>
          </w:p>
        </w:tc>
        <w:tc>
          <w:tcPr>
            <w:tcW w:w="476" w:type="pct"/>
            <w:noWrap/>
          </w:tcPr>
          <w:p w14:paraId="41A77AFD" w14:textId="1791D080" w:rsidR="00CF411A" w:rsidRPr="00217865" w:rsidRDefault="00CF411A" w:rsidP="00CF411A">
            <w:pPr>
              <w:pStyle w:val="Z"/>
              <w:spacing w:before="60" w:after="60"/>
              <w:jc w:val="center"/>
              <w:rPr>
                <w:color w:val="000000" w:themeColor="text1"/>
                <w:sz w:val="16"/>
                <w:szCs w:val="18"/>
              </w:rPr>
            </w:pPr>
            <w:r w:rsidRPr="00217865">
              <w:rPr>
                <w:color w:val="000000" w:themeColor="text1"/>
              </w:rPr>
              <w:t>Quality of entire educational experience</w:t>
            </w:r>
            <w:r w:rsidRPr="00217865">
              <w:rPr>
                <w:b w:val="0"/>
                <w:bCs/>
                <w:color w:val="000000" w:themeColor="text1"/>
              </w:rPr>
              <w:t xml:space="preserve"> </w:t>
            </w:r>
            <w:r w:rsidRPr="00CF411A">
              <w:rPr>
                <w:b w:val="0"/>
                <w:bCs/>
                <w:color w:val="000000" w:themeColor="text1"/>
              </w:rPr>
              <w:t>2022-2023</w:t>
            </w:r>
          </w:p>
        </w:tc>
      </w:tr>
      <w:tr w:rsidR="00217865" w:rsidRPr="00217865" w14:paraId="765DBEE1" w14:textId="77777777" w:rsidTr="00CF411A">
        <w:trPr>
          <w:trHeight w:val="62"/>
        </w:trPr>
        <w:tc>
          <w:tcPr>
            <w:tcW w:w="433" w:type="pct"/>
            <w:noWrap/>
            <w:vAlign w:val="center"/>
          </w:tcPr>
          <w:p w14:paraId="7DFF13ED" w14:textId="357B12C3"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Australian College of Applied Professions</w:t>
            </w:r>
          </w:p>
        </w:tc>
        <w:tc>
          <w:tcPr>
            <w:tcW w:w="324" w:type="pct"/>
            <w:noWrap/>
            <w:vAlign w:val="center"/>
          </w:tcPr>
          <w:p w14:paraId="3DAC6F46" w14:textId="4D8B8EA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87.2 (84.3, 89.3)</w:t>
            </w:r>
          </w:p>
        </w:tc>
        <w:tc>
          <w:tcPr>
            <w:tcW w:w="324" w:type="pct"/>
            <w:noWrap/>
            <w:vAlign w:val="center"/>
          </w:tcPr>
          <w:p w14:paraId="1B3593CB" w14:textId="7DED091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88.2 (85.8, 90.0)</w:t>
            </w:r>
          </w:p>
        </w:tc>
        <w:tc>
          <w:tcPr>
            <w:tcW w:w="313" w:type="pct"/>
            <w:noWrap/>
            <w:vAlign w:val="center"/>
          </w:tcPr>
          <w:p w14:paraId="71739189" w14:textId="0981ADF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65.9 (62.5, 69.1)</w:t>
            </w:r>
          </w:p>
        </w:tc>
        <w:tc>
          <w:tcPr>
            <w:tcW w:w="313" w:type="pct"/>
            <w:noWrap/>
            <w:vAlign w:val="center"/>
          </w:tcPr>
          <w:p w14:paraId="79A316D9" w14:textId="4EFAA53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77.5 (74.7, 79.9)</w:t>
            </w:r>
          </w:p>
        </w:tc>
        <w:tc>
          <w:tcPr>
            <w:tcW w:w="436" w:type="pct"/>
            <w:noWrap/>
            <w:vAlign w:val="center"/>
          </w:tcPr>
          <w:p w14:paraId="00B07A32" w14:textId="00A1A87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85.5 (82.6, 87.7)</w:t>
            </w:r>
          </w:p>
        </w:tc>
        <w:tc>
          <w:tcPr>
            <w:tcW w:w="436" w:type="pct"/>
            <w:noWrap/>
            <w:vAlign w:val="center"/>
          </w:tcPr>
          <w:p w14:paraId="0D4C9148" w14:textId="54C9BE5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89.4 (87.1, 91.0)</w:t>
            </w:r>
          </w:p>
        </w:tc>
        <w:tc>
          <w:tcPr>
            <w:tcW w:w="403" w:type="pct"/>
            <w:noWrap/>
            <w:vAlign w:val="center"/>
          </w:tcPr>
          <w:p w14:paraId="4D6E24B7" w14:textId="5A98F8C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72.3 (68.7, 75.4)</w:t>
            </w:r>
          </w:p>
        </w:tc>
        <w:tc>
          <w:tcPr>
            <w:tcW w:w="403" w:type="pct"/>
            <w:noWrap/>
            <w:vAlign w:val="center"/>
          </w:tcPr>
          <w:p w14:paraId="1583503F" w14:textId="398C23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75.9 (72.8, 78.7)</w:t>
            </w:r>
          </w:p>
        </w:tc>
        <w:tc>
          <w:tcPr>
            <w:tcW w:w="331" w:type="pct"/>
            <w:noWrap/>
            <w:vAlign w:val="center"/>
          </w:tcPr>
          <w:p w14:paraId="69AA2EE4" w14:textId="503193A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75.1 (71.1, 78.6)</w:t>
            </w:r>
          </w:p>
        </w:tc>
        <w:tc>
          <w:tcPr>
            <w:tcW w:w="331" w:type="pct"/>
            <w:noWrap/>
            <w:vAlign w:val="center"/>
          </w:tcPr>
          <w:p w14:paraId="40D5CEE6" w14:textId="18FB925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82.9 (79.9, 85.2)</w:t>
            </w:r>
          </w:p>
        </w:tc>
        <w:tc>
          <w:tcPr>
            <w:tcW w:w="476" w:type="pct"/>
            <w:noWrap/>
            <w:vAlign w:val="center"/>
          </w:tcPr>
          <w:p w14:paraId="656F20DF" w14:textId="0628FCE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69.5 (66.1, 72.6)</w:t>
            </w:r>
          </w:p>
        </w:tc>
        <w:tc>
          <w:tcPr>
            <w:tcW w:w="476" w:type="pct"/>
            <w:noWrap/>
            <w:vAlign w:val="center"/>
          </w:tcPr>
          <w:p w14:paraId="734D0A9D" w14:textId="6D7BDF3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77.4 (74.7, 79.8)</w:t>
            </w:r>
          </w:p>
        </w:tc>
      </w:tr>
      <w:tr w:rsidR="00217865" w:rsidRPr="00217865" w14:paraId="4D5E2A43" w14:textId="77777777" w:rsidTr="00CF411A">
        <w:trPr>
          <w:trHeight w:val="62"/>
        </w:trPr>
        <w:tc>
          <w:tcPr>
            <w:tcW w:w="433" w:type="pct"/>
            <w:noWrap/>
            <w:vAlign w:val="center"/>
          </w:tcPr>
          <w:p w14:paraId="3D6FA715" w14:textId="442F605A"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Adelaide Institute of Higher Education</w:t>
            </w:r>
          </w:p>
        </w:tc>
        <w:tc>
          <w:tcPr>
            <w:tcW w:w="324" w:type="pct"/>
            <w:noWrap/>
            <w:vAlign w:val="center"/>
          </w:tcPr>
          <w:p w14:paraId="7F69A9DD" w14:textId="6890440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24" w:type="pct"/>
            <w:noWrap/>
            <w:vAlign w:val="center"/>
          </w:tcPr>
          <w:p w14:paraId="13A6904E" w14:textId="018E602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94.4 (85.8, 96.9)</w:t>
            </w:r>
          </w:p>
        </w:tc>
        <w:tc>
          <w:tcPr>
            <w:tcW w:w="313" w:type="pct"/>
            <w:noWrap/>
            <w:vAlign w:val="center"/>
          </w:tcPr>
          <w:p w14:paraId="77FAAE1D" w14:textId="4E0BF7C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66F68E10" w14:textId="3C2CB8C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91.9 (83.1, 95.0)</w:t>
            </w:r>
          </w:p>
        </w:tc>
        <w:tc>
          <w:tcPr>
            <w:tcW w:w="436" w:type="pct"/>
            <w:noWrap/>
            <w:vAlign w:val="center"/>
          </w:tcPr>
          <w:p w14:paraId="1BB4DBA6" w14:textId="1AB96D6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045B2EFF" w14:textId="56A7E53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(82.6, 94.9)</w:t>
            </w:r>
          </w:p>
        </w:tc>
        <w:tc>
          <w:tcPr>
            <w:tcW w:w="403" w:type="pct"/>
            <w:noWrap/>
            <w:vAlign w:val="center"/>
          </w:tcPr>
          <w:p w14:paraId="3926AF40" w14:textId="021110B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1C1DF016" w14:textId="63BA72D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(82.6, 94.9)</w:t>
            </w:r>
          </w:p>
        </w:tc>
        <w:tc>
          <w:tcPr>
            <w:tcW w:w="331" w:type="pct"/>
            <w:noWrap/>
            <w:vAlign w:val="center"/>
          </w:tcPr>
          <w:p w14:paraId="43903A8F" w14:textId="02D3F3A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0F234D21" w14:textId="183726D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91.4 (82.0, 94.9)</w:t>
            </w:r>
          </w:p>
        </w:tc>
        <w:tc>
          <w:tcPr>
            <w:tcW w:w="476" w:type="pct"/>
            <w:noWrap/>
            <w:vAlign w:val="center"/>
          </w:tcPr>
          <w:p w14:paraId="5852A1E9" w14:textId="16D9991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751A46F3" w14:textId="34D1E9E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89.5 (80.5, 93.2)</w:t>
            </w:r>
          </w:p>
        </w:tc>
      </w:tr>
      <w:tr w:rsidR="00217865" w:rsidRPr="00217865" w14:paraId="26735AD9" w14:textId="77777777" w:rsidTr="00CF411A">
        <w:trPr>
          <w:trHeight w:val="62"/>
        </w:trPr>
        <w:tc>
          <w:tcPr>
            <w:tcW w:w="433" w:type="pct"/>
            <w:noWrap/>
            <w:vAlign w:val="center"/>
          </w:tcPr>
          <w:p w14:paraId="6362B553" w14:textId="7408379C" w:rsidR="00286CDE" w:rsidRPr="00217865" w:rsidRDefault="00286CDE" w:rsidP="0078684E">
            <w:pPr>
              <w:pStyle w:val="Z"/>
              <w:spacing w:before="60" w:after="60"/>
              <w:rPr>
                <w:color w:val="000000" w:themeColor="text1"/>
                <w:sz w:val="16"/>
                <w:szCs w:val="18"/>
              </w:rPr>
            </w:pPr>
            <w:proofErr w:type="spellStart"/>
            <w:r w:rsidRPr="00217865">
              <w:rPr>
                <w:color w:val="000000" w:themeColor="text1"/>
                <w:sz w:val="16"/>
                <w:szCs w:val="18"/>
              </w:rPr>
              <w:t>Alphacrucis</w:t>
            </w:r>
            <w:proofErr w:type="spellEnd"/>
            <w:r w:rsidRPr="00217865">
              <w:rPr>
                <w:color w:val="000000" w:themeColor="text1"/>
                <w:sz w:val="16"/>
                <w:szCs w:val="18"/>
              </w:rPr>
              <w:t xml:space="preserve"> University College</w:t>
            </w:r>
          </w:p>
        </w:tc>
        <w:tc>
          <w:tcPr>
            <w:tcW w:w="324" w:type="pct"/>
            <w:noWrap/>
            <w:vAlign w:val="center"/>
          </w:tcPr>
          <w:p w14:paraId="5CD321B1" w14:textId="7A4A47F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80.0 (65.8, 88.4)</w:t>
            </w:r>
          </w:p>
        </w:tc>
        <w:tc>
          <w:tcPr>
            <w:tcW w:w="324" w:type="pct"/>
            <w:noWrap/>
            <w:vAlign w:val="center"/>
          </w:tcPr>
          <w:p w14:paraId="2AC07CC3" w14:textId="0EB6D48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357F092D" w14:textId="1703E8C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44.8 (33.1, 57.4)</w:t>
            </w:r>
          </w:p>
        </w:tc>
        <w:tc>
          <w:tcPr>
            <w:tcW w:w="313" w:type="pct"/>
            <w:noWrap/>
            <w:vAlign w:val="center"/>
          </w:tcPr>
          <w:p w14:paraId="658FCFFF" w14:textId="0C05FAC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592B62DF" w14:textId="5C73628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85.7 (73.1, 92.1)</w:t>
            </w:r>
          </w:p>
        </w:tc>
        <w:tc>
          <w:tcPr>
            <w:tcW w:w="436" w:type="pct"/>
            <w:noWrap/>
            <w:vAlign w:val="center"/>
          </w:tcPr>
          <w:p w14:paraId="707CDACD" w14:textId="519725D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00E2E9DB" w14:textId="2E93725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1C3221F2" w14:textId="69952C4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4A4CFAE9" w14:textId="1AD1332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06429241" w14:textId="66A44D4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42F17C10" w14:textId="4836D05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86.2 (74.0, 92.3)</w:t>
            </w:r>
          </w:p>
        </w:tc>
        <w:tc>
          <w:tcPr>
            <w:tcW w:w="476" w:type="pct"/>
            <w:noWrap/>
            <w:vAlign w:val="center"/>
          </w:tcPr>
          <w:p w14:paraId="45315159" w14:textId="79E3E1D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r>
      <w:tr w:rsidR="00217865" w:rsidRPr="00217865" w14:paraId="6EA145A5" w14:textId="77777777" w:rsidTr="00CF411A">
        <w:trPr>
          <w:trHeight w:val="62"/>
        </w:trPr>
        <w:tc>
          <w:tcPr>
            <w:tcW w:w="433" w:type="pct"/>
            <w:noWrap/>
            <w:vAlign w:val="center"/>
          </w:tcPr>
          <w:p w14:paraId="7FE3ADAF" w14:textId="365ACF97"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Asia Pacific International College</w:t>
            </w:r>
          </w:p>
        </w:tc>
        <w:tc>
          <w:tcPr>
            <w:tcW w:w="324" w:type="pct"/>
            <w:noWrap/>
            <w:vAlign w:val="center"/>
          </w:tcPr>
          <w:p w14:paraId="5C8AFD45" w14:textId="54DAA46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84.2 (79.4, 87.7)</w:t>
            </w:r>
          </w:p>
        </w:tc>
        <w:tc>
          <w:tcPr>
            <w:tcW w:w="324" w:type="pct"/>
            <w:noWrap/>
            <w:vAlign w:val="center"/>
          </w:tcPr>
          <w:p w14:paraId="5B233314" w14:textId="62E1E75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90.6 (86.8, 93.0)</w:t>
            </w:r>
          </w:p>
        </w:tc>
        <w:tc>
          <w:tcPr>
            <w:tcW w:w="313" w:type="pct"/>
            <w:noWrap/>
            <w:vAlign w:val="center"/>
          </w:tcPr>
          <w:p w14:paraId="706B7F7F" w14:textId="0F760D3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69.8 (64.4, 74.4)</w:t>
            </w:r>
          </w:p>
        </w:tc>
        <w:tc>
          <w:tcPr>
            <w:tcW w:w="313" w:type="pct"/>
            <w:noWrap/>
            <w:vAlign w:val="center"/>
          </w:tcPr>
          <w:p w14:paraId="6707274A" w14:textId="3EE4D6E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85.4 (81.1, 88.5)</w:t>
            </w:r>
          </w:p>
        </w:tc>
        <w:tc>
          <w:tcPr>
            <w:tcW w:w="436" w:type="pct"/>
            <w:noWrap/>
            <w:vAlign w:val="center"/>
          </w:tcPr>
          <w:p w14:paraId="187B4157" w14:textId="6C1669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89.6 (85.4, 92.3)</w:t>
            </w:r>
          </w:p>
        </w:tc>
        <w:tc>
          <w:tcPr>
            <w:tcW w:w="436" w:type="pct"/>
            <w:noWrap/>
            <w:vAlign w:val="center"/>
          </w:tcPr>
          <w:p w14:paraId="4B8658F5" w14:textId="32D1126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91.3 (87.5, 93.6)</w:t>
            </w:r>
          </w:p>
        </w:tc>
        <w:tc>
          <w:tcPr>
            <w:tcW w:w="403" w:type="pct"/>
            <w:noWrap/>
            <w:vAlign w:val="center"/>
          </w:tcPr>
          <w:p w14:paraId="7C0F8B3D" w14:textId="19BB8BA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85.5 (80.7, 88.9)</w:t>
            </w:r>
          </w:p>
        </w:tc>
        <w:tc>
          <w:tcPr>
            <w:tcW w:w="403" w:type="pct"/>
            <w:noWrap/>
            <w:vAlign w:val="center"/>
          </w:tcPr>
          <w:p w14:paraId="7B5D9400" w14:textId="4AE8584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87.7 (83.4, 90.5)</w:t>
            </w:r>
          </w:p>
        </w:tc>
        <w:tc>
          <w:tcPr>
            <w:tcW w:w="331" w:type="pct"/>
            <w:noWrap/>
            <w:vAlign w:val="center"/>
          </w:tcPr>
          <w:p w14:paraId="5003B31E" w14:textId="4E8FB63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84.8 (79.0, 88.8)</w:t>
            </w:r>
          </w:p>
        </w:tc>
        <w:tc>
          <w:tcPr>
            <w:tcW w:w="331" w:type="pct"/>
            <w:noWrap/>
            <w:vAlign w:val="center"/>
          </w:tcPr>
          <w:p w14:paraId="38FB6E20" w14:textId="7A4E6A0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85.4 (80.7, 88.7)</w:t>
            </w:r>
          </w:p>
        </w:tc>
        <w:tc>
          <w:tcPr>
            <w:tcW w:w="476" w:type="pct"/>
            <w:noWrap/>
            <w:vAlign w:val="center"/>
          </w:tcPr>
          <w:p w14:paraId="20BC8E81" w14:textId="2D4710D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84.8 (80.1, 88.1)</w:t>
            </w:r>
          </w:p>
        </w:tc>
        <w:tc>
          <w:tcPr>
            <w:tcW w:w="476" w:type="pct"/>
            <w:noWrap/>
            <w:vAlign w:val="center"/>
          </w:tcPr>
          <w:p w14:paraId="7CB3AC46" w14:textId="1A5D26A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88.8 (84.8, 91.4)</w:t>
            </w:r>
          </w:p>
        </w:tc>
      </w:tr>
      <w:tr w:rsidR="00217865" w:rsidRPr="00217865" w14:paraId="3344D9C3" w14:textId="77777777" w:rsidTr="00CF411A">
        <w:trPr>
          <w:trHeight w:val="62"/>
        </w:trPr>
        <w:tc>
          <w:tcPr>
            <w:tcW w:w="433" w:type="pct"/>
            <w:noWrap/>
            <w:vAlign w:val="center"/>
          </w:tcPr>
          <w:p w14:paraId="22590E2F" w14:textId="3FB11523"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Australian College of Theology Limited</w:t>
            </w:r>
          </w:p>
        </w:tc>
        <w:tc>
          <w:tcPr>
            <w:tcW w:w="324" w:type="pct"/>
            <w:noWrap/>
            <w:vAlign w:val="center"/>
          </w:tcPr>
          <w:p w14:paraId="4D81E2B6" w14:textId="0784C85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93.3 (86.8, 94.9)</w:t>
            </w:r>
          </w:p>
        </w:tc>
        <w:tc>
          <w:tcPr>
            <w:tcW w:w="324" w:type="pct"/>
            <w:noWrap/>
            <w:vAlign w:val="center"/>
          </w:tcPr>
          <w:p w14:paraId="0AE33E75" w14:textId="0C0594C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96.8 (88.1, 97.9)</w:t>
            </w:r>
          </w:p>
        </w:tc>
        <w:tc>
          <w:tcPr>
            <w:tcW w:w="313" w:type="pct"/>
            <w:noWrap/>
            <w:vAlign w:val="center"/>
          </w:tcPr>
          <w:p w14:paraId="4ADFB5EA" w14:textId="4D298FD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73.3 (65.7, 78.3)</w:t>
            </w:r>
          </w:p>
        </w:tc>
        <w:tc>
          <w:tcPr>
            <w:tcW w:w="313" w:type="pct"/>
            <w:noWrap/>
            <w:vAlign w:val="center"/>
          </w:tcPr>
          <w:p w14:paraId="0352C0AE" w14:textId="4E7F835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80.6 (70.2, 86.2)</w:t>
            </w:r>
          </w:p>
        </w:tc>
        <w:tc>
          <w:tcPr>
            <w:tcW w:w="436" w:type="pct"/>
            <w:noWrap/>
            <w:vAlign w:val="center"/>
          </w:tcPr>
          <w:p w14:paraId="18B6918E" w14:textId="0CDDA95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100.0 (94.8, 99.5)</w:t>
            </w:r>
          </w:p>
        </w:tc>
        <w:tc>
          <w:tcPr>
            <w:tcW w:w="436" w:type="pct"/>
            <w:noWrap/>
            <w:vAlign w:val="center"/>
          </w:tcPr>
          <w:p w14:paraId="2EFAACDC" w14:textId="2EB5820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100.0 (92.2, 99.8)</w:t>
            </w:r>
          </w:p>
        </w:tc>
        <w:tc>
          <w:tcPr>
            <w:tcW w:w="403" w:type="pct"/>
            <w:noWrap/>
            <w:vAlign w:val="center"/>
          </w:tcPr>
          <w:p w14:paraId="61C64E35" w14:textId="044A658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95.5 (89.1, 96.6)</w:t>
            </w:r>
          </w:p>
        </w:tc>
        <w:tc>
          <w:tcPr>
            <w:tcW w:w="403" w:type="pct"/>
            <w:noWrap/>
            <w:vAlign w:val="center"/>
          </w:tcPr>
          <w:p w14:paraId="0FB342BD" w14:textId="352649E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96.2 (85.5, 98.1)</w:t>
            </w:r>
          </w:p>
        </w:tc>
        <w:tc>
          <w:tcPr>
            <w:tcW w:w="331" w:type="pct"/>
            <w:noWrap/>
            <w:vAlign w:val="center"/>
          </w:tcPr>
          <w:p w14:paraId="6B140D52" w14:textId="18EE1CE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96.7 (87.2, 98.4)</w:t>
            </w:r>
          </w:p>
        </w:tc>
        <w:tc>
          <w:tcPr>
            <w:tcW w:w="331" w:type="pct"/>
            <w:noWrap/>
            <w:vAlign w:val="center"/>
          </w:tcPr>
          <w:p w14:paraId="7B4FF99F" w14:textId="01D798A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100.0 (90.8, 100.0)</w:t>
            </w:r>
          </w:p>
        </w:tc>
        <w:tc>
          <w:tcPr>
            <w:tcW w:w="476" w:type="pct"/>
            <w:noWrap/>
            <w:vAlign w:val="center"/>
          </w:tcPr>
          <w:p w14:paraId="46284C43" w14:textId="4708AE4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95.6 (89.4, 96.6)</w:t>
            </w:r>
          </w:p>
        </w:tc>
        <w:tc>
          <w:tcPr>
            <w:tcW w:w="476" w:type="pct"/>
            <w:noWrap/>
            <w:vAlign w:val="center"/>
          </w:tcPr>
          <w:p w14:paraId="130277CA" w14:textId="3313226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96.8 (88.1, 97.9)</w:t>
            </w:r>
          </w:p>
        </w:tc>
      </w:tr>
      <w:tr w:rsidR="00217865" w:rsidRPr="00217865" w14:paraId="249BF7CD" w14:textId="77777777" w:rsidTr="00CF411A">
        <w:trPr>
          <w:trHeight w:val="62"/>
        </w:trPr>
        <w:tc>
          <w:tcPr>
            <w:tcW w:w="433" w:type="pct"/>
            <w:noWrap/>
            <w:vAlign w:val="center"/>
          </w:tcPr>
          <w:p w14:paraId="64F0D33C" w14:textId="001AB763"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Australian Institute of Business Pty Ltd</w:t>
            </w:r>
          </w:p>
        </w:tc>
        <w:tc>
          <w:tcPr>
            <w:tcW w:w="324" w:type="pct"/>
            <w:noWrap/>
            <w:vAlign w:val="center"/>
          </w:tcPr>
          <w:p w14:paraId="05E495CB" w14:textId="1BFA03C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86.1 (83.1, 88.3)</w:t>
            </w:r>
          </w:p>
        </w:tc>
        <w:tc>
          <w:tcPr>
            <w:tcW w:w="324" w:type="pct"/>
            <w:noWrap/>
            <w:vAlign w:val="center"/>
          </w:tcPr>
          <w:p w14:paraId="2D533CED" w14:textId="616F55E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6D552211" w14:textId="073ECBF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42.1 (38.6, 45.7)</w:t>
            </w:r>
          </w:p>
        </w:tc>
        <w:tc>
          <w:tcPr>
            <w:tcW w:w="313" w:type="pct"/>
            <w:noWrap/>
            <w:vAlign w:val="center"/>
          </w:tcPr>
          <w:p w14:paraId="7608DB70" w14:textId="0F23AF2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4CD73BDE" w14:textId="67033EA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89.9 (87.3, 91.7)</w:t>
            </w:r>
          </w:p>
        </w:tc>
        <w:tc>
          <w:tcPr>
            <w:tcW w:w="436" w:type="pct"/>
            <w:noWrap/>
            <w:vAlign w:val="center"/>
          </w:tcPr>
          <w:p w14:paraId="782087F1" w14:textId="0286DA6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130C0FA8" w14:textId="0A750CB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91.5 (88.9, 93.2)</w:t>
            </w:r>
          </w:p>
        </w:tc>
        <w:tc>
          <w:tcPr>
            <w:tcW w:w="403" w:type="pct"/>
            <w:noWrap/>
            <w:vAlign w:val="center"/>
          </w:tcPr>
          <w:p w14:paraId="50C1511C" w14:textId="4776836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2351780A" w14:textId="289C07F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(80.0, 91.5)</w:t>
            </w:r>
          </w:p>
        </w:tc>
        <w:tc>
          <w:tcPr>
            <w:tcW w:w="331" w:type="pct"/>
            <w:noWrap/>
            <w:vAlign w:val="center"/>
          </w:tcPr>
          <w:p w14:paraId="0776DB72" w14:textId="04EA351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75CD66A6" w14:textId="2803B38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89.7 (87.1, 91.5)</w:t>
            </w:r>
          </w:p>
        </w:tc>
        <w:tc>
          <w:tcPr>
            <w:tcW w:w="476" w:type="pct"/>
            <w:noWrap/>
            <w:vAlign w:val="center"/>
          </w:tcPr>
          <w:p w14:paraId="63E7DE05" w14:textId="310C469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r>
      <w:tr w:rsidR="00217865" w:rsidRPr="00217865" w14:paraId="6D3F6878" w14:textId="77777777" w:rsidTr="00CF411A">
        <w:trPr>
          <w:trHeight w:val="62"/>
        </w:trPr>
        <w:tc>
          <w:tcPr>
            <w:tcW w:w="433" w:type="pct"/>
            <w:noWrap/>
            <w:vAlign w:val="center"/>
          </w:tcPr>
          <w:p w14:paraId="3A82AADF" w14:textId="3EFE1B27"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Australian Institute of Higher Education</w:t>
            </w:r>
          </w:p>
        </w:tc>
        <w:tc>
          <w:tcPr>
            <w:tcW w:w="324" w:type="pct"/>
            <w:noWrap/>
            <w:vAlign w:val="center"/>
          </w:tcPr>
          <w:p w14:paraId="41E1F16C" w14:textId="3564756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86.7 (75.2, 92.1)</w:t>
            </w:r>
          </w:p>
        </w:tc>
        <w:tc>
          <w:tcPr>
            <w:tcW w:w="324" w:type="pct"/>
            <w:noWrap/>
            <w:vAlign w:val="center"/>
          </w:tcPr>
          <w:p w14:paraId="13F78FDB" w14:textId="69F86F7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92.9 (88.9, 95.2)</w:t>
            </w:r>
          </w:p>
        </w:tc>
        <w:tc>
          <w:tcPr>
            <w:tcW w:w="313" w:type="pct"/>
            <w:noWrap/>
            <w:vAlign w:val="center"/>
          </w:tcPr>
          <w:p w14:paraId="1B569350" w14:textId="7AD8346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74.2 (62.2, 82.3)</w:t>
            </w:r>
          </w:p>
        </w:tc>
        <w:tc>
          <w:tcPr>
            <w:tcW w:w="313" w:type="pct"/>
            <w:noWrap/>
            <w:vAlign w:val="center"/>
          </w:tcPr>
          <w:p w14:paraId="635E13DD" w14:textId="535EC13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85.7 (81.0, 89.0)</w:t>
            </w:r>
          </w:p>
        </w:tc>
        <w:tc>
          <w:tcPr>
            <w:tcW w:w="436" w:type="pct"/>
            <w:noWrap/>
            <w:vAlign w:val="center"/>
          </w:tcPr>
          <w:p w14:paraId="2B2D0125" w14:textId="7527093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86.7 (75.2, 92.1)</w:t>
            </w:r>
          </w:p>
        </w:tc>
        <w:tc>
          <w:tcPr>
            <w:tcW w:w="436" w:type="pct"/>
            <w:noWrap/>
            <w:vAlign w:val="center"/>
          </w:tcPr>
          <w:p w14:paraId="7891A594" w14:textId="7599393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89.8 (85.4, 92.6)</w:t>
            </w:r>
          </w:p>
        </w:tc>
        <w:tc>
          <w:tcPr>
            <w:tcW w:w="403" w:type="pct"/>
            <w:noWrap/>
            <w:vAlign w:val="center"/>
          </w:tcPr>
          <w:p w14:paraId="068A275D" w14:textId="1235536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72.4 (59.8, 81.2)</w:t>
            </w:r>
          </w:p>
        </w:tc>
        <w:tc>
          <w:tcPr>
            <w:tcW w:w="403" w:type="pct"/>
            <w:noWrap/>
            <w:vAlign w:val="center"/>
          </w:tcPr>
          <w:p w14:paraId="7D14D35A" w14:textId="22CCFDC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(81.9, 90.2)</w:t>
            </w:r>
          </w:p>
        </w:tc>
        <w:tc>
          <w:tcPr>
            <w:tcW w:w="331" w:type="pct"/>
            <w:noWrap/>
            <w:vAlign w:val="center"/>
          </w:tcPr>
          <w:p w14:paraId="22FD2938" w14:textId="2D302B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70.0 (57.7, 79.0)</w:t>
            </w:r>
          </w:p>
        </w:tc>
        <w:tc>
          <w:tcPr>
            <w:tcW w:w="331" w:type="pct"/>
            <w:noWrap/>
            <w:vAlign w:val="center"/>
          </w:tcPr>
          <w:p w14:paraId="65231731" w14:textId="2BF861C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81.5 (76.1, 85.4)</w:t>
            </w:r>
          </w:p>
        </w:tc>
        <w:tc>
          <w:tcPr>
            <w:tcW w:w="476" w:type="pct"/>
            <w:noWrap/>
            <w:vAlign w:val="center"/>
          </w:tcPr>
          <w:p w14:paraId="0E3DA871" w14:textId="72CB470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86.7 (75.2, 92.1)</w:t>
            </w:r>
          </w:p>
        </w:tc>
        <w:tc>
          <w:tcPr>
            <w:tcW w:w="476" w:type="pct"/>
            <w:noWrap/>
            <w:vAlign w:val="center"/>
          </w:tcPr>
          <w:p w14:paraId="6E73B144" w14:textId="7B7206C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84.8 (80.0, 88.3)</w:t>
            </w:r>
          </w:p>
        </w:tc>
      </w:tr>
      <w:tr w:rsidR="00217865" w:rsidRPr="00217865" w14:paraId="7210FE5F" w14:textId="77777777" w:rsidTr="00CF411A">
        <w:trPr>
          <w:trHeight w:val="62"/>
        </w:trPr>
        <w:tc>
          <w:tcPr>
            <w:tcW w:w="433" w:type="pct"/>
            <w:noWrap/>
            <w:vAlign w:val="center"/>
          </w:tcPr>
          <w:p w14:paraId="5158061A" w14:textId="10FE11D3"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Chartered Accountants Australia and New Zealand</w:t>
            </w:r>
          </w:p>
        </w:tc>
        <w:tc>
          <w:tcPr>
            <w:tcW w:w="324" w:type="pct"/>
            <w:noWrap/>
            <w:vAlign w:val="center"/>
          </w:tcPr>
          <w:p w14:paraId="38EEE68B" w14:textId="1E52EF64"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400F26D5" w14:textId="7DFE811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72.8 (67.8, 77.2)</w:t>
            </w:r>
          </w:p>
        </w:tc>
        <w:tc>
          <w:tcPr>
            <w:tcW w:w="313" w:type="pct"/>
            <w:noWrap/>
            <w:vAlign w:val="center"/>
          </w:tcPr>
          <w:p w14:paraId="20518608" w14:textId="6EB68E6A"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13" w:type="pct"/>
            <w:noWrap/>
            <w:vAlign w:val="center"/>
          </w:tcPr>
          <w:p w14:paraId="728FB3C6" w14:textId="27AAA34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23.4 (19.4, 28.0)</w:t>
            </w:r>
          </w:p>
        </w:tc>
        <w:tc>
          <w:tcPr>
            <w:tcW w:w="436" w:type="pct"/>
            <w:noWrap/>
            <w:vAlign w:val="center"/>
          </w:tcPr>
          <w:p w14:paraId="0DF0AF17" w14:textId="6C827676"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6579B814" w14:textId="58477BF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63.3 (58.1, 68.2)</w:t>
            </w:r>
          </w:p>
        </w:tc>
        <w:tc>
          <w:tcPr>
            <w:tcW w:w="403" w:type="pct"/>
            <w:noWrap/>
            <w:vAlign w:val="center"/>
          </w:tcPr>
          <w:p w14:paraId="0997D659" w14:textId="640773BE"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2106CA35" w14:textId="496AA48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58.7 (52.0, 65.0)</w:t>
            </w:r>
          </w:p>
        </w:tc>
        <w:tc>
          <w:tcPr>
            <w:tcW w:w="331" w:type="pct"/>
            <w:noWrap/>
            <w:vAlign w:val="center"/>
          </w:tcPr>
          <w:p w14:paraId="1C881DBC" w14:textId="0CF02900"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31" w:type="pct"/>
            <w:noWrap/>
            <w:vAlign w:val="center"/>
          </w:tcPr>
          <w:p w14:paraId="2CE97DE7" w14:textId="1B363F3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61.5 (53.2, 69.2)</w:t>
            </w:r>
          </w:p>
        </w:tc>
        <w:tc>
          <w:tcPr>
            <w:tcW w:w="476" w:type="pct"/>
            <w:noWrap/>
            <w:vAlign w:val="center"/>
          </w:tcPr>
          <w:p w14:paraId="148FE122" w14:textId="7461AAD5"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76" w:type="pct"/>
            <w:noWrap/>
            <w:vAlign w:val="center"/>
          </w:tcPr>
          <w:p w14:paraId="6EBCA380" w14:textId="0B24AE2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66.4 (61.3, 71.0)</w:t>
            </w:r>
          </w:p>
        </w:tc>
      </w:tr>
      <w:tr w:rsidR="00217865" w:rsidRPr="00217865" w14:paraId="60DFDC65" w14:textId="77777777" w:rsidTr="00CF411A">
        <w:trPr>
          <w:trHeight w:val="62"/>
        </w:trPr>
        <w:tc>
          <w:tcPr>
            <w:tcW w:w="433" w:type="pct"/>
            <w:noWrap/>
            <w:vAlign w:val="center"/>
          </w:tcPr>
          <w:p w14:paraId="09701EBD" w14:textId="2D4A4204"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CIC Higher Education</w:t>
            </w:r>
          </w:p>
        </w:tc>
        <w:tc>
          <w:tcPr>
            <w:tcW w:w="324" w:type="pct"/>
            <w:noWrap/>
            <w:vAlign w:val="center"/>
          </w:tcPr>
          <w:p w14:paraId="2D57DDE7" w14:textId="14D3519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24" w:type="pct"/>
            <w:noWrap/>
            <w:vAlign w:val="center"/>
          </w:tcPr>
          <w:p w14:paraId="1EE8A4F6" w14:textId="09ED17C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94.2 (87.3, 96.8)</w:t>
            </w:r>
          </w:p>
        </w:tc>
        <w:tc>
          <w:tcPr>
            <w:tcW w:w="313" w:type="pct"/>
            <w:noWrap/>
            <w:vAlign w:val="center"/>
          </w:tcPr>
          <w:p w14:paraId="5E0D3420" w14:textId="67B5B03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3B95A9C2" w14:textId="40360B0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80.0 (71.7, 85.5)</w:t>
            </w:r>
          </w:p>
        </w:tc>
        <w:tc>
          <w:tcPr>
            <w:tcW w:w="436" w:type="pct"/>
            <w:noWrap/>
            <w:vAlign w:val="center"/>
          </w:tcPr>
          <w:p w14:paraId="779E5429" w14:textId="74526F6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100F9D30" w14:textId="1988840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94.5 (88.0, 96.9)</w:t>
            </w:r>
          </w:p>
        </w:tc>
        <w:tc>
          <w:tcPr>
            <w:tcW w:w="403" w:type="pct"/>
            <w:noWrap/>
            <w:vAlign w:val="center"/>
          </w:tcPr>
          <w:p w14:paraId="420DEA51" w14:textId="253EEB6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2AE301E4" w14:textId="79DA5C0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89.4 (80.9, 93.5)</w:t>
            </w:r>
          </w:p>
        </w:tc>
        <w:tc>
          <w:tcPr>
            <w:tcW w:w="331" w:type="pct"/>
            <w:noWrap/>
            <w:vAlign w:val="center"/>
          </w:tcPr>
          <w:p w14:paraId="61CC40D9" w14:textId="4908A76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73E0A76F" w14:textId="6C0AB27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76.0 (66.8, 82.5)</w:t>
            </w:r>
          </w:p>
        </w:tc>
        <w:tc>
          <w:tcPr>
            <w:tcW w:w="476" w:type="pct"/>
            <w:noWrap/>
            <w:vAlign w:val="center"/>
          </w:tcPr>
          <w:p w14:paraId="0C844F07" w14:textId="716D8B3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4AD88334" w14:textId="1281E2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88.7 (81.0, 92.6)</w:t>
            </w:r>
          </w:p>
        </w:tc>
      </w:tr>
      <w:tr w:rsidR="00217865" w:rsidRPr="00217865" w14:paraId="491DAD98" w14:textId="77777777" w:rsidTr="00CF411A">
        <w:trPr>
          <w:trHeight w:val="62"/>
        </w:trPr>
        <w:tc>
          <w:tcPr>
            <w:tcW w:w="433" w:type="pct"/>
            <w:noWrap/>
            <w:vAlign w:val="center"/>
          </w:tcPr>
          <w:p w14:paraId="586D39BC" w14:textId="339A3402"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Engineering Institute of Technology</w:t>
            </w:r>
          </w:p>
        </w:tc>
        <w:tc>
          <w:tcPr>
            <w:tcW w:w="324" w:type="pct"/>
            <w:noWrap/>
            <w:vAlign w:val="center"/>
          </w:tcPr>
          <w:p w14:paraId="714CC70C" w14:textId="3DCA0A4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92.1 (84.2, 94.4)</w:t>
            </w:r>
          </w:p>
        </w:tc>
        <w:tc>
          <w:tcPr>
            <w:tcW w:w="324" w:type="pct"/>
            <w:noWrap/>
            <w:vAlign w:val="center"/>
          </w:tcPr>
          <w:p w14:paraId="297D0AD3" w14:textId="0AF8AED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92.3 (89.4, 93.7)</w:t>
            </w:r>
          </w:p>
        </w:tc>
        <w:tc>
          <w:tcPr>
            <w:tcW w:w="313" w:type="pct"/>
            <w:noWrap/>
            <w:vAlign w:val="center"/>
          </w:tcPr>
          <w:p w14:paraId="3D15170C" w14:textId="01593E2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57.9 (49.2, 65.5)</w:t>
            </w:r>
          </w:p>
        </w:tc>
        <w:tc>
          <w:tcPr>
            <w:tcW w:w="313" w:type="pct"/>
            <w:noWrap/>
            <w:vAlign w:val="center"/>
          </w:tcPr>
          <w:p w14:paraId="6D21EB64" w14:textId="57B2779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71.7 (68.0, 74.7)</w:t>
            </w:r>
          </w:p>
        </w:tc>
        <w:tc>
          <w:tcPr>
            <w:tcW w:w="436" w:type="pct"/>
            <w:noWrap/>
            <w:vAlign w:val="center"/>
          </w:tcPr>
          <w:p w14:paraId="495058D5" w14:textId="74A3E89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84.2 (75.6, 88.3)</w:t>
            </w:r>
          </w:p>
        </w:tc>
        <w:tc>
          <w:tcPr>
            <w:tcW w:w="436" w:type="pct"/>
            <w:noWrap/>
            <w:vAlign w:val="center"/>
          </w:tcPr>
          <w:p w14:paraId="2A6CC6CF" w14:textId="4F1F391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88.6 (85.5, 90.4)</w:t>
            </w:r>
          </w:p>
        </w:tc>
        <w:tc>
          <w:tcPr>
            <w:tcW w:w="403" w:type="pct"/>
            <w:noWrap/>
            <w:vAlign w:val="center"/>
          </w:tcPr>
          <w:p w14:paraId="2A13CE77" w14:textId="7BDDAC1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86.5 (77.8, 90.2)</w:t>
            </w:r>
          </w:p>
        </w:tc>
        <w:tc>
          <w:tcPr>
            <w:tcW w:w="403" w:type="pct"/>
            <w:noWrap/>
            <w:vAlign w:val="center"/>
          </w:tcPr>
          <w:p w14:paraId="54E467D9" w14:textId="021F3FC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84.9 (81.4, 87.1)</w:t>
            </w:r>
          </w:p>
        </w:tc>
        <w:tc>
          <w:tcPr>
            <w:tcW w:w="331" w:type="pct"/>
            <w:noWrap/>
            <w:vAlign w:val="center"/>
          </w:tcPr>
          <w:p w14:paraId="5970C7A6" w14:textId="03DD837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80.0 (70.4, 85.3)</w:t>
            </w:r>
          </w:p>
        </w:tc>
        <w:tc>
          <w:tcPr>
            <w:tcW w:w="331" w:type="pct"/>
            <w:noWrap/>
            <w:vAlign w:val="center"/>
          </w:tcPr>
          <w:p w14:paraId="56A800A6" w14:textId="640A2AF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73.9 (70.0, 76.9)</w:t>
            </w:r>
          </w:p>
        </w:tc>
        <w:tc>
          <w:tcPr>
            <w:tcW w:w="476" w:type="pct"/>
            <w:noWrap/>
            <w:vAlign w:val="center"/>
          </w:tcPr>
          <w:p w14:paraId="062DB5E0" w14:textId="751F9E1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76.3 (67.4, 81.7)</w:t>
            </w:r>
          </w:p>
        </w:tc>
        <w:tc>
          <w:tcPr>
            <w:tcW w:w="476" w:type="pct"/>
            <w:noWrap/>
            <w:vAlign w:val="center"/>
          </w:tcPr>
          <w:p w14:paraId="22A7167D" w14:textId="59019F4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83.0 (79.7, 85.3)</w:t>
            </w:r>
          </w:p>
        </w:tc>
      </w:tr>
      <w:tr w:rsidR="00217865" w:rsidRPr="00217865" w14:paraId="6F2E5EB9" w14:textId="77777777" w:rsidTr="00CF411A">
        <w:trPr>
          <w:trHeight w:val="62"/>
        </w:trPr>
        <w:tc>
          <w:tcPr>
            <w:tcW w:w="433" w:type="pct"/>
            <w:noWrap/>
            <w:vAlign w:val="center"/>
          </w:tcPr>
          <w:p w14:paraId="1AFFEAC5" w14:textId="2E47E0BA" w:rsidR="00286CDE" w:rsidRPr="00217865" w:rsidRDefault="00286CDE" w:rsidP="0078684E">
            <w:pPr>
              <w:pStyle w:val="Z"/>
              <w:spacing w:before="60" w:after="60"/>
              <w:rPr>
                <w:color w:val="000000" w:themeColor="text1"/>
                <w:sz w:val="16"/>
                <w:szCs w:val="18"/>
              </w:rPr>
            </w:pPr>
            <w:proofErr w:type="spellStart"/>
            <w:r w:rsidRPr="00217865">
              <w:rPr>
                <w:color w:val="000000" w:themeColor="text1"/>
                <w:sz w:val="16"/>
                <w:szCs w:val="18"/>
              </w:rPr>
              <w:t>Excelsia</w:t>
            </w:r>
            <w:proofErr w:type="spellEnd"/>
            <w:r w:rsidRPr="00217865">
              <w:rPr>
                <w:color w:val="000000" w:themeColor="text1"/>
                <w:sz w:val="16"/>
                <w:szCs w:val="18"/>
              </w:rPr>
              <w:t xml:space="preserve"> College</w:t>
            </w:r>
          </w:p>
        </w:tc>
        <w:tc>
          <w:tcPr>
            <w:tcW w:w="324" w:type="pct"/>
            <w:noWrap/>
            <w:vAlign w:val="center"/>
          </w:tcPr>
          <w:p w14:paraId="66DE35F2" w14:textId="1684FE1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80.9 (73.1, 86.3)</w:t>
            </w:r>
          </w:p>
        </w:tc>
        <w:tc>
          <w:tcPr>
            <w:tcW w:w="324" w:type="pct"/>
            <w:noWrap/>
            <w:vAlign w:val="center"/>
          </w:tcPr>
          <w:p w14:paraId="75C86F76" w14:textId="0713720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86.5 (82.5, 89.5)</w:t>
            </w:r>
          </w:p>
        </w:tc>
        <w:tc>
          <w:tcPr>
            <w:tcW w:w="313" w:type="pct"/>
            <w:noWrap/>
            <w:vAlign w:val="center"/>
          </w:tcPr>
          <w:p w14:paraId="2568E6F3" w14:textId="100A0B3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63.4 (55.1, 70.6)</w:t>
            </w:r>
          </w:p>
        </w:tc>
        <w:tc>
          <w:tcPr>
            <w:tcW w:w="313" w:type="pct"/>
            <w:noWrap/>
            <w:vAlign w:val="center"/>
          </w:tcPr>
          <w:p w14:paraId="4470AD1A" w14:textId="6C5D68A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83.7 (79.6, 86.8)</w:t>
            </w:r>
          </w:p>
        </w:tc>
        <w:tc>
          <w:tcPr>
            <w:tcW w:w="436" w:type="pct"/>
            <w:noWrap/>
            <w:vAlign w:val="center"/>
          </w:tcPr>
          <w:p w14:paraId="31AD9A75" w14:textId="56843AB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81.2 (73.4, 86.5)</w:t>
            </w:r>
          </w:p>
        </w:tc>
        <w:tc>
          <w:tcPr>
            <w:tcW w:w="436" w:type="pct"/>
            <w:noWrap/>
            <w:vAlign w:val="center"/>
          </w:tcPr>
          <w:p w14:paraId="6C0B5670" w14:textId="29CE328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84.0 (79.8, 87.1)</w:t>
            </w:r>
          </w:p>
        </w:tc>
        <w:tc>
          <w:tcPr>
            <w:tcW w:w="403" w:type="pct"/>
            <w:noWrap/>
            <w:vAlign w:val="center"/>
          </w:tcPr>
          <w:p w14:paraId="0A000206" w14:textId="66749AD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79.7 (71.4, 85.5)</w:t>
            </w:r>
          </w:p>
        </w:tc>
        <w:tc>
          <w:tcPr>
            <w:tcW w:w="403" w:type="pct"/>
            <w:noWrap/>
            <w:vAlign w:val="center"/>
          </w:tcPr>
          <w:p w14:paraId="3D5A530E" w14:textId="2265F0D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80.5 (75.7, 84.3)</w:t>
            </w:r>
          </w:p>
        </w:tc>
        <w:tc>
          <w:tcPr>
            <w:tcW w:w="331" w:type="pct"/>
            <w:noWrap/>
            <w:vAlign w:val="center"/>
          </w:tcPr>
          <w:p w14:paraId="4D3126BD" w14:textId="3BD653A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72.3 (63.7, 79.1)</w:t>
            </w:r>
          </w:p>
        </w:tc>
        <w:tc>
          <w:tcPr>
            <w:tcW w:w="331" w:type="pct"/>
            <w:noWrap/>
            <w:vAlign w:val="center"/>
          </w:tcPr>
          <w:p w14:paraId="71A7F4A7" w14:textId="28543A2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73.5 (68.7, 77.6)</w:t>
            </w:r>
          </w:p>
        </w:tc>
        <w:tc>
          <w:tcPr>
            <w:tcW w:w="476" w:type="pct"/>
            <w:noWrap/>
            <w:vAlign w:val="center"/>
          </w:tcPr>
          <w:p w14:paraId="53619C42" w14:textId="4248007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66.2 (58.0, 73.2)</w:t>
            </w:r>
          </w:p>
        </w:tc>
        <w:tc>
          <w:tcPr>
            <w:tcW w:w="476" w:type="pct"/>
            <w:noWrap/>
            <w:vAlign w:val="center"/>
          </w:tcPr>
          <w:p w14:paraId="62B477E6" w14:textId="5F470A0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74.2 (69.5, 78.1)</w:t>
            </w:r>
          </w:p>
        </w:tc>
      </w:tr>
      <w:tr w:rsidR="00217865" w:rsidRPr="00217865" w14:paraId="0AEE9F4B" w14:textId="77777777" w:rsidTr="00CF411A">
        <w:trPr>
          <w:trHeight w:val="62"/>
        </w:trPr>
        <w:tc>
          <w:tcPr>
            <w:tcW w:w="433" w:type="pct"/>
            <w:noWrap/>
            <w:vAlign w:val="center"/>
          </w:tcPr>
          <w:p w14:paraId="6FA51620" w14:textId="29B1EFB2"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Holmes Institute</w:t>
            </w:r>
          </w:p>
        </w:tc>
        <w:tc>
          <w:tcPr>
            <w:tcW w:w="324" w:type="pct"/>
            <w:noWrap/>
            <w:vAlign w:val="center"/>
          </w:tcPr>
          <w:p w14:paraId="2B4EB659" w14:textId="2A455B0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85.2 (83.8, 86.5)</w:t>
            </w:r>
          </w:p>
        </w:tc>
        <w:tc>
          <w:tcPr>
            <w:tcW w:w="324" w:type="pct"/>
            <w:noWrap/>
            <w:vAlign w:val="center"/>
          </w:tcPr>
          <w:p w14:paraId="05B63D64" w14:textId="41C0F8F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88.7 (87.1, 90.0)</w:t>
            </w:r>
          </w:p>
        </w:tc>
        <w:tc>
          <w:tcPr>
            <w:tcW w:w="313" w:type="pct"/>
            <w:noWrap/>
            <w:vAlign w:val="center"/>
          </w:tcPr>
          <w:p w14:paraId="3B5DDCA0" w14:textId="231B55F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67.7 (66.1, 69.3)</w:t>
            </w:r>
          </w:p>
        </w:tc>
        <w:tc>
          <w:tcPr>
            <w:tcW w:w="313" w:type="pct"/>
            <w:noWrap/>
            <w:vAlign w:val="center"/>
          </w:tcPr>
          <w:p w14:paraId="1AE5C1EA" w14:textId="6ABE072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83.0 (81.2, 84.5)</w:t>
            </w:r>
          </w:p>
        </w:tc>
        <w:tc>
          <w:tcPr>
            <w:tcW w:w="436" w:type="pct"/>
            <w:noWrap/>
            <w:vAlign w:val="center"/>
          </w:tcPr>
          <w:p w14:paraId="7B4CF509" w14:textId="17261B6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84.9 (83.6, 86.2)</w:t>
            </w:r>
          </w:p>
        </w:tc>
        <w:tc>
          <w:tcPr>
            <w:tcW w:w="436" w:type="pct"/>
            <w:noWrap/>
            <w:vAlign w:val="center"/>
          </w:tcPr>
          <w:p w14:paraId="526161F7" w14:textId="2BF5C79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88.8 (87.3, 90.1)</w:t>
            </w:r>
          </w:p>
        </w:tc>
        <w:tc>
          <w:tcPr>
            <w:tcW w:w="403" w:type="pct"/>
            <w:noWrap/>
            <w:vAlign w:val="center"/>
          </w:tcPr>
          <w:p w14:paraId="7CF818C5" w14:textId="0EF598F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82.1 (80.6, 83.5)</w:t>
            </w:r>
          </w:p>
        </w:tc>
        <w:tc>
          <w:tcPr>
            <w:tcW w:w="403" w:type="pct"/>
            <w:noWrap/>
            <w:vAlign w:val="center"/>
          </w:tcPr>
          <w:p w14:paraId="54DB27D0" w14:textId="7EF8D67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87.6 (85.9, 89.1)</w:t>
            </w:r>
          </w:p>
        </w:tc>
        <w:tc>
          <w:tcPr>
            <w:tcW w:w="331" w:type="pct"/>
            <w:noWrap/>
            <w:vAlign w:val="center"/>
          </w:tcPr>
          <w:p w14:paraId="76934647" w14:textId="2B47DA8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78.0 (76.2, 79.6)</w:t>
            </w:r>
          </w:p>
        </w:tc>
        <w:tc>
          <w:tcPr>
            <w:tcW w:w="331" w:type="pct"/>
            <w:noWrap/>
            <w:vAlign w:val="center"/>
          </w:tcPr>
          <w:p w14:paraId="0AFC0B55" w14:textId="7E969A3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80.0 (78.0, 81.9)</w:t>
            </w:r>
          </w:p>
        </w:tc>
        <w:tc>
          <w:tcPr>
            <w:tcW w:w="476" w:type="pct"/>
            <w:noWrap/>
            <w:vAlign w:val="center"/>
          </w:tcPr>
          <w:p w14:paraId="024B60F9" w14:textId="72A847B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81.0 (79.6, 82.3)</w:t>
            </w:r>
          </w:p>
        </w:tc>
        <w:tc>
          <w:tcPr>
            <w:tcW w:w="476" w:type="pct"/>
            <w:noWrap/>
            <w:vAlign w:val="center"/>
          </w:tcPr>
          <w:p w14:paraId="20D3E090" w14:textId="3CD50A6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84.8 (83.1, 86.3)</w:t>
            </w:r>
          </w:p>
        </w:tc>
      </w:tr>
      <w:tr w:rsidR="00217865" w:rsidRPr="00217865" w14:paraId="032C25D5" w14:textId="77777777" w:rsidTr="00CF411A">
        <w:trPr>
          <w:trHeight w:val="62"/>
        </w:trPr>
        <w:tc>
          <w:tcPr>
            <w:tcW w:w="433" w:type="pct"/>
            <w:noWrap/>
            <w:vAlign w:val="center"/>
          </w:tcPr>
          <w:p w14:paraId="5A857C45" w14:textId="32D04DE7"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Institute of Health &amp; Managem</w:t>
            </w:r>
            <w:r w:rsidRPr="00217865">
              <w:rPr>
                <w:color w:val="000000" w:themeColor="text1"/>
                <w:sz w:val="16"/>
                <w:szCs w:val="18"/>
              </w:rPr>
              <w:lastRenderedPageBreak/>
              <w:t>ent Pty Ltd</w:t>
            </w:r>
          </w:p>
        </w:tc>
        <w:tc>
          <w:tcPr>
            <w:tcW w:w="324" w:type="pct"/>
            <w:noWrap/>
            <w:vAlign w:val="center"/>
          </w:tcPr>
          <w:p w14:paraId="4DFD5B07" w14:textId="7C495BC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lastRenderedPageBreak/>
              <w:t>92.2 (87.7, 94.6)</w:t>
            </w:r>
          </w:p>
        </w:tc>
        <w:tc>
          <w:tcPr>
            <w:tcW w:w="324" w:type="pct"/>
            <w:noWrap/>
            <w:vAlign w:val="center"/>
          </w:tcPr>
          <w:p w14:paraId="0B99FB9B" w14:textId="2552B85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95.3 (92.3, 96.7)</w:t>
            </w:r>
          </w:p>
        </w:tc>
        <w:tc>
          <w:tcPr>
            <w:tcW w:w="313" w:type="pct"/>
            <w:noWrap/>
            <w:vAlign w:val="center"/>
          </w:tcPr>
          <w:p w14:paraId="2D56178A" w14:textId="71777DF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60.7 (54.9, 66.0)</w:t>
            </w:r>
          </w:p>
        </w:tc>
        <w:tc>
          <w:tcPr>
            <w:tcW w:w="313" w:type="pct"/>
            <w:noWrap/>
            <w:vAlign w:val="center"/>
          </w:tcPr>
          <w:p w14:paraId="5AD1E5BE" w14:textId="1028065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68.2 (63.5, 72.2)</w:t>
            </w:r>
          </w:p>
        </w:tc>
        <w:tc>
          <w:tcPr>
            <w:tcW w:w="436" w:type="pct"/>
            <w:noWrap/>
            <w:vAlign w:val="center"/>
          </w:tcPr>
          <w:p w14:paraId="41679758" w14:textId="6A88AFB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(87.3, 94.1)</w:t>
            </w:r>
          </w:p>
        </w:tc>
        <w:tc>
          <w:tcPr>
            <w:tcW w:w="436" w:type="pct"/>
            <w:noWrap/>
            <w:vAlign w:val="center"/>
          </w:tcPr>
          <w:p w14:paraId="3E25E555" w14:textId="18C902F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90.7 (87.1, 92.9)</w:t>
            </w:r>
          </w:p>
        </w:tc>
        <w:tc>
          <w:tcPr>
            <w:tcW w:w="403" w:type="pct"/>
            <w:noWrap/>
            <w:vAlign w:val="center"/>
          </w:tcPr>
          <w:p w14:paraId="4EDBC9F7" w14:textId="7283027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87.0 (81.7, 90.4)</w:t>
            </w:r>
          </w:p>
        </w:tc>
        <w:tc>
          <w:tcPr>
            <w:tcW w:w="403" w:type="pct"/>
            <w:noWrap/>
            <w:vAlign w:val="center"/>
          </w:tcPr>
          <w:p w14:paraId="60DFEBA2" w14:textId="27024F1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92.3 (88.7, 94.4)</w:t>
            </w:r>
          </w:p>
        </w:tc>
        <w:tc>
          <w:tcPr>
            <w:tcW w:w="331" w:type="pct"/>
            <w:noWrap/>
            <w:vAlign w:val="center"/>
          </w:tcPr>
          <w:p w14:paraId="095F9D11" w14:textId="1EA0361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88.4 (82.5, 91.9)</w:t>
            </w:r>
          </w:p>
        </w:tc>
        <w:tc>
          <w:tcPr>
            <w:tcW w:w="331" w:type="pct"/>
            <w:noWrap/>
            <w:vAlign w:val="center"/>
          </w:tcPr>
          <w:p w14:paraId="34194847" w14:textId="0347CDF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83.3 (78.5, 86.8)</w:t>
            </w:r>
          </w:p>
        </w:tc>
        <w:tc>
          <w:tcPr>
            <w:tcW w:w="476" w:type="pct"/>
            <w:noWrap/>
            <w:vAlign w:val="center"/>
          </w:tcPr>
          <w:p w14:paraId="48F6A0FC" w14:textId="74B4A29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84.7 (79.6, 88.1)</w:t>
            </w:r>
          </w:p>
        </w:tc>
        <w:tc>
          <w:tcPr>
            <w:tcW w:w="476" w:type="pct"/>
            <w:noWrap/>
            <w:vAlign w:val="center"/>
          </w:tcPr>
          <w:p w14:paraId="388AD18B" w14:textId="50CE675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82.5 (78.3, 85.6)</w:t>
            </w:r>
          </w:p>
        </w:tc>
      </w:tr>
      <w:tr w:rsidR="00217865" w:rsidRPr="00217865" w14:paraId="3B41B0A9" w14:textId="77777777" w:rsidTr="00CF411A">
        <w:trPr>
          <w:trHeight w:val="62"/>
        </w:trPr>
        <w:tc>
          <w:tcPr>
            <w:tcW w:w="433" w:type="pct"/>
            <w:noWrap/>
            <w:vAlign w:val="center"/>
          </w:tcPr>
          <w:p w14:paraId="446F9B31" w14:textId="195FD937"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ICHM</w:t>
            </w:r>
          </w:p>
        </w:tc>
        <w:tc>
          <w:tcPr>
            <w:tcW w:w="324" w:type="pct"/>
            <w:noWrap/>
            <w:vAlign w:val="center"/>
          </w:tcPr>
          <w:p w14:paraId="08A18D15" w14:textId="0D1CCD9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86.5 (78.7, 90.7)</w:t>
            </w:r>
          </w:p>
        </w:tc>
        <w:tc>
          <w:tcPr>
            <w:tcW w:w="324" w:type="pct"/>
            <w:noWrap/>
            <w:vAlign w:val="center"/>
          </w:tcPr>
          <w:p w14:paraId="38AE0FC8" w14:textId="25075BE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90.8 (85.0, 93.3)</w:t>
            </w:r>
          </w:p>
        </w:tc>
        <w:tc>
          <w:tcPr>
            <w:tcW w:w="313" w:type="pct"/>
            <w:noWrap/>
            <w:vAlign w:val="center"/>
          </w:tcPr>
          <w:p w14:paraId="08A04B7E" w14:textId="265D0B5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69.1 (60.8, 75.6)</w:t>
            </w:r>
          </w:p>
        </w:tc>
        <w:tc>
          <w:tcPr>
            <w:tcW w:w="313" w:type="pct"/>
            <w:noWrap/>
            <w:vAlign w:val="center"/>
          </w:tcPr>
          <w:p w14:paraId="087CE077" w14:textId="5A89472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77.3 (70.7, 81.7)</w:t>
            </w:r>
          </w:p>
        </w:tc>
        <w:tc>
          <w:tcPr>
            <w:tcW w:w="436" w:type="pct"/>
            <w:noWrap/>
            <w:vAlign w:val="center"/>
          </w:tcPr>
          <w:p w14:paraId="39BBF7D8" w14:textId="5F7B534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83.3 (75.5, 88.0)</w:t>
            </w:r>
          </w:p>
        </w:tc>
        <w:tc>
          <w:tcPr>
            <w:tcW w:w="436" w:type="pct"/>
            <w:noWrap/>
            <w:vAlign w:val="center"/>
          </w:tcPr>
          <w:p w14:paraId="7B1FDF4C" w14:textId="19366F7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93.9 (88.7, 95.7)</w:t>
            </w:r>
          </w:p>
        </w:tc>
        <w:tc>
          <w:tcPr>
            <w:tcW w:w="403" w:type="pct"/>
            <w:noWrap/>
            <w:vAlign w:val="center"/>
          </w:tcPr>
          <w:p w14:paraId="10C671E7" w14:textId="585DC85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90.0 (82.3, 93.6)</w:t>
            </w:r>
          </w:p>
        </w:tc>
        <w:tc>
          <w:tcPr>
            <w:tcW w:w="403" w:type="pct"/>
            <w:noWrap/>
            <w:vAlign w:val="center"/>
          </w:tcPr>
          <w:p w14:paraId="280C782C" w14:textId="20DBBBB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87.3 (81.0, 90.6)</w:t>
            </w:r>
          </w:p>
        </w:tc>
        <w:tc>
          <w:tcPr>
            <w:tcW w:w="331" w:type="pct"/>
            <w:noWrap/>
            <w:vAlign w:val="center"/>
          </w:tcPr>
          <w:p w14:paraId="016AEDE1" w14:textId="28BC92C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73.1 (64.4, 79.4)</w:t>
            </w:r>
          </w:p>
        </w:tc>
        <w:tc>
          <w:tcPr>
            <w:tcW w:w="331" w:type="pct"/>
            <w:noWrap/>
            <w:vAlign w:val="center"/>
          </w:tcPr>
          <w:p w14:paraId="7E34858F" w14:textId="655894F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80.3 (73.8, 84.4)</w:t>
            </w:r>
          </w:p>
        </w:tc>
        <w:tc>
          <w:tcPr>
            <w:tcW w:w="476" w:type="pct"/>
            <w:noWrap/>
            <w:vAlign w:val="center"/>
          </w:tcPr>
          <w:p w14:paraId="3FF4C153" w14:textId="1257C76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69.1 (60.8, 75.6)</w:t>
            </w:r>
          </w:p>
        </w:tc>
        <w:tc>
          <w:tcPr>
            <w:tcW w:w="476" w:type="pct"/>
            <w:noWrap/>
            <w:vAlign w:val="center"/>
          </w:tcPr>
          <w:p w14:paraId="2BA974A1" w14:textId="4C89CE6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87.9 (81.9, 90.9)</w:t>
            </w:r>
          </w:p>
        </w:tc>
      </w:tr>
      <w:tr w:rsidR="00217865" w:rsidRPr="00217865" w14:paraId="13CF6825" w14:textId="77777777" w:rsidTr="00CF411A">
        <w:trPr>
          <w:trHeight w:val="62"/>
        </w:trPr>
        <w:tc>
          <w:tcPr>
            <w:tcW w:w="433" w:type="pct"/>
            <w:noWrap/>
            <w:vAlign w:val="center"/>
          </w:tcPr>
          <w:p w14:paraId="62713867" w14:textId="5DC0154A"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International College of Management, Sydney</w:t>
            </w:r>
          </w:p>
        </w:tc>
        <w:tc>
          <w:tcPr>
            <w:tcW w:w="324" w:type="pct"/>
            <w:noWrap/>
            <w:vAlign w:val="center"/>
          </w:tcPr>
          <w:p w14:paraId="2C8DB377" w14:textId="2CFDA9D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92.6 (89.2, 94.6)</w:t>
            </w:r>
          </w:p>
        </w:tc>
        <w:tc>
          <w:tcPr>
            <w:tcW w:w="324" w:type="pct"/>
            <w:noWrap/>
            <w:vAlign w:val="center"/>
          </w:tcPr>
          <w:p w14:paraId="532AB339" w14:textId="1A69CE3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(89.6, 93.1)</w:t>
            </w:r>
          </w:p>
        </w:tc>
        <w:tc>
          <w:tcPr>
            <w:tcW w:w="313" w:type="pct"/>
            <w:noWrap/>
            <w:vAlign w:val="center"/>
          </w:tcPr>
          <w:p w14:paraId="282A6721" w14:textId="6819BCE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77.1 (72.6, 80.7)</w:t>
            </w:r>
          </w:p>
        </w:tc>
        <w:tc>
          <w:tcPr>
            <w:tcW w:w="313" w:type="pct"/>
            <w:noWrap/>
            <w:vAlign w:val="center"/>
          </w:tcPr>
          <w:p w14:paraId="7DC31328" w14:textId="3E717D8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86.7 (84.4, 88.5)</w:t>
            </w:r>
          </w:p>
        </w:tc>
        <w:tc>
          <w:tcPr>
            <w:tcW w:w="436" w:type="pct"/>
            <w:noWrap/>
            <w:vAlign w:val="center"/>
          </w:tcPr>
          <w:p w14:paraId="3FC2F23F" w14:textId="22E89A8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90.1 (86.5, 92.4)</w:t>
            </w:r>
          </w:p>
        </w:tc>
        <w:tc>
          <w:tcPr>
            <w:tcW w:w="436" w:type="pct"/>
            <w:noWrap/>
            <w:vAlign w:val="center"/>
          </w:tcPr>
          <w:p w14:paraId="34D43986" w14:textId="507DE12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91.2 (89.1, 92.6)</w:t>
            </w:r>
          </w:p>
        </w:tc>
        <w:tc>
          <w:tcPr>
            <w:tcW w:w="403" w:type="pct"/>
            <w:noWrap/>
            <w:vAlign w:val="center"/>
          </w:tcPr>
          <w:p w14:paraId="4CAF8CF7" w14:textId="0833450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84.6 (80.3, 87.6)</w:t>
            </w:r>
          </w:p>
        </w:tc>
        <w:tc>
          <w:tcPr>
            <w:tcW w:w="403" w:type="pct"/>
            <w:noWrap/>
            <w:vAlign w:val="center"/>
          </w:tcPr>
          <w:p w14:paraId="05BFBDEB" w14:textId="31ECB9D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87.3 (84.9, 89.1)</w:t>
            </w:r>
          </w:p>
        </w:tc>
        <w:tc>
          <w:tcPr>
            <w:tcW w:w="331" w:type="pct"/>
            <w:noWrap/>
            <w:vAlign w:val="center"/>
          </w:tcPr>
          <w:p w14:paraId="27E5A036" w14:textId="61A18CA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78.3 (73.3, 82.1)</w:t>
            </w:r>
          </w:p>
        </w:tc>
        <w:tc>
          <w:tcPr>
            <w:tcW w:w="331" w:type="pct"/>
            <w:noWrap/>
            <w:vAlign w:val="center"/>
          </w:tcPr>
          <w:p w14:paraId="2F40082B" w14:textId="0D9E851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82.0 (79.3, 84.1)</w:t>
            </w:r>
          </w:p>
        </w:tc>
        <w:tc>
          <w:tcPr>
            <w:tcW w:w="476" w:type="pct"/>
            <w:noWrap/>
            <w:vAlign w:val="center"/>
          </w:tcPr>
          <w:p w14:paraId="46861736" w14:textId="15649E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82.4 (78.1, 85.5)</w:t>
            </w:r>
          </w:p>
        </w:tc>
        <w:tc>
          <w:tcPr>
            <w:tcW w:w="476" w:type="pct"/>
            <w:noWrap/>
            <w:vAlign w:val="center"/>
          </w:tcPr>
          <w:p w14:paraId="2135584C" w14:textId="5028D64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85.6 (83.2, 87.4)</w:t>
            </w:r>
          </w:p>
        </w:tc>
      </w:tr>
      <w:tr w:rsidR="00217865" w:rsidRPr="00217865" w14:paraId="6BEA7660" w14:textId="77777777" w:rsidTr="00CF411A">
        <w:trPr>
          <w:trHeight w:val="62"/>
        </w:trPr>
        <w:tc>
          <w:tcPr>
            <w:tcW w:w="433" w:type="pct"/>
            <w:noWrap/>
            <w:vAlign w:val="center"/>
          </w:tcPr>
          <w:p w14:paraId="25E05077" w14:textId="49B028F2"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Kaplan Business School</w:t>
            </w:r>
          </w:p>
        </w:tc>
        <w:tc>
          <w:tcPr>
            <w:tcW w:w="324" w:type="pct"/>
            <w:noWrap/>
            <w:vAlign w:val="center"/>
          </w:tcPr>
          <w:p w14:paraId="297BA1ED" w14:textId="061FA1A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88.0 (86.8, 89.1)</w:t>
            </w:r>
          </w:p>
        </w:tc>
        <w:tc>
          <w:tcPr>
            <w:tcW w:w="324" w:type="pct"/>
            <w:noWrap/>
            <w:vAlign w:val="center"/>
          </w:tcPr>
          <w:p w14:paraId="06FFB986" w14:textId="068895E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89.8 (89.0, 90.5)</w:t>
            </w:r>
          </w:p>
        </w:tc>
        <w:tc>
          <w:tcPr>
            <w:tcW w:w="313" w:type="pct"/>
            <w:noWrap/>
            <w:vAlign w:val="center"/>
          </w:tcPr>
          <w:p w14:paraId="1B7CF48B" w14:textId="40EB6E6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64.2 (62.5, 65.8)</w:t>
            </w:r>
          </w:p>
        </w:tc>
        <w:tc>
          <w:tcPr>
            <w:tcW w:w="313" w:type="pct"/>
            <w:noWrap/>
            <w:vAlign w:val="center"/>
          </w:tcPr>
          <w:p w14:paraId="23BE2814" w14:textId="22F8053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77.2 (76.2, 78.2)</w:t>
            </w:r>
          </w:p>
        </w:tc>
        <w:tc>
          <w:tcPr>
            <w:tcW w:w="436" w:type="pct"/>
            <w:noWrap/>
            <w:vAlign w:val="center"/>
          </w:tcPr>
          <w:p w14:paraId="511447DA" w14:textId="1FED02F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89.8 (88.6, 90.7)</w:t>
            </w:r>
          </w:p>
        </w:tc>
        <w:tc>
          <w:tcPr>
            <w:tcW w:w="436" w:type="pct"/>
            <w:noWrap/>
            <w:vAlign w:val="center"/>
          </w:tcPr>
          <w:p w14:paraId="12156611" w14:textId="6297C4D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91.1 (90.4, 91.7)</w:t>
            </w:r>
          </w:p>
        </w:tc>
        <w:tc>
          <w:tcPr>
            <w:tcW w:w="403" w:type="pct"/>
            <w:noWrap/>
            <w:vAlign w:val="center"/>
          </w:tcPr>
          <w:p w14:paraId="59F954EB" w14:textId="7366BF9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88.7 (87.4, 89.8)</w:t>
            </w:r>
          </w:p>
        </w:tc>
        <w:tc>
          <w:tcPr>
            <w:tcW w:w="403" w:type="pct"/>
            <w:noWrap/>
            <w:vAlign w:val="center"/>
          </w:tcPr>
          <w:p w14:paraId="4D3BA4CB" w14:textId="47D12E7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89.0 (88.1, 89.8)</w:t>
            </w:r>
          </w:p>
        </w:tc>
        <w:tc>
          <w:tcPr>
            <w:tcW w:w="331" w:type="pct"/>
            <w:noWrap/>
            <w:vAlign w:val="center"/>
          </w:tcPr>
          <w:p w14:paraId="042DEF65" w14:textId="3EF07BF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81.7 (80.0, 83.3)</w:t>
            </w:r>
          </w:p>
        </w:tc>
        <w:tc>
          <w:tcPr>
            <w:tcW w:w="331" w:type="pct"/>
            <w:noWrap/>
            <w:vAlign w:val="center"/>
          </w:tcPr>
          <w:p w14:paraId="71459B87" w14:textId="2AD1CDA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84.2 (83.2, 85.1)</w:t>
            </w:r>
          </w:p>
        </w:tc>
        <w:tc>
          <w:tcPr>
            <w:tcW w:w="476" w:type="pct"/>
            <w:noWrap/>
            <w:vAlign w:val="center"/>
          </w:tcPr>
          <w:p w14:paraId="166C7FD5" w14:textId="4DCAC48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85.0 (83.7, 86.1)</w:t>
            </w:r>
          </w:p>
        </w:tc>
        <w:tc>
          <w:tcPr>
            <w:tcW w:w="476" w:type="pct"/>
            <w:noWrap/>
            <w:vAlign w:val="center"/>
          </w:tcPr>
          <w:p w14:paraId="5B70D689" w14:textId="76E322F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87.8 (87.0, 88.6)</w:t>
            </w:r>
          </w:p>
        </w:tc>
      </w:tr>
      <w:tr w:rsidR="00217865" w:rsidRPr="00217865" w14:paraId="3064406A" w14:textId="77777777" w:rsidTr="00CF411A">
        <w:trPr>
          <w:trHeight w:val="62"/>
        </w:trPr>
        <w:tc>
          <w:tcPr>
            <w:tcW w:w="433" w:type="pct"/>
            <w:noWrap/>
            <w:vAlign w:val="center"/>
          </w:tcPr>
          <w:p w14:paraId="05BF4546" w14:textId="77B587CC"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King's Own Institute</w:t>
            </w:r>
          </w:p>
        </w:tc>
        <w:tc>
          <w:tcPr>
            <w:tcW w:w="324" w:type="pct"/>
            <w:noWrap/>
            <w:vAlign w:val="center"/>
          </w:tcPr>
          <w:p w14:paraId="15D13937" w14:textId="0A278D2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81.8 (79.5, 83.8)</w:t>
            </w:r>
          </w:p>
        </w:tc>
        <w:tc>
          <w:tcPr>
            <w:tcW w:w="324" w:type="pct"/>
            <w:noWrap/>
            <w:vAlign w:val="center"/>
          </w:tcPr>
          <w:p w14:paraId="168CC1F5" w14:textId="2A5DF3B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85.0 (83.2, 86.5)</w:t>
            </w:r>
          </w:p>
        </w:tc>
        <w:tc>
          <w:tcPr>
            <w:tcW w:w="313" w:type="pct"/>
            <w:noWrap/>
            <w:vAlign w:val="center"/>
          </w:tcPr>
          <w:p w14:paraId="30F998B7" w14:textId="715CA82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67.3 (64.7, 69.8)</w:t>
            </w:r>
          </w:p>
        </w:tc>
        <w:tc>
          <w:tcPr>
            <w:tcW w:w="313" w:type="pct"/>
            <w:noWrap/>
            <w:vAlign w:val="center"/>
          </w:tcPr>
          <w:p w14:paraId="72646D9C" w14:textId="0AAC8C4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81.4 (79.6, 83.0)</w:t>
            </w:r>
          </w:p>
        </w:tc>
        <w:tc>
          <w:tcPr>
            <w:tcW w:w="436" w:type="pct"/>
            <w:noWrap/>
            <w:vAlign w:val="center"/>
          </w:tcPr>
          <w:p w14:paraId="11CDDE4E" w14:textId="188D859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82.2 (79.9, 84.2)</w:t>
            </w:r>
          </w:p>
        </w:tc>
        <w:tc>
          <w:tcPr>
            <w:tcW w:w="436" w:type="pct"/>
            <w:noWrap/>
            <w:vAlign w:val="center"/>
          </w:tcPr>
          <w:p w14:paraId="21D607B7" w14:textId="084A9B8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86.0 (84.3, 87.5)</w:t>
            </w:r>
          </w:p>
        </w:tc>
        <w:tc>
          <w:tcPr>
            <w:tcW w:w="403" w:type="pct"/>
            <w:noWrap/>
            <w:vAlign w:val="center"/>
          </w:tcPr>
          <w:p w14:paraId="2AF2C5DB" w14:textId="313CF07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79.6 (77.1, 81.7)</w:t>
            </w:r>
          </w:p>
        </w:tc>
        <w:tc>
          <w:tcPr>
            <w:tcW w:w="403" w:type="pct"/>
            <w:noWrap/>
            <w:vAlign w:val="center"/>
          </w:tcPr>
          <w:p w14:paraId="3E9D3C40" w14:textId="09E2EDF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82.4 (80.5, 84.1)</w:t>
            </w:r>
          </w:p>
        </w:tc>
        <w:tc>
          <w:tcPr>
            <w:tcW w:w="331" w:type="pct"/>
            <w:noWrap/>
            <w:vAlign w:val="center"/>
          </w:tcPr>
          <w:p w14:paraId="311D26FD" w14:textId="61CED3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74.1 (71.3, 76.6)</w:t>
            </w:r>
          </w:p>
        </w:tc>
        <w:tc>
          <w:tcPr>
            <w:tcW w:w="331" w:type="pct"/>
            <w:noWrap/>
            <w:vAlign w:val="center"/>
          </w:tcPr>
          <w:p w14:paraId="466D732E" w14:textId="569C46C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83.3 (81.5, 84.9)</w:t>
            </w:r>
          </w:p>
        </w:tc>
        <w:tc>
          <w:tcPr>
            <w:tcW w:w="476" w:type="pct"/>
            <w:noWrap/>
            <w:vAlign w:val="center"/>
          </w:tcPr>
          <w:p w14:paraId="6FE8792F" w14:textId="445333F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78.4 (76.0, 80.5)</w:t>
            </w:r>
          </w:p>
        </w:tc>
        <w:tc>
          <w:tcPr>
            <w:tcW w:w="476" w:type="pct"/>
            <w:noWrap/>
            <w:vAlign w:val="center"/>
          </w:tcPr>
          <w:p w14:paraId="447DF93C" w14:textId="46FCE95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80.1 (78.2, 81.8)</w:t>
            </w:r>
          </w:p>
        </w:tc>
      </w:tr>
      <w:tr w:rsidR="00217865" w:rsidRPr="00217865" w14:paraId="4165FC8C" w14:textId="77777777" w:rsidTr="00CF411A">
        <w:trPr>
          <w:trHeight w:val="62"/>
        </w:trPr>
        <w:tc>
          <w:tcPr>
            <w:tcW w:w="433" w:type="pct"/>
            <w:noWrap/>
            <w:vAlign w:val="center"/>
          </w:tcPr>
          <w:p w14:paraId="3D182DC5" w14:textId="6F8F7B73"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Le Cordon Bleu Australia</w:t>
            </w:r>
          </w:p>
        </w:tc>
        <w:tc>
          <w:tcPr>
            <w:tcW w:w="324" w:type="pct"/>
            <w:noWrap/>
            <w:vAlign w:val="center"/>
          </w:tcPr>
          <w:p w14:paraId="63A0ABD1" w14:textId="6E7FDF5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24" w:type="pct"/>
            <w:noWrap/>
            <w:vAlign w:val="center"/>
          </w:tcPr>
          <w:p w14:paraId="25EC552F" w14:textId="3AA8E4E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82.1 (72.2, 87.8)</w:t>
            </w:r>
          </w:p>
        </w:tc>
        <w:tc>
          <w:tcPr>
            <w:tcW w:w="313" w:type="pct"/>
            <w:noWrap/>
            <w:vAlign w:val="center"/>
          </w:tcPr>
          <w:p w14:paraId="768CA0E5" w14:textId="7C623DF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0C057392" w14:textId="5FF03AF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75.6 (65.8, 82.2)</w:t>
            </w:r>
          </w:p>
        </w:tc>
        <w:tc>
          <w:tcPr>
            <w:tcW w:w="436" w:type="pct"/>
            <w:noWrap/>
            <w:vAlign w:val="center"/>
          </w:tcPr>
          <w:p w14:paraId="482F5D9D" w14:textId="1E12267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5C272501" w14:textId="395A60D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85.0 (75.6, 90.0)</w:t>
            </w:r>
          </w:p>
        </w:tc>
        <w:tc>
          <w:tcPr>
            <w:tcW w:w="403" w:type="pct"/>
            <w:noWrap/>
            <w:vAlign w:val="center"/>
          </w:tcPr>
          <w:p w14:paraId="64C37073" w14:textId="5B413DF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38BDEADB" w14:textId="70F3193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(82.2, 95.3)</w:t>
            </w:r>
          </w:p>
        </w:tc>
        <w:tc>
          <w:tcPr>
            <w:tcW w:w="331" w:type="pct"/>
            <w:noWrap/>
            <w:vAlign w:val="center"/>
          </w:tcPr>
          <w:p w14:paraId="68E7AFCB" w14:textId="391BA08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1B4FEF97" w14:textId="73E97E5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91.7 (82.2, 95.3)</w:t>
            </w:r>
          </w:p>
        </w:tc>
        <w:tc>
          <w:tcPr>
            <w:tcW w:w="476" w:type="pct"/>
            <w:noWrap/>
            <w:vAlign w:val="center"/>
          </w:tcPr>
          <w:p w14:paraId="64A73C76" w14:textId="5FA14EC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7EC75514" w14:textId="4A594ED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80.5 (70.9, 86.3)</w:t>
            </w:r>
          </w:p>
        </w:tc>
      </w:tr>
      <w:tr w:rsidR="00217865" w:rsidRPr="00217865" w14:paraId="5546EE4F" w14:textId="77777777" w:rsidTr="00CF411A">
        <w:trPr>
          <w:trHeight w:val="62"/>
        </w:trPr>
        <w:tc>
          <w:tcPr>
            <w:tcW w:w="433" w:type="pct"/>
            <w:noWrap/>
            <w:vAlign w:val="center"/>
          </w:tcPr>
          <w:p w14:paraId="51F4670A" w14:textId="58345A2A"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Melbourne Institute of Technology</w:t>
            </w:r>
          </w:p>
        </w:tc>
        <w:tc>
          <w:tcPr>
            <w:tcW w:w="324" w:type="pct"/>
            <w:noWrap/>
            <w:vAlign w:val="center"/>
          </w:tcPr>
          <w:p w14:paraId="2821DE8C" w14:textId="6B73EE2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83.9 (80.5, 86.7)</w:t>
            </w:r>
          </w:p>
        </w:tc>
        <w:tc>
          <w:tcPr>
            <w:tcW w:w="324" w:type="pct"/>
            <w:noWrap/>
            <w:vAlign w:val="center"/>
          </w:tcPr>
          <w:p w14:paraId="36637AA0" w14:textId="598503E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85.7 (83.3, 87.7)</w:t>
            </w:r>
          </w:p>
        </w:tc>
        <w:tc>
          <w:tcPr>
            <w:tcW w:w="313" w:type="pct"/>
            <w:noWrap/>
            <w:vAlign w:val="center"/>
          </w:tcPr>
          <w:p w14:paraId="216416D5" w14:textId="5EF44AF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72.8 (69.1, 76.2)</w:t>
            </w:r>
          </w:p>
        </w:tc>
        <w:tc>
          <w:tcPr>
            <w:tcW w:w="313" w:type="pct"/>
            <w:noWrap/>
            <w:vAlign w:val="center"/>
          </w:tcPr>
          <w:p w14:paraId="17CCA087" w14:textId="5CED354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(84.6, 88.7)</w:t>
            </w:r>
          </w:p>
        </w:tc>
        <w:tc>
          <w:tcPr>
            <w:tcW w:w="436" w:type="pct"/>
            <w:noWrap/>
            <w:vAlign w:val="center"/>
          </w:tcPr>
          <w:p w14:paraId="203728E5" w14:textId="1321EA8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81.8 (78.3, 84.7)</w:t>
            </w:r>
          </w:p>
        </w:tc>
        <w:tc>
          <w:tcPr>
            <w:tcW w:w="436" w:type="pct"/>
            <w:noWrap/>
            <w:vAlign w:val="center"/>
          </w:tcPr>
          <w:p w14:paraId="7F28A876" w14:textId="172F92B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83.9 (81.5, 86.0)</w:t>
            </w:r>
          </w:p>
        </w:tc>
        <w:tc>
          <w:tcPr>
            <w:tcW w:w="403" w:type="pct"/>
            <w:noWrap/>
            <w:vAlign w:val="center"/>
          </w:tcPr>
          <w:p w14:paraId="55D3BDD0" w14:textId="171D380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79.0 (75.2, 82.2)</w:t>
            </w:r>
          </w:p>
        </w:tc>
        <w:tc>
          <w:tcPr>
            <w:tcW w:w="403" w:type="pct"/>
            <w:noWrap/>
            <w:vAlign w:val="center"/>
          </w:tcPr>
          <w:p w14:paraId="3725B3A6" w14:textId="56FA1B9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81.8 (79.1, 84.1)</w:t>
            </w:r>
          </w:p>
        </w:tc>
        <w:tc>
          <w:tcPr>
            <w:tcW w:w="331" w:type="pct"/>
            <w:noWrap/>
            <w:vAlign w:val="center"/>
          </w:tcPr>
          <w:p w14:paraId="3C69AE0A" w14:textId="54011D3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74.9 (70.8, 78.5)</w:t>
            </w:r>
          </w:p>
        </w:tc>
        <w:tc>
          <w:tcPr>
            <w:tcW w:w="331" w:type="pct"/>
            <w:noWrap/>
            <w:vAlign w:val="center"/>
          </w:tcPr>
          <w:p w14:paraId="3D467B18" w14:textId="49C9902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80.2 (77.5, 82.5)</w:t>
            </w:r>
          </w:p>
        </w:tc>
        <w:tc>
          <w:tcPr>
            <w:tcW w:w="476" w:type="pct"/>
            <w:noWrap/>
            <w:vAlign w:val="center"/>
          </w:tcPr>
          <w:p w14:paraId="53ED09CE" w14:textId="54AC209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76.4 (72.7, 79.5)</w:t>
            </w:r>
          </w:p>
        </w:tc>
        <w:tc>
          <w:tcPr>
            <w:tcW w:w="476" w:type="pct"/>
            <w:noWrap/>
            <w:vAlign w:val="center"/>
          </w:tcPr>
          <w:p w14:paraId="479E059E" w14:textId="6A6AA3A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78.1 (75.5, 80.5)</w:t>
            </w:r>
          </w:p>
        </w:tc>
      </w:tr>
      <w:tr w:rsidR="00217865" w:rsidRPr="00217865" w14:paraId="07FDB359" w14:textId="77777777" w:rsidTr="00CF411A">
        <w:trPr>
          <w:trHeight w:val="62"/>
        </w:trPr>
        <w:tc>
          <w:tcPr>
            <w:tcW w:w="433" w:type="pct"/>
            <w:noWrap/>
            <w:vAlign w:val="center"/>
          </w:tcPr>
          <w:p w14:paraId="0BE3F2AC" w14:textId="38A2C5FB" w:rsidR="00286CDE" w:rsidRPr="00217865" w:rsidRDefault="00286CDE" w:rsidP="0078684E">
            <w:pPr>
              <w:pStyle w:val="Z"/>
              <w:spacing w:before="60" w:after="60"/>
              <w:rPr>
                <w:color w:val="000000" w:themeColor="text1"/>
                <w:sz w:val="16"/>
                <w:szCs w:val="18"/>
              </w:rPr>
            </w:pPr>
            <w:proofErr w:type="spellStart"/>
            <w:r w:rsidRPr="00217865">
              <w:rPr>
                <w:color w:val="000000" w:themeColor="text1"/>
                <w:sz w:val="16"/>
                <w:szCs w:val="18"/>
              </w:rPr>
              <w:t>Ozford</w:t>
            </w:r>
            <w:proofErr w:type="spellEnd"/>
            <w:r w:rsidRPr="00217865">
              <w:rPr>
                <w:color w:val="000000" w:themeColor="text1"/>
                <w:sz w:val="16"/>
                <w:szCs w:val="18"/>
              </w:rPr>
              <w:t xml:space="preserve"> Institute of Higher Education</w:t>
            </w:r>
          </w:p>
        </w:tc>
        <w:tc>
          <w:tcPr>
            <w:tcW w:w="324" w:type="pct"/>
            <w:noWrap/>
            <w:vAlign w:val="center"/>
          </w:tcPr>
          <w:p w14:paraId="42E16A2E" w14:textId="5792044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24" w:type="pct"/>
            <w:noWrap/>
            <w:vAlign w:val="center"/>
          </w:tcPr>
          <w:p w14:paraId="5CB33B4E" w14:textId="17BAE65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71.1 (60.3, 79.0)</w:t>
            </w:r>
          </w:p>
        </w:tc>
        <w:tc>
          <w:tcPr>
            <w:tcW w:w="313" w:type="pct"/>
            <w:noWrap/>
            <w:vAlign w:val="center"/>
          </w:tcPr>
          <w:p w14:paraId="62F6FBF2" w14:textId="7822990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382C603C" w14:textId="6256699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72.7 (63.3, 79.5)</w:t>
            </w:r>
          </w:p>
        </w:tc>
        <w:tc>
          <w:tcPr>
            <w:tcW w:w="436" w:type="pct"/>
            <w:noWrap/>
            <w:vAlign w:val="center"/>
          </w:tcPr>
          <w:p w14:paraId="1974B82A" w14:textId="281D354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2DC9D8FC" w14:textId="039278F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76.2 (66.5, 82.7)</w:t>
            </w:r>
          </w:p>
        </w:tc>
        <w:tc>
          <w:tcPr>
            <w:tcW w:w="403" w:type="pct"/>
            <w:noWrap/>
            <w:vAlign w:val="center"/>
          </w:tcPr>
          <w:p w14:paraId="3395F817" w14:textId="2537FCE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1B5B5B35" w14:textId="6FED8A2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64.9 (53.9, 73.8)</w:t>
            </w:r>
          </w:p>
        </w:tc>
        <w:tc>
          <w:tcPr>
            <w:tcW w:w="331" w:type="pct"/>
            <w:noWrap/>
            <w:vAlign w:val="center"/>
          </w:tcPr>
          <w:p w14:paraId="1AC6B35C" w14:textId="06D9AD0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53DB7F40" w14:textId="67D065B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62.5 (52.3, 71.2)</w:t>
            </w:r>
          </w:p>
        </w:tc>
        <w:tc>
          <w:tcPr>
            <w:tcW w:w="476" w:type="pct"/>
            <w:noWrap/>
            <w:vAlign w:val="center"/>
          </w:tcPr>
          <w:p w14:paraId="26ADA83F" w14:textId="40DB452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6F1C453C" w14:textId="36F9701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76.2 (66.5, 82.7)</w:t>
            </w:r>
          </w:p>
        </w:tc>
      </w:tr>
      <w:tr w:rsidR="00217865" w:rsidRPr="00217865" w14:paraId="2BC53079" w14:textId="77777777" w:rsidTr="00CF411A">
        <w:trPr>
          <w:trHeight w:val="62"/>
        </w:trPr>
        <w:tc>
          <w:tcPr>
            <w:tcW w:w="433" w:type="pct"/>
            <w:noWrap/>
            <w:vAlign w:val="center"/>
          </w:tcPr>
          <w:p w14:paraId="78188D6E" w14:textId="5E34A9A5"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Polytechnic Institute Australia Pty Ltd</w:t>
            </w:r>
          </w:p>
        </w:tc>
        <w:tc>
          <w:tcPr>
            <w:tcW w:w="324" w:type="pct"/>
            <w:noWrap/>
            <w:vAlign w:val="center"/>
          </w:tcPr>
          <w:p w14:paraId="60F6AB87" w14:textId="255CF8E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76.7 (63.4, 85.5)</w:t>
            </w:r>
          </w:p>
        </w:tc>
        <w:tc>
          <w:tcPr>
            <w:tcW w:w="324" w:type="pct"/>
            <w:noWrap/>
            <w:vAlign w:val="center"/>
          </w:tcPr>
          <w:p w14:paraId="721F50A7" w14:textId="7AC6A21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87.0 (83.3, 89.7)</w:t>
            </w:r>
          </w:p>
        </w:tc>
        <w:tc>
          <w:tcPr>
            <w:tcW w:w="313" w:type="pct"/>
            <w:noWrap/>
            <w:vAlign w:val="center"/>
          </w:tcPr>
          <w:p w14:paraId="3666051D" w14:textId="31445DB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55.9 (43.8, 67.1)</w:t>
            </w:r>
          </w:p>
        </w:tc>
        <w:tc>
          <w:tcPr>
            <w:tcW w:w="313" w:type="pct"/>
            <w:noWrap/>
            <w:vAlign w:val="center"/>
          </w:tcPr>
          <w:p w14:paraId="02DEF97D" w14:textId="26CAF7F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82.2 (78.4, 85.3)</w:t>
            </w:r>
          </w:p>
        </w:tc>
        <w:tc>
          <w:tcPr>
            <w:tcW w:w="436" w:type="pct"/>
            <w:noWrap/>
            <w:vAlign w:val="center"/>
          </w:tcPr>
          <w:p w14:paraId="3F15DC9E" w14:textId="5398709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80.0 (66.9, 88.1)</w:t>
            </w:r>
          </w:p>
        </w:tc>
        <w:tc>
          <w:tcPr>
            <w:tcW w:w="436" w:type="pct"/>
            <w:noWrap/>
            <w:vAlign w:val="center"/>
          </w:tcPr>
          <w:p w14:paraId="44BD79AF" w14:textId="1A2415D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89.7 (86.4, 92.1)</w:t>
            </w:r>
          </w:p>
        </w:tc>
        <w:tc>
          <w:tcPr>
            <w:tcW w:w="403" w:type="pct"/>
            <w:noWrap/>
            <w:vAlign w:val="center"/>
          </w:tcPr>
          <w:p w14:paraId="33F208B7" w14:textId="7567A44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73.3 (59.9, 82.9)</w:t>
            </w:r>
          </w:p>
        </w:tc>
        <w:tc>
          <w:tcPr>
            <w:tcW w:w="403" w:type="pct"/>
            <w:noWrap/>
            <w:vAlign w:val="center"/>
          </w:tcPr>
          <w:p w14:paraId="67451BA9" w14:textId="24167F0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84.0 (79.9, 87.1)</w:t>
            </w:r>
          </w:p>
        </w:tc>
        <w:tc>
          <w:tcPr>
            <w:tcW w:w="331" w:type="pct"/>
            <w:noWrap/>
            <w:vAlign w:val="center"/>
          </w:tcPr>
          <w:p w14:paraId="614311A9" w14:textId="0E1408C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6509767B" w14:textId="31A1C74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84.1 (80.0, 87.2)</w:t>
            </w:r>
          </w:p>
        </w:tc>
        <w:tc>
          <w:tcPr>
            <w:tcW w:w="476" w:type="pct"/>
            <w:noWrap/>
            <w:vAlign w:val="center"/>
          </w:tcPr>
          <w:p w14:paraId="371330B7" w14:textId="2667F5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69.7 (57.1, 79.3)</w:t>
            </w:r>
          </w:p>
        </w:tc>
        <w:tc>
          <w:tcPr>
            <w:tcW w:w="476" w:type="pct"/>
            <w:noWrap/>
            <w:vAlign w:val="center"/>
          </w:tcPr>
          <w:p w14:paraId="7640A2C3" w14:textId="7D4978E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(83.4, 89.5)</w:t>
            </w:r>
          </w:p>
        </w:tc>
      </w:tr>
      <w:tr w:rsidR="00217865" w:rsidRPr="00217865" w14:paraId="31F9A1C4" w14:textId="77777777" w:rsidTr="00CF411A">
        <w:trPr>
          <w:trHeight w:val="62"/>
        </w:trPr>
        <w:tc>
          <w:tcPr>
            <w:tcW w:w="433" w:type="pct"/>
            <w:noWrap/>
            <w:vAlign w:val="center"/>
          </w:tcPr>
          <w:p w14:paraId="61938E1B" w14:textId="24403660"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Southern Cross Education Institute (Higher Education)</w:t>
            </w:r>
          </w:p>
        </w:tc>
        <w:tc>
          <w:tcPr>
            <w:tcW w:w="324" w:type="pct"/>
            <w:noWrap/>
            <w:vAlign w:val="center"/>
          </w:tcPr>
          <w:p w14:paraId="74BF8576" w14:textId="61E3924E"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24" w:type="pct"/>
            <w:noWrap/>
            <w:vAlign w:val="center"/>
          </w:tcPr>
          <w:p w14:paraId="726FF008" w14:textId="4E72BC4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67.2 (57.9, 75.0)</w:t>
            </w:r>
          </w:p>
        </w:tc>
        <w:tc>
          <w:tcPr>
            <w:tcW w:w="313" w:type="pct"/>
            <w:noWrap/>
            <w:vAlign w:val="center"/>
          </w:tcPr>
          <w:p w14:paraId="4B585FF6" w14:textId="7270ADF3"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13" w:type="pct"/>
            <w:noWrap/>
            <w:vAlign w:val="center"/>
          </w:tcPr>
          <w:p w14:paraId="1866405A" w14:textId="22AE64A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70.1 (61.5, 77.2)</w:t>
            </w:r>
          </w:p>
        </w:tc>
        <w:tc>
          <w:tcPr>
            <w:tcW w:w="436" w:type="pct"/>
            <w:noWrap/>
            <w:vAlign w:val="center"/>
          </w:tcPr>
          <w:p w14:paraId="25BF8A53" w14:textId="67CE2788"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36" w:type="pct"/>
            <w:noWrap/>
            <w:vAlign w:val="center"/>
          </w:tcPr>
          <w:p w14:paraId="402A4C86" w14:textId="175871F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39.7 (31.4, 48.8)</w:t>
            </w:r>
          </w:p>
        </w:tc>
        <w:tc>
          <w:tcPr>
            <w:tcW w:w="403" w:type="pct"/>
            <w:noWrap/>
            <w:vAlign w:val="center"/>
          </w:tcPr>
          <w:p w14:paraId="31C67743" w14:textId="6ACF67BE"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03" w:type="pct"/>
            <w:noWrap/>
            <w:vAlign w:val="center"/>
          </w:tcPr>
          <w:p w14:paraId="25DA233A" w14:textId="371846D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43.1 (34.2, 52.7)</w:t>
            </w:r>
          </w:p>
        </w:tc>
        <w:tc>
          <w:tcPr>
            <w:tcW w:w="331" w:type="pct"/>
            <w:noWrap/>
            <w:vAlign w:val="center"/>
          </w:tcPr>
          <w:p w14:paraId="3C863266" w14:textId="31CBCDF9"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331" w:type="pct"/>
            <w:noWrap/>
            <w:vAlign w:val="center"/>
          </w:tcPr>
          <w:p w14:paraId="03485417" w14:textId="3962EF4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32.3 (24.6, 41.4)</w:t>
            </w:r>
          </w:p>
        </w:tc>
        <w:tc>
          <w:tcPr>
            <w:tcW w:w="476" w:type="pct"/>
            <w:noWrap/>
            <w:vAlign w:val="center"/>
          </w:tcPr>
          <w:p w14:paraId="08CEB274" w14:textId="72A99D4D" w:rsidR="00286CDE" w:rsidRPr="00217865" w:rsidRDefault="006839F8" w:rsidP="0078684E">
            <w:pPr>
              <w:pStyle w:val="Z"/>
              <w:spacing w:before="60" w:after="60"/>
              <w:jc w:val="center"/>
              <w:rPr>
                <w:color w:val="000000" w:themeColor="text1"/>
                <w:sz w:val="16"/>
                <w:szCs w:val="18"/>
              </w:rPr>
            </w:pPr>
            <w:r w:rsidRPr="00217865">
              <w:rPr>
                <w:color w:val="000000" w:themeColor="text1"/>
                <w:sz w:val="16"/>
                <w:szCs w:val="18"/>
              </w:rPr>
              <w:t>-</w:t>
            </w:r>
          </w:p>
        </w:tc>
        <w:tc>
          <w:tcPr>
            <w:tcW w:w="476" w:type="pct"/>
            <w:noWrap/>
            <w:vAlign w:val="center"/>
          </w:tcPr>
          <w:p w14:paraId="7CA0B32D" w14:textId="2382B86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28.4 (21.5, 36.9)</w:t>
            </w:r>
          </w:p>
        </w:tc>
      </w:tr>
      <w:tr w:rsidR="00217865" w:rsidRPr="00217865" w14:paraId="7B334D50" w14:textId="77777777" w:rsidTr="00CF411A">
        <w:trPr>
          <w:trHeight w:val="62"/>
        </w:trPr>
        <w:tc>
          <w:tcPr>
            <w:tcW w:w="433" w:type="pct"/>
            <w:noWrap/>
            <w:vAlign w:val="center"/>
          </w:tcPr>
          <w:p w14:paraId="07B2AD9F" w14:textId="5FEE9636"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SP Jain School of Management</w:t>
            </w:r>
          </w:p>
        </w:tc>
        <w:tc>
          <w:tcPr>
            <w:tcW w:w="324" w:type="pct"/>
            <w:noWrap/>
            <w:vAlign w:val="center"/>
          </w:tcPr>
          <w:p w14:paraId="6CBB63AF" w14:textId="5F05722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96.8 (89.7, 96.3)</w:t>
            </w:r>
          </w:p>
        </w:tc>
        <w:tc>
          <w:tcPr>
            <w:tcW w:w="324" w:type="pct"/>
            <w:noWrap/>
            <w:vAlign w:val="center"/>
          </w:tcPr>
          <w:p w14:paraId="6BEC0FE1" w14:textId="6EF9288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88.7 (85.4, 89.9)</w:t>
            </w:r>
          </w:p>
        </w:tc>
        <w:tc>
          <w:tcPr>
            <w:tcW w:w="313" w:type="pct"/>
            <w:noWrap/>
            <w:vAlign w:val="center"/>
          </w:tcPr>
          <w:p w14:paraId="5A2A2CBD" w14:textId="679454C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93.9 (87.5, 93.8)</w:t>
            </w:r>
          </w:p>
        </w:tc>
        <w:tc>
          <w:tcPr>
            <w:tcW w:w="313" w:type="pct"/>
            <w:noWrap/>
            <w:vAlign w:val="center"/>
          </w:tcPr>
          <w:p w14:paraId="1F032E32" w14:textId="408618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90.9 (87.9, 91.8)</w:t>
            </w:r>
          </w:p>
        </w:tc>
        <w:tc>
          <w:tcPr>
            <w:tcW w:w="436" w:type="pct"/>
            <w:noWrap/>
            <w:vAlign w:val="center"/>
          </w:tcPr>
          <w:p w14:paraId="580FFE58" w14:textId="735D895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93.5 (86.2, 93.9)</w:t>
            </w:r>
          </w:p>
        </w:tc>
        <w:tc>
          <w:tcPr>
            <w:tcW w:w="436" w:type="pct"/>
            <w:noWrap/>
            <w:vAlign w:val="center"/>
          </w:tcPr>
          <w:p w14:paraId="789D4910" w14:textId="666BE2D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86.6 (83.2, 88.0)</w:t>
            </w:r>
          </w:p>
        </w:tc>
        <w:tc>
          <w:tcPr>
            <w:tcW w:w="403" w:type="pct"/>
            <w:noWrap/>
            <w:vAlign w:val="center"/>
          </w:tcPr>
          <w:p w14:paraId="4508D583" w14:textId="53EA508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90.3 (82.8, 91.4)</w:t>
            </w:r>
          </w:p>
        </w:tc>
        <w:tc>
          <w:tcPr>
            <w:tcW w:w="403" w:type="pct"/>
            <w:noWrap/>
            <w:vAlign w:val="center"/>
          </w:tcPr>
          <w:p w14:paraId="7EF3CF3D" w14:textId="5F1F757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81.4 (77.9, 83.3)</w:t>
            </w:r>
          </w:p>
        </w:tc>
        <w:tc>
          <w:tcPr>
            <w:tcW w:w="331" w:type="pct"/>
            <w:noWrap/>
            <w:vAlign w:val="center"/>
          </w:tcPr>
          <w:p w14:paraId="6A625064" w14:textId="54EA928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93.5 (86.2, 93.9)</w:t>
            </w:r>
          </w:p>
        </w:tc>
        <w:tc>
          <w:tcPr>
            <w:tcW w:w="331" w:type="pct"/>
            <w:noWrap/>
            <w:vAlign w:val="center"/>
          </w:tcPr>
          <w:p w14:paraId="58B308A2" w14:textId="46040A4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88.5 (85.2, 89.8)</w:t>
            </w:r>
          </w:p>
        </w:tc>
        <w:tc>
          <w:tcPr>
            <w:tcW w:w="476" w:type="pct"/>
            <w:noWrap/>
            <w:vAlign w:val="center"/>
          </w:tcPr>
          <w:p w14:paraId="675F15CD" w14:textId="240B195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90.9 (84.3, 91.3)</w:t>
            </w:r>
          </w:p>
        </w:tc>
        <w:tc>
          <w:tcPr>
            <w:tcW w:w="476" w:type="pct"/>
            <w:noWrap/>
            <w:vAlign w:val="center"/>
          </w:tcPr>
          <w:p w14:paraId="45D44957" w14:textId="58D7E66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76.8 (73.3, 78.8)</w:t>
            </w:r>
          </w:p>
        </w:tc>
      </w:tr>
      <w:tr w:rsidR="00217865" w:rsidRPr="00217865" w14:paraId="0246337D" w14:textId="77777777" w:rsidTr="00CF411A">
        <w:trPr>
          <w:trHeight w:val="62"/>
        </w:trPr>
        <w:tc>
          <w:tcPr>
            <w:tcW w:w="433" w:type="pct"/>
            <w:noWrap/>
            <w:vAlign w:val="center"/>
          </w:tcPr>
          <w:p w14:paraId="6702EA9D" w14:textId="2C68BB89"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The Australian Institute of Music</w:t>
            </w:r>
          </w:p>
        </w:tc>
        <w:tc>
          <w:tcPr>
            <w:tcW w:w="324" w:type="pct"/>
            <w:noWrap/>
            <w:vAlign w:val="center"/>
          </w:tcPr>
          <w:p w14:paraId="75EF7A19" w14:textId="48EF37A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73.1 (60.0, 81.8)</w:t>
            </w:r>
          </w:p>
        </w:tc>
        <w:tc>
          <w:tcPr>
            <w:tcW w:w="324" w:type="pct"/>
            <w:noWrap/>
            <w:vAlign w:val="center"/>
          </w:tcPr>
          <w:p w14:paraId="7F2C14F4" w14:textId="1C370D6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592CC8DA" w14:textId="070A45C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25.9 (17.7, 38.5)</w:t>
            </w:r>
          </w:p>
        </w:tc>
        <w:tc>
          <w:tcPr>
            <w:tcW w:w="313" w:type="pct"/>
            <w:noWrap/>
            <w:vAlign w:val="center"/>
          </w:tcPr>
          <w:p w14:paraId="262248E9" w14:textId="30235B2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0C53D3D6" w14:textId="576BBC2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80.8 (67.9, 87.8)</w:t>
            </w:r>
          </w:p>
        </w:tc>
        <w:tc>
          <w:tcPr>
            <w:tcW w:w="436" w:type="pct"/>
            <w:noWrap/>
            <w:vAlign w:val="center"/>
          </w:tcPr>
          <w:p w14:paraId="06F26D45" w14:textId="5B1F1D9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1D56B035" w14:textId="53BEB40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21B2A750" w14:textId="560DFEC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5DC97B88" w14:textId="71F52BD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1594F796" w14:textId="65A0568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0EEAED8B" w14:textId="5324A7D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63.0 (50.5, 73.1)</w:t>
            </w:r>
          </w:p>
        </w:tc>
        <w:tc>
          <w:tcPr>
            <w:tcW w:w="476" w:type="pct"/>
            <w:noWrap/>
            <w:vAlign w:val="center"/>
          </w:tcPr>
          <w:p w14:paraId="65A79BE0" w14:textId="4048271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r>
      <w:tr w:rsidR="00217865" w:rsidRPr="00217865" w14:paraId="2CE1AF52" w14:textId="77777777" w:rsidTr="00CF411A">
        <w:trPr>
          <w:trHeight w:val="62"/>
        </w:trPr>
        <w:tc>
          <w:tcPr>
            <w:tcW w:w="433" w:type="pct"/>
            <w:noWrap/>
            <w:vAlign w:val="center"/>
          </w:tcPr>
          <w:p w14:paraId="23BFDD15" w14:textId="76C13F87"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The JMC Academy</w:t>
            </w:r>
          </w:p>
        </w:tc>
        <w:tc>
          <w:tcPr>
            <w:tcW w:w="324" w:type="pct"/>
            <w:noWrap/>
            <w:vAlign w:val="center"/>
          </w:tcPr>
          <w:p w14:paraId="129144CD" w14:textId="6EAF235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24" w:type="pct"/>
            <w:noWrap/>
            <w:vAlign w:val="center"/>
          </w:tcPr>
          <w:p w14:paraId="6A091B9A" w14:textId="4FEB9FD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63.0 (52.4, 71.2)</w:t>
            </w:r>
          </w:p>
        </w:tc>
        <w:tc>
          <w:tcPr>
            <w:tcW w:w="313" w:type="pct"/>
            <w:noWrap/>
            <w:vAlign w:val="center"/>
          </w:tcPr>
          <w:p w14:paraId="7A74C672" w14:textId="1D5FCFD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13" w:type="pct"/>
            <w:noWrap/>
            <w:vAlign w:val="center"/>
          </w:tcPr>
          <w:p w14:paraId="6CEE0C02" w14:textId="7FB5A26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44.4 (35.3, 54.6)</w:t>
            </w:r>
          </w:p>
        </w:tc>
        <w:tc>
          <w:tcPr>
            <w:tcW w:w="436" w:type="pct"/>
            <w:noWrap/>
            <w:vAlign w:val="center"/>
          </w:tcPr>
          <w:p w14:paraId="034F87AA" w14:textId="7623485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36" w:type="pct"/>
            <w:noWrap/>
            <w:vAlign w:val="center"/>
          </w:tcPr>
          <w:p w14:paraId="1D143DA1" w14:textId="429A269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63.0 (52.4, 71.2)</w:t>
            </w:r>
          </w:p>
        </w:tc>
        <w:tc>
          <w:tcPr>
            <w:tcW w:w="403" w:type="pct"/>
            <w:noWrap/>
            <w:vAlign w:val="center"/>
          </w:tcPr>
          <w:p w14:paraId="2C8D1E29" w14:textId="2EC8312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03" w:type="pct"/>
            <w:noWrap/>
            <w:vAlign w:val="center"/>
          </w:tcPr>
          <w:p w14:paraId="3CCADF1D" w14:textId="5111552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4DDE3BAB" w14:textId="20FD237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331" w:type="pct"/>
            <w:noWrap/>
            <w:vAlign w:val="center"/>
          </w:tcPr>
          <w:p w14:paraId="61A3EAAF" w14:textId="2A468C0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686F1410" w14:textId="6F77F0A4"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n/a</w:t>
            </w:r>
          </w:p>
        </w:tc>
        <w:tc>
          <w:tcPr>
            <w:tcW w:w="476" w:type="pct"/>
            <w:noWrap/>
            <w:vAlign w:val="center"/>
          </w:tcPr>
          <w:p w14:paraId="08619783" w14:textId="6757B19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48.1 (38.6, 58.0)</w:t>
            </w:r>
          </w:p>
        </w:tc>
      </w:tr>
      <w:tr w:rsidR="00217865" w:rsidRPr="00217865" w14:paraId="51DFE851" w14:textId="77777777" w:rsidTr="00CF411A">
        <w:trPr>
          <w:trHeight w:val="62"/>
        </w:trPr>
        <w:tc>
          <w:tcPr>
            <w:tcW w:w="433" w:type="pct"/>
            <w:noWrap/>
            <w:vAlign w:val="center"/>
          </w:tcPr>
          <w:p w14:paraId="7DEDE508" w14:textId="330AED4F"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Universal Business School Sydney</w:t>
            </w:r>
          </w:p>
        </w:tc>
        <w:tc>
          <w:tcPr>
            <w:tcW w:w="324" w:type="pct"/>
            <w:noWrap/>
            <w:vAlign w:val="center"/>
          </w:tcPr>
          <w:p w14:paraId="2A785D5E" w14:textId="453ECFF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(83.6, 89.4)</w:t>
            </w:r>
          </w:p>
        </w:tc>
        <w:tc>
          <w:tcPr>
            <w:tcW w:w="324" w:type="pct"/>
            <w:noWrap/>
            <w:vAlign w:val="center"/>
          </w:tcPr>
          <w:p w14:paraId="66A2A38E" w14:textId="15BDB9A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91.8 (88.8, 93.8)</w:t>
            </w:r>
          </w:p>
        </w:tc>
        <w:tc>
          <w:tcPr>
            <w:tcW w:w="313" w:type="pct"/>
            <w:noWrap/>
            <w:vAlign w:val="center"/>
          </w:tcPr>
          <w:p w14:paraId="08697893" w14:textId="2A893ED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61.9 (57.9, 65.6)</w:t>
            </w:r>
          </w:p>
        </w:tc>
        <w:tc>
          <w:tcPr>
            <w:tcW w:w="313" w:type="pct"/>
            <w:noWrap/>
            <w:vAlign w:val="center"/>
          </w:tcPr>
          <w:p w14:paraId="514347CA" w14:textId="6E3BECB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70.9 (66.8, 74.6)</w:t>
            </w:r>
          </w:p>
        </w:tc>
        <w:tc>
          <w:tcPr>
            <w:tcW w:w="436" w:type="pct"/>
            <w:noWrap/>
            <w:vAlign w:val="center"/>
          </w:tcPr>
          <w:p w14:paraId="1D25E68E" w14:textId="0BF5B81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85.6 (82.4, 88.2)</w:t>
            </w:r>
          </w:p>
        </w:tc>
        <w:tc>
          <w:tcPr>
            <w:tcW w:w="436" w:type="pct"/>
            <w:noWrap/>
            <w:vAlign w:val="center"/>
          </w:tcPr>
          <w:p w14:paraId="520A84B7" w14:textId="6CA45BC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91.2 (88.1, 93.2)</w:t>
            </w:r>
          </w:p>
        </w:tc>
        <w:tc>
          <w:tcPr>
            <w:tcW w:w="403" w:type="pct"/>
            <w:noWrap/>
            <w:vAlign w:val="center"/>
          </w:tcPr>
          <w:p w14:paraId="789243FB" w14:textId="786243DF"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87.1 (83.7, 89.7)</w:t>
            </w:r>
          </w:p>
        </w:tc>
        <w:tc>
          <w:tcPr>
            <w:tcW w:w="403" w:type="pct"/>
            <w:noWrap/>
            <w:vAlign w:val="center"/>
          </w:tcPr>
          <w:p w14:paraId="1E46FCC8" w14:textId="6CD2CD0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90.6 (87.1, 93.0)</w:t>
            </w:r>
          </w:p>
        </w:tc>
        <w:tc>
          <w:tcPr>
            <w:tcW w:w="331" w:type="pct"/>
            <w:noWrap/>
            <w:vAlign w:val="center"/>
          </w:tcPr>
          <w:p w14:paraId="245C3D3B" w14:textId="6E0F771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85.8 (82.0, 88.8)</w:t>
            </w:r>
          </w:p>
        </w:tc>
        <w:tc>
          <w:tcPr>
            <w:tcW w:w="331" w:type="pct"/>
            <w:noWrap/>
            <w:vAlign w:val="center"/>
          </w:tcPr>
          <w:p w14:paraId="01A5B93C" w14:textId="6259154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88.1 (83.9, 91.1)</w:t>
            </w:r>
          </w:p>
        </w:tc>
        <w:tc>
          <w:tcPr>
            <w:tcW w:w="476" w:type="pct"/>
            <w:noWrap/>
            <w:vAlign w:val="center"/>
          </w:tcPr>
          <w:p w14:paraId="4DBFDA22" w14:textId="0E9165B6"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86.4 (83.3, 88.8)</w:t>
            </w:r>
          </w:p>
        </w:tc>
        <w:tc>
          <w:tcPr>
            <w:tcW w:w="476" w:type="pct"/>
            <w:noWrap/>
            <w:vAlign w:val="center"/>
          </w:tcPr>
          <w:p w14:paraId="5420320D" w14:textId="7AF7BD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88.0 (84.7, 90.4)</w:t>
            </w:r>
          </w:p>
        </w:tc>
      </w:tr>
      <w:tr w:rsidR="00217865" w:rsidRPr="00217865" w14:paraId="625ED8A3" w14:textId="77777777" w:rsidTr="00CF411A">
        <w:trPr>
          <w:trHeight w:val="62"/>
        </w:trPr>
        <w:tc>
          <w:tcPr>
            <w:tcW w:w="433" w:type="pct"/>
            <w:noWrap/>
            <w:vAlign w:val="center"/>
          </w:tcPr>
          <w:p w14:paraId="034A1C2C" w14:textId="3232F49F"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 xml:space="preserve">VIT (Victorian Institute of </w:t>
            </w:r>
            <w:r w:rsidRPr="00217865">
              <w:rPr>
                <w:color w:val="000000" w:themeColor="text1"/>
                <w:sz w:val="16"/>
                <w:szCs w:val="18"/>
              </w:rPr>
              <w:lastRenderedPageBreak/>
              <w:t>Technology)</w:t>
            </w:r>
          </w:p>
        </w:tc>
        <w:tc>
          <w:tcPr>
            <w:tcW w:w="324" w:type="pct"/>
            <w:noWrap/>
            <w:vAlign w:val="center"/>
          </w:tcPr>
          <w:p w14:paraId="4D277763" w14:textId="67DF3B0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lastRenderedPageBreak/>
              <w:t>86.9 (85.3, 88.3)</w:t>
            </w:r>
          </w:p>
        </w:tc>
        <w:tc>
          <w:tcPr>
            <w:tcW w:w="324" w:type="pct"/>
            <w:noWrap/>
            <w:vAlign w:val="center"/>
          </w:tcPr>
          <w:p w14:paraId="7E1BF2AA" w14:textId="79E9198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90.5 (88.9, 91.8)</w:t>
            </w:r>
          </w:p>
        </w:tc>
        <w:tc>
          <w:tcPr>
            <w:tcW w:w="313" w:type="pct"/>
            <w:noWrap/>
            <w:vAlign w:val="center"/>
          </w:tcPr>
          <w:p w14:paraId="113956ED" w14:textId="7E85CFB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75.6 (73.6, 77.3)</w:t>
            </w:r>
          </w:p>
        </w:tc>
        <w:tc>
          <w:tcPr>
            <w:tcW w:w="313" w:type="pct"/>
            <w:noWrap/>
            <w:vAlign w:val="center"/>
          </w:tcPr>
          <w:p w14:paraId="5FC87C9D" w14:textId="6E7DD69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84.7 (82.8, 86.3)</w:t>
            </w:r>
          </w:p>
        </w:tc>
        <w:tc>
          <w:tcPr>
            <w:tcW w:w="436" w:type="pct"/>
            <w:noWrap/>
            <w:vAlign w:val="center"/>
          </w:tcPr>
          <w:p w14:paraId="29618DEB" w14:textId="6C9DA96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88.0 (86.4, 89.3)</w:t>
            </w:r>
          </w:p>
        </w:tc>
        <w:tc>
          <w:tcPr>
            <w:tcW w:w="436" w:type="pct"/>
            <w:noWrap/>
            <w:vAlign w:val="center"/>
          </w:tcPr>
          <w:p w14:paraId="1E8E4604" w14:textId="7779CDA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90.3 (88.7, 91.5)</w:t>
            </w:r>
          </w:p>
        </w:tc>
        <w:tc>
          <w:tcPr>
            <w:tcW w:w="403" w:type="pct"/>
            <w:noWrap/>
            <w:vAlign w:val="center"/>
          </w:tcPr>
          <w:p w14:paraId="5320D288" w14:textId="16D47BA2"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85.3 (83.5, 86.8)</w:t>
            </w:r>
          </w:p>
        </w:tc>
        <w:tc>
          <w:tcPr>
            <w:tcW w:w="403" w:type="pct"/>
            <w:noWrap/>
            <w:vAlign w:val="center"/>
          </w:tcPr>
          <w:p w14:paraId="2D398566" w14:textId="7097AD3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85.6 (83.6, 87.2)</w:t>
            </w:r>
          </w:p>
        </w:tc>
        <w:tc>
          <w:tcPr>
            <w:tcW w:w="331" w:type="pct"/>
            <w:noWrap/>
            <w:vAlign w:val="center"/>
          </w:tcPr>
          <w:p w14:paraId="12BF534E" w14:textId="05DD467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85.7 (83.9, 87.3)</w:t>
            </w:r>
          </w:p>
        </w:tc>
        <w:tc>
          <w:tcPr>
            <w:tcW w:w="331" w:type="pct"/>
            <w:noWrap/>
            <w:vAlign w:val="center"/>
          </w:tcPr>
          <w:p w14:paraId="50EB821F" w14:textId="14E5064B"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85.0 (82.9, 86.8)</w:t>
            </w:r>
          </w:p>
        </w:tc>
        <w:tc>
          <w:tcPr>
            <w:tcW w:w="476" w:type="pct"/>
            <w:noWrap/>
            <w:vAlign w:val="center"/>
          </w:tcPr>
          <w:p w14:paraId="75EBAE3C" w14:textId="312F348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88.2 (86.7, 89.4)</w:t>
            </w:r>
          </w:p>
        </w:tc>
        <w:tc>
          <w:tcPr>
            <w:tcW w:w="476" w:type="pct"/>
            <w:noWrap/>
            <w:vAlign w:val="center"/>
          </w:tcPr>
          <w:p w14:paraId="6D881EDE" w14:textId="7AFEEB3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86.6 (84.9, 88.1)</w:t>
            </w:r>
          </w:p>
        </w:tc>
      </w:tr>
      <w:tr w:rsidR="00217865" w:rsidRPr="00217865" w14:paraId="2BAA52D9" w14:textId="77777777" w:rsidTr="00CF411A">
        <w:trPr>
          <w:trHeight w:val="62"/>
        </w:trPr>
        <w:tc>
          <w:tcPr>
            <w:tcW w:w="433" w:type="pct"/>
            <w:noWrap/>
            <w:vAlign w:val="center"/>
          </w:tcPr>
          <w:p w14:paraId="369B9BA7" w14:textId="20939F50"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Wentworth Institute of Higher Education</w:t>
            </w:r>
          </w:p>
        </w:tc>
        <w:tc>
          <w:tcPr>
            <w:tcW w:w="324" w:type="pct"/>
            <w:noWrap/>
            <w:vAlign w:val="center"/>
          </w:tcPr>
          <w:p w14:paraId="0AAF302F" w14:textId="5A53883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91.3 (87.0, 93.8)</w:t>
            </w:r>
          </w:p>
        </w:tc>
        <w:tc>
          <w:tcPr>
            <w:tcW w:w="324" w:type="pct"/>
            <w:noWrap/>
            <w:vAlign w:val="center"/>
          </w:tcPr>
          <w:p w14:paraId="7DD83EBB" w14:textId="519DA31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85.5 (81.6, 88.2)</w:t>
            </w:r>
          </w:p>
        </w:tc>
        <w:tc>
          <w:tcPr>
            <w:tcW w:w="313" w:type="pct"/>
            <w:noWrap/>
            <w:vAlign w:val="center"/>
          </w:tcPr>
          <w:p w14:paraId="6BEB8CF5" w14:textId="2787500D"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72.7 (67.1, 77.3)</w:t>
            </w:r>
          </w:p>
        </w:tc>
        <w:tc>
          <w:tcPr>
            <w:tcW w:w="313" w:type="pct"/>
            <w:noWrap/>
            <w:vAlign w:val="center"/>
          </w:tcPr>
          <w:p w14:paraId="468B8B1D" w14:textId="0D16C5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83.2 (79.4, 86.1)</w:t>
            </w:r>
          </w:p>
        </w:tc>
        <w:tc>
          <w:tcPr>
            <w:tcW w:w="436" w:type="pct"/>
            <w:noWrap/>
            <w:vAlign w:val="center"/>
          </w:tcPr>
          <w:p w14:paraId="7264B7F7" w14:textId="3D9A5A3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93.0 (89.0, 95.1)</w:t>
            </w:r>
          </w:p>
        </w:tc>
        <w:tc>
          <w:tcPr>
            <w:tcW w:w="436" w:type="pct"/>
            <w:noWrap/>
            <w:vAlign w:val="center"/>
          </w:tcPr>
          <w:p w14:paraId="1CF2762B" w14:textId="658365F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84.7 (80.8, 87.5)</w:t>
            </w:r>
          </w:p>
        </w:tc>
        <w:tc>
          <w:tcPr>
            <w:tcW w:w="403" w:type="pct"/>
            <w:noWrap/>
            <w:vAlign w:val="center"/>
          </w:tcPr>
          <w:p w14:paraId="1CAC17C8" w14:textId="7CEA9B5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86.1 (81.1, 89.5)</w:t>
            </w:r>
          </w:p>
        </w:tc>
        <w:tc>
          <w:tcPr>
            <w:tcW w:w="403" w:type="pct"/>
            <w:noWrap/>
            <w:vAlign w:val="center"/>
          </w:tcPr>
          <w:p w14:paraId="11190410" w14:textId="4F56AC8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76.2 (71.6, 80.0)</w:t>
            </w:r>
          </w:p>
        </w:tc>
        <w:tc>
          <w:tcPr>
            <w:tcW w:w="331" w:type="pct"/>
            <w:noWrap/>
            <w:vAlign w:val="center"/>
          </w:tcPr>
          <w:p w14:paraId="07BD9A54" w14:textId="4B249E6A"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81.4 (75.8, 85.6)</w:t>
            </w:r>
          </w:p>
        </w:tc>
        <w:tc>
          <w:tcPr>
            <w:tcW w:w="331" w:type="pct"/>
            <w:noWrap/>
            <w:vAlign w:val="center"/>
          </w:tcPr>
          <w:p w14:paraId="0FD64B0E" w14:textId="56DE2245"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72.0 (67.4, 76.0)</w:t>
            </w:r>
          </w:p>
        </w:tc>
        <w:tc>
          <w:tcPr>
            <w:tcW w:w="476" w:type="pct"/>
            <w:noWrap/>
            <w:vAlign w:val="center"/>
          </w:tcPr>
          <w:p w14:paraId="2B0A16F4" w14:textId="22D5A22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83.6 (78.6, 87.2)</w:t>
            </w:r>
          </w:p>
        </w:tc>
        <w:tc>
          <w:tcPr>
            <w:tcW w:w="476" w:type="pct"/>
            <w:noWrap/>
            <w:vAlign w:val="center"/>
          </w:tcPr>
          <w:p w14:paraId="3D1F5154" w14:textId="78B9CFDC"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74.9 (70.6, 78.4)</w:t>
            </w:r>
          </w:p>
        </w:tc>
      </w:tr>
      <w:tr w:rsidR="00217865" w:rsidRPr="00217865" w14:paraId="43835835" w14:textId="77777777" w:rsidTr="00CF411A">
        <w:trPr>
          <w:trHeight w:val="62"/>
        </w:trPr>
        <w:tc>
          <w:tcPr>
            <w:tcW w:w="433" w:type="pct"/>
            <w:noWrap/>
            <w:vAlign w:val="center"/>
          </w:tcPr>
          <w:p w14:paraId="46A3A12F" w14:textId="3013437D" w:rsidR="00286CDE" w:rsidRPr="00217865" w:rsidRDefault="00286CDE" w:rsidP="0078684E">
            <w:pPr>
              <w:pStyle w:val="Z"/>
              <w:spacing w:before="60" w:after="60"/>
              <w:rPr>
                <w:color w:val="000000" w:themeColor="text1"/>
                <w:sz w:val="16"/>
                <w:szCs w:val="18"/>
              </w:rPr>
            </w:pPr>
            <w:r w:rsidRPr="00217865">
              <w:rPr>
                <w:color w:val="000000" w:themeColor="text1"/>
                <w:sz w:val="16"/>
                <w:szCs w:val="18"/>
              </w:rPr>
              <w:t>All NUHEIs</w:t>
            </w:r>
          </w:p>
        </w:tc>
        <w:tc>
          <w:tcPr>
            <w:tcW w:w="324" w:type="pct"/>
            <w:noWrap/>
            <w:vAlign w:val="center"/>
          </w:tcPr>
          <w:p w14:paraId="0E6B66DD" w14:textId="6E10F0D1"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86.4 (85.8, 87.0)</w:t>
            </w:r>
          </w:p>
        </w:tc>
        <w:tc>
          <w:tcPr>
            <w:tcW w:w="324" w:type="pct"/>
            <w:noWrap/>
            <w:vAlign w:val="center"/>
          </w:tcPr>
          <w:p w14:paraId="4955D725" w14:textId="1AF37D0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88.3 (87.9, 88.8)</w:t>
            </w:r>
          </w:p>
        </w:tc>
        <w:tc>
          <w:tcPr>
            <w:tcW w:w="313" w:type="pct"/>
            <w:noWrap/>
            <w:vAlign w:val="center"/>
          </w:tcPr>
          <w:p w14:paraId="7D2B7C61" w14:textId="0A10868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66.3 (65.6, 67.1)</w:t>
            </w:r>
          </w:p>
        </w:tc>
        <w:tc>
          <w:tcPr>
            <w:tcW w:w="313" w:type="pct"/>
            <w:noWrap/>
            <w:vAlign w:val="center"/>
          </w:tcPr>
          <w:p w14:paraId="084FA28F" w14:textId="3705D517"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78.1 (77.5, 78.7)</w:t>
            </w:r>
          </w:p>
        </w:tc>
        <w:tc>
          <w:tcPr>
            <w:tcW w:w="436" w:type="pct"/>
            <w:noWrap/>
            <w:vAlign w:val="center"/>
          </w:tcPr>
          <w:p w14:paraId="721BEB3D" w14:textId="75CCAA58"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86.9 (86.3, 87.4)</w:t>
            </w:r>
          </w:p>
        </w:tc>
        <w:tc>
          <w:tcPr>
            <w:tcW w:w="436" w:type="pct"/>
            <w:noWrap/>
            <w:vAlign w:val="center"/>
          </w:tcPr>
          <w:p w14:paraId="341C7234" w14:textId="47AFEDC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88.1 (87.6, 88.6)</w:t>
            </w:r>
          </w:p>
        </w:tc>
        <w:tc>
          <w:tcPr>
            <w:tcW w:w="403" w:type="pct"/>
            <w:noWrap/>
            <w:vAlign w:val="center"/>
          </w:tcPr>
          <w:p w14:paraId="42561639" w14:textId="4340BB4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84.2 (83.6, 84.8)</w:t>
            </w:r>
          </w:p>
        </w:tc>
        <w:tc>
          <w:tcPr>
            <w:tcW w:w="403" w:type="pct"/>
            <w:noWrap/>
            <w:vAlign w:val="center"/>
          </w:tcPr>
          <w:p w14:paraId="7B9F60AB" w14:textId="255DC5E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85.1 (84.5, 85.6)</w:t>
            </w:r>
          </w:p>
        </w:tc>
        <w:tc>
          <w:tcPr>
            <w:tcW w:w="331" w:type="pct"/>
            <w:noWrap/>
            <w:vAlign w:val="center"/>
          </w:tcPr>
          <w:p w14:paraId="2C4C89C4" w14:textId="197CDA80"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80.2 (79.4, 80.9)</w:t>
            </w:r>
          </w:p>
        </w:tc>
        <w:tc>
          <w:tcPr>
            <w:tcW w:w="331" w:type="pct"/>
            <w:noWrap/>
            <w:vAlign w:val="center"/>
          </w:tcPr>
          <w:p w14:paraId="0F4DF19B" w14:textId="65D715D9"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81.7 (81.1, 82.3)</w:t>
            </w:r>
          </w:p>
        </w:tc>
        <w:tc>
          <w:tcPr>
            <w:tcW w:w="476" w:type="pct"/>
            <w:noWrap/>
            <w:vAlign w:val="center"/>
          </w:tcPr>
          <w:p w14:paraId="3C3A9323" w14:textId="076E0C43"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82.5 (81.9, 83.1)</w:t>
            </w:r>
          </w:p>
        </w:tc>
        <w:tc>
          <w:tcPr>
            <w:tcW w:w="476" w:type="pct"/>
            <w:noWrap/>
            <w:vAlign w:val="center"/>
          </w:tcPr>
          <w:p w14:paraId="2E2B78A9" w14:textId="23D9256E" w:rsidR="00286CDE" w:rsidRPr="00217865" w:rsidRDefault="00286CDE" w:rsidP="0078684E">
            <w:pPr>
              <w:pStyle w:val="Z"/>
              <w:spacing w:before="60" w:after="60"/>
              <w:jc w:val="center"/>
              <w:rPr>
                <w:color w:val="000000" w:themeColor="text1"/>
                <w:sz w:val="16"/>
                <w:szCs w:val="18"/>
              </w:rPr>
            </w:pPr>
            <w:r w:rsidRPr="00217865">
              <w:rPr>
                <w:color w:val="000000" w:themeColor="text1"/>
                <w:sz w:val="16"/>
                <w:szCs w:val="18"/>
              </w:rPr>
              <w:t>83.5 (83.0, 84.0)</w:t>
            </w:r>
          </w:p>
        </w:tc>
      </w:tr>
    </w:tbl>
    <w:p w14:paraId="3FD9F88B" w14:textId="4C26EB51" w:rsidR="00286CDE" w:rsidRPr="00217865" w:rsidRDefault="00286CDE" w:rsidP="00F47E3A">
      <w:pPr>
        <w:pStyle w:val="Footertable"/>
        <w:spacing w:before="120"/>
        <w:rPr>
          <w:rFonts w:ascii="Arial" w:hAnsi="Arial" w:cs="Arial"/>
          <w:color w:val="000000" w:themeColor="text1"/>
          <w:sz w:val="18"/>
          <w:szCs w:val="18"/>
        </w:rPr>
      </w:pPr>
      <w:r w:rsidRPr="00217865">
        <w:rPr>
          <w:rFonts w:ascii="Arial" w:hAnsi="Arial" w:cs="Arial"/>
          <w:color w:val="000000" w:themeColor="text1"/>
          <w:sz w:val="18"/>
          <w:szCs w:val="18"/>
        </w:rPr>
        <w:t xml:space="preserve">Note: A blank cell indicates there is no data for that cell and n/a indicates a suppressed value (n&lt;25). Institutions with no data or suppressed values for all cells are excluded from this table. </w:t>
      </w:r>
    </w:p>
    <w:p w14:paraId="74FF9845" w14:textId="77777777" w:rsidR="009C036D" w:rsidRPr="00217865" w:rsidRDefault="009C036D" w:rsidP="00535E2A">
      <w:pPr>
        <w:pStyle w:val="Body"/>
        <w:rPr>
          <w:rFonts w:cs="Arial"/>
          <w:color w:val="000000" w:themeColor="text1"/>
        </w:rPr>
      </w:pPr>
    </w:p>
    <w:p w14:paraId="78988C0F" w14:textId="3D91696E" w:rsidR="009C036D" w:rsidRPr="00217865" w:rsidRDefault="009C036D">
      <w:pPr>
        <w:spacing w:after="160" w:line="259" w:lineRule="auto"/>
        <w:rPr>
          <w:rFonts w:eastAsiaTheme="minorEastAsia" w:cs="Arial"/>
          <w:color w:val="000000" w:themeColor="text1"/>
          <w:spacing w:val="1"/>
          <w:sz w:val="16"/>
          <w:szCs w:val="16"/>
          <w:lang w:val="en-GB"/>
        </w:rPr>
      </w:pPr>
      <w:r w:rsidRPr="00217865">
        <w:rPr>
          <w:rFonts w:cs="Arial"/>
          <w:color w:val="000000" w:themeColor="text1"/>
        </w:rPr>
        <w:br w:type="page"/>
      </w:r>
    </w:p>
    <w:p w14:paraId="0E867B1A" w14:textId="77777777" w:rsidR="009C036D" w:rsidRPr="00217865" w:rsidRDefault="009C036D" w:rsidP="00821227">
      <w:pPr>
        <w:pStyle w:val="Footertable"/>
        <w:rPr>
          <w:rFonts w:ascii="Arial" w:hAnsi="Arial" w:cs="Arial"/>
          <w:color w:val="000000" w:themeColor="text1"/>
        </w:rPr>
      </w:pPr>
    </w:p>
    <w:p w14:paraId="48B69BCC" w14:textId="77777777" w:rsidR="00080E9A" w:rsidRPr="00217865" w:rsidRDefault="00080E9A" w:rsidP="00E06AED">
      <w:pPr>
        <w:pStyle w:val="Heading2"/>
      </w:pPr>
      <w:bookmarkStart w:id="71" w:name="_Toc169679793"/>
      <w:bookmarkStart w:id="72" w:name="_Toc178599289"/>
      <w:r w:rsidRPr="00217865">
        <w:t>Likelihood to consider leaving current institution</w:t>
      </w:r>
      <w:bookmarkEnd w:id="71"/>
      <w:bookmarkEnd w:id="72"/>
    </w:p>
    <w:p w14:paraId="629136AE" w14:textId="4B1764BB" w:rsidR="00890892" w:rsidRPr="00217865" w:rsidRDefault="00080E9A" w:rsidP="00890892">
      <w:pPr>
        <w:pStyle w:val="Body"/>
        <w:rPr>
          <w:rFonts w:cs="Arial"/>
          <w:color w:val="000000" w:themeColor="text1"/>
        </w:rPr>
      </w:pPr>
      <w:r w:rsidRPr="00217865">
        <w:rPr>
          <w:rFonts w:cs="Arial"/>
          <w:color w:val="000000" w:themeColor="text1"/>
        </w:rPr>
        <w:t xml:space="preserve">In addition to questions on their higher education experience, students were also asked to indicate whether they had seriously considered leaving their current institution in 2023. </w:t>
      </w:r>
      <w:r w:rsidR="00890892" w:rsidRPr="00217865">
        <w:rPr>
          <w:rFonts w:cs="Arial"/>
          <w:color w:val="000000" w:themeColor="text1"/>
        </w:rPr>
        <w:t xml:space="preserve">The proportion of domestic undergraduate students who had considered leaving their institution has remained </w:t>
      </w:r>
      <w:proofErr w:type="gramStart"/>
      <w:r w:rsidR="00E50EA1" w:rsidRPr="00217865">
        <w:rPr>
          <w:rFonts w:cs="Arial"/>
          <w:color w:val="000000" w:themeColor="text1"/>
        </w:rPr>
        <w:t>fairly consistent</w:t>
      </w:r>
      <w:proofErr w:type="gramEnd"/>
      <w:r w:rsidR="00E50EA1" w:rsidRPr="00217865">
        <w:rPr>
          <w:rFonts w:cs="Arial"/>
          <w:color w:val="000000" w:themeColor="text1"/>
        </w:rPr>
        <w:t xml:space="preserve"> since 201</w:t>
      </w:r>
      <w:r w:rsidR="002C7885" w:rsidRPr="00217865">
        <w:rPr>
          <w:rFonts w:cs="Arial"/>
          <w:color w:val="000000" w:themeColor="text1"/>
        </w:rPr>
        <w:t>7</w:t>
      </w:r>
      <w:r w:rsidR="00890892" w:rsidRPr="00217865">
        <w:rPr>
          <w:rFonts w:cs="Arial"/>
          <w:color w:val="000000" w:themeColor="text1"/>
        </w:rPr>
        <w:t xml:space="preserve">. </w:t>
      </w:r>
      <w:r w:rsidR="002C7885" w:rsidRPr="00217865">
        <w:rPr>
          <w:rFonts w:cs="Arial"/>
          <w:color w:val="000000" w:themeColor="text1"/>
        </w:rPr>
        <w:t>T</w:t>
      </w:r>
      <w:r w:rsidR="00890892" w:rsidRPr="00217865">
        <w:rPr>
          <w:rFonts w:cs="Arial"/>
          <w:color w:val="000000" w:themeColor="text1"/>
        </w:rPr>
        <w:t xml:space="preserve">he proportion of international undergraduate students who had considered leaving has </w:t>
      </w:r>
      <w:r w:rsidR="00FA30DA" w:rsidRPr="00217865">
        <w:rPr>
          <w:rFonts w:cs="Arial"/>
          <w:color w:val="000000" w:themeColor="text1"/>
        </w:rPr>
        <w:t>general</w:t>
      </w:r>
      <w:r w:rsidR="00AD70C2" w:rsidRPr="00217865">
        <w:rPr>
          <w:rFonts w:cs="Arial"/>
          <w:color w:val="000000" w:themeColor="text1"/>
        </w:rPr>
        <w:t>ly</w:t>
      </w:r>
      <w:r w:rsidR="00890892" w:rsidRPr="00217865">
        <w:rPr>
          <w:rFonts w:cs="Arial"/>
          <w:color w:val="000000" w:themeColor="text1"/>
        </w:rPr>
        <w:t xml:space="preserve"> been lower than for domestic students</w:t>
      </w:r>
      <w:r w:rsidR="00FA30DA" w:rsidRPr="00217865">
        <w:rPr>
          <w:rFonts w:cs="Arial"/>
          <w:color w:val="000000" w:themeColor="text1"/>
        </w:rPr>
        <w:t>,</w:t>
      </w:r>
      <w:r w:rsidR="00E50EA1" w:rsidRPr="00217865">
        <w:rPr>
          <w:rFonts w:cs="Arial"/>
          <w:color w:val="000000" w:themeColor="text1"/>
        </w:rPr>
        <w:t xml:space="preserve"> as shown by </w:t>
      </w:r>
      <w:r w:rsidR="00E50EA1" w:rsidRPr="001E2723">
        <w:rPr>
          <w:rFonts w:cs="Arial"/>
          <w:b/>
          <w:bCs/>
          <w:color w:val="000000" w:themeColor="text1"/>
        </w:rPr>
        <w:fldChar w:fldCharType="begin"/>
      </w:r>
      <w:r w:rsidR="00E50EA1" w:rsidRPr="001E2723">
        <w:rPr>
          <w:rFonts w:cs="Arial"/>
          <w:b/>
          <w:bCs/>
          <w:color w:val="000000" w:themeColor="text1"/>
        </w:rPr>
        <w:instrText xml:space="preserve"> REF _Ref126694435 \h  \* MERGEFORMAT </w:instrText>
      </w:r>
      <w:r w:rsidR="00E50EA1" w:rsidRPr="001E2723">
        <w:rPr>
          <w:rFonts w:cs="Arial"/>
          <w:b/>
          <w:bCs/>
          <w:color w:val="000000" w:themeColor="text1"/>
        </w:rPr>
      </w:r>
      <w:r w:rsidR="00E50EA1" w:rsidRPr="001E2723">
        <w:rPr>
          <w:rFonts w:cs="Arial"/>
          <w:b/>
          <w:bCs/>
          <w:color w:val="000000" w:themeColor="text1"/>
        </w:rPr>
        <w:fldChar w:fldCharType="separate"/>
      </w:r>
      <w:r w:rsidR="005D5678" w:rsidRPr="001E2723">
        <w:rPr>
          <w:b/>
          <w:bCs/>
          <w:color w:val="000000" w:themeColor="text1"/>
        </w:rPr>
        <w:t xml:space="preserve">Figure </w:t>
      </w:r>
      <w:r w:rsidR="005D5678" w:rsidRPr="001E2723">
        <w:rPr>
          <w:b/>
          <w:bCs/>
          <w:noProof/>
          <w:color w:val="000000" w:themeColor="text1"/>
        </w:rPr>
        <w:t>9</w:t>
      </w:r>
      <w:r w:rsidR="00E50EA1" w:rsidRPr="001E2723">
        <w:rPr>
          <w:rFonts w:cs="Arial"/>
          <w:b/>
          <w:bCs/>
          <w:color w:val="000000" w:themeColor="text1"/>
        </w:rPr>
        <w:fldChar w:fldCharType="end"/>
      </w:r>
      <w:r w:rsidR="00E50EA1" w:rsidRPr="00217865">
        <w:rPr>
          <w:rFonts w:cs="Arial"/>
          <w:color w:val="000000" w:themeColor="text1"/>
        </w:rPr>
        <w:t>. H</w:t>
      </w:r>
      <w:r w:rsidR="00890892" w:rsidRPr="00217865">
        <w:rPr>
          <w:rFonts w:cs="Arial"/>
          <w:color w:val="000000" w:themeColor="text1"/>
        </w:rPr>
        <w:t>owever</w:t>
      </w:r>
      <w:r w:rsidR="00E50EA1" w:rsidRPr="00217865">
        <w:rPr>
          <w:rFonts w:cs="Arial"/>
          <w:color w:val="000000" w:themeColor="text1"/>
        </w:rPr>
        <w:t>,</w:t>
      </w:r>
      <w:r w:rsidR="00890892" w:rsidRPr="00217865">
        <w:rPr>
          <w:rFonts w:cs="Arial"/>
          <w:color w:val="000000" w:themeColor="text1"/>
        </w:rPr>
        <w:t xml:space="preserve"> it did peak to a high </w:t>
      </w:r>
      <w:r w:rsidR="00E50EA1" w:rsidRPr="00217865">
        <w:rPr>
          <w:rFonts w:cs="Arial"/>
          <w:color w:val="000000" w:themeColor="text1"/>
        </w:rPr>
        <w:t>of 19.5 per cent</w:t>
      </w:r>
      <w:r w:rsidR="00890892" w:rsidRPr="00217865">
        <w:rPr>
          <w:rFonts w:cs="Arial"/>
          <w:color w:val="000000" w:themeColor="text1"/>
        </w:rPr>
        <w:t xml:space="preserve"> in 2021,</w:t>
      </w:r>
      <w:r w:rsidR="00E50EA1" w:rsidRPr="00217865">
        <w:rPr>
          <w:rFonts w:cs="Arial"/>
          <w:color w:val="000000" w:themeColor="text1"/>
        </w:rPr>
        <w:t xml:space="preserve"> likely related to the large proportion of international students located overseas</w:t>
      </w:r>
      <w:r w:rsidR="00890892" w:rsidRPr="00217865">
        <w:rPr>
          <w:rFonts w:cs="Arial"/>
          <w:color w:val="000000" w:themeColor="text1"/>
        </w:rPr>
        <w:t xml:space="preserve">. This figure dropped substantially in 2022 </w:t>
      </w:r>
      <w:r w:rsidR="00E50EA1" w:rsidRPr="00217865">
        <w:rPr>
          <w:rFonts w:cs="Arial"/>
          <w:color w:val="000000" w:themeColor="text1"/>
        </w:rPr>
        <w:t xml:space="preserve">and again in 2023 </w:t>
      </w:r>
      <w:r w:rsidR="00890892" w:rsidRPr="00217865">
        <w:rPr>
          <w:rFonts w:cs="Arial"/>
          <w:color w:val="000000" w:themeColor="text1"/>
        </w:rPr>
        <w:t xml:space="preserve">to </w:t>
      </w:r>
      <w:r w:rsidR="00FA30DA" w:rsidRPr="00217865">
        <w:rPr>
          <w:rFonts w:cs="Arial"/>
          <w:color w:val="000000" w:themeColor="text1"/>
        </w:rPr>
        <w:t xml:space="preserve">13.9 per cent, </w:t>
      </w:r>
      <w:r w:rsidR="00E50EA1" w:rsidRPr="00217865">
        <w:rPr>
          <w:rFonts w:cs="Arial"/>
          <w:color w:val="000000" w:themeColor="text1"/>
        </w:rPr>
        <w:t>the lowest since 201</w:t>
      </w:r>
      <w:r w:rsidR="00FA30DA" w:rsidRPr="00217865">
        <w:rPr>
          <w:rFonts w:cs="Arial"/>
          <w:color w:val="000000" w:themeColor="text1"/>
        </w:rPr>
        <w:t>7</w:t>
      </w:r>
      <w:r w:rsidR="00890892" w:rsidRPr="00217865">
        <w:rPr>
          <w:rFonts w:cs="Arial"/>
          <w:color w:val="000000" w:themeColor="text1"/>
        </w:rPr>
        <w:t xml:space="preserve">. </w:t>
      </w:r>
    </w:p>
    <w:p w14:paraId="2239A3C9" w14:textId="76DE0092" w:rsidR="00890892" w:rsidRPr="00217865" w:rsidRDefault="00890892" w:rsidP="00890892">
      <w:pPr>
        <w:pStyle w:val="Caption"/>
        <w:rPr>
          <w:b w:val="0"/>
          <w:bCs w:val="0"/>
          <w:color w:val="000000" w:themeColor="text1"/>
        </w:rPr>
      </w:pPr>
      <w:bookmarkStart w:id="73" w:name="_Ref126694435"/>
      <w:bookmarkStart w:id="74" w:name="_Toc208242366"/>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9</w:t>
      </w:r>
      <w:r w:rsidR="001706E8" w:rsidRPr="00217865">
        <w:rPr>
          <w:noProof/>
          <w:color w:val="000000" w:themeColor="text1"/>
        </w:rPr>
        <w:fldChar w:fldCharType="end"/>
      </w:r>
      <w:bookmarkEnd w:id="73"/>
      <w:r w:rsidR="00AA77D3">
        <w:rPr>
          <w:noProof/>
          <w:color w:val="000000" w:themeColor="text1"/>
        </w:rPr>
        <w:tab/>
      </w:r>
      <w:r w:rsidRPr="00217865">
        <w:rPr>
          <w:color w:val="000000" w:themeColor="text1"/>
        </w:rPr>
        <w:t>Proportion of undergraduate students who considered early departure from institution by citizenship status, 201</w:t>
      </w:r>
      <w:r w:rsidR="0004408A" w:rsidRPr="00217865">
        <w:rPr>
          <w:color w:val="000000" w:themeColor="text1"/>
        </w:rPr>
        <w:t>7</w:t>
      </w:r>
      <w:r w:rsidRPr="00217865">
        <w:rPr>
          <w:color w:val="000000" w:themeColor="text1"/>
        </w:rPr>
        <w:t>-202</w:t>
      </w:r>
      <w:r w:rsidR="00D37FFB" w:rsidRPr="00217865">
        <w:rPr>
          <w:color w:val="000000" w:themeColor="text1"/>
        </w:rPr>
        <w:t>3</w:t>
      </w:r>
      <w:bookmarkEnd w:id="74"/>
    </w:p>
    <w:p w14:paraId="184D157D" w14:textId="709D9605" w:rsidR="00890892" w:rsidRPr="00217865" w:rsidRDefault="00D37FFB" w:rsidP="00890892">
      <w:pPr>
        <w:pStyle w:val="Body"/>
        <w:rPr>
          <w:rFonts w:cs="Arial"/>
          <w:noProof/>
          <w:color w:val="000000" w:themeColor="text1"/>
        </w:rPr>
      </w:pPr>
      <w:r w:rsidRPr="00217865">
        <w:rPr>
          <w:rFonts w:cs="Arial"/>
          <w:noProof/>
          <w:color w:val="000000" w:themeColor="text1"/>
        </w:rPr>
        <w:t xml:space="preserve"> </w:t>
      </w:r>
      <w:r w:rsidR="00D571B9" w:rsidRPr="00217865">
        <w:rPr>
          <w:rFonts w:cs="Arial"/>
          <w:noProof/>
          <w:color w:val="000000" w:themeColor="text1"/>
        </w:rPr>
        <w:drawing>
          <wp:inline distT="0" distB="0" distL="0" distR="0" wp14:anchorId="6891273D" wp14:editId="700476A0">
            <wp:extent cx="6400800" cy="2842260"/>
            <wp:effectExtent l="0" t="0" r="0" b="0"/>
            <wp:docPr id="647916783" name="Chart 1">
              <a:extLst xmlns:a="http://schemas.openxmlformats.org/drawingml/2006/main">
                <a:ext uri="{FF2B5EF4-FFF2-40B4-BE49-F238E27FC236}">
                  <a16:creationId xmlns:a16="http://schemas.microsoft.com/office/drawing/2014/main" id="{52E30555-E86D-0C70-CDFC-9855B51CA33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C73CB18" w14:textId="11C11AE8" w:rsidR="00FA30DA" w:rsidRPr="00813BE5" w:rsidRDefault="00FA30DA" w:rsidP="00FA30DA">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CONSID_UG_ALL_6Y_SG </w:t>
      </w:r>
      <w:r w:rsidRPr="00813BE5">
        <w:rPr>
          <w:rFonts w:cs="Arial"/>
          <w:color w:val="000000" w:themeColor="text1"/>
          <w:sz w:val="18"/>
          <w:szCs w:val="18"/>
        </w:rPr>
        <w:t xml:space="preserve">worksheet in the 2023 SES </w:t>
      </w:r>
      <w:r w:rsidR="00A52982" w:rsidRPr="00813BE5">
        <w:rPr>
          <w:rFonts w:cs="Arial"/>
          <w:color w:val="000000" w:themeColor="text1"/>
          <w:sz w:val="18"/>
          <w:szCs w:val="18"/>
        </w:rPr>
        <w:t>National</w:t>
      </w:r>
      <w:r w:rsidRPr="00813BE5">
        <w:rPr>
          <w:rFonts w:cs="Arial"/>
          <w:color w:val="000000" w:themeColor="text1"/>
          <w:sz w:val="18"/>
          <w:szCs w:val="18"/>
        </w:rPr>
        <w:t xml:space="preserve"> Report Tables available on the QILT website.</w:t>
      </w:r>
    </w:p>
    <w:p w14:paraId="396DD436" w14:textId="25E7DD09" w:rsidR="00FA30DA" w:rsidRPr="00217865" w:rsidRDefault="00FA30DA" w:rsidP="00FA30DA">
      <w:pPr>
        <w:pStyle w:val="Body"/>
        <w:rPr>
          <w:rFonts w:cs="Arial"/>
          <w:color w:val="000000" w:themeColor="text1"/>
        </w:rPr>
      </w:pPr>
      <w:r w:rsidRPr="00217865">
        <w:rPr>
          <w:rFonts w:cs="Arial"/>
          <w:color w:val="000000" w:themeColor="text1"/>
        </w:rPr>
        <w:t>A similar pattern can be seen at the postgraduate coursework level whereby domestic students are more likely to indicate they had considered leaving in the survey year than international students</w:t>
      </w:r>
      <w:r w:rsidR="00343A79" w:rsidRPr="00217865">
        <w:rPr>
          <w:rFonts w:cs="Arial"/>
          <w:color w:val="000000" w:themeColor="text1"/>
        </w:rPr>
        <w:t>.</w:t>
      </w:r>
      <w:r w:rsidRPr="00217865">
        <w:rPr>
          <w:rFonts w:cs="Arial"/>
          <w:color w:val="000000" w:themeColor="text1"/>
        </w:rPr>
        <w:t xml:space="preserve"> However, in 2020 and 2021 the proportion of international postgraduate coursework students who indicated they had considered leaving their institution </w:t>
      </w:r>
      <w:r w:rsidR="0000139F" w:rsidRPr="00217865">
        <w:rPr>
          <w:rFonts w:cs="Arial"/>
          <w:color w:val="000000" w:themeColor="text1"/>
        </w:rPr>
        <w:t xml:space="preserve">has </w:t>
      </w:r>
      <w:r w:rsidRPr="00217865">
        <w:rPr>
          <w:rFonts w:cs="Arial"/>
          <w:color w:val="000000" w:themeColor="text1"/>
        </w:rPr>
        <w:t>increased markedly, as shown by</w:t>
      </w:r>
      <w:r w:rsidR="001E2723">
        <w:rPr>
          <w:rFonts w:cs="Arial"/>
          <w:color w:val="000000" w:themeColor="text1"/>
        </w:rPr>
        <w:t xml:space="preserve"> </w:t>
      </w:r>
      <w:r w:rsidR="00CD3B5E" w:rsidRPr="001E2723">
        <w:rPr>
          <w:rFonts w:cs="Arial"/>
          <w:b/>
          <w:color w:val="000000" w:themeColor="text1"/>
        </w:rPr>
        <w:fldChar w:fldCharType="begin"/>
      </w:r>
      <w:r w:rsidR="00CD3B5E" w:rsidRPr="001E2723">
        <w:rPr>
          <w:rFonts w:cs="Arial"/>
          <w:b/>
          <w:color w:val="000000" w:themeColor="text1"/>
        </w:rPr>
        <w:instrText xml:space="preserve"> REF _Ref171890492 \h </w:instrText>
      </w:r>
      <w:r w:rsidR="00DC28F0" w:rsidRPr="001E2723">
        <w:rPr>
          <w:rFonts w:cs="Arial"/>
          <w:b/>
          <w:color w:val="000000" w:themeColor="text1"/>
        </w:rPr>
        <w:instrText xml:space="preserve"> \* MERGEFORMAT </w:instrText>
      </w:r>
      <w:r w:rsidR="00CD3B5E" w:rsidRPr="001E2723">
        <w:rPr>
          <w:rFonts w:cs="Arial"/>
          <w:b/>
          <w:color w:val="000000" w:themeColor="text1"/>
        </w:rPr>
      </w:r>
      <w:r w:rsidR="00CD3B5E" w:rsidRPr="001E2723">
        <w:rPr>
          <w:rFonts w:cs="Arial"/>
          <w:b/>
          <w:color w:val="000000" w:themeColor="text1"/>
        </w:rPr>
        <w:fldChar w:fldCharType="separate"/>
      </w:r>
      <w:r w:rsidR="005D5678" w:rsidRPr="001E2723">
        <w:rPr>
          <w:b/>
          <w:color w:val="000000" w:themeColor="text1"/>
        </w:rPr>
        <w:t xml:space="preserve">Figure </w:t>
      </w:r>
      <w:r w:rsidR="005D5678" w:rsidRPr="001E2723">
        <w:rPr>
          <w:b/>
          <w:noProof/>
          <w:color w:val="000000" w:themeColor="text1"/>
        </w:rPr>
        <w:t>10</w:t>
      </w:r>
      <w:r w:rsidR="00CD3B5E" w:rsidRPr="001E2723">
        <w:rPr>
          <w:rFonts w:cs="Arial"/>
          <w:b/>
          <w:color w:val="000000" w:themeColor="text1"/>
        </w:rPr>
        <w:fldChar w:fldCharType="end"/>
      </w:r>
      <w:r w:rsidR="00CD3B5E" w:rsidRPr="00217865">
        <w:rPr>
          <w:rFonts w:cs="Arial"/>
          <w:color w:val="000000" w:themeColor="text1"/>
        </w:rPr>
        <w:t>.</w:t>
      </w:r>
      <w:r w:rsidRPr="00217865">
        <w:rPr>
          <w:rFonts w:cs="Arial"/>
          <w:color w:val="000000" w:themeColor="text1"/>
        </w:rPr>
        <w:t xml:space="preserve"> </w:t>
      </w:r>
    </w:p>
    <w:p w14:paraId="4572E892" w14:textId="5FF437BC" w:rsidR="00FA30DA" w:rsidRPr="00217865" w:rsidRDefault="00FA30DA" w:rsidP="00FA30DA">
      <w:pPr>
        <w:pStyle w:val="Body"/>
        <w:rPr>
          <w:rFonts w:cs="Arial"/>
          <w:color w:val="000000" w:themeColor="text1"/>
        </w:rPr>
      </w:pPr>
      <w:r w:rsidRPr="00217865">
        <w:rPr>
          <w:rFonts w:cs="Arial"/>
          <w:color w:val="000000" w:themeColor="text1"/>
        </w:rPr>
        <w:t>It should be noted that the SES is conducted in August and September of each year and so many commencing undergraduate students experiencing transition issues may have already left their study or disengaged with their institution. It is also often the case, that students who are less engaged with their institution are less likely to engage with non-compulsory surveys. Also, when comparing to domestic students, there may be cultural differences for international students in disclosure of what may be seen as a sensitive issue, a sense of obligation due to a high financial investment or a reluctance in revealing an intention to leave due to perceived visa or enrolment ramifications.</w:t>
      </w:r>
    </w:p>
    <w:p w14:paraId="36FD6A21" w14:textId="70549B45" w:rsidR="00D37FFB" w:rsidRPr="00217865" w:rsidRDefault="00D37FFB" w:rsidP="00D37FFB">
      <w:pPr>
        <w:pStyle w:val="Caption"/>
        <w:rPr>
          <w:color w:val="000000" w:themeColor="text1"/>
        </w:rPr>
      </w:pPr>
      <w:bookmarkStart w:id="75" w:name="_Ref171890492"/>
      <w:bookmarkStart w:id="76" w:name="_Toc208242367"/>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10</w:t>
      </w:r>
      <w:r w:rsidR="001706E8" w:rsidRPr="00217865">
        <w:rPr>
          <w:noProof/>
          <w:color w:val="000000" w:themeColor="text1"/>
        </w:rPr>
        <w:fldChar w:fldCharType="end"/>
      </w:r>
      <w:bookmarkEnd w:id="75"/>
      <w:r w:rsidR="00813BE5">
        <w:rPr>
          <w:noProof/>
          <w:color w:val="000000" w:themeColor="text1"/>
        </w:rPr>
        <w:tab/>
      </w:r>
      <w:r w:rsidRPr="00217865">
        <w:rPr>
          <w:color w:val="000000" w:themeColor="text1"/>
        </w:rPr>
        <w:t>Proportion of postgraduate coursework students who considered early departure from institution by citizenship status, 2017-2023</w:t>
      </w:r>
      <w:bookmarkEnd w:id="76"/>
    </w:p>
    <w:p w14:paraId="631197C7" w14:textId="03712429" w:rsidR="00C51492" w:rsidRPr="00217865" w:rsidRDefault="00D37FFB" w:rsidP="00171181">
      <w:pPr>
        <w:pStyle w:val="Body"/>
        <w:rPr>
          <w:rFonts w:cs="Arial"/>
          <w:color w:val="000000" w:themeColor="text1"/>
        </w:rPr>
      </w:pPr>
      <w:r w:rsidRPr="00217865">
        <w:rPr>
          <w:rFonts w:cs="Arial"/>
          <w:color w:val="000000" w:themeColor="text1"/>
        </w:rPr>
        <w:t xml:space="preserve"> </w:t>
      </w:r>
      <w:r w:rsidR="00D571B9" w:rsidRPr="00217865">
        <w:rPr>
          <w:rFonts w:cs="Arial"/>
          <w:noProof/>
          <w:color w:val="000000" w:themeColor="text1"/>
        </w:rPr>
        <w:drawing>
          <wp:inline distT="0" distB="0" distL="0" distR="0" wp14:anchorId="2684E03C" wp14:editId="7647C871">
            <wp:extent cx="6370320" cy="2842260"/>
            <wp:effectExtent l="0" t="0" r="0" b="0"/>
            <wp:docPr id="854800462" name="Chart 1">
              <a:extLst xmlns:a="http://schemas.openxmlformats.org/drawingml/2006/main">
                <a:ext uri="{FF2B5EF4-FFF2-40B4-BE49-F238E27FC236}">
                  <a16:creationId xmlns:a16="http://schemas.microsoft.com/office/drawing/2014/main" id="{87802721-A3F0-4115-8CBC-B4874B6CD62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D7999B1" w14:textId="25CDA0E3" w:rsidR="00FA30DA" w:rsidRPr="008D3DEC" w:rsidRDefault="00FA30DA" w:rsidP="00FA30DA">
      <w:pPr>
        <w:pStyle w:val="FigureNote"/>
        <w:rPr>
          <w:rFonts w:cs="Arial"/>
          <w:color w:val="000000" w:themeColor="text1"/>
          <w:sz w:val="18"/>
          <w:szCs w:val="18"/>
        </w:rPr>
      </w:pPr>
      <w:r w:rsidRPr="008D3DEC">
        <w:rPr>
          <w:rFonts w:cs="Arial"/>
          <w:color w:val="000000" w:themeColor="text1"/>
          <w:sz w:val="18"/>
          <w:szCs w:val="18"/>
        </w:rPr>
        <w:t xml:space="preserve">Source: The </w:t>
      </w:r>
      <w:r w:rsidRPr="008D3DEC">
        <w:rPr>
          <w:rStyle w:val="cf01"/>
          <w:rFonts w:ascii="Arial" w:hAnsi="Arial" w:cs="Arial"/>
          <w:color w:val="000000" w:themeColor="text1"/>
        </w:rPr>
        <w:t xml:space="preserve">CONSID_PGC_ALL_6Y_SG </w:t>
      </w:r>
      <w:r w:rsidRPr="008D3DEC">
        <w:rPr>
          <w:rFonts w:cs="Arial"/>
          <w:color w:val="000000" w:themeColor="text1"/>
          <w:sz w:val="18"/>
          <w:szCs w:val="18"/>
        </w:rPr>
        <w:t xml:space="preserve">worksheet in the 2023 SES </w:t>
      </w:r>
      <w:r w:rsidR="00D51D05" w:rsidRPr="008D3DEC">
        <w:rPr>
          <w:rFonts w:cs="Arial"/>
          <w:color w:val="000000" w:themeColor="text1"/>
          <w:sz w:val="18"/>
          <w:szCs w:val="18"/>
        </w:rPr>
        <w:t>National</w:t>
      </w:r>
      <w:r w:rsidRPr="008D3DEC">
        <w:rPr>
          <w:rFonts w:cs="Arial"/>
          <w:color w:val="000000" w:themeColor="text1"/>
          <w:sz w:val="18"/>
          <w:szCs w:val="18"/>
        </w:rPr>
        <w:t xml:space="preserve"> Report Tables available on the QILT website.</w:t>
      </w:r>
    </w:p>
    <w:p w14:paraId="3C3BD535" w14:textId="212C74F4" w:rsidR="00171181" w:rsidRPr="00217865" w:rsidRDefault="00171181" w:rsidP="00171181">
      <w:pPr>
        <w:pStyle w:val="Body"/>
        <w:rPr>
          <w:rFonts w:cs="Arial"/>
          <w:color w:val="000000" w:themeColor="text1"/>
        </w:rPr>
      </w:pPr>
      <w:r w:rsidRPr="00217865">
        <w:rPr>
          <w:rFonts w:cs="Arial"/>
          <w:color w:val="000000" w:themeColor="text1"/>
        </w:rPr>
        <w:t xml:space="preserve">Students who considered leaving their institution were asked to indicate, from a list of 28 possible reasons, why they had considered doing so. Students could select as many reasons as applicable, so the percentages do not sum to 100. Note that the list of reasons was revised in the 2023 SES as part of the review of the SES instrument. Some reasons previously presented in the survey were removed, other reasons were </w:t>
      </w:r>
      <w:proofErr w:type="gramStart"/>
      <w:r w:rsidRPr="00217865">
        <w:rPr>
          <w:rFonts w:cs="Arial"/>
          <w:color w:val="000000" w:themeColor="text1"/>
        </w:rPr>
        <w:t>modified</w:t>
      </w:r>
      <w:proofErr w:type="gramEnd"/>
      <w:r w:rsidRPr="00217865">
        <w:rPr>
          <w:rFonts w:cs="Arial"/>
          <w:color w:val="000000" w:themeColor="text1"/>
        </w:rPr>
        <w:t xml:space="preserve"> and new reasons were introduced. Refer to Appendix 2, Section 2.1 Review of the SES for more information.</w:t>
      </w:r>
    </w:p>
    <w:p w14:paraId="6A23D6B0" w14:textId="6027D770" w:rsidR="000F5CF3" w:rsidRPr="00217865" w:rsidRDefault="00890892" w:rsidP="00890892">
      <w:pPr>
        <w:pStyle w:val="Body"/>
        <w:rPr>
          <w:rFonts w:cs="Arial"/>
          <w:color w:val="000000" w:themeColor="text1"/>
        </w:rPr>
      </w:pPr>
      <w:r w:rsidRPr="00217865">
        <w:rPr>
          <w:rFonts w:cs="Arial"/>
          <w:color w:val="000000" w:themeColor="text1"/>
        </w:rPr>
        <w:t xml:space="preserve">When examining reasons students consider leaving, it is interesting to compare differences between domestic and international students to help understand the challenges each cohort faces. </w:t>
      </w:r>
    </w:p>
    <w:p w14:paraId="17581918" w14:textId="7BDC0446" w:rsidR="00A85D06" w:rsidRPr="00217865" w:rsidRDefault="00A85D06" w:rsidP="00A85D06">
      <w:pPr>
        <w:pStyle w:val="Body"/>
        <w:rPr>
          <w:rFonts w:cs="Arial"/>
          <w:color w:val="000000" w:themeColor="text1"/>
        </w:rPr>
      </w:pPr>
      <w:r w:rsidRPr="00217865">
        <w:rPr>
          <w:rFonts w:cs="Arial"/>
          <w:color w:val="000000" w:themeColor="text1"/>
        </w:rPr>
        <w:t xml:space="preserve">The top three reasons cited by international undergraduate students </w:t>
      </w:r>
      <w:r w:rsidR="002451D0" w:rsidRPr="00217865">
        <w:rPr>
          <w:rFonts w:cs="Arial"/>
          <w:color w:val="000000" w:themeColor="text1"/>
        </w:rPr>
        <w:t xml:space="preserve">for considering leaving their institution included </w:t>
      </w:r>
      <w:r w:rsidRPr="00217865">
        <w:rPr>
          <w:rFonts w:cs="Arial"/>
          <w:color w:val="000000" w:themeColor="text1"/>
        </w:rPr>
        <w:t>financial difficulties</w:t>
      </w:r>
      <w:r w:rsidR="002451D0" w:rsidRPr="00217865">
        <w:rPr>
          <w:rFonts w:cs="Arial"/>
          <w:color w:val="000000" w:themeColor="text1"/>
        </w:rPr>
        <w:t>,</w:t>
      </w:r>
      <w:r w:rsidRPr="00217865">
        <w:rPr>
          <w:rFonts w:cs="Arial"/>
          <w:color w:val="000000" w:themeColor="text1"/>
        </w:rPr>
        <w:t xml:space="preserve"> their stress levels and their mental health</w:t>
      </w:r>
      <w:r w:rsidR="002451D0" w:rsidRPr="00217865">
        <w:rPr>
          <w:rFonts w:cs="Arial"/>
          <w:color w:val="000000" w:themeColor="text1"/>
        </w:rPr>
        <w:t>. Stress levels and mental health were the top two reasons provided by domestic undergraduates and at a higher rate than international undergraduates.</w:t>
      </w:r>
    </w:p>
    <w:p w14:paraId="29C76099" w14:textId="3B40D53A" w:rsidR="00A85D06" w:rsidRPr="00217865" w:rsidRDefault="002451D0" w:rsidP="00A85D06">
      <w:pPr>
        <w:pStyle w:val="Body"/>
        <w:rPr>
          <w:rFonts w:cs="Arial"/>
          <w:color w:val="000000" w:themeColor="text1"/>
        </w:rPr>
      </w:pPr>
      <w:r w:rsidRPr="00217865">
        <w:rPr>
          <w:rFonts w:cs="Arial"/>
          <w:color w:val="000000" w:themeColor="text1"/>
        </w:rPr>
        <w:t xml:space="preserve">While </w:t>
      </w:r>
      <w:r w:rsidR="00A85D06" w:rsidRPr="00217865">
        <w:rPr>
          <w:rFonts w:cs="Arial"/>
          <w:color w:val="000000" w:themeColor="text1"/>
        </w:rPr>
        <w:t xml:space="preserve">domestic undergraduate students were more likely to </w:t>
      </w:r>
      <w:r w:rsidRPr="00217865">
        <w:rPr>
          <w:rFonts w:cs="Arial"/>
          <w:color w:val="000000" w:themeColor="text1"/>
        </w:rPr>
        <w:t>report</w:t>
      </w:r>
      <w:r w:rsidR="00A85D06" w:rsidRPr="00217865">
        <w:rPr>
          <w:rFonts w:cs="Arial"/>
          <w:color w:val="000000" w:themeColor="text1"/>
        </w:rPr>
        <w:t xml:space="preserve"> difficulty with study workload</w:t>
      </w:r>
      <w:r w:rsidRPr="00217865">
        <w:rPr>
          <w:rFonts w:cs="Arial"/>
          <w:color w:val="000000" w:themeColor="text1"/>
        </w:rPr>
        <w:t xml:space="preserve">, </w:t>
      </w:r>
      <w:r w:rsidR="00A85D06" w:rsidRPr="00217865">
        <w:rPr>
          <w:rFonts w:cs="Arial"/>
          <w:color w:val="000000" w:themeColor="text1"/>
        </w:rPr>
        <w:t>study life balance</w:t>
      </w:r>
      <w:r w:rsidRPr="00217865">
        <w:rPr>
          <w:rFonts w:cs="Arial"/>
          <w:color w:val="000000" w:themeColor="text1"/>
        </w:rPr>
        <w:t>, family caring responsibilities and paid work responsibilities,</w:t>
      </w:r>
      <w:r w:rsidR="00A85D06" w:rsidRPr="00217865">
        <w:rPr>
          <w:rFonts w:cs="Arial"/>
          <w:color w:val="000000" w:themeColor="text1"/>
        </w:rPr>
        <w:t xml:space="preserve"> international </w:t>
      </w:r>
      <w:r w:rsidRPr="00217865">
        <w:rPr>
          <w:rFonts w:cs="Arial"/>
          <w:color w:val="000000" w:themeColor="text1"/>
        </w:rPr>
        <w:t>undergraduates</w:t>
      </w:r>
      <w:r w:rsidR="00A85D06" w:rsidRPr="00217865">
        <w:rPr>
          <w:rFonts w:cs="Arial"/>
          <w:color w:val="000000" w:themeColor="text1"/>
        </w:rPr>
        <w:t xml:space="preserve"> </w:t>
      </w:r>
      <w:r w:rsidRPr="00217865">
        <w:rPr>
          <w:rFonts w:cs="Arial"/>
          <w:color w:val="000000" w:themeColor="text1"/>
        </w:rPr>
        <w:t>were</w:t>
      </w:r>
      <w:r w:rsidR="00A85D06" w:rsidRPr="00217865">
        <w:rPr>
          <w:rFonts w:cs="Arial"/>
          <w:color w:val="000000" w:themeColor="text1"/>
        </w:rPr>
        <w:t xml:space="preserve"> more likely to cite </w:t>
      </w:r>
      <w:r w:rsidRPr="00217865">
        <w:rPr>
          <w:rFonts w:cs="Arial"/>
          <w:color w:val="000000" w:themeColor="text1"/>
        </w:rPr>
        <w:t>low or failing grades, lack of career prospects, concerns about the institution’s reputation and the difficulty of the course.</w:t>
      </w:r>
    </w:p>
    <w:p w14:paraId="42C906B5" w14:textId="77777777" w:rsidR="00A85D06" w:rsidRPr="00217865" w:rsidRDefault="00A85D06" w:rsidP="00890892">
      <w:pPr>
        <w:pStyle w:val="Body"/>
        <w:rPr>
          <w:rFonts w:cs="Arial"/>
          <w:color w:val="000000" w:themeColor="text1"/>
        </w:rPr>
      </w:pPr>
    </w:p>
    <w:p w14:paraId="07128FAD" w14:textId="5B53707D" w:rsidR="00A85D06" w:rsidRPr="00217865" w:rsidRDefault="00A85D06" w:rsidP="0055225C">
      <w:pPr>
        <w:pStyle w:val="Caption"/>
        <w:rPr>
          <w:color w:val="000000" w:themeColor="text1"/>
        </w:rPr>
      </w:pPr>
      <w:bookmarkStart w:id="77" w:name="_Toc208242368"/>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11</w:t>
      </w:r>
      <w:r w:rsidR="001706E8" w:rsidRPr="00217865">
        <w:rPr>
          <w:noProof/>
          <w:color w:val="000000" w:themeColor="text1"/>
        </w:rPr>
        <w:fldChar w:fldCharType="end"/>
      </w:r>
      <w:r w:rsidR="00813BE5">
        <w:rPr>
          <w:color w:val="000000" w:themeColor="text1"/>
        </w:rPr>
        <w:tab/>
      </w:r>
      <w:r w:rsidRPr="00217865">
        <w:rPr>
          <w:color w:val="000000" w:themeColor="text1"/>
        </w:rPr>
        <w:t>Reasons for considering early departure among undergraduate students by citizenship status, 2023 (% of those who had considered leaving)</w:t>
      </w:r>
      <w:bookmarkEnd w:id="77"/>
    </w:p>
    <w:p w14:paraId="616D71E8" w14:textId="3BA7520B" w:rsidR="00F92161" w:rsidRPr="00217865" w:rsidRDefault="00D571B9" w:rsidP="00890892">
      <w:pPr>
        <w:pStyle w:val="Body"/>
        <w:rPr>
          <w:rFonts w:cs="Arial"/>
          <w:b/>
          <w:bCs/>
          <w:color w:val="000000" w:themeColor="text1"/>
          <w:sz w:val="22"/>
          <w:szCs w:val="22"/>
        </w:rPr>
      </w:pPr>
      <w:r w:rsidRPr="00217865">
        <w:rPr>
          <w:rFonts w:cs="Arial"/>
          <w:noProof/>
          <w:color w:val="000000" w:themeColor="text1"/>
        </w:rPr>
        <w:drawing>
          <wp:inline distT="0" distB="0" distL="0" distR="0" wp14:anchorId="1D035035" wp14:editId="7BC9E452">
            <wp:extent cx="6750050" cy="8336280"/>
            <wp:effectExtent l="0" t="0" r="0" b="7620"/>
            <wp:docPr id="1098171503" name="Chart 1">
              <a:extLst xmlns:a="http://schemas.openxmlformats.org/drawingml/2006/main">
                <a:ext uri="{FF2B5EF4-FFF2-40B4-BE49-F238E27FC236}">
                  <a16:creationId xmlns:a16="http://schemas.microsoft.com/office/drawing/2014/main" id="{EA4D5CBA-DF0C-FDE4-E351-A9C40EFA70B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33C16D4" w14:textId="6FD3D39C" w:rsidR="00A85D06" w:rsidRPr="00813BE5" w:rsidRDefault="00A85D06" w:rsidP="00A85D06">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CONSID_CH_UG_ALL_6Y_E942 </w:t>
      </w:r>
      <w:r w:rsidRPr="00813BE5">
        <w:rPr>
          <w:rFonts w:cs="Arial"/>
          <w:color w:val="000000" w:themeColor="text1"/>
          <w:sz w:val="18"/>
          <w:szCs w:val="18"/>
        </w:rPr>
        <w:t>worksheet in the 2023 SES International Report Tables available on the QILT website.</w:t>
      </w:r>
    </w:p>
    <w:p w14:paraId="28EADD7E" w14:textId="69E2A71B" w:rsidR="00C17DD7" w:rsidRPr="00813BE5" w:rsidRDefault="00C17DD7" w:rsidP="00C17DD7">
      <w:pPr>
        <w:pStyle w:val="Body"/>
        <w:jc w:val="both"/>
        <w:rPr>
          <w:rFonts w:cs="Arial"/>
          <w:color w:val="000000" w:themeColor="text1"/>
          <w:sz w:val="18"/>
          <w:szCs w:val="18"/>
        </w:rPr>
      </w:pPr>
      <w:r w:rsidRPr="00813BE5">
        <w:rPr>
          <w:rFonts w:cs="Arial"/>
          <w:color w:val="000000" w:themeColor="text1"/>
          <w:sz w:val="18"/>
          <w:szCs w:val="18"/>
        </w:rPr>
        <w:t xml:space="preserve">Note: </w:t>
      </w:r>
      <w:proofErr w:type="gramStart"/>
      <w:r w:rsidRPr="00813BE5">
        <w:rPr>
          <w:rFonts w:cs="Arial"/>
          <w:color w:val="000000" w:themeColor="text1"/>
          <w:sz w:val="18"/>
          <w:szCs w:val="18"/>
        </w:rPr>
        <w:t>A number of</w:t>
      </w:r>
      <w:proofErr w:type="gramEnd"/>
      <w:r w:rsidRPr="00813BE5">
        <w:rPr>
          <w:rFonts w:cs="Arial"/>
          <w:color w:val="000000" w:themeColor="text1"/>
          <w:sz w:val="18"/>
          <w:szCs w:val="18"/>
        </w:rPr>
        <w:t xml:space="preserve"> changes were made to the list of reasons presented in survey in the 2023 SES. Reasons that were removed in 2023 are not presented in this table. As the reasons are presented in alphabetical order to respondents, changes to the proportion of </w:t>
      </w:r>
      <w:r w:rsidRPr="00813BE5">
        <w:rPr>
          <w:rFonts w:cs="Arial"/>
          <w:color w:val="000000" w:themeColor="text1"/>
          <w:sz w:val="18"/>
          <w:szCs w:val="18"/>
        </w:rPr>
        <w:lastRenderedPageBreak/>
        <w:t>respondents selecting modified reasons in 2023 may have been impacted by the change in order and, therefore, caution should be exercised if comparing data with previous years.</w:t>
      </w:r>
    </w:p>
    <w:p w14:paraId="553FF76D" w14:textId="77777777" w:rsidR="00C17DD7" w:rsidRPr="00813BE5" w:rsidRDefault="00C17DD7" w:rsidP="00C17DD7">
      <w:pPr>
        <w:pStyle w:val="Body"/>
        <w:jc w:val="both"/>
        <w:rPr>
          <w:rFonts w:cs="Arial"/>
          <w:color w:val="000000" w:themeColor="text1"/>
          <w:sz w:val="18"/>
          <w:szCs w:val="18"/>
        </w:rPr>
      </w:pPr>
      <w:r w:rsidRPr="00813BE5">
        <w:rPr>
          <w:rFonts w:cs="Arial"/>
          <w:color w:val="000000" w:themeColor="text1"/>
          <w:sz w:val="18"/>
          <w:szCs w:val="18"/>
        </w:rPr>
        <w:t xml:space="preserve">^ Prior to 2023, two variables related to finances were presented to respondents: ‘Financial difficulties’ and ‘Fee </w:t>
      </w:r>
      <w:proofErr w:type="gramStart"/>
      <w:r w:rsidRPr="00813BE5">
        <w:rPr>
          <w:rFonts w:cs="Arial"/>
          <w:color w:val="000000" w:themeColor="text1"/>
          <w:sz w:val="18"/>
          <w:szCs w:val="18"/>
        </w:rPr>
        <w:t>difficulties’</w:t>
      </w:r>
      <w:proofErr w:type="gramEnd"/>
      <w:r w:rsidRPr="00813BE5">
        <w:rPr>
          <w:rFonts w:cs="Arial"/>
          <w:color w:val="000000" w:themeColor="text1"/>
          <w:sz w:val="18"/>
          <w:szCs w:val="18"/>
        </w:rPr>
        <w:t>. ‘Fee difficulties’ was removed in 2023, which may have contributed to the increased proportion of respondents that selected ‘Financial difficulties’ compared to previous years.</w:t>
      </w:r>
    </w:p>
    <w:p w14:paraId="027083E8" w14:textId="77777777" w:rsidR="00C17DD7" w:rsidRPr="00217865" w:rsidRDefault="00C17DD7" w:rsidP="00A85D06">
      <w:pPr>
        <w:pStyle w:val="FigureNote"/>
        <w:rPr>
          <w:rFonts w:cs="Arial"/>
          <w:color w:val="000000" w:themeColor="text1"/>
        </w:rPr>
      </w:pPr>
    </w:p>
    <w:p w14:paraId="15C0F85E" w14:textId="5784DDB7" w:rsidR="00AD62D5" w:rsidRPr="00217865" w:rsidRDefault="00AD62D5" w:rsidP="00A85D06">
      <w:pPr>
        <w:pStyle w:val="Body"/>
        <w:rPr>
          <w:rFonts w:cs="Arial"/>
          <w:color w:val="000000" w:themeColor="text1"/>
        </w:rPr>
      </w:pPr>
      <w:r w:rsidRPr="00217865">
        <w:rPr>
          <w:rFonts w:cs="Arial"/>
          <w:color w:val="000000" w:themeColor="text1"/>
        </w:rPr>
        <w:t>Like international undergraduates, financial difficulties was the main reason provided by i</w:t>
      </w:r>
      <w:r w:rsidR="00A85D06" w:rsidRPr="00217865">
        <w:rPr>
          <w:rFonts w:cs="Arial"/>
          <w:color w:val="000000" w:themeColor="text1"/>
        </w:rPr>
        <w:t xml:space="preserve">nternational postgraduate coursework students </w:t>
      </w:r>
      <w:r w:rsidRPr="00217865">
        <w:rPr>
          <w:rFonts w:cs="Arial"/>
          <w:color w:val="000000" w:themeColor="text1"/>
        </w:rPr>
        <w:t xml:space="preserve">as the reason for considering early departure from the institution. </w:t>
      </w:r>
      <w:r w:rsidR="00A85D06" w:rsidRPr="00217865">
        <w:rPr>
          <w:rFonts w:cs="Arial"/>
          <w:color w:val="000000" w:themeColor="text1"/>
        </w:rPr>
        <w:t xml:space="preserve">were also more likely to cite financial difficulties as one of their main reasons for considering leaving. </w:t>
      </w:r>
    </w:p>
    <w:p w14:paraId="0461457F" w14:textId="412B51A5" w:rsidR="00AD62D5" w:rsidRPr="00217865" w:rsidRDefault="00AD62D5" w:rsidP="00A85D06">
      <w:pPr>
        <w:pStyle w:val="Body"/>
        <w:rPr>
          <w:rFonts w:cs="Arial"/>
          <w:color w:val="000000" w:themeColor="text1"/>
        </w:rPr>
      </w:pPr>
      <w:r w:rsidRPr="00217865">
        <w:rPr>
          <w:rFonts w:cs="Arial"/>
          <w:color w:val="000000" w:themeColor="text1"/>
        </w:rPr>
        <w:t>Many of the differences observed between international and domestic undergraduates can be seen at the postgraduate coursework, however, the extent to which they differ did vary. For example, at the postgraduate coursework level the gap in international and domestic students citing low or failing grades and a lack of career prospects was much greater than it was at the undergraduate level.</w:t>
      </w:r>
    </w:p>
    <w:p w14:paraId="58D05B63" w14:textId="5F57D29E" w:rsidR="00590795" w:rsidRPr="00217865" w:rsidRDefault="00590795" w:rsidP="00A85D06">
      <w:pPr>
        <w:pStyle w:val="Body"/>
        <w:rPr>
          <w:rFonts w:cs="Arial"/>
          <w:color w:val="000000" w:themeColor="text1"/>
        </w:rPr>
      </w:pPr>
      <w:r w:rsidRPr="00217865">
        <w:rPr>
          <w:rFonts w:cs="Arial"/>
          <w:color w:val="000000" w:themeColor="text1"/>
        </w:rPr>
        <w:t xml:space="preserve">On the other hand, domestic postgraduate coursework students were even more likely to cite family caring responsibilities and paid work commitments when compared to the difference at the undergraduate level. Interestingly, the proportions of international undergraduates and international postgraduate coursework students citing these two reasons was very consistent while the proportions of domestic students increased by course level. This further highlights the difference in profile of international and domestic students at the postgraduate level, in terms of age and life stage. </w:t>
      </w:r>
    </w:p>
    <w:p w14:paraId="1D6C9A9E" w14:textId="77777777" w:rsidR="00A85D06" w:rsidRPr="00217865" w:rsidRDefault="00A85D06" w:rsidP="00890892">
      <w:pPr>
        <w:pStyle w:val="Body"/>
        <w:rPr>
          <w:rFonts w:cs="Arial"/>
          <w:color w:val="000000" w:themeColor="text1"/>
        </w:rPr>
      </w:pPr>
    </w:p>
    <w:p w14:paraId="02F15177" w14:textId="31343D93" w:rsidR="00A85D06" w:rsidRPr="00217865" w:rsidRDefault="00A85D06" w:rsidP="0055225C">
      <w:pPr>
        <w:pStyle w:val="Caption"/>
        <w:rPr>
          <w:color w:val="000000" w:themeColor="text1"/>
        </w:rPr>
      </w:pPr>
      <w:bookmarkStart w:id="78" w:name="_Toc208242369"/>
      <w:r w:rsidRPr="00217865">
        <w:rPr>
          <w:color w:val="000000" w:themeColor="text1"/>
        </w:rPr>
        <w:lastRenderedPageBreak/>
        <w:t>Figure</w:t>
      </w:r>
      <w:r w:rsidR="00E13525">
        <w:rPr>
          <w:color w:val="000000" w:themeColor="text1"/>
        </w:rPr>
        <w:t xml:space="preserv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12</w:t>
      </w:r>
      <w:r w:rsidR="001706E8" w:rsidRPr="00217865">
        <w:rPr>
          <w:noProof/>
          <w:color w:val="000000" w:themeColor="text1"/>
        </w:rPr>
        <w:fldChar w:fldCharType="end"/>
      </w:r>
      <w:r w:rsidR="00E13525">
        <w:rPr>
          <w:color w:val="000000" w:themeColor="text1"/>
        </w:rPr>
        <w:tab/>
      </w:r>
      <w:r w:rsidRPr="00217865">
        <w:rPr>
          <w:color w:val="000000" w:themeColor="text1"/>
        </w:rPr>
        <w:t>Reasons for considering early departure among postgraduate students by citizenship status, 2023 (% of those who had considered leaving)</w:t>
      </w:r>
      <w:bookmarkEnd w:id="78"/>
    </w:p>
    <w:p w14:paraId="1F946B4D" w14:textId="5EE9725F" w:rsidR="00F92161" w:rsidRPr="00217865" w:rsidRDefault="00D571B9" w:rsidP="00B030FA">
      <w:pPr>
        <w:pStyle w:val="Body"/>
        <w:rPr>
          <w:rFonts w:cs="Arial"/>
          <w:color w:val="000000" w:themeColor="text1"/>
        </w:rPr>
      </w:pPr>
      <w:r w:rsidRPr="00217865">
        <w:rPr>
          <w:rFonts w:cs="Arial"/>
          <w:noProof/>
          <w:color w:val="000000" w:themeColor="text1"/>
        </w:rPr>
        <w:drawing>
          <wp:inline distT="0" distB="0" distL="0" distR="0" wp14:anchorId="3CD58A64" wp14:editId="0B492796">
            <wp:extent cx="6750050" cy="8329295"/>
            <wp:effectExtent l="0" t="0" r="0" b="0"/>
            <wp:docPr id="1036931609" name="Chart 1">
              <a:extLst xmlns:a="http://schemas.openxmlformats.org/drawingml/2006/main">
                <a:ext uri="{FF2B5EF4-FFF2-40B4-BE49-F238E27FC236}">
                  <a16:creationId xmlns:a16="http://schemas.microsoft.com/office/drawing/2014/main" id="{90A24170-275A-43FD-B889-C215C1DD337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0249DA88" w14:textId="4359606E" w:rsidR="00A85D06" w:rsidRPr="00813BE5" w:rsidRDefault="00A85D06" w:rsidP="00A85D06">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CONSID_CH_PGC_ALL_6Y_E942 </w:t>
      </w:r>
      <w:r w:rsidRPr="00813BE5">
        <w:rPr>
          <w:rFonts w:cs="Arial"/>
          <w:color w:val="000000" w:themeColor="text1"/>
          <w:sz w:val="18"/>
          <w:szCs w:val="18"/>
        </w:rPr>
        <w:t>worksheet in the 2023 SES International Report Tables available on the QILT website.</w:t>
      </w:r>
    </w:p>
    <w:p w14:paraId="3B564027" w14:textId="69401598" w:rsidR="00C17DD7" w:rsidRPr="00813BE5" w:rsidRDefault="00C17DD7" w:rsidP="00C17DD7">
      <w:pPr>
        <w:pStyle w:val="Body"/>
        <w:jc w:val="both"/>
        <w:rPr>
          <w:rFonts w:cs="Arial"/>
          <w:color w:val="000000" w:themeColor="text1"/>
          <w:sz w:val="18"/>
          <w:szCs w:val="18"/>
        </w:rPr>
      </w:pPr>
      <w:r w:rsidRPr="00813BE5">
        <w:rPr>
          <w:rFonts w:cs="Arial"/>
          <w:color w:val="000000" w:themeColor="text1"/>
          <w:sz w:val="18"/>
          <w:szCs w:val="18"/>
        </w:rPr>
        <w:t xml:space="preserve">Note: </w:t>
      </w:r>
      <w:proofErr w:type="gramStart"/>
      <w:r w:rsidRPr="00813BE5">
        <w:rPr>
          <w:rFonts w:cs="Arial"/>
          <w:color w:val="000000" w:themeColor="text1"/>
          <w:sz w:val="18"/>
          <w:szCs w:val="18"/>
        </w:rPr>
        <w:t>A number of</w:t>
      </w:r>
      <w:proofErr w:type="gramEnd"/>
      <w:r w:rsidRPr="00813BE5">
        <w:rPr>
          <w:rFonts w:cs="Arial"/>
          <w:color w:val="000000" w:themeColor="text1"/>
          <w:sz w:val="18"/>
          <w:szCs w:val="18"/>
        </w:rPr>
        <w:t xml:space="preserve"> changes were made to the list of reasons presented in survey in the 2023 SES. Reasons that were removed in 2023 are not presented in this table. As the reasons are presented in alphabetical order to respondents, changes to the proportion of </w:t>
      </w:r>
      <w:r w:rsidRPr="00813BE5">
        <w:rPr>
          <w:rFonts w:cs="Arial"/>
          <w:color w:val="000000" w:themeColor="text1"/>
          <w:sz w:val="18"/>
          <w:szCs w:val="18"/>
        </w:rPr>
        <w:lastRenderedPageBreak/>
        <w:t>respondents selecting modified reasons in 2023 may have been impacted by the change in order and, therefore, caution should be exercised if comparing data with previous years.</w:t>
      </w:r>
    </w:p>
    <w:p w14:paraId="76E7EB56" w14:textId="77777777" w:rsidR="00C17DD7" w:rsidRPr="00813BE5" w:rsidRDefault="00C17DD7" w:rsidP="00C17DD7">
      <w:pPr>
        <w:pStyle w:val="Body"/>
        <w:jc w:val="both"/>
        <w:rPr>
          <w:rFonts w:cs="Arial"/>
          <w:color w:val="000000" w:themeColor="text1"/>
          <w:sz w:val="18"/>
          <w:szCs w:val="18"/>
        </w:rPr>
      </w:pPr>
      <w:r w:rsidRPr="00813BE5">
        <w:rPr>
          <w:rFonts w:cs="Arial"/>
          <w:color w:val="000000" w:themeColor="text1"/>
          <w:sz w:val="18"/>
          <w:szCs w:val="18"/>
        </w:rPr>
        <w:t xml:space="preserve">^ Prior to 2023, two variables related to finances were presented to respondents: ‘Financial difficulties’ and ‘Fee </w:t>
      </w:r>
      <w:proofErr w:type="gramStart"/>
      <w:r w:rsidRPr="00813BE5">
        <w:rPr>
          <w:rFonts w:cs="Arial"/>
          <w:color w:val="000000" w:themeColor="text1"/>
          <w:sz w:val="18"/>
          <w:szCs w:val="18"/>
        </w:rPr>
        <w:t>difficulties’</w:t>
      </w:r>
      <w:proofErr w:type="gramEnd"/>
      <w:r w:rsidRPr="00813BE5">
        <w:rPr>
          <w:rFonts w:cs="Arial"/>
          <w:color w:val="000000" w:themeColor="text1"/>
          <w:sz w:val="18"/>
          <w:szCs w:val="18"/>
        </w:rPr>
        <w:t>. ‘Fee difficulties’ was removed in 2023, which may have contributed to the increased proportion of respondents that selected ‘Financial difficulties’ compared to previous years.</w:t>
      </w:r>
    </w:p>
    <w:p w14:paraId="3DC67A2D" w14:textId="77777777" w:rsidR="00A85D06" w:rsidRPr="00217865" w:rsidRDefault="00A85D06" w:rsidP="00B030FA">
      <w:pPr>
        <w:pStyle w:val="Body"/>
        <w:rPr>
          <w:rFonts w:cs="Arial"/>
          <w:color w:val="000000" w:themeColor="text1"/>
        </w:rPr>
      </w:pPr>
    </w:p>
    <w:p w14:paraId="64D5E17E" w14:textId="77777777" w:rsidR="00821227" w:rsidRPr="00217865" w:rsidRDefault="00821227" w:rsidP="00A9284B">
      <w:pPr>
        <w:pStyle w:val="Heading1"/>
        <w:rPr>
          <w:rFonts w:cs="Arial"/>
          <w:color w:val="000000" w:themeColor="text1"/>
        </w:rPr>
      </w:pPr>
      <w:bookmarkStart w:id="79" w:name="_Toc171884209"/>
      <w:bookmarkStart w:id="80" w:name="_Toc171884210"/>
      <w:bookmarkStart w:id="81" w:name="_Toc171884211"/>
      <w:bookmarkStart w:id="82" w:name="_Toc171884212"/>
      <w:bookmarkStart w:id="83" w:name="_Toc178599290"/>
      <w:bookmarkEnd w:id="79"/>
      <w:bookmarkEnd w:id="80"/>
      <w:bookmarkEnd w:id="81"/>
      <w:bookmarkEnd w:id="82"/>
      <w:r w:rsidRPr="00217865">
        <w:rPr>
          <w:rFonts w:cs="Arial"/>
          <w:color w:val="000000" w:themeColor="text1"/>
        </w:rPr>
        <w:lastRenderedPageBreak/>
        <w:t>The living experience of international students in Australia</w:t>
      </w:r>
      <w:bookmarkEnd w:id="83"/>
    </w:p>
    <w:p w14:paraId="7C3892AF" w14:textId="6A4B629D" w:rsidR="00821227" w:rsidRPr="00217865" w:rsidRDefault="00821227" w:rsidP="00821227">
      <w:pPr>
        <w:pStyle w:val="Body"/>
        <w:rPr>
          <w:rFonts w:cs="Arial"/>
          <w:color w:val="000000" w:themeColor="text1"/>
        </w:rPr>
      </w:pPr>
      <w:r w:rsidRPr="00217865">
        <w:rPr>
          <w:rFonts w:cs="Arial"/>
          <w:color w:val="000000" w:themeColor="text1"/>
        </w:rPr>
        <w:t xml:space="preserve">International students typically rate their overall living experience in Australia highly, as shown by </w:t>
      </w:r>
      <w:r w:rsidR="007C7818" w:rsidRPr="002D5D30">
        <w:rPr>
          <w:rFonts w:cs="Arial"/>
          <w:b/>
          <w:bCs/>
          <w:color w:val="000000" w:themeColor="text1"/>
        </w:rPr>
        <w:fldChar w:fldCharType="begin"/>
      </w:r>
      <w:r w:rsidR="007C7818" w:rsidRPr="002D5D30">
        <w:rPr>
          <w:rFonts w:cs="Arial"/>
          <w:b/>
          <w:bCs/>
          <w:color w:val="000000" w:themeColor="text1"/>
        </w:rPr>
        <w:instrText xml:space="preserve"> REF _Ref171680834 \h </w:instrText>
      </w:r>
      <w:r w:rsidR="00A6216F" w:rsidRPr="002D5D30">
        <w:rPr>
          <w:rFonts w:cs="Arial"/>
          <w:b/>
          <w:bCs/>
          <w:color w:val="000000" w:themeColor="text1"/>
        </w:rPr>
        <w:instrText xml:space="preserve"> \* MERGEFORMAT </w:instrText>
      </w:r>
      <w:r w:rsidR="007C7818" w:rsidRPr="002D5D30">
        <w:rPr>
          <w:rFonts w:cs="Arial"/>
          <w:b/>
          <w:bCs/>
          <w:color w:val="000000" w:themeColor="text1"/>
        </w:rPr>
      </w:r>
      <w:r w:rsidR="007C7818"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13</w:t>
      </w:r>
      <w:r w:rsidR="007C7818" w:rsidRPr="002D5D30">
        <w:rPr>
          <w:rFonts w:cs="Arial"/>
          <w:b/>
          <w:bCs/>
          <w:color w:val="000000" w:themeColor="text1"/>
        </w:rPr>
        <w:fldChar w:fldCharType="end"/>
      </w:r>
      <w:r w:rsidR="001D1384" w:rsidRPr="00217865">
        <w:rPr>
          <w:rFonts w:cs="Arial"/>
          <w:b/>
          <w:bCs/>
          <w:color w:val="000000" w:themeColor="text1"/>
        </w:rPr>
        <w:t>,</w:t>
      </w:r>
      <w:r w:rsidRPr="00217865">
        <w:rPr>
          <w:rFonts w:cs="Arial"/>
          <w:color w:val="000000" w:themeColor="text1"/>
        </w:rPr>
        <w:t xml:space="preserve"> with</w:t>
      </w:r>
      <w:r w:rsidRPr="00217865" w:rsidDel="006C79AF">
        <w:rPr>
          <w:rFonts w:cs="Arial"/>
          <w:color w:val="000000" w:themeColor="text1"/>
        </w:rPr>
        <w:t xml:space="preserve"> </w:t>
      </w:r>
      <w:r w:rsidRPr="00217865">
        <w:rPr>
          <w:rFonts w:cs="Arial"/>
          <w:color w:val="000000" w:themeColor="text1"/>
        </w:rPr>
        <w:t xml:space="preserve">93.1 per cent of international </w:t>
      </w:r>
      <w:r w:rsidR="00EB0FEF" w:rsidRPr="00217865">
        <w:rPr>
          <w:rFonts w:cs="Arial"/>
          <w:color w:val="000000" w:themeColor="text1"/>
        </w:rPr>
        <w:t>undergraduates and 93.3 per cent of international postgraduate coursework students</w:t>
      </w:r>
      <w:r w:rsidRPr="00217865">
        <w:rPr>
          <w:rFonts w:cs="Arial"/>
          <w:color w:val="000000" w:themeColor="text1"/>
        </w:rPr>
        <w:t xml:space="preserve"> rating their </w:t>
      </w:r>
      <w:r w:rsidR="00F65500" w:rsidRPr="00217865">
        <w:rPr>
          <w:rFonts w:cs="Arial"/>
          <w:color w:val="000000" w:themeColor="text1"/>
        </w:rPr>
        <w:t xml:space="preserve">overall </w:t>
      </w:r>
      <w:r w:rsidRPr="00217865">
        <w:rPr>
          <w:rFonts w:cs="Arial"/>
          <w:color w:val="000000" w:themeColor="text1"/>
        </w:rPr>
        <w:t xml:space="preserve">living experience positively in 2023. </w:t>
      </w:r>
      <w:bookmarkStart w:id="84" w:name="_Hlk68009972"/>
      <w:r w:rsidRPr="00217865">
        <w:rPr>
          <w:rFonts w:cs="Arial"/>
          <w:color w:val="000000" w:themeColor="text1"/>
        </w:rPr>
        <w:t xml:space="preserve">Note that survey responses from international students who would have been studying </w:t>
      </w:r>
      <w:r w:rsidR="002F20D4" w:rsidRPr="00217865">
        <w:rPr>
          <w:rFonts w:cs="Arial"/>
          <w:color w:val="000000" w:themeColor="text1"/>
        </w:rPr>
        <w:t>onshore</w:t>
      </w:r>
      <w:r w:rsidRPr="00217865">
        <w:rPr>
          <w:rFonts w:cs="Arial"/>
          <w:color w:val="000000" w:themeColor="text1"/>
        </w:rPr>
        <w:t xml:space="preserve"> in Australia but were studying </w:t>
      </w:r>
      <w:r w:rsidR="00CD1409" w:rsidRPr="00217865">
        <w:rPr>
          <w:rFonts w:cs="Arial"/>
          <w:color w:val="000000" w:themeColor="text1"/>
        </w:rPr>
        <w:t>offshore</w:t>
      </w:r>
      <w:r w:rsidRPr="00217865">
        <w:rPr>
          <w:rFonts w:cs="Arial"/>
          <w:color w:val="000000" w:themeColor="text1"/>
        </w:rPr>
        <w:t xml:space="preserve"> due to COVID-19 are excluded from results for living experience throughout this report (these students have been included in results for education experience). </w:t>
      </w:r>
    </w:p>
    <w:p w14:paraId="0CC88BBC" w14:textId="46B9A3A9" w:rsidR="0093371D" w:rsidRPr="00217865" w:rsidRDefault="0093371D" w:rsidP="0093371D">
      <w:pPr>
        <w:pStyle w:val="Caption"/>
        <w:rPr>
          <w:color w:val="000000" w:themeColor="text1"/>
        </w:rPr>
      </w:pPr>
      <w:bookmarkStart w:id="85" w:name="_Ref171680834"/>
      <w:bookmarkStart w:id="86" w:name="_Toc208242370"/>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13</w:t>
      </w:r>
      <w:r w:rsidR="001706E8" w:rsidRPr="00217865">
        <w:rPr>
          <w:noProof/>
          <w:color w:val="000000" w:themeColor="text1"/>
        </w:rPr>
        <w:fldChar w:fldCharType="end"/>
      </w:r>
      <w:bookmarkEnd w:id="85"/>
      <w:r w:rsidR="00813BE5">
        <w:rPr>
          <w:color w:val="000000" w:themeColor="text1"/>
        </w:rPr>
        <w:tab/>
      </w:r>
      <w:r w:rsidRPr="00217865">
        <w:rPr>
          <w:color w:val="000000" w:themeColor="text1"/>
        </w:rPr>
        <w:t>International student overall living experience</w:t>
      </w:r>
      <w:r w:rsidR="00EB0FEF" w:rsidRPr="00217865">
        <w:rPr>
          <w:color w:val="000000" w:themeColor="text1"/>
        </w:rPr>
        <w:t xml:space="preserve"> by course level</w:t>
      </w:r>
      <w:r w:rsidRPr="00217865">
        <w:rPr>
          <w:color w:val="000000" w:themeColor="text1"/>
        </w:rPr>
        <w:t>, 20</w:t>
      </w:r>
      <w:r w:rsidR="00782BEB" w:rsidRPr="00217865">
        <w:rPr>
          <w:color w:val="000000" w:themeColor="text1"/>
        </w:rPr>
        <w:t>20</w:t>
      </w:r>
      <w:r w:rsidRPr="00217865">
        <w:rPr>
          <w:color w:val="000000" w:themeColor="text1"/>
        </w:rPr>
        <w:t>-2023 (% positive rating)</w:t>
      </w:r>
      <w:bookmarkEnd w:id="86"/>
    </w:p>
    <w:p w14:paraId="31F8813A" w14:textId="3A83619F" w:rsidR="0093371D" w:rsidRPr="00217865" w:rsidRDefault="00092F6B" w:rsidP="00821227">
      <w:pPr>
        <w:pStyle w:val="Body"/>
        <w:rPr>
          <w:rFonts w:cs="Arial"/>
          <w:color w:val="000000" w:themeColor="text1"/>
        </w:rPr>
      </w:pPr>
      <w:r w:rsidRPr="00217865">
        <w:rPr>
          <w:rFonts w:cs="Arial"/>
          <w:noProof/>
          <w:color w:val="000000" w:themeColor="text1"/>
        </w:rPr>
        <w:drawing>
          <wp:inline distT="0" distB="0" distL="0" distR="0" wp14:anchorId="5D44F5C3" wp14:editId="10805A78">
            <wp:extent cx="6446520" cy="2842260"/>
            <wp:effectExtent l="0" t="0" r="0" b="0"/>
            <wp:docPr id="254145004" name="Chart 1">
              <a:extLst xmlns:a="http://schemas.openxmlformats.org/drawingml/2006/main">
                <a:ext uri="{FF2B5EF4-FFF2-40B4-BE49-F238E27FC236}">
                  <a16:creationId xmlns:a16="http://schemas.microsoft.com/office/drawing/2014/main" id="{A3AB1EC2-DC40-B9B1-EFF9-B29875DEA30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81BF8CE" w14:textId="3C173D99" w:rsidR="00A67365" w:rsidRPr="00813BE5" w:rsidRDefault="00A67365" w:rsidP="00535E2A">
      <w:pPr>
        <w:pStyle w:val="FigureNote"/>
        <w:rPr>
          <w:rFonts w:cs="Arial"/>
          <w:color w:val="000000" w:themeColor="text1"/>
          <w:szCs w:val="16"/>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INTSAT_ALL_ALL_1Y </w:t>
      </w:r>
      <w:r w:rsidRPr="00813BE5">
        <w:rPr>
          <w:rFonts w:cs="Arial"/>
          <w:color w:val="000000" w:themeColor="text1"/>
          <w:sz w:val="18"/>
          <w:szCs w:val="18"/>
        </w:rPr>
        <w:t>worksheet in the 2023 SES International Report Tables available on the QILT website.</w:t>
      </w:r>
    </w:p>
    <w:bookmarkStart w:id="87" w:name="_Hlk68683435"/>
    <w:bookmarkEnd w:id="84"/>
    <w:p w14:paraId="6E894C4C" w14:textId="6912FF98" w:rsidR="00821227" w:rsidRPr="00217865" w:rsidRDefault="007C7818" w:rsidP="00821227">
      <w:pPr>
        <w:pStyle w:val="Body"/>
        <w:rPr>
          <w:rFonts w:cs="Arial"/>
          <w:color w:val="000000" w:themeColor="text1"/>
        </w:rPr>
      </w:pPr>
      <w:r w:rsidRPr="002D5D30">
        <w:rPr>
          <w:rFonts w:eastAsiaTheme="minorEastAsia" w:cs="Arial"/>
          <w:b/>
          <w:color w:val="000000" w:themeColor="text1"/>
        </w:rPr>
        <w:fldChar w:fldCharType="begin"/>
      </w:r>
      <w:r w:rsidRPr="002D5D30">
        <w:rPr>
          <w:rFonts w:eastAsiaTheme="minorEastAsia" w:cs="Arial"/>
          <w:b/>
          <w:color w:val="000000" w:themeColor="text1"/>
        </w:rPr>
        <w:instrText xml:space="preserve"> REF _Ref171697948 \h </w:instrText>
      </w:r>
      <w:r w:rsidR="00A6216F" w:rsidRPr="002D5D30">
        <w:rPr>
          <w:rFonts w:eastAsiaTheme="minorEastAsia" w:cs="Arial"/>
          <w:b/>
          <w:color w:val="000000" w:themeColor="text1"/>
        </w:rPr>
        <w:instrText xml:space="preserve"> \* MERGEFORMAT </w:instrText>
      </w:r>
      <w:r w:rsidRPr="002D5D30">
        <w:rPr>
          <w:rFonts w:eastAsiaTheme="minorEastAsia" w:cs="Arial"/>
          <w:b/>
          <w:color w:val="000000" w:themeColor="text1"/>
        </w:rPr>
      </w:r>
      <w:r w:rsidRPr="002D5D30">
        <w:rPr>
          <w:rFonts w:eastAsiaTheme="minorEastAsia" w:cs="Arial"/>
          <w:b/>
          <w:color w:val="000000" w:themeColor="text1"/>
        </w:rPr>
        <w:fldChar w:fldCharType="separate"/>
      </w:r>
      <w:r w:rsidR="005D5678" w:rsidRPr="002D5D30">
        <w:rPr>
          <w:rFonts w:cs="Arial"/>
          <w:b/>
          <w:color w:val="000000" w:themeColor="text1"/>
        </w:rPr>
        <w:t xml:space="preserve">Figure </w:t>
      </w:r>
      <w:r w:rsidR="005D5678" w:rsidRPr="002D5D30">
        <w:rPr>
          <w:rFonts w:cs="Arial"/>
          <w:b/>
          <w:noProof/>
          <w:color w:val="000000" w:themeColor="text1"/>
        </w:rPr>
        <w:t>14</w:t>
      </w:r>
      <w:r w:rsidRPr="002D5D30">
        <w:rPr>
          <w:rFonts w:eastAsiaTheme="minorEastAsia" w:cs="Arial"/>
          <w:b/>
          <w:color w:val="000000" w:themeColor="text1"/>
        </w:rPr>
        <w:fldChar w:fldCharType="end"/>
      </w:r>
      <w:r w:rsidR="00BB69CE" w:rsidRPr="002D5D30">
        <w:rPr>
          <w:rFonts w:cs="Arial"/>
          <w:b/>
          <w:color w:val="000000" w:themeColor="text1"/>
        </w:rPr>
        <w:t xml:space="preserve"> </w:t>
      </w:r>
      <w:bookmarkEnd w:id="87"/>
      <w:r w:rsidR="00821227" w:rsidRPr="00217865">
        <w:rPr>
          <w:rFonts w:cs="Arial"/>
          <w:color w:val="000000" w:themeColor="text1"/>
        </w:rPr>
        <w:t>shows how international students rate specific aspects of their living experience in Australia. Personal safety on campus, improving English skills and personal safety off campus were the aspects rated most highly by international students</w:t>
      </w:r>
      <w:r w:rsidR="00BB69CE" w:rsidRPr="00217865">
        <w:rPr>
          <w:rFonts w:cs="Arial"/>
          <w:color w:val="000000" w:themeColor="text1"/>
        </w:rPr>
        <w:t xml:space="preserve"> at both course levels. International undergraduate and international postgraduate coursework students tended to rate their living experience similarly. Work experience was rated lowest at both course </w:t>
      </w:r>
      <w:proofErr w:type="gramStart"/>
      <w:r w:rsidR="00BB69CE" w:rsidRPr="00217865">
        <w:rPr>
          <w:rFonts w:cs="Arial"/>
          <w:color w:val="000000" w:themeColor="text1"/>
        </w:rPr>
        <w:t>levels</w:t>
      </w:r>
      <w:proofErr w:type="gramEnd"/>
      <w:r w:rsidR="00BB69CE" w:rsidRPr="00217865">
        <w:rPr>
          <w:rFonts w:cs="Arial"/>
          <w:color w:val="000000" w:themeColor="text1"/>
        </w:rPr>
        <w:t xml:space="preserve"> </w:t>
      </w:r>
      <w:r w:rsidR="0087281E" w:rsidRPr="00217865">
        <w:rPr>
          <w:rFonts w:cs="Arial"/>
          <w:color w:val="000000" w:themeColor="text1"/>
        </w:rPr>
        <w:t xml:space="preserve">but postgraduate coursework students rated it 8.3 percentage points lower than undergraduates. International postgraduate coursework students were also less likely to rate employment while studying positively when compared to undergraduates. </w:t>
      </w:r>
      <w:r w:rsidR="00A45AE3" w:rsidRPr="00217865">
        <w:rPr>
          <w:rFonts w:cs="Arial"/>
          <w:color w:val="000000" w:themeColor="text1"/>
        </w:rPr>
        <w:t xml:space="preserve">These aspects both relate to employment and may indicate differences in expectations or additional challenges international postgraduate coursework students have compared to international undergraduates who may be at a different life stage. </w:t>
      </w:r>
      <w:r w:rsidR="00821227" w:rsidRPr="00217865">
        <w:rPr>
          <w:rFonts w:cs="Arial"/>
          <w:color w:val="000000" w:themeColor="text1"/>
        </w:rPr>
        <w:t xml:space="preserve"> </w:t>
      </w:r>
    </w:p>
    <w:p w14:paraId="3364DBFD" w14:textId="10F5C9FC" w:rsidR="00A04328" w:rsidRPr="00217865" w:rsidRDefault="00A04328" w:rsidP="00A04328">
      <w:pPr>
        <w:pStyle w:val="Caption"/>
        <w:rPr>
          <w:color w:val="000000" w:themeColor="text1"/>
        </w:rPr>
      </w:pPr>
      <w:bookmarkStart w:id="88" w:name="_Ref171697948"/>
      <w:bookmarkStart w:id="89" w:name="_Toc208242371"/>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14</w:t>
      </w:r>
      <w:r w:rsidR="001706E8" w:rsidRPr="00217865">
        <w:rPr>
          <w:noProof/>
          <w:color w:val="000000" w:themeColor="text1"/>
        </w:rPr>
        <w:fldChar w:fldCharType="end"/>
      </w:r>
      <w:bookmarkEnd w:id="88"/>
      <w:r w:rsidR="00813BE5">
        <w:rPr>
          <w:color w:val="000000" w:themeColor="text1"/>
        </w:rPr>
        <w:tab/>
      </w:r>
      <w:r w:rsidRPr="00217865">
        <w:rPr>
          <w:color w:val="000000" w:themeColor="text1"/>
        </w:rPr>
        <w:t>International student living experience</w:t>
      </w:r>
      <w:r w:rsidR="00F36224" w:rsidRPr="00217865">
        <w:rPr>
          <w:color w:val="000000" w:themeColor="text1"/>
        </w:rPr>
        <w:t xml:space="preserve"> by course level,</w:t>
      </w:r>
      <w:r w:rsidRPr="00217865">
        <w:rPr>
          <w:color w:val="000000" w:themeColor="text1"/>
        </w:rPr>
        <w:t xml:space="preserve"> 2023 (% positive rating)</w:t>
      </w:r>
      <w:bookmarkEnd w:id="89"/>
    </w:p>
    <w:p w14:paraId="026435D4" w14:textId="0AF300F7" w:rsidR="000C76F0" w:rsidRPr="00217865" w:rsidRDefault="00A04328" w:rsidP="00821227">
      <w:pPr>
        <w:pStyle w:val="Body"/>
        <w:rPr>
          <w:rFonts w:cs="Arial"/>
          <w:color w:val="000000" w:themeColor="text1"/>
        </w:rPr>
      </w:pPr>
      <w:r w:rsidRPr="00217865">
        <w:rPr>
          <w:rFonts w:cs="Arial"/>
          <w:noProof/>
          <w:color w:val="000000" w:themeColor="text1"/>
        </w:rPr>
        <w:drawing>
          <wp:inline distT="0" distB="0" distL="0" distR="0" wp14:anchorId="2778C1C6" wp14:editId="3C9075A5">
            <wp:extent cx="6243145" cy="4477407"/>
            <wp:effectExtent l="0" t="0" r="5715" b="0"/>
            <wp:docPr id="847444564" name="Chart 1">
              <a:extLst xmlns:a="http://schemas.openxmlformats.org/drawingml/2006/main">
                <a:ext uri="{FF2B5EF4-FFF2-40B4-BE49-F238E27FC236}">
                  <a16:creationId xmlns:a16="http://schemas.microsoft.com/office/drawing/2014/main" id="{778FD56F-2216-0D1D-BE71-EE578B21CD7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7CBFF416" w14:textId="77777777" w:rsidR="00A67365" w:rsidRPr="00813BE5" w:rsidRDefault="00A67365" w:rsidP="00A67365">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INTSAT_ALL_ALL_1Y </w:t>
      </w:r>
      <w:r w:rsidRPr="00813BE5">
        <w:rPr>
          <w:rFonts w:cs="Arial"/>
          <w:color w:val="000000" w:themeColor="text1"/>
          <w:sz w:val="18"/>
          <w:szCs w:val="18"/>
        </w:rPr>
        <w:t>worksheet in the 2023 SES International Report Tables available on the QILT website.</w:t>
      </w:r>
    </w:p>
    <w:p w14:paraId="24D6E95D" w14:textId="070192B1" w:rsidR="00371877" w:rsidRPr="00217865" w:rsidRDefault="00CD3D4A" w:rsidP="00371877">
      <w:pPr>
        <w:pStyle w:val="Body"/>
        <w:rPr>
          <w:rFonts w:cs="Arial"/>
          <w:color w:val="000000" w:themeColor="text1"/>
        </w:rPr>
      </w:pPr>
      <w:r w:rsidRPr="001E2723">
        <w:rPr>
          <w:rFonts w:cs="Arial"/>
          <w:color w:val="000000" w:themeColor="text1"/>
        </w:rPr>
        <w:fldChar w:fldCharType="begin"/>
      </w:r>
      <w:r w:rsidRPr="001E2723">
        <w:rPr>
          <w:rFonts w:cs="Arial"/>
          <w:color w:val="000000" w:themeColor="text1"/>
        </w:rPr>
        <w:instrText xml:space="preserve"> REF _Ref175646416 \h </w:instrText>
      </w:r>
      <w:r w:rsidR="00A6216F" w:rsidRPr="001E2723">
        <w:rPr>
          <w:rFonts w:cs="Arial"/>
          <w:color w:val="000000" w:themeColor="text1"/>
        </w:rPr>
        <w:instrText xml:space="preserve"> \* MERGEFORMAT </w:instrText>
      </w:r>
      <w:r w:rsidRPr="001E2723">
        <w:rPr>
          <w:rFonts w:cs="Arial"/>
          <w:color w:val="000000" w:themeColor="text1"/>
        </w:rPr>
      </w:r>
      <w:r w:rsidRPr="001E2723">
        <w:rPr>
          <w:rFonts w:cs="Arial"/>
          <w:color w:val="000000" w:themeColor="text1"/>
        </w:rPr>
        <w:fldChar w:fldCharType="separate"/>
      </w:r>
      <w:r w:rsidR="001E2723" w:rsidRPr="001E2723">
        <w:rPr>
          <w:rFonts w:cs="Arial"/>
          <w:color w:val="000000" w:themeColor="text1"/>
        </w:rPr>
        <w:t xml:space="preserve">Table </w:t>
      </w:r>
      <w:r w:rsidR="001E2723" w:rsidRPr="001E2723">
        <w:rPr>
          <w:rFonts w:cs="Arial"/>
          <w:noProof/>
          <w:color w:val="000000" w:themeColor="text1"/>
        </w:rPr>
        <w:t>10</w:t>
      </w:r>
      <w:r w:rsidRPr="001E2723">
        <w:rPr>
          <w:rFonts w:cs="Arial"/>
          <w:color w:val="000000" w:themeColor="text1"/>
        </w:rPr>
        <w:fldChar w:fldCharType="end"/>
      </w:r>
      <w:r w:rsidR="001D1384" w:rsidRPr="00217865">
        <w:rPr>
          <w:rFonts w:cs="Arial"/>
          <w:color w:val="000000" w:themeColor="text1"/>
        </w:rPr>
        <w:t xml:space="preserve"> </w:t>
      </w:r>
      <w:r w:rsidR="00371877" w:rsidRPr="00217865">
        <w:rPr>
          <w:rFonts w:cs="Arial"/>
          <w:color w:val="000000" w:themeColor="text1"/>
        </w:rPr>
        <w:t xml:space="preserve">shows international undergraduate student ratings of their living experience for the top five student source countries. As noted above, data on ratings of living experience refer to international students currently living in Australia and not international students located overseas at the time of the survey. </w:t>
      </w:r>
    </w:p>
    <w:p w14:paraId="63C35991" w14:textId="1DF5193C" w:rsidR="00371877" w:rsidRPr="00217865" w:rsidRDefault="00371877" w:rsidP="00371877">
      <w:pPr>
        <w:pStyle w:val="Body"/>
        <w:rPr>
          <w:rFonts w:cs="Arial"/>
          <w:color w:val="000000" w:themeColor="text1"/>
        </w:rPr>
      </w:pPr>
      <w:r w:rsidRPr="00217865">
        <w:rPr>
          <w:rFonts w:cs="Arial"/>
          <w:color w:val="000000" w:themeColor="text1"/>
        </w:rPr>
        <w:t xml:space="preserve">Although ratings of living experience are generally high across all source countries, there was some variation. Chinese students rated </w:t>
      </w:r>
      <w:r w:rsidR="00EF74C6" w:rsidRPr="00217865">
        <w:rPr>
          <w:rFonts w:cs="Arial"/>
          <w:color w:val="000000" w:themeColor="text1"/>
        </w:rPr>
        <w:t>some</w:t>
      </w:r>
      <w:r w:rsidRPr="00217865">
        <w:rPr>
          <w:rFonts w:cs="Arial"/>
          <w:color w:val="000000" w:themeColor="text1"/>
        </w:rPr>
        <w:t xml:space="preserve"> aspects of</w:t>
      </w:r>
      <w:r w:rsidR="00EF74C6" w:rsidRPr="00217865">
        <w:rPr>
          <w:rFonts w:cs="Arial"/>
          <w:color w:val="000000" w:themeColor="text1"/>
        </w:rPr>
        <w:t xml:space="preserve"> their</w:t>
      </w:r>
      <w:r w:rsidRPr="00217865">
        <w:rPr>
          <w:rFonts w:cs="Arial"/>
          <w:color w:val="000000" w:themeColor="text1"/>
        </w:rPr>
        <w:t xml:space="preserve"> living experience lower than other international students</w:t>
      </w:r>
      <w:r w:rsidR="00EF74C6" w:rsidRPr="00217865">
        <w:rPr>
          <w:rFonts w:cs="Arial"/>
          <w:color w:val="000000" w:themeColor="text1"/>
        </w:rPr>
        <w:t>,</w:t>
      </w:r>
      <w:r w:rsidRPr="00217865">
        <w:rPr>
          <w:rFonts w:cs="Arial"/>
          <w:color w:val="000000" w:themeColor="text1"/>
        </w:rPr>
        <w:t xml:space="preserve"> inclu</w:t>
      </w:r>
      <w:r w:rsidR="00EF74C6" w:rsidRPr="00217865">
        <w:rPr>
          <w:rFonts w:cs="Arial"/>
          <w:color w:val="000000" w:themeColor="text1"/>
        </w:rPr>
        <w:t>ding</w:t>
      </w:r>
      <w:r w:rsidRPr="00217865">
        <w:rPr>
          <w:rFonts w:cs="Arial"/>
          <w:color w:val="000000" w:themeColor="text1"/>
        </w:rPr>
        <w:t xml:space="preserve"> improving English skills, 90.8 per cent, transport, 70.7 per cent, and employment while studying, 77.8 per cent. Nepalese students, in general, rated their living experience more favourably than other international undergraduate students. </w:t>
      </w:r>
    </w:p>
    <w:p w14:paraId="58500623" w14:textId="0411446D" w:rsidR="00371877" w:rsidRPr="00217865" w:rsidRDefault="00371877" w:rsidP="0081215D">
      <w:pPr>
        <w:pStyle w:val="Tabletitle"/>
        <w:rPr>
          <w:i/>
          <w:iCs/>
        </w:rPr>
      </w:pPr>
      <w:bookmarkStart w:id="90" w:name="_Ref175646416"/>
      <w:bookmarkStart w:id="91" w:name="_Toc178599375"/>
      <w:r w:rsidRPr="00217865">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10</w:t>
      </w:r>
      <w:r w:rsidRPr="00217865">
        <w:rPr>
          <w:i/>
          <w:iCs/>
        </w:rPr>
        <w:fldChar w:fldCharType="end"/>
      </w:r>
      <w:bookmarkEnd w:id="90"/>
      <w:r w:rsidR="00813BE5">
        <w:tab/>
      </w:r>
      <w:r w:rsidRPr="00217865">
        <w:t>International undergraduate student living experience by source country, 2023 (% positive rating)</w:t>
      </w:r>
      <w:bookmarkEnd w:id="91"/>
    </w:p>
    <w:tbl>
      <w:tblPr>
        <w:tblStyle w:val="TableGrid"/>
        <w:tblW w:w="10910" w:type="dxa"/>
        <w:tblLayout w:type="fixed"/>
        <w:tblLook w:val="04A0" w:firstRow="1" w:lastRow="0" w:firstColumn="1" w:lastColumn="0" w:noHBand="0" w:noVBand="1"/>
      </w:tblPr>
      <w:tblGrid>
        <w:gridCol w:w="988"/>
        <w:gridCol w:w="1102"/>
        <w:gridCol w:w="1102"/>
        <w:gridCol w:w="1103"/>
        <w:gridCol w:w="1102"/>
        <w:gridCol w:w="1103"/>
        <w:gridCol w:w="1102"/>
        <w:gridCol w:w="1103"/>
        <w:gridCol w:w="1102"/>
        <w:gridCol w:w="1103"/>
      </w:tblGrid>
      <w:tr w:rsidR="00217865" w:rsidRPr="00217865" w14:paraId="7A443542" w14:textId="77777777" w:rsidTr="007A503F">
        <w:trPr>
          <w:cnfStyle w:val="100000000000" w:firstRow="1" w:lastRow="0" w:firstColumn="0" w:lastColumn="0" w:oddVBand="0" w:evenVBand="0" w:oddHBand="0" w:evenHBand="0" w:firstRowFirstColumn="0" w:firstRowLastColumn="0" w:lastRowFirstColumn="0" w:lastRowLastColumn="0"/>
          <w:trHeight w:val="1176"/>
          <w:tblHeader/>
        </w:trPr>
        <w:tc>
          <w:tcPr>
            <w:tcW w:w="988" w:type="dxa"/>
          </w:tcPr>
          <w:p w14:paraId="11084D3A" w14:textId="4068A69E" w:rsidR="00371877" w:rsidRPr="00217865" w:rsidRDefault="0078684E" w:rsidP="007A503F">
            <w:pPr>
              <w:pStyle w:val="BodyText"/>
              <w:spacing w:before="60" w:after="60"/>
              <w:rPr>
                <w:rFonts w:cs="Arial"/>
              </w:rPr>
            </w:pPr>
            <w:r w:rsidRPr="00217865">
              <w:rPr>
                <w:rFonts w:cs="Arial"/>
              </w:rPr>
              <w:t>-</w:t>
            </w:r>
            <w:bookmarkStart w:id="92" w:name="Title_10"/>
            <w:bookmarkEnd w:id="92"/>
          </w:p>
        </w:tc>
        <w:tc>
          <w:tcPr>
            <w:tcW w:w="1102" w:type="dxa"/>
          </w:tcPr>
          <w:p w14:paraId="06875BC0"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Employment while studying</w:t>
            </w:r>
          </w:p>
        </w:tc>
        <w:tc>
          <w:tcPr>
            <w:tcW w:w="1102" w:type="dxa"/>
          </w:tcPr>
          <w:p w14:paraId="11D798A3"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Improving English skills</w:t>
            </w:r>
          </w:p>
        </w:tc>
        <w:tc>
          <w:tcPr>
            <w:tcW w:w="1103" w:type="dxa"/>
          </w:tcPr>
          <w:p w14:paraId="17076E6C"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Work experience in field of study</w:t>
            </w:r>
          </w:p>
        </w:tc>
        <w:tc>
          <w:tcPr>
            <w:tcW w:w="1102" w:type="dxa"/>
          </w:tcPr>
          <w:p w14:paraId="1323EA79"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Transport</w:t>
            </w:r>
          </w:p>
        </w:tc>
        <w:tc>
          <w:tcPr>
            <w:tcW w:w="1103" w:type="dxa"/>
          </w:tcPr>
          <w:p w14:paraId="63E6D123"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Personal safety on campus</w:t>
            </w:r>
          </w:p>
        </w:tc>
        <w:tc>
          <w:tcPr>
            <w:tcW w:w="1102" w:type="dxa"/>
          </w:tcPr>
          <w:p w14:paraId="28F219DC"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Personal safety off campus</w:t>
            </w:r>
          </w:p>
        </w:tc>
        <w:tc>
          <w:tcPr>
            <w:tcW w:w="1103" w:type="dxa"/>
          </w:tcPr>
          <w:p w14:paraId="6AD6E735"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Making friends</w:t>
            </w:r>
          </w:p>
        </w:tc>
        <w:tc>
          <w:tcPr>
            <w:tcW w:w="1102" w:type="dxa"/>
          </w:tcPr>
          <w:p w14:paraId="5170D7BC" w14:textId="77777777"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Accommodation</w:t>
            </w:r>
          </w:p>
        </w:tc>
        <w:tc>
          <w:tcPr>
            <w:tcW w:w="1103" w:type="dxa"/>
          </w:tcPr>
          <w:p w14:paraId="3B2AF6A0" w14:textId="7E11ACB9" w:rsidR="00371877" w:rsidRPr="00217865" w:rsidRDefault="00371877" w:rsidP="0078684E">
            <w:pPr>
              <w:pStyle w:val="zz"/>
              <w:framePr w:wrap="around"/>
              <w:spacing w:before="60" w:after="60"/>
              <w:rPr>
                <w:rFonts w:ascii="Arial" w:hAnsi="Arial" w:cs="Arial"/>
                <w:b/>
                <w:bCs w:val="0"/>
                <w:color w:val="000000" w:themeColor="text1"/>
              </w:rPr>
            </w:pPr>
            <w:r w:rsidRPr="00217865">
              <w:rPr>
                <w:rFonts w:ascii="Arial" w:hAnsi="Arial" w:cs="Arial"/>
                <w:b/>
                <w:bCs w:val="0"/>
                <w:color w:val="000000" w:themeColor="text1"/>
              </w:rPr>
              <w:t>Overall living experience</w:t>
            </w:r>
          </w:p>
        </w:tc>
      </w:tr>
      <w:tr w:rsidR="00217865" w:rsidRPr="00217865" w14:paraId="1BE78066" w14:textId="77777777" w:rsidTr="0078684E">
        <w:trPr>
          <w:trHeight w:val="433"/>
        </w:trPr>
        <w:tc>
          <w:tcPr>
            <w:tcW w:w="988" w:type="dxa"/>
            <w:vAlign w:val="center"/>
          </w:tcPr>
          <w:p w14:paraId="25BC1CB7" w14:textId="2FA8C7DD" w:rsidR="00371877" w:rsidRPr="00217865" w:rsidRDefault="003A0943" w:rsidP="0078684E">
            <w:pPr>
              <w:pStyle w:val="Tabletext"/>
              <w:spacing w:before="60" w:after="60"/>
              <w:rPr>
                <w:rFonts w:cs="Arial"/>
                <w:color w:val="000000" w:themeColor="text1"/>
                <w:szCs w:val="20"/>
              </w:rPr>
            </w:pPr>
            <w:r>
              <w:rPr>
                <w:rFonts w:cs="Arial"/>
                <w:color w:val="000000" w:themeColor="text1"/>
                <w:szCs w:val="20"/>
              </w:rPr>
              <w:t>China (excludes SARs and Taiwan)</w:t>
            </w:r>
          </w:p>
        </w:tc>
        <w:tc>
          <w:tcPr>
            <w:tcW w:w="1102" w:type="dxa"/>
            <w:vAlign w:val="center"/>
          </w:tcPr>
          <w:p w14:paraId="3CA65626"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77.8</w:t>
            </w:r>
          </w:p>
        </w:tc>
        <w:tc>
          <w:tcPr>
            <w:tcW w:w="1102" w:type="dxa"/>
            <w:vAlign w:val="center"/>
          </w:tcPr>
          <w:p w14:paraId="5443B616"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90.8</w:t>
            </w:r>
          </w:p>
        </w:tc>
        <w:tc>
          <w:tcPr>
            <w:tcW w:w="1103" w:type="dxa"/>
            <w:vAlign w:val="center"/>
          </w:tcPr>
          <w:p w14:paraId="44AD525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74.5</w:t>
            </w:r>
          </w:p>
        </w:tc>
        <w:tc>
          <w:tcPr>
            <w:tcW w:w="1102" w:type="dxa"/>
            <w:vAlign w:val="center"/>
          </w:tcPr>
          <w:p w14:paraId="483DBAF6"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70.7</w:t>
            </w:r>
          </w:p>
        </w:tc>
        <w:tc>
          <w:tcPr>
            <w:tcW w:w="1103" w:type="dxa"/>
            <w:vAlign w:val="center"/>
          </w:tcPr>
          <w:p w14:paraId="033A4EE8"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95.9</w:t>
            </w:r>
          </w:p>
        </w:tc>
        <w:tc>
          <w:tcPr>
            <w:tcW w:w="1102" w:type="dxa"/>
            <w:vAlign w:val="center"/>
          </w:tcPr>
          <w:p w14:paraId="6EF1BE18"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83.9</w:t>
            </w:r>
          </w:p>
        </w:tc>
        <w:tc>
          <w:tcPr>
            <w:tcW w:w="1103" w:type="dxa"/>
            <w:vAlign w:val="center"/>
          </w:tcPr>
          <w:p w14:paraId="4B16982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83.1</w:t>
            </w:r>
          </w:p>
        </w:tc>
        <w:tc>
          <w:tcPr>
            <w:tcW w:w="1102" w:type="dxa"/>
            <w:vAlign w:val="center"/>
          </w:tcPr>
          <w:p w14:paraId="3CD8F80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89.1</w:t>
            </w:r>
          </w:p>
        </w:tc>
        <w:tc>
          <w:tcPr>
            <w:tcW w:w="1103" w:type="dxa"/>
            <w:vAlign w:val="center"/>
          </w:tcPr>
          <w:p w14:paraId="6AB0CE4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92.6</w:t>
            </w:r>
          </w:p>
        </w:tc>
      </w:tr>
      <w:tr w:rsidR="00217865" w:rsidRPr="00217865" w14:paraId="1CB580B4" w14:textId="77777777" w:rsidTr="0078684E">
        <w:trPr>
          <w:trHeight w:val="341"/>
        </w:trPr>
        <w:tc>
          <w:tcPr>
            <w:tcW w:w="988" w:type="dxa"/>
            <w:vAlign w:val="center"/>
          </w:tcPr>
          <w:p w14:paraId="1B357869" w14:textId="77777777" w:rsidR="00371877" w:rsidRPr="00217865" w:rsidRDefault="00371877" w:rsidP="0078684E">
            <w:pPr>
              <w:pStyle w:val="Tabletext"/>
              <w:spacing w:before="60" w:after="60"/>
              <w:rPr>
                <w:rFonts w:cs="Arial"/>
                <w:color w:val="000000" w:themeColor="text1"/>
                <w:szCs w:val="20"/>
              </w:rPr>
            </w:pPr>
            <w:r w:rsidRPr="00217865">
              <w:rPr>
                <w:rFonts w:cs="Arial"/>
                <w:color w:val="000000" w:themeColor="text1"/>
                <w:szCs w:val="20"/>
              </w:rPr>
              <w:t>Nepal</w:t>
            </w:r>
          </w:p>
        </w:tc>
        <w:tc>
          <w:tcPr>
            <w:tcW w:w="1102" w:type="dxa"/>
            <w:vAlign w:val="center"/>
          </w:tcPr>
          <w:p w14:paraId="6D592630"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87.1</w:t>
            </w:r>
          </w:p>
        </w:tc>
        <w:tc>
          <w:tcPr>
            <w:tcW w:w="1102" w:type="dxa"/>
            <w:vAlign w:val="center"/>
          </w:tcPr>
          <w:p w14:paraId="101AFBAC"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97.8</w:t>
            </w:r>
          </w:p>
        </w:tc>
        <w:tc>
          <w:tcPr>
            <w:tcW w:w="1103" w:type="dxa"/>
            <w:vAlign w:val="center"/>
          </w:tcPr>
          <w:p w14:paraId="7635AF40"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82.7</w:t>
            </w:r>
          </w:p>
        </w:tc>
        <w:tc>
          <w:tcPr>
            <w:tcW w:w="1102" w:type="dxa"/>
            <w:vAlign w:val="center"/>
          </w:tcPr>
          <w:p w14:paraId="04912C2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83.3</w:t>
            </w:r>
          </w:p>
        </w:tc>
        <w:tc>
          <w:tcPr>
            <w:tcW w:w="1103" w:type="dxa"/>
            <w:vAlign w:val="center"/>
          </w:tcPr>
          <w:p w14:paraId="505892F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98.7</w:t>
            </w:r>
          </w:p>
        </w:tc>
        <w:tc>
          <w:tcPr>
            <w:tcW w:w="1102" w:type="dxa"/>
            <w:vAlign w:val="center"/>
          </w:tcPr>
          <w:p w14:paraId="710BC92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94.5</w:t>
            </w:r>
          </w:p>
        </w:tc>
        <w:tc>
          <w:tcPr>
            <w:tcW w:w="1103" w:type="dxa"/>
            <w:vAlign w:val="center"/>
          </w:tcPr>
          <w:p w14:paraId="6C31B84F"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92.4</w:t>
            </w:r>
          </w:p>
        </w:tc>
        <w:tc>
          <w:tcPr>
            <w:tcW w:w="1102" w:type="dxa"/>
            <w:vAlign w:val="center"/>
          </w:tcPr>
          <w:p w14:paraId="4A789D5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91.8</w:t>
            </w:r>
          </w:p>
        </w:tc>
        <w:tc>
          <w:tcPr>
            <w:tcW w:w="1103" w:type="dxa"/>
            <w:vAlign w:val="center"/>
          </w:tcPr>
          <w:p w14:paraId="103A03EE"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93.0</w:t>
            </w:r>
          </w:p>
        </w:tc>
      </w:tr>
      <w:tr w:rsidR="00217865" w:rsidRPr="00217865" w14:paraId="5CDBC4A5" w14:textId="77777777" w:rsidTr="0078684E">
        <w:trPr>
          <w:trHeight w:val="341"/>
        </w:trPr>
        <w:tc>
          <w:tcPr>
            <w:tcW w:w="988" w:type="dxa"/>
            <w:vAlign w:val="center"/>
          </w:tcPr>
          <w:p w14:paraId="7A17388D" w14:textId="77777777" w:rsidR="00371877" w:rsidRPr="00217865" w:rsidRDefault="00371877" w:rsidP="0078684E">
            <w:pPr>
              <w:pStyle w:val="Tabletext"/>
              <w:spacing w:before="60" w:after="60"/>
              <w:rPr>
                <w:rFonts w:cs="Arial"/>
                <w:color w:val="000000" w:themeColor="text1"/>
                <w:szCs w:val="20"/>
              </w:rPr>
            </w:pPr>
            <w:r w:rsidRPr="00217865">
              <w:rPr>
                <w:rFonts w:cs="Arial"/>
                <w:color w:val="000000" w:themeColor="text1"/>
                <w:szCs w:val="20"/>
              </w:rPr>
              <w:t>India</w:t>
            </w:r>
          </w:p>
        </w:tc>
        <w:tc>
          <w:tcPr>
            <w:tcW w:w="1102" w:type="dxa"/>
            <w:vAlign w:val="center"/>
          </w:tcPr>
          <w:p w14:paraId="67E17E25"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80.0</w:t>
            </w:r>
          </w:p>
        </w:tc>
        <w:tc>
          <w:tcPr>
            <w:tcW w:w="1102" w:type="dxa"/>
            <w:vAlign w:val="center"/>
          </w:tcPr>
          <w:p w14:paraId="50B13445"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97.7</w:t>
            </w:r>
          </w:p>
        </w:tc>
        <w:tc>
          <w:tcPr>
            <w:tcW w:w="1103" w:type="dxa"/>
            <w:vAlign w:val="center"/>
          </w:tcPr>
          <w:p w14:paraId="392F2B4F"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73.9</w:t>
            </w:r>
          </w:p>
        </w:tc>
        <w:tc>
          <w:tcPr>
            <w:tcW w:w="1102" w:type="dxa"/>
            <w:vAlign w:val="center"/>
          </w:tcPr>
          <w:p w14:paraId="619D5348"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81.1</w:t>
            </w:r>
          </w:p>
        </w:tc>
        <w:tc>
          <w:tcPr>
            <w:tcW w:w="1103" w:type="dxa"/>
            <w:vAlign w:val="center"/>
          </w:tcPr>
          <w:p w14:paraId="6B90EC56"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98.5</w:t>
            </w:r>
          </w:p>
        </w:tc>
        <w:tc>
          <w:tcPr>
            <w:tcW w:w="1102" w:type="dxa"/>
            <w:vAlign w:val="center"/>
          </w:tcPr>
          <w:p w14:paraId="31C790C2"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92.9</w:t>
            </w:r>
          </w:p>
        </w:tc>
        <w:tc>
          <w:tcPr>
            <w:tcW w:w="1103" w:type="dxa"/>
            <w:vAlign w:val="center"/>
          </w:tcPr>
          <w:p w14:paraId="50094382"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83.6</w:t>
            </w:r>
          </w:p>
        </w:tc>
        <w:tc>
          <w:tcPr>
            <w:tcW w:w="1102" w:type="dxa"/>
            <w:vAlign w:val="center"/>
          </w:tcPr>
          <w:p w14:paraId="0E6FB4B0"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90.4</w:t>
            </w:r>
          </w:p>
        </w:tc>
        <w:tc>
          <w:tcPr>
            <w:tcW w:w="1103" w:type="dxa"/>
            <w:vAlign w:val="center"/>
          </w:tcPr>
          <w:p w14:paraId="6E736AF9"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93.7</w:t>
            </w:r>
          </w:p>
        </w:tc>
      </w:tr>
      <w:tr w:rsidR="00217865" w:rsidRPr="00217865" w14:paraId="329B8F67" w14:textId="77777777" w:rsidTr="0078684E">
        <w:trPr>
          <w:trHeight w:val="341"/>
        </w:trPr>
        <w:tc>
          <w:tcPr>
            <w:tcW w:w="988" w:type="dxa"/>
            <w:vAlign w:val="center"/>
          </w:tcPr>
          <w:p w14:paraId="7613E73F" w14:textId="77777777" w:rsidR="00371877" w:rsidRPr="00217865" w:rsidRDefault="00371877" w:rsidP="0078684E">
            <w:pPr>
              <w:pStyle w:val="Tabletext"/>
              <w:spacing w:before="60" w:after="60"/>
              <w:rPr>
                <w:rFonts w:cs="Arial"/>
                <w:color w:val="000000" w:themeColor="text1"/>
                <w:szCs w:val="20"/>
              </w:rPr>
            </w:pPr>
            <w:r w:rsidRPr="00217865">
              <w:rPr>
                <w:rFonts w:cs="Arial"/>
                <w:color w:val="000000" w:themeColor="text1"/>
                <w:szCs w:val="20"/>
              </w:rPr>
              <w:t>Malaysia</w:t>
            </w:r>
          </w:p>
        </w:tc>
        <w:tc>
          <w:tcPr>
            <w:tcW w:w="1102" w:type="dxa"/>
            <w:vAlign w:val="center"/>
          </w:tcPr>
          <w:p w14:paraId="749B5F02"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79.5</w:t>
            </w:r>
          </w:p>
        </w:tc>
        <w:tc>
          <w:tcPr>
            <w:tcW w:w="1102" w:type="dxa"/>
            <w:vAlign w:val="center"/>
          </w:tcPr>
          <w:p w14:paraId="0798CB23"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95.9</w:t>
            </w:r>
          </w:p>
        </w:tc>
        <w:tc>
          <w:tcPr>
            <w:tcW w:w="1103" w:type="dxa"/>
            <w:vAlign w:val="center"/>
          </w:tcPr>
          <w:p w14:paraId="0BB5B77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70.4</w:t>
            </w:r>
          </w:p>
        </w:tc>
        <w:tc>
          <w:tcPr>
            <w:tcW w:w="1102" w:type="dxa"/>
            <w:vAlign w:val="center"/>
          </w:tcPr>
          <w:p w14:paraId="554CEB9C"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80.0</w:t>
            </w:r>
          </w:p>
        </w:tc>
        <w:tc>
          <w:tcPr>
            <w:tcW w:w="1103" w:type="dxa"/>
            <w:vAlign w:val="center"/>
          </w:tcPr>
          <w:p w14:paraId="02F7982B"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97.9</w:t>
            </w:r>
          </w:p>
        </w:tc>
        <w:tc>
          <w:tcPr>
            <w:tcW w:w="1102" w:type="dxa"/>
            <w:vAlign w:val="center"/>
          </w:tcPr>
          <w:p w14:paraId="6F954A96"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84.3</w:t>
            </w:r>
          </w:p>
        </w:tc>
        <w:tc>
          <w:tcPr>
            <w:tcW w:w="1103" w:type="dxa"/>
            <w:vAlign w:val="center"/>
          </w:tcPr>
          <w:p w14:paraId="4D5B59B3"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83.7</w:t>
            </w:r>
          </w:p>
        </w:tc>
        <w:tc>
          <w:tcPr>
            <w:tcW w:w="1102" w:type="dxa"/>
            <w:vAlign w:val="center"/>
          </w:tcPr>
          <w:p w14:paraId="448D0683"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89.0</w:t>
            </w:r>
          </w:p>
        </w:tc>
        <w:tc>
          <w:tcPr>
            <w:tcW w:w="1103" w:type="dxa"/>
            <w:vAlign w:val="center"/>
          </w:tcPr>
          <w:p w14:paraId="713FAB4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94.7</w:t>
            </w:r>
          </w:p>
        </w:tc>
      </w:tr>
      <w:tr w:rsidR="00217865" w:rsidRPr="00217865" w14:paraId="0FB7E1B9" w14:textId="77777777" w:rsidTr="0078684E">
        <w:trPr>
          <w:trHeight w:val="316"/>
        </w:trPr>
        <w:tc>
          <w:tcPr>
            <w:tcW w:w="988" w:type="dxa"/>
            <w:vAlign w:val="center"/>
          </w:tcPr>
          <w:p w14:paraId="14D92196" w14:textId="77777777" w:rsidR="00371877" w:rsidRPr="00217865" w:rsidRDefault="00371877" w:rsidP="0078684E">
            <w:pPr>
              <w:pStyle w:val="Tabletext"/>
              <w:spacing w:before="60" w:after="60"/>
              <w:rPr>
                <w:rFonts w:cs="Arial"/>
                <w:color w:val="000000" w:themeColor="text1"/>
                <w:szCs w:val="20"/>
              </w:rPr>
            </w:pPr>
            <w:r w:rsidRPr="00217865">
              <w:rPr>
                <w:rFonts w:cs="Arial"/>
                <w:color w:val="000000" w:themeColor="text1"/>
                <w:szCs w:val="20"/>
              </w:rPr>
              <w:t>Vietnam</w:t>
            </w:r>
          </w:p>
        </w:tc>
        <w:tc>
          <w:tcPr>
            <w:tcW w:w="1102" w:type="dxa"/>
            <w:vAlign w:val="center"/>
          </w:tcPr>
          <w:p w14:paraId="68EA2FB0"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82.7</w:t>
            </w:r>
          </w:p>
        </w:tc>
        <w:tc>
          <w:tcPr>
            <w:tcW w:w="1102" w:type="dxa"/>
            <w:vAlign w:val="center"/>
          </w:tcPr>
          <w:p w14:paraId="7B34559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96.3</w:t>
            </w:r>
          </w:p>
        </w:tc>
        <w:tc>
          <w:tcPr>
            <w:tcW w:w="1103" w:type="dxa"/>
            <w:vAlign w:val="center"/>
          </w:tcPr>
          <w:p w14:paraId="21C570B5"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75.8</w:t>
            </w:r>
          </w:p>
        </w:tc>
        <w:tc>
          <w:tcPr>
            <w:tcW w:w="1102" w:type="dxa"/>
            <w:vAlign w:val="center"/>
          </w:tcPr>
          <w:p w14:paraId="2E818F38"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74.4</w:t>
            </w:r>
          </w:p>
        </w:tc>
        <w:tc>
          <w:tcPr>
            <w:tcW w:w="1103" w:type="dxa"/>
            <w:vAlign w:val="center"/>
          </w:tcPr>
          <w:p w14:paraId="3B602B6A"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97.2</w:t>
            </w:r>
          </w:p>
        </w:tc>
        <w:tc>
          <w:tcPr>
            <w:tcW w:w="1102" w:type="dxa"/>
            <w:vAlign w:val="center"/>
          </w:tcPr>
          <w:p w14:paraId="736E53B4"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89.9</w:t>
            </w:r>
          </w:p>
        </w:tc>
        <w:tc>
          <w:tcPr>
            <w:tcW w:w="1103" w:type="dxa"/>
            <w:vAlign w:val="center"/>
          </w:tcPr>
          <w:p w14:paraId="6A8E0431"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84.5</w:t>
            </w:r>
          </w:p>
        </w:tc>
        <w:tc>
          <w:tcPr>
            <w:tcW w:w="1102" w:type="dxa"/>
            <w:vAlign w:val="center"/>
          </w:tcPr>
          <w:p w14:paraId="6543C9E7"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91.0</w:t>
            </w:r>
          </w:p>
        </w:tc>
        <w:tc>
          <w:tcPr>
            <w:tcW w:w="1103" w:type="dxa"/>
            <w:vAlign w:val="center"/>
          </w:tcPr>
          <w:p w14:paraId="74A597A7"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92.9</w:t>
            </w:r>
          </w:p>
        </w:tc>
      </w:tr>
      <w:tr w:rsidR="00217865" w:rsidRPr="00217865" w14:paraId="0B5FC887" w14:textId="77777777" w:rsidTr="0078684E">
        <w:trPr>
          <w:trHeight w:val="341"/>
        </w:trPr>
        <w:tc>
          <w:tcPr>
            <w:tcW w:w="988" w:type="dxa"/>
            <w:vAlign w:val="center"/>
          </w:tcPr>
          <w:p w14:paraId="1C5B3A05" w14:textId="77777777" w:rsidR="00371877" w:rsidRPr="00217865" w:rsidRDefault="00371877" w:rsidP="0078684E">
            <w:pPr>
              <w:pStyle w:val="Tabletext"/>
              <w:spacing w:before="60" w:after="60"/>
              <w:rPr>
                <w:rFonts w:cs="Arial"/>
                <w:color w:val="000000" w:themeColor="text1"/>
                <w:szCs w:val="20"/>
              </w:rPr>
            </w:pPr>
            <w:r w:rsidRPr="00217865">
              <w:rPr>
                <w:rFonts w:cs="Arial"/>
                <w:color w:val="000000" w:themeColor="text1"/>
                <w:szCs w:val="20"/>
              </w:rPr>
              <w:lastRenderedPageBreak/>
              <w:t>Total international</w:t>
            </w:r>
          </w:p>
        </w:tc>
        <w:tc>
          <w:tcPr>
            <w:tcW w:w="1102" w:type="dxa"/>
            <w:vAlign w:val="center"/>
          </w:tcPr>
          <w:p w14:paraId="72CD940D"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80.0</w:t>
            </w:r>
          </w:p>
        </w:tc>
        <w:tc>
          <w:tcPr>
            <w:tcW w:w="1102" w:type="dxa"/>
            <w:vAlign w:val="center"/>
          </w:tcPr>
          <w:p w14:paraId="53B5A671"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95.2</w:t>
            </w:r>
          </w:p>
        </w:tc>
        <w:tc>
          <w:tcPr>
            <w:tcW w:w="1103" w:type="dxa"/>
            <w:vAlign w:val="center"/>
          </w:tcPr>
          <w:p w14:paraId="7ABF104B"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74.5</w:t>
            </w:r>
          </w:p>
        </w:tc>
        <w:tc>
          <w:tcPr>
            <w:tcW w:w="1102" w:type="dxa"/>
            <w:vAlign w:val="center"/>
          </w:tcPr>
          <w:p w14:paraId="0EE105E2"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76.3</w:t>
            </w:r>
          </w:p>
        </w:tc>
        <w:tc>
          <w:tcPr>
            <w:tcW w:w="1103" w:type="dxa"/>
            <w:vAlign w:val="center"/>
          </w:tcPr>
          <w:p w14:paraId="69AB73A9"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97.6</w:t>
            </w:r>
          </w:p>
        </w:tc>
        <w:tc>
          <w:tcPr>
            <w:tcW w:w="1102" w:type="dxa"/>
            <w:vAlign w:val="center"/>
          </w:tcPr>
          <w:p w14:paraId="7180FBF3"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89.5</w:t>
            </w:r>
          </w:p>
        </w:tc>
        <w:tc>
          <w:tcPr>
            <w:tcW w:w="1103" w:type="dxa"/>
            <w:vAlign w:val="center"/>
          </w:tcPr>
          <w:p w14:paraId="7C4E8625"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84.2</w:t>
            </w:r>
          </w:p>
        </w:tc>
        <w:tc>
          <w:tcPr>
            <w:tcW w:w="1102" w:type="dxa"/>
            <w:vAlign w:val="center"/>
          </w:tcPr>
          <w:p w14:paraId="6B7D36CB"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89.4</w:t>
            </w:r>
          </w:p>
        </w:tc>
        <w:tc>
          <w:tcPr>
            <w:tcW w:w="1103" w:type="dxa"/>
            <w:vAlign w:val="center"/>
          </w:tcPr>
          <w:p w14:paraId="3DAC059A" w14:textId="77777777" w:rsidR="00371877" w:rsidRPr="00217865" w:rsidRDefault="00371877" w:rsidP="0078684E">
            <w:pPr>
              <w:pStyle w:val="Tabletext"/>
              <w:spacing w:before="60" w:after="60"/>
              <w:jc w:val="center"/>
              <w:rPr>
                <w:rFonts w:cs="Arial"/>
                <w:color w:val="000000" w:themeColor="text1"/>
                <w:szCs w:val="20"/>
              </w:rPr>
            </w:pPr>
            <w:r w:rsidRPr="00217865">
              <w:rPr>
                <w:rFonts w:cs="Arial"/>
                <w:color w:val="000000" w:themeColor="text1"/>
                <w:szCs w:val="20"/>
              </w:rPr>
              <w:t>93.1</w:t>
            </w:r>
          </w:p>
        </w:tc>
      </w:tr>
    </w:tbl>
    <w:p w14:paraId="0093C73A" w14:textId="77777777" w:rsidR="00371877" w:rsidRPr="00217865" w:rsidRDefault="00371877" w:rsidP="00A67365">
      <w:pPr>
        <w:pStyle w:val="FigureNote"/>
        <w:rPr>
          <w:rFonts w:cs="Arial"/>
          <w:color w:val="000000" w:themeColor="text1"/>
        </w:rPr>
      </w:pPr>
    </w:p>
    <w:p w14:paraId="41B4DA70" w14:textId="77777777" w:rsidR="00821227" w:rsidRPr="00217865" w:rsidRDefault="00821227" w:rsidP="00E06AED">
      <w:pPr>
        <w:pStyle w:val="Heading2"/>
      </w:pPr>
      <w:bookmarkStart w:id="93" w:name="_Toc171884214"/>
      <w:bookmarkStart w:id="94" w:name="_Toc171884215"/>
      <w:bookmarkStart w:id="95" w:name="_Toc171884216"/>
      <w:bookmarkStart w:id="96" w:name="_Toc171884261"/>
      <w:bookmarkStart w:id="97" w:name="_Toc178599291"/>
      <w:bookmarkEnd w:id="93"/>
      <w:bookmarkEnd w:id="94"/>
      <w:bookmarkEnd w:id="95"/>
      <w:bookmarkEnd w:id="96"/>
      <w:r w:rsidRPr="00217865">
        <w:t>Accommodation experience</w:t>
      </w:r>
      <w:bookmarkEnd w:id="97"/>
    </w:p>
    <w:p w14:paraId="522CC743" w14:textId="18E44CE7" w:rsidR="00821227" w:rsidRPr="00217865" w:rsidRDefault="00821227" w:rsidP="00821227">
      <w:pPr>
        <w:pStyle w:val="Body"/>
        <w:rPr>
          <w:rFonts w:cs="Arial"/>
          <w:color w:val="000000" w:themeColor="text1"/>
          <w:lang w:eastAsia="en-AU"/>
        </w:rPr>
      </w:pPr>
      <w:r w:rsidRPr="00217865">
        <w:rPr>
          <w:rFonts w:cs="Arial"/>
          <w:color w:val="000000" w:themeColor="text1"/>
        </w:rPr>
        <w:t xml:space="preserve">International students </w:t>
      </w:r>
      <w:r w:rsidR="00002113" w:rsidRPr="00217865">
        <w:rPr>
          <w:rFonts w:cs="Arial"/>
          <w:color w:val="000000" w:themeColor="text1"/>
        </w:rPr>
        <w:t xml:space="preserve">also </w:t>
      </w:r>
      <w:r w:rsidRPr="00217865">
        <w:rPr>
          <w:rFonts w:cs="Arial"/>
          <w:color w:val="000000" w:themeColor="text1"/>
        </w:rPr>
        <w:t>rated their accommodation experience in Australia highly</w:t>
      </w:r>
      <w:r w:rsidR="00002113" w:rsidRPr="00217865">
        <w:rPr>
          <w:rFonts w:cs="Arial"/>
          <w:color w:val="000000" w:themeColor="text1"/>
        </w:rPr>
        <w:t>,</w:t>
      </w:r>
      <w:r w:rsidRPr="00217865">
        <w:rPr>
          <w:rFonts w:cs="Arial"/>
          <w:color w:val="000000" w:themeColor="text1"/>
        </w:rPr>
        <w:t xml:space="preserve"> with 89.4 per cent of </w:t>
      </w:r>
      <w:r w:rsidR="00002113" w:rsidRPr="00217865">
        <w:rPr>
          <w:rFonts w:cs="Arial"/>
          <w:color w:val="000000" w:themeColor="text1"/>
        </w:rPr>
        <w:t>undergraduates and 89.1 per cent of postgraduate coursework students</w:t>
      </w:r>
      <w:r w:rsidRPr="00217865">
        <w:rPr>
          <w:rFonts w:cs="Arial"/>
          <w:color w:val="000000" w:themeColor="text1"/>
        </w:rPr>
        <w:t xml:space="preserve"> rating this aspect of their living experience positively in 2023, as shown by</w:t>
      </w:r>
      <w:r w:rsidR="00002113" w:rsidRPr="00217865">
        <w:rPr>
          <w:rFonts w:cs="Arial"/>
          <w:color w:val="000000" w:themeColor="text1"/>
        </w:rPr>
        <w:t xml:space="preserve"> </w:t>
      </w:r>
      <w:r w:rsidR="00002113" w:rsidRPr="002D5D30">
        <w:rPr>
          <w:rFonts w:cs="Arial"/>
          <w:b/>
          <w:color w:val="000000" w:themeColor="text1"/>
        </w:rPr>
        <w:fldChar w:fldCharType="begin"/>
      </w:r>
      <w:r w:rsidR="00002113" w:rsidRPr="002D5D30">
        <w:rPr>
          <w:rFonts w:cs="Arial"/>
          <w:b/>
          <w:color w:val="000000" w:themeColor="text1"/>
        </w:rPr>
        <w:instrText xml:space="preserve"> REF _Ref171704575 \h </w:instrText>
      </w:r>
      <w:r w:rsidR="008670A8" w:rsidRPr="002D5D30">
        <w:rPr>
          <w:rFonts w:cs="Arial"/>
          <w:b/>
          <w:color w:val="000000" w:themeColor="text1"/>
        </w:rPr>
        <w:instrText xml:space="preserve"> \* MERGEFORMAT </w:instrText>
      </w:r>
      <w:r w:rsidR="00002113" w:rsidRPr="002D5D30">
        <w:rPr>
          <w:rFonts w:cs="Arial"/>
          <w:b/>
          <w:color w:val="000000" w:themeColor="text1"/>
        </w:rPr>
      </w:r>
      <w:r w:rsidR="00002113" w:rsidRPr="002D5D30">
        <w:rPr>
          <w:rFonts w:cs="Arial"/>
          <w:b/>
          <w:color w:val="000000" w:themeColor="text1"/>
        </w:rPr>
        <w:fldChar w:fldCharType="separate"/>
      </w:r>
      <w:r w:rsidR="005D5678" w:rsidRPr="002D5D30">
        <w:rPr>
          <w:b/>
          <w:color w:val="000000" w:themeColor="text1"/>
        </w:rPr>
        <w:t xml:space="preserve">Figure </w:t>
      </w:r>
      <w:r w:rsidR="005D5678" w:rsidRPr="002D5D30">
        <w:rPr>
          <w:b/>
          <w:noProof/>
          <w:color w:val="000000" w:themeColor="text1"/>
        </w:rPr>
        <w:t>15</w:t>
      </w:r>
      <w:r w:rsidR="00002113" w:rsidRPr="002D5D30">
        <w:rPr>
          <w:rFonts w:cs="Arial"/>
          <w:b/>
          <w:color w:val="000000" w:themeColor="text1"/>
        </w:rPr>
        <w:fldChar w:fldCharType="end"/>
      </w:r>
      <w:r w:rsidRPr="00217865">
        <w:rPr>
          <w:rFonts w:cs="Arial"/>
          <w:color w:val="000000" w:themeColor="text1"/>
        </w:rPr>
        <w:t xml:space="preserve">. </w:t>
      </w:r>
      <w:r w:rsidR="00002113" w:rsidRPr="00217865">
        <w:rPr>
          <w:rFonts w:cs="Arial"/>
          <w:color w:val="000000" w:themeColor="text1"/>
        </w:rPr>
        <w:t>International s</w:t>
      </w:r>
      <w:r w:rsidRPr="00217865">
        <w:rPr>
          <w:rFonts w:cs="Arial"/>
          <w:color w:val="000000" w:themeColor="text1"/>
        </w:rPr>
        <w:t xml:space="preserve">tudent ratings of their accommodation experience </w:t>
      </w:r>
      <w:r w:rsidR="00002113" w:rsidRPr="00217865">
        <w:rPr>
          <w:rFonts w:cs="Arial"/>
          <w:color w:val="000000" w:themeColor="text1"/>
        </w:rPr>
        <w:t xml:space="preserve">have declined for the last two consecutive years which may </w:t>
      </w:r>
      <w:r w:rsidR="007B4F78" w:rsidRPr="00217865">
        <w:rPr>
          <w:rFonts w:cs="Arial"/>
          <w:color w:val="000000" w:themeColor="text1"/>
        </w:rPr>
        <w:t xml:space="preserve">be </w:t>
      </w:r>
      <w:r w:rsidR="00002113" w:rsidRPr="00217865">
        <w:rPr>
          <w:rFonts w:cs="Arial"/>
          <w:color w:val="000000" w:themeColor="text1"/>
        </w:rPr>
        <w:t xml:space="preserve">due to pressure in the Australian housing market. </w:t>
      </w:r>
    </w:p>
    <w:p w14:paraId="4B4C5989" w14:textId="598420ED" w:rsidR="00672EE8" w:rsidRPr="00217865" w:rsidRDefault="00672EE8" w:rsidP="00672EE8">
      <w:pPr>
        <w:pStyle w:val="Caption"/>
        <w:rPr>
          <w:color w:val="000000" w:themeColor="text1"/>
        </w:rPr>
      </w:pPr>
      <w:bookmarkStart w:id="98" w:name="_Ref171704575"/>
      <w:bookmarkStart w:id="99" w:name="_Toc208242372"/>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15</w:t>
      </w:r>
      <w:r w:rsidR="001706E8" w:rsidRPr="00217865">
        <w:rPr>
          <w:noProof/>
          <w:color w:val="000000" w:themeColor="text1"/>
        </w:rPr>
        <w:fldChar w:fldCharType="end"/>
      </w:r>
      <w:bookmarkEnd w:id="98"/>
      <w:r w:rsidR="00813BE5">
        <w:rPr>
          <w:color w:val="000000" w:themeColor="text1"/>
        </w:rPr>
        <w:tab/>
      </w:r>
      <w:r w:rsidRPr="00217865">
        <w:rPr>
          <w:color w:val="000000" w:themeColor="text1"/>
        </w:rPr>
        <w:t>International student accommodation experience, 2020-2023 (% positive rating)</w:t>
      </w:r>
      <w:bookmarkEnd w:id="99"/>
    </w:p>
    <w:p w14:paraId="4742FE53" w14:textId="4462EE6E" w:rsidR="00672EE8" w:rsidRPr="00217865" w:rsidRDefault="00CC7575" w:rsidP="00821227">
      <w:pPr>
        <w:pStyle w:val="Body"/>
        <w:rPr>
          <w:rFonts w:cs="Arial"/>
          <w:color w:val="000000" w:themeColor="text1"/>
        </w:rPr>
      </w:pPr>
      <w:r w:rsidRPr="00217865">
        <w:rPr>
          <w:rFonts w:cs="Arial"/>
          <w:noProof/>
          <w:color w:val="000000" w:themeColor="text1"/>
        </w:rPr>
        <w:drawing>
          <wp:inline distT="0" distB="0" distL="0" distR="0" wp14:anchorId="2261C1D6" wp14:editId="461F9877">
            <wp:extent cx="6484620" cy="2834640"/>
            <wp:effectExtent l="0" t="0" r="0" b="3810"/>
            <wp:docPr id="108934853" name="Chart 1">
              <a:extLst xmlns:a="http://schemas.openxmlformats.org/drawingml/2006/main">
                <a:ext uri="{FF2B5EF4-FFF2-40B4-BE49-F238E27FC236}">
                  <a16:creationId xmlns:a16="http://schemas.microsoft.com/office/drawing/2014/main" id="{A9F4F8AC-29D5-12E4-32D2-0BA70872C83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54AAEB7" w14:textId="77B01E4F" w:rsidR="00821227" w:rsidRPr="00217865" w:rsidRDefault="00821227" w:rsidP="00821227">
      <w:pPr>
        <w:pStyle w:val="Body"/>
        <w:rPr>
          <w:rFonts w:cs="Arial"/>
          <w:color w:val="000000" w:themeColor="text1"/>
        </w:rPr>
      </w:pPr>
      <w:r w:rsidRPr="00217865">
        <w:rPr>
          <w:rFonts w:cs="Arial"/>
          <w:color w:val="000000" w:themeColor="text1"/>
        </w:rPr>
        <w:t xml:space="preserve">Just over half (52.0 per cent) of international undergraduate students lived in a private rented/house/flat/room in 2023, as shown by </w:t>
      </w:r>
      <w:r w:rsidR="009E60A9" w:rsidRPr="001E2723">
        <w:rPr>
          <w:rFonts w:cs="Arial"/>
          <w:b/>
          <w:bCs/>
          <w:color w:val="000000" w:themeColor="text1"/>
        </w:rPr>
        <w:fldChar w:fldCharType="begin"/>
      </w:r>
      <w:r w:rsidR="009E60A9" w:rsidRPr="001E2723">
        <w:rPr>
          <w:rFonts w:cs="Arial"/>
          <w:b/>
          <w:bCs/>
          <w:color w:val="000000" w:themeColor="text1"/>
        </w:rPr>
        <w:instrText xml:space="preserve"> REF _Ref64204264 \h </w:instrText>
      </w:r>
      <w:r w:rsidR="00A6216F" w:rsidRPr="001E2723">
        <w:rPr>
          <w:rFonts w:cs="Arial"/>
          <w:b/>
          <w:bCs/>
          <w:color w:val="000000" w:themeColor="text1"/>
        </w:rPr>
        <w:instrText xml:space="preserve"> \* MERGEFORMAT </w:instrText>
      </w:r>
      <w:r w:rsidR="009E60A9" w:rsidRPr="001E2723">
        <w:rPr>
          <w:rFonts w:cs="Arial"/>
          <w:b/>
          <w:bCs/>
          <w:color w:val="000000" w:themeColor="text1"/>
        </w:rPr>
      </w:r>
      <w:r w:rsidR="009E60A9"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11</w:t>
      </w:r>
      <w:r w:rsidR="009E60A9" w:rsidRPr="001E2723">
        <w:rPr>
          <w:rFonts w:cs="Arial"/>
          <w:b/>
          <w:bCs/>
          <w:color w:val="000000" w:themeColor="text1"/>
        </w:rPr>
        <w:fldChar w:fldCharType="end"/>
      </w:r>
      <w:r w:rsidRPr="00217865">
        <w:rPr>
          <w:rFonts w:cs="Arial"/>
          <w:color w:val="000000" w:themeColor="text1"/>
        </w:rPr>
        <w:t xml:space="preserve">. A further 19.3 per cent of students were living with </w:t>
      </w:r>
      <w:r w:rsidR="0076353E">
        <w:rPr>
          <w:rFonts w:cs="Arial"/>
          <w:color w:val="000000" w:themeColor="text1"/>
        </w:rPr>
        <w:t>friends or relatives in their accommodation</w:t>
      </w:r>
      <w:r w:rsidRPr="00217865">
        <w:rPr>
          <w:rFonts w:cs="Arial"/>
          <w:color w:val="000000" w:themeColor="text1"/>
        </w:rPr>
        <w:t xml:space="preserve">. International undergraduate students rated their current living arrangements very highly across all accommodation types. Living with </w:t>
      </w:r>
      <w:r w:rsidR="0076353E" w:rsidRPr="00217865">
        <w:rPr>
          <w:rFonts w:cs="Arial"/>
          <w:color w:val="000000" w:themeColor="text1"/>
        </w:rPr>
        <w:t>parents</w:t>
      </w:r>
      <w:r w:rsidRPr="00217865">
        <w:rPr>
          <w:rFonts w:cs="Arial"/>
          <w:color w:val="000000" w:themeColor="text1"/>
        </w:rPr>
        <w:t>, with</w:t>
      </w:r>
      <w:r w:rsidR="001E2723">
        <w:rPr>
          <w:rFonts w:cs="Arial"/>
          <w:color w:val="000000" w:themeColor="text1"/>
        </w:rPr>
        <w:t xml:space="preserve"> </w:t>
      </w:r>
      <w:r w:rsidR="0076353E" w:rsidRPr="00217865">
        <w:rPr>
          <w:rFonts w:cs="Arial"/>
          <w:color w:val="000000" w:themeColor="text1"/>
        </w:rPr>
        <w:t>friends or relatives</w:t>
      </w:r>
      <w:r w:rsidRPr="00217865">
        <w:rPr>
          <w:rFonts w:cs="Arial"/>
          <w:color w:val="000000" w:themeColor="text1"/>
        </w:rPr>
        <w:t xml:space="preserve">, or at university or college halls, attracted the highest positive ratings at 95.0 per cent, 91.6 per cent and 89.8 per cent respectively. </w:t>
      </w:r>
      <w:r w:rsidR="00371877" w:rsidRPr="00217865">
        <w:rPr>
          <w:rFonts w:cs="Arial"/>
          <w:color w:val="000000" w:themeColor="text1"/>
        </w:rPr>
        <w:t>Positive student ratings were lowest among international undergraduates living in private halls or students, 83.6 per cent.</w:t>
      </w:r>
    </w:p>
    <w:p w14:paraId="7D1D7D4A" w14:textId="21A14702" w:rsidR="00821227" w:rsidRPr="00217865" w:rsidRDefault="00821227" w:rsidP="0081215D">
      <w:pPr>
        <w:pStyle w:val="Tabletitle"/>
        <w:rPr>
          <w:i/>
          <w:iCs/>
        </w:rPr>
      </w:pPr>
      <w:bookmarkStart w:id="100" w:name="_Ref64204264"/>
      <w:bookmarkStart w:id="101" w:name="_Toc178599376"/>
      <w:r w:rsidRPr="00217865">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11</w:t>
      </w:r>
      <w:r w:rsidRPr="00217865">
        <w:rPr>
          <w:i/>
          <w:iCs/>
        </w:rPr>
        <w:fldChar w:fldCharType="end"/>
      </w:r>
      <w:bookmarkEnd w:id="100"/>
      <w:r w:rsidR="00813BE5">
        <w:rPr>
          <w:i/>
          <w:iCs/>
        </w:rPr>
        <w:tab/>
      </w:r>
      <w:r w:rsidRPr="00217865">
        <w:t>International undergraduate student living arrangements and positive ratings, 2023, %</w:t>
      </w:r>
      <w:bookmarkEnd w:id="101"/>
    </w:p>
    <w:tbl>
      <w:tblPr>
        <w:tblW w:w="4847" w:type="pct"/>
        <w:tblLayout w:type="fixed"/>
        <w:tblCellMar>
          <w:left w:w="57" w:type="dxa"/>
          <w:right w:w="57" w:type="dxa"/>
        </w:tblCellMar>
        <w:tblLook w:val="04A0" w:firstRow="1" w:lastRow="0" w:firstColumn="1" w:lastColumn="0" w:noHBand="0" w:noVBand="1"/>
      </w:tblPr>
      <w:tblGrid>
        <w:gridCol w:w="4895"/>
        <w:gridCol w:w="2702"/>
        <w:gridCol w:w="2702"/>
      </w:tblGrid>
      <w:tr w:rsidR="00217865" w:rsidRPr="00217865" w14:paraId="4A200533" w14:textId="77777777" w:rsidTr="007A503F">
        <w:trPr>
          <w:trHeight w:val="698"/>
          <w:tblHeader/>
        </w:trPr>
        <w:tc>
          <w:tcPr>
            <w:tcW w:w="2376" w:type="pct"/>
            <w:tcBorders>
              <w:top w:val="single" w:sz="2" w:space="0" w:color="000000"/>
              <w:left w:val="single" w:sz="2" w:space="0" w:color="000000"/>
              <w:bottom w:val="single" w:sz="2" w:space="0" w:color="000000"/>
              <w:right w:val="single" w:sz="2" w:space="0" w:color="000000"/>
            </w:tcBorders>
            <w:vAlign w:val="center"/>
          </w:tcPr>
          <w:p w14:paraId="6F5C85C7" w14:textId="07471204" w:rsidR="00821227" w:rsidRPr="00217865" w:rsidRDefault="00923981" w:rsidP="00923981">
            <w:pPr>
              <w:pStyle w:val="zz"/>
              <w:framePr w:wrap="auto"/>
              <w:spacing w:before="60" w:after="60"/>
              <w:jc w:val="left"/>
              <w:rPr>
                <w:rFonts w:ascii="Arial" w:hAnsi="Arial" w:cs="Arial"/>
                <w:color w:val="000000" w:themeColor="text1"/>
                <w:highlight w:val="yellow"/>
              </w:rPr>
            </w:pPr>
            <w:r w:rsidRPr="00217865">
              <w:rPr>
                <w:rFonts w:ascii="Arial" w:hAnsi="Arial" w:cs="Arial"/>
                <w:color w:val="000000" w:themeColor="text1"/>
              </w:rPr>
              <w:t>-</w:t>
            </w:r>
            <w:bookmarkStart w:id="102" w:name="Title_11"/>
            <w:bookmarkEnd w:id="102"/>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bottom"/>
          </w:tcPr>
          <w:p w14:paraId="4B8513E9" w14:textId="77777777" w:rsidR="00821227" w:rsidRPr="00217865" w:rsidRDefault="00821227" w:rsidP="00923981">
            <w:pPr>
              <w:pStyle w:val="zz"/>
              <w:framePr w:wrap="auto"/>
              <w:spacing w:before="60" w:after="60"/>
              <w:rPr>
                <w:rFonts w:ascii="Arial" w:hAnsi="Arial" w:cs="Arial"/>
                <w:color w:val="000000" w:themeColor="text1"/>
                <w:lang w:eastAsia="en-AU"/>
              </w:rPr>
            </w:pPr>
            <w:r w:rsidRPr="00217865">
              <w:rPr>
                <w:rFonts w:ascii="Arial" w:hAnsi="Arial" w:cs="Arial"/>
                <w:color w:val="000000" w:themeColor="text1"/>
              </w:rPr>
              <w:t>% of students living in accommodation type</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bottom"/>
          </w:tcPr>
          <w:p w14:paraId="4B59ABC8" w14:textId="77777777" w:rsidR="00821227" w:rsidRPr="00217865" w:rsidRDefault="00821227" w:rsidP="00923981">
            <w:pPr>
              <w:pStyle w:val="zz"/>
              <w:framePr w:wrap="auto"/>
              <w:spacing w:before="60" w:after="60"/>
              <w:rPr>
                <w:rFonts w:ascii="Arial" w:hAnsi="Arial" w:cs="Arial"/>
                <w:color w:val="000000" w:themeColor="text1"/>
                <w:lang w:eastAsia="en-AU"/>
              </w:rPr>
            </w:pPr>
            <w:r w:rsidRPr="00217865">
              <w:rPr>
                <w:rFonts w:ascii="Arial" w:hAnsi="Arial" w:cs="Arial"/>
                <w:color w:val="000000" w:themeColor="text1"/>
              </w:rPr>
              <w:t>% positive rating of current living arrangements</w:t>
            </w:r>
          </w:p>
        </w:tc>
      </w:tr>
      <w:tr w:rsidR="00217865" w:rsidRPr="00217865" w14:paraId="252FD26E"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497464CC" w14:textId="77777777" w:rsidR="00821227" w:rsidRPr="00217865" w:rsidRDefault="00821227" w:rsidP="00923981">
            <w:pPr>
              <w:pStyle w:val="Z"/>
              <w:spacing w:before="60" w:after="60"/>
              <w:rPr>
                <w:color w:val="000000" w:themeColor="text1"/>
                <w:szCs w:val="18"/>
              </w:rPr>
            </w:pPr>
            <w:r w:rsidRPr="00217865">
              <w:rPr>
                <w:color w:val="000000" w:themeColor="text1"/>
              </w:rPr>
              <w:t>University or college halls of residence</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114BB5D6"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8.7</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208B9069"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89.8</w:t>
            </w:r>
          </w:p>
        </w:tc>
      </w:tr>
      <w:tr w:rsidR="00217865" w:rsidRPr="00217865" w14:paraId="5D7BE233"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36A887F9" w14:textId="77777777" w:rsidR="00821227" w:rsidRPr="00217865" w:rsidRDefault="00821227" w:rsidP="00923981">
            <w:pPr>
              <w:pStyle w:val="Z"/>
              <w:spacing w:before="60" w:after="60"/>
              <w:rPr>
                <w:color w:val="000000" w:themeColor="text1"/>
                <w:szCs w:val="18"/>
              </w:rPr>
            </w:pPr>
            <w:r w:rsidRPr="00217865">
              <w:rPr>
                <w:color w:val="000000" w:themeColor="text1"/>
              </w:rPr>
              <w:t>Student house or flat controlled by university</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7A753644"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5.2</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7DAFD499"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86.6</w:t>
            </w:r>
          </w:p>
        </w:tc>
      </w:tr>
      <w:tr w:rsidR="00217865" w:rsidRPr="00217865" w14:paraId="670FA610"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74A198AA" w14:textId="77777777" w:rsidR="00821227" w:rsidRPr="00217865" w:rsidRDefault="00821227" w:rsidP="00923981">
            <w:pPr>
              <w:pStyle w:val="Z"/>
              <w:spacing w:before="60" w:after="60"/>
              <w:rPr>
                <w:color w:val="000000" w:themeColor="text1"/>
                <w:szCs w:val="18"/>
              </w:rPr>
            </w:pPr>
            <w:r w:rsidRPr="00217865">
              <w:rPr>
                <w:color w:val="000000" w:themeColor="text1"/>
              </w:rPr>
              <w:t>Private halls or student hostel</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766A9F4D"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6.0</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736E3C63"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83.6</w:t>
            </w:r>
          </w:p>
        </w:tc>
      </w:tr>
      <w:tr w:rsidR="00217865" w:rsidRPr="00217865" w14:paraId="4D2F1031"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5E6296A4" w14:textId="77777777" w:rsidR="00821227" w:rsidRPr="00217865" w:rsidRDefault="00821227" w:rsidP="00923981">
            <w:pPr>
              <w:pStyle w:val="Z"/>
              <w:spacing w:before="60" w:after="60"/>
              <w:rPr>
                <w:color w:val="000000" w:themeColor="text1"/>
                <w:szCs w:val="18"/>
              </w:rPr>
            </w:pPr>
            <w:r w:rsidRPr="00217865">
              <w:rPr>
                <w:color w:val="000000" w:themeColor="text1"/>
              </w:rPr>
              <w:t>Private rented house/flat/room</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073A01D3"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52.0</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5764B2E0"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89.1</w:t>
            </w:r>
          </w:p>
        </w:tc>
      </w:tr>
      <w:tr w:rsidR="00217865" w:rsidRPr="00217865" w14:paraId="439563E1"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218D1952" w14:textId="77777777" w:rsidR="00821227" w:rsidRPr="00217865" w:rsidRDefault="00821227" w:rsidP="00923981">
            <w:pPr>
              <w:pStyle w:val="Z"/>
              <w:spacing w:before="60" w:after="60"/>
              <w:rPr>
                <w:color w:val="000000" w:themeColor="text1"/>
                <w:szCs w:val="18"/>
              </w:rPr>
            </w:pPr>
            <w:r w:rsidRPr="00217865">
              <w:rPr>
                <w:color w:val="000000" w:themeColor="text1"/>
              </w:rPr>
              <w:t>Homestay with a family not related to you</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3D111962"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4.0</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5407A017"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88.3</w:t>
            </w:r>
          </w:p>
        </w:tc>
      </w:tr>
      <w:tr w:rsidR="00217865" w:rsidRPr="00217865" w14:paraId="5B5C5F8F"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55257A31" w14:textId="242D2DBC" w:rsidR="00821227" w:rsidRPr="00217865" w:rsidRDefault="00873ECA" w:rsidP="00923981">
            <w:pPr>
              <w:pStyle w:val="Z"/>
              <w:spacing w:before="60" w:after="60"/>
              <w:rPr>
                <w:color w:val="000000" w:themeColor="text1"/>
                <w:szCs w:val="18"/>
              </w:rPr>
            </w:pPr>
            <w:r w:rsidRPr="00217865">
              <w:rPr>
                <w:color w:val="000000" w:themeColor="text1"/>
              </w:rPr>
              <w:lastRenderedPageBreak/>
              <w:t>With friends or relatives in their accommodation</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19CD8045"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19.3</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7BBEA211"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91.6</w:t>
            </w:r>
          </w:p>
        </w:tc>
      </w:tr>
      <w:tr w:rsidR="00217865" w:rsidRPr="00217865" w14:paraId="1D687351"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01CAD4AF" w14:textId="5367F705" w:rsidR="00821227" w:rsidRPr="00217865" w:rsidRDefault="00873ECA" w:rsidP="00923981">
            <w:pPr>
              <w:pStyle w:val="Z"/>
              <w:spacing w:before="60" w:after="60"/>
              <w:rPr>
                <w:color w:val="000000" w:themeColor="text1"/>
                <w:szCs w:val="18"/>
              </w:rPr>
            </w:pPr>
            <w:r>
              <w:rPr>
                <w:color w:val="000000" w:themeColor="text1"/>
                <w:szCs w:val="18"/>
              </w:rPr>
              <w:t>Living with parents</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5D4DE7FB"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4.0</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10C9810C"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95.0</w:t>
            </w:r>
          </w:p>
        </w:tc>
      </w:tr>
      <w:tr w:rsidR="006F53A9" w:rsidRPr="00217865" w14:paraId="7A1E961B" w14:textId="77777777" w:rsidTr="00923981">
        <w:trPr>
          <w:trHeight w:val="218"/>
        </w:trPr>
        <w:tc>
          <w:tcPr>
            <w:tcW w:w="2376" w:type="pct"/>
            <w:tcBorders>
              <w:top w:val="single" w:sz="2" w:space="0" w:color="000000"/>
              <w:left w:val="single" w:sz="2" w:space="0" w:color="000000"/>
              <w:bottom w:val="single" w:sz="2" w:space="0" w:color="000000"/>
              <w:right w:val="single" w:sz="2" w:space="0" w:color="000000"/>
            </w:tcBorders>
            <w:vAlign w:val="center"/>
          </w:tcPr>
          <w:p w14:paraId="4B1CA89E" w14:textId="77777777" w:rsidR="00821227" w:rsidRPr="00217865" w:rsidRDefault="00821227" w:rsidP="00923981">
            <w:pPr>
              <w:pStyle w:val="Z"/>
              <w:spacing w:before="60" w:after="60"/>
              <w:rPr>
                <w:color w:val="000000" w:themeColor="text1"/>
                <w:szCs w:val="18"/>
              </w:rPr>
            </w:pPr>
            <w:r w:rsidRPr="00217865">
              <w:rPr>
                <w:color w:val="000000" w:themeColor="text1"/>
              </w:rPr>
              <w:t>Other</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257D8619"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&lt;1.0</w:t>
            </w:r>
          </w:p>
        </w:tc>
        <w:tc>
          <w:tcPr>
            <w:tcW w:w="1312" w:type="pct"/>
            <w:tcBorders>
              <w:top w:val="single" w:sz="2" w:space="0" w:color="000000"/>
              <w:left w:val="single" w:sz="2" w:space="0" w:color="000000"/>
              <w:bottom w:val="single" w:sz="2" w:space="0" w:color="000000"/>
              <w:right w:val="single" w:sz="2" w:space="0" w:color="000000"/>
            </w:tcBorders>
            <w:tcMar>
              <w:top w:w="44" w:type="dxa"/>
              <w:left w:w="86" w:type="dxa"/>
              <w:bottom w:w="86" w:type="dxa"/>
              <w:right w:w="44" w:type="dxa"/>
            </w:tcMar>
            <w:vAlign w:val="center"/>
          </w:tcPr>
          <w:p w14:paraId="5B8E389C" w14:textId="77777777" w:rsidR="00821227" w:rsidRPr="00217865" w:rsidRDefault="00821227" w:rsidP="00923981">
            <w:pPr>
              <w:pStyle w:val="Z"/>
              <w:spacing w:before="60" w:after="60"/>
              <w:jc w:val="center"/>
              <w:rPr>
                <w:color w:val="000000" w:themeColor="text1"/>
                <w:szCs w:val="18"/>
              </w:rPr>
            </w:pPr>
            <w:r w:rsidRPr="00217865">
              <w:rPr>
                <w:color w:val="000000" w:themeColor="text1"/>
                <w:szCs w:val="18"/>
              </w:rPr>
              <w:t>91.9</w:t>
            </w:r>
          </w:p>
        </w:tc>
      </w:tr>
    </w:tbl>
    <w:p w14:paraId="07C1A949" w14:textId="4DF2DEC0" w:rsidR="007A503F" w:rsidRPr="00217865" w:rsidRDefault="00821227" w:rsidP="007A503F">
      <w:pPr>
        <w:pStyle w:val="Body"/>
        <w:rPr>
          <w:rFonts w:cs="Arial"/>
          <w:color w:val="000000" w:themeColor="text1"/>
        </w:rPr>
      </w:pPr>
      <w:r w:rsidRPr="00217865">
        <w:rPr>
          <w:rFonts w:cs="Arial"/>
          <w:color w:val="000000" w:themeColor="text1"/>
        </w:rPr>
        <w:t>A private rented house/flat/room was the most popular choice of accommodation for all international students from all major source countries, as shown by</w:t>
      </w:r>
      <w:r w:rsidR="00371877" w:rsidRPr="00217865">
        <w:rPr>
          <w:rFonts w:cs="Arial"/>
          <w:color w:val="000000" w:themeColor="text1"/>
        </w:rPr>
        <w:t xml:space="preserve"> </w:t>
      </w:r>
      <w:r w:rsidR="009E60A9" w:rsidRPr="002D5D30">
        <w:rPr>
          <w:rFonts w:cs="Arial"/>
          <w:b/>
          <w:bCs/>
          <w:color w:val="000000" w:themeColor="text1"/>
        </w:rPr>
        <w:fldChar w:fldCharType="begin"/>
      </w:r>
      <w:r w:rsidR="009E60A9" w:rsidRPr="002D5D30">
        <w:rPr>
          <w:rFonts w:cs="Arial"/>
          <w:b/>
          <w:bCs/>
          <w:color w:val="000000" w:themeColor="text1"/>
        </w:rPr>
        <w:instrText xml:space="preserve"> REF _Ref171705207 \h </w:instrText>
      </w:r>
      <w:r w:rsidR="00A6216F" w:rsidRPr="002D5D30">
        <w:rPr>
          <w:rFonts w:cs="Arial"/>
          <w:b/>
          <w:bCs/>
          <w:color w:val="000000" w:themeColor="text1"/>
        </w:rPr>
        <w:instrText xml:space="preserve"> \* MERGEFORMAT </w:instrText>
      </w:r>
      <w:r w:rsidR="009E60A9" w:rsidRPr="002D5D30">
        <w:rPr>
          <w:rFonts w:cs="Arial"/>
          <w:b/>
          <w:bCs/>
          <w:color w:val="000000" w:themeColor="text1"/>
        </w:rPr>
      </w:r>
      <w:r w:rsidR="009E60A9"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16</w:t>
      </w:r>
      <w:r w:rsidR="009E60A9" w:rsidRPr="002D5D30">
        <w:rPr>
          <w:rFonts w:cs="Arial"/>
          <w:b/>
          <w:bCs/>
          <w:color w:val="000000" w:themeColor="text1"/>
        </w:rPr>
        <w:fldChar w:fldCharType="end"/>
      </w:r>
      <w:r w:rsidRPr="00217865">
        <w:rPr>
          <w:rFonts w:cs="Arial"/>
          <w:color w:val="000000" w:themeColor="text1"/>
        </w:rPr>
        <w:t xml:space="preserve">. </w:t>
      </w:r>
      <w:r w:rsidR="00873ECA">
        <w:rPr>
          <w:rFonts w:cs="Arial"/>
          <w:color w:val="000000" w:themeColor="text1"/>
        </w:rPr>
        <w:t>Nepalese</w:t>
      </w:r>
      <w:r w:rsidRPr="00217865">
        <w:rPr>
          <w:rFonts w:cs="Arial"/>
          <w:color w:val="000000" w:themeColor="text1"/>
        </w:rPr>
        <w:t xml:space="preserve"> students were most likely to be living with </w:t>
      </w:r>
      <w:r w:rsidR="00873ECA">
        <w:rPr>
          <w:rFonts w:cs="Arial"/>
          <w:color w:val="000000" w:themeColor="text1"/>
        </w:rPr>
        <w:t>friends or relatives in their accommodation</w:t>
      </w:r>
      <w:r w:rsidRPr="00217865">
        <w:rPr>
          <w:rFonts w:cs="Arial"/>
          <w:color w:val="000000" w:themeColor="text1"/>
        </w:rPr>
        <w:t xml:space="preserve">, </w:t>
      </w:r>
      <w:r w:rsidR="00873ECA">
        <w:rPr>
          <w:rFonts w:cs="Arial"/>
          <w:color w:val="000000" w:themeColor="text1"/>
        </w:rPr>
        <w:t>31</w:t>
      </w:r>
      <w:r w:rsidRPr="00217865">
        <w:rPr>
          <w:rFonts w:cs="Arial"/>
          <w:color w:val="000000" w:themeColor="text1"/>
        </w:rPr>
        <w:t>.</w:t>
      </w:r>
      <w:r w:rsidR="00873ECA">
        <w:rPr>
          <w:rFonts w:cs="Arial"/>
          <w:color w:val="000000" w:themeColor="text1"/>
        </w:rPr>
        <w:t>6</w:t>
      </w:r>
      <w:r w:rsidRPr="00217865">
        <w:rPr>
          <w:rFonts w:cs="Arial"/>
          <w:color w:val="000000" w:themeColor="text1"/>
        </w:rPr>
        <w:t xml:space="preserve"> per cent,</w:t>
      </w:r>
      <w:r w:rsidR="007A503F" w:rsidRPr="007A503F">
        <w:rPr>
          <w:rFonts w:cs="Arial"/>
          <w:color w:val="000000" w:themeColor="text1"/>
        </w:rPr>
        <w:t xml:space="preserve"> </w:t>
      </w:r>
      <w:r w:rsidR="007A503F" w:rsidRPr="00217865">
        <w:rPr>
          <w:rFonts w:cs="Arial"/>
          <w:color w:val="000000" w:themeColor="text1"/>
        </w:rPr>
        <w:t>compared to only 8.9 per cent of Chinese students. Malaysian students were more than twice as likely than the average for all international students to stay in private halls or student hostels,</w:t>
      </w:r>
      <w:r w:rsidR="007A503F" w:rsidRPr="00217865" w:rsidDel="001E7F44">
        <w:rPr>
          <w:rFonts w:cs="Arial"/>
          <w:color w:val="000000" w:themeColor="text1"/>
        </w:rPr>
        <w:t xml:space="preserve"> </w:t>
      </w:r>
      <w:r w:rsidR="007A503F" w:rsidRPr="00217865">
        <w:rPr>
          <w:rFonts w:cs="Arial"/>
          <w:color w:val="000000" w:themeColor="text1"/>
        </w:rPr>
        <w:t>11.8 per cent compared to 6.0 per cent.</w:t>
      </w:r>
    </w:p>
    <w:p w14:paraId="6626BE31" w14:textId="3C3FE99C" w:rsidR="00371877" w:rsidRPr="00217865" w:rsidRDefault="007A503F" w:rsidP="006F53A9">
      <w:pPr>
        <w:pStyle w:val="Body"/>
        <w:spacing w:after="0"/>
        <w:rPr>
          <w:rFonts w:cs="Arial"/>
          <w:color w:val="000000" w:themeColor="text1"/>
        </w:rPr>
        <w:sectPr w:rsidR="00371877" w:rsidRPr="00217865" w:rsidSect="008D3DEC">
          <w:headerReference w:type="default" r:id="rId71"/>
          <w:footerReference w:type="default" r:id="rId72"/>
          <w:pgSz w:w="11900" w:h="16840"/>
          <w:pgMar w:top="852" w:right="560" w:bottom="994" w:left="710" w:header="397" w:footer="283" w:gutter="0"/>
          <w:cols w:space="708"/>
          <w:docGrid w:linePitch="360"/>
        </w:sectPr>
      </w:pPr>
      <w:r>
        <w:rPr>
          <w:rFonts w:cs="Arial"/>
          <w:color w:val="000000" w:themeColor="text1"/>
        </w:rPr>
        <w:t xml:space="preserve"> </w:t>
      </w:r>
    </w:p>
    <w:p w14:paraId="507B0A12" w14:textId="607413DE" w:rsidR="005A5F96" w:rsidRPr="00217865" w:rsidRDefault="005A5F96" w:rsidP="005A5F96">
      <w:pPr>
        <w:pStyle w:val="Caption"/>
        <w:rPr>
          <w:color w:val="000000" w:themeColor="text1"/>
        </w:rPr>
      </w:pPr>
      <w:bookmarkStart w:id="103" w:name="_Ref171705207"/>
      <w:bookmarkStart w:id="104" w:name="_Toc208242373"/>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16</w:t>
      </w:r>
      <w:r w:rsidR="001706E8" w:rsidRPr="00217865">
        <w:rPr>
          <w:noProof/>
          <w:color w:val="000000" w:themeColor="text1"/>
        </w:rPr>
        <w:fldChar w:fldCharType="end"/>
      </w:r>
      <w:bookmarkEnd w:id="103"/>
      <w:r w:rsidR="00813BE5">
        <w:rPr>
          <w:noProof/>
          <w:color w:val="000000" w:themeColor="text1"/>
        </w:rPr>
        <w:tab/>
      </w:r>
      <w:r w:rsidRPr="00217865">
        <w:rPr>
          <w:color w:val="000000" w:themeColor="text1"/>
        </w:rPr>
        <w:t>International undergraduate student accommodation arrangements by source country, 2023, %</w:t>
      </w:r>
      <w:bookmarkEnd w:id="104"/>
    </w:p>
    <w:p w14:paraId="5BFC3248" w14:textId="21AB7F63" w:rsidR="005A5F96" w:rsidRPr="00217865" w:rsidRDefault="00873ECA" w:rsidP="00821227">
      <w:pPr>
        <w:pStyle w:val="Body"/>
        <w:rPr>
          <w:rFonts w:cs="Arial"/>
          <w:color w:val="000000" w:themeColor="text1"/>
        </w:rPr>
      </w:pPr>
      <w:r>
        <w:rPr>
          <w:noProof/>
        </w:rPr>
        <w:drawing>
          <wp:inline distT="0" distB="0" distL="0" distR="0" wp14:anchorId="4B42C577" wp14:editId="285A224E">
            <wp:extent cx="9521190" cy="4075430"/>
            <wp:effectExtent l="0" t="0" r="3810" b="1270"/>
            <wp:docPr id="1583280638" name="Chart 1">
              <a:extLst xmlns:a="http://schemas.openxmlformats.org/drawingml/2006/main">
                <a:ext uri="{FF2B5EF4-FFF2-40B4-BE49-F238E27FC236}">
                  <a16:creationId xmlns:a16="http://schemas.microsoft.com/office/drawing/2014/main" id="{6DA165BC-25FB-95B7-D12C-E85D02FF34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316B05DB" w14:textId="77777777" w:rsidR="006758C8" w:rsidRPr="00813BE5" w:rsidRDefault="006758C8" w:rsidP="006758C8">
      <w:pPr>
        <w:pStyle w:val="FigureNote"/>
        <w:rPr>
          <w:rFonts w:cs="Arial"/>
          <w:color w:val="000000" w:themeColor="text1"/>
          <w:sz w:val="18"/>
          <w:szCs w:val="18"/>
        </w:rPr>
        <w:sectPr w:rsidR="006758C8" w:rsidRPr="00813BE5" w:rsidSect="008D3DEC">
          <w:headerReference w:type="default" r:id="rId74"/>
          <w:footerReference w:type="default" r:id="rId75"/>
          <w:pgSz w:w="16840" w:h="11900" w:orient="landscape"/>
          <w:pgMar w:top="560" w:right="994" w:bottom="710" w:left="852" w:header="397" w:footer="283" w:gutter="0"/>
          <w:cols w:space="708"/>
          <w:docGrid w:linePitch="360"/>
        </w:sect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INTLIVE_UG_ALL_1Y_E346 </w:t>
      </w:r>
      <w:r w:rsidRPr="00813BE5">
        <w:rPr>
          <w:rFonts w:cs="Arial"/>
          <w:color w:val="000000" w:themeColor="text1"/>
          <w:sz w:val="18"/>
          <w:szCs w:val="18"/>
        </w:rPr>
        <w:t>worksheet in the 2023 SES International Report Tables available on the QILT website.</w:t>
      </w:r>
    </w:p>
    <w:p w14:paraId="7BA444D7" w14:textId="77777777" w:rsidR="00821227" w:rsidRPr="00217865" w:rsidRDefault="00821227" w:rsidP="00E06AED">
      <w:pPr>
        <w:pStyle w:val="Heading2"/>
      </w:pPr>
      <w:bookmarkStart w:id="105" w:name="_Toc178599292"/>
      <w:r w:rsidRPr="00217865">
        <w:lastRenderedPageBreak/>
        <w:t>Use of agents</w:t>
      </w:r>
      <w:bookmarkEnd w:id="105"/>
    </w:p>
    <w:p w14:paraId="67F1F97E" w14:textId="79583FD1" w:rsidR="00821227" w:rsidRPr="00217865" w:rsidRDefault="00821227" w:rsidP="0027783D">
      <w:pPr>
        <w:pStyle w:val="Body"/>
        <w:rPr>
          <w:rFonts w:cs="Arial"/>
          <w:color w:val="000000" w:themeColor="text1"/>
        </w:rPr>
      </w:pPr>
      <w:r w:rsidRPr="00217865">
        <w:rPr>
          <w:rFonts w:cs="Arial"/>
          <w:color w:val="000000" w:themeColor="text1"/>
        </w:rPr>
        <w:t>The overwhelming majority, 86.5 per cent, of international undergraduate students used an agent when coming to Australia to help them with their visa application or to enrol at an institution, as shown by</w:t>
      </w:r>
      <w:r w:rsidR="0027783D" w:rsidRPr="00217865">
        <w:rPr>
          <w:rFonts w:cs="Arial"/>
          <w:color w:val="000000" w:themeColor="text1"/>
        </w:rPr>
        <w:t xml:space="preserve"> </w:t>
      </w:r>
      <w:r w:rsidR="0027783D" w:rsidRPr="002D5D30">
        <w:rPr>
          <w:rFonts w:cs="Arial"/>
          <w:b/>
          <w:color w:val="000000" w:themeColor="text1"/>
        </w:rPr>
        <w:fldChar w:fldCharType="begin"/>
      </w:r>
      <w:r w:rsidR="0027783D" w:rsidRPr="002D5D30">
        <w:rPr>
          <w:rFonts w:cs="Arial"/>
          <w:b/>
          <w:color w:val="000000" w:themeColor="text1"/>
        </w:rPr>
        <w:instrText xml:space="preserve"> REF _Ref171705740 \h </w:instrText>
      </w:r>
      <w:r w:rsidR="008670A8" w:rsidRPr="002D5D30">
        <w:rPr>
          <w:rFonts w:cs="Arial"/>
          <w:b/>
          <w:color w:val="000000" w:themeColor="text1"/>
        </w:rPr>
        <w:instrText xml:space="preserve"> \* MERGEFORMAT </w:instrText>
      </w:r>
      <w:r w:rsidR="0027783D" w:rsidRPr="002D5D30">
        <w:rPr>
          <w:rFonts w:cs="Arial"/>
          <w:b/>
          <w:color w:val="000000" w:themeColor="text1"/>
        </w:rPr>
      </w:r>
      <w:r w:rsidR="0027783D" w:rsidRPr="002D5D30">
        <w:rPr>
          <w:rFonts w:cs="Arial"/>
          <w:b/>
          <w:color w:val="000000" w:themeColor="text1"/>
        </w:rPr>
        <w:fldChar w:fldCharType="separate"/>
      </w:r>
      <w:r w:rsidR="005D5678" w:rsidRPr="002D5D30">
        <w:rPr>
          <w:b/>
          <w:color w:val="000000" w:themeColor="text1"/>
        </w:rPr>
        <w:t xml:space="preserve">Figure </w:t>
      </w:r>
      <w:r w:rsidR="005D5678" w:rsidRPr="002D5D30">
        <w:rPr>
          <w:b/>
          <w:noProof/>
          <w:color w:val="000000" w:themeColor="text1"/>
        </w:rPr>
        <w:t>17</w:t>
      </w:r>
      <w:r w:rsidR="0027783D" w:rsidRPr="002D5D30">
        <w:rPr>
          <w:rFonts w:cs="Arial"/>
          <w:b/>
          <w:color w:val="000000" w:themeColor="text1"/>
        </w:rPr>
        <w:fldChar w:fldCharType="end"/>
      </w:r>
      <w:r w:rsidR="0027783D" w:rsidRPr="00217865">
        <w:rPr>
          <w:rFonts w:cs="Arial"/>
          <w:color w:val="000000" w:themeColor="text1"/>
        </w:rPr>
        <w:t>.</w:t>
      </w:r>
      <w:r w:rsidRPr="00217865">
        <w:rPr>
          <w:rFonts w:cs="Arial"/>
          <w:color w:val="000000" w:themeColor="text1"/>
        </w:rPr>
        <w:t xml:space="preserve"> Among those using the services of an agent, 93.5 per cent of those students rated the service provided by their agent positively. </w:t>
      </w:r>
      <w:r w:rsidR="00C82C29" w:rsidRPr="00217865">
        <w:rPr>
          <w:rFonts w:cs="Arial"/>
          <w:color w:val="000000" w:themeColor="text1"/>
        </w:rPr>
        <w:t>Although not presented in this report, s</w:t>
      </w:r>
      <w:r w:rsidR="009E174C" w:rsidRPr="00217865">
        <w:rPr>
          <w:rFonts w:cs="Arial"/>
          <w:color w:val="000000" w:themeColor="text1"/>
        </w:rPr>
        <w:t>imilar patterns of use</w:t>
      </w:r>
      <w:r w:rsidR="00432E26" w:rsidRPr="00217865">
        <w:rPr>
          <w:rFonts w:cs="Arial"/>
          <w:color w:val="000000" w:themeColor="text1"/>
        </w:rPr>
        <w:t xml:space="preserve"> of and satisfaction with </w:t>
      </w:r>
      <w:r w:rsidR="00A54DBF" w:rsidRPr="00217865">
        <w:rPr>
          <w:rFonts w:cs="Arial"/>
          <w:color w:val="000000" w:themeColor="text1"/>
        </w:rPr>
        <w:t>agents was observed at the postgraduate coursework level</w:t>
      </w:r>
      <w:r w:rsidR="00A22928" w:rsidRPr="00217865">
        <w:rPr>
          <w:rStyle w:val="FootnoteReference"/>
          <w:rFonts w:cs="Arial"/>
          <w:color w:val="000000" w:themeColor="text1"/>
        </w:rPr>
        <w:footnoteReference w:id="2"/>
      </w:r>
      <w:r w:rsidR="00A54DBF" w:rsidRPr="00217865">
        <w:rPr>
          <w:rFonts w:cs="Arial"/>
          <w:color w:val="000000" w:themeColor="text1"/>
        </w:rPr>
        <w:t>.</w:t>
      </w:r>
    </w:p>
    <w:p w14:paraId="06CD2D04" w14:textId="4F7BA698" w:rsidR="00AA3B26" w:rsidRPr="00217865" w:rsidRDefault="00AA3B26" w:rsidP="00AA3B26">
      <w:pPr>
        <w:pStyle w:val="Caption"/>
        <w:rPr>
          <w:color w:val="000000" w:themeColor="text1"/>
        </w:rPr>
      </w:pPr>
      <w:bookmarkStart w:id="106" w:name="_Ref171705740"/>
      <w:bookmarkStart w:id="107" w:name="_Toc208242374"/>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17</w:t>
      </w:r>
      <w:r w:rsidR="001706E8" w:rsidRPr="00217865">
        <w:rPr>
          <w:noProof/>
          <w:color w:val="000000" w:themeColor="text1"/>
        </w:rPr>
        <w:fldChar w:fldCharType="end"/>
      </w:r>
      <w:bookmarkEnd w:id="106"/>
      <w:r w:rsidR="00813BE5">
        <w:rPr>
          <w:color w:val="000000" w:themeColor="text1"/>
        </w:rPr>
        <w:tab/>
      </w:r>
      <w:r w:rsidRPr="00217865">
        <w:rPr>
          <w:color w:val="000000" w:themeColor="text1"/>
        </w:rPr>
        <w:t>International undergraduate students who used an agent to help with visa application or enrolment (%)</w:t>
      </w:r>
      <w:bookmarkEnd w:id="107"/>
    </w:p>
    <w:p w14:paraId="12988852" w14:textId="6457D544" w:rsidR="00AA3B26" w:rsidRPr="00217865" w:rsidRDefault="002166C4" w:rsidP="00821227">
      <w:pPr>
        <w:pStyle w:val="Body"/>
        <w:rPr>
          <w:rFonts w:cs="Arial"/>
          <w:color w:val="000000" w:themeColor="text1"/>
        </w:rPr>
      </w:pPr>
      <w:r>
        <w:rPr>
          <w:noProof/>
        </w:rPr>
        <w:drawing>
          <wp:inline distT="0" distB="0" distL="0" distR="0" wp14:anchorId="189D7955" wp14:editId="27F4407F">
            <wp:extent cx="6476400" cy="2743200"/>
            <wp:effectExtent l="0" t="0" r="13335" b="12700"/>
            <wp:docPr id="1191778365" name="Chart 1">
              <a:extLst xmlns:a="http://schemas.openxmlformats.org/drawingml/2006/main">
                <a:ext uri="{FF2B5EF4-FFF2-40B4-BE49-F238E27FC236}">
                  <a16:creationId xmlns:a16="http://schemas.microsoft.com/office/drawing/2014/main" id="{39195953-AD19-178A-D5E5-37C4309AD6F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A71BFC4" w14:textId="2146DD7B" w:rsidR="002A57F4" w:rsidRPr="00813BE5" w:rsidRDefault="002A57F4" w:rsidP="002A57F4">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INTAGENT_UG_ALL_1Y_E346 </w:t>
      </w:r>
      <w:r w:rsidRPr="00813BE5">
        <w:rPr>
          <w:rFonts w:cs="Arial"/>
          <w:color w:val="000000" w:themeColor="text1"/>
          <w:sz w:val="18"/>
          <w:szCs w:val="18"/>
        </w:rPr>
        <w:t>worksheet in the 2023 SES International Report Tables available on the QILT website.</w:t>
      </w:r>
    </w:p>
    <w:p w14:paraId="1C79745C" w14:textId="77777777" w:rsidR="002A57F4" w:rsidRPr="00217865" w:rsidRDefault="002A57F4" w:rsidP="00821227">
      <w:pPr>
        <w:pStyle w:val="Body"/>
        <w:rPr>
          <w:rFonts w:cs="Arial"/>
          <w:color w:val="000000" w:themeColor="text1"/>
        </w:rPr>
      </w:pPr>
    </w:p>
    <w:p w14:paraId="72645415" w14:textId="5993835B" w:rsidR="00AA3B26" w:rsidRPr="00217865" w:rsidRDefault="00AA3B26" w:rsidP="00AA3B26">
      <w:pPr>
        <w:pStyle w:val="Caption"/>
        <w:rPr>
          <w:color w:val="000000" w:themeColor="text1"/>
        </w:rPr>
      </w:pPr>
      <w:bookmarkStart w:id="108" w:name="_Toc208242375"/>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18</w:t>
      </w:r>
      <w:r w:rsidR="001706E8" w:rsidRPr="00217865">
        <w:rPr>
          <w:noProof/>
          <w:color w:val="000000" w:themeColor="text1"/>
        </w:rPr>
        <w:fldChar w:fldCharType="end"/>
      </w:r>
      <w:r w:rsidR="00813BE5">
        <w:rPr>
          <w:noProof/>
          <w:color w:val="000000" w:themeColor="text1"/>
        </w:rPr>
        <w:tab/>
      </w:r>
      <w:r w:rsidRPr="00217865">
        <w:rPr>
          <w:color w:val="000000" w:themeColor="text1"/>
        </w:rPr>
        <w:t>International undergraduate student rating with service provided by agent* (% positive rating of students who used an agent</w:t>
      </w:r>
      <w:r w:rsidR="002A57F4" w:rsidRPr="00217865">
        <w:rPr>
          <w:color w:val="000000" w:themeColor="text1"/>
        </w:rPr>
        <w:t>*</w:t>
      </w:r>
      <w:r w:rsidRPr="00217865">
        <w:rPr>
          <w:color w:val="000000" w:themeColor="text1"/>
        </w:rPr>
        <w:t>)</w:t>
      </w:r>
      <w:bookmarkEnd w:id="108"/>
    </w:p>
    <w:p w14:paraId="4E63C532" w14:textId="4D96493A" w:rsidR="00AA3B26" w:rsidRPr="00217865" w:rsidRDefault="002166C4" w:rsidP="00821227">
      <w:pPr>
        <w:pStyle w:val="Body"/>
        <w:rPr>
          <w:rFonts w:cs="Arial"/>
          <w:color w:val="000000" w:themeColor="text1"/>
        </w:rPr>
      </w:pPr>
      <w:r>
        <w:rPr>
          <w:noProof/>
        </w:rPr>
        <w:drawing>
          <wp:inline distT="0" distB="0" distL="0" distR="0" wp14:anchorId="1984221F" wp14:editId="21008794">
            <wp:extent cx="6667200" cy="2743200"/>
            <wp:effectExtent l="0" t="0" r="13335" b="12700"/>
            <wp:docPr id="2140777741" name="Chart 1">
              <a:extLst xmlns:a="http://schemas.openxmlformats.org/drawingml/2006/main">
                <a:ext uri="{FF2B5EF4-FFF2-40B4-BE49-F238E27FC236}">
                  <a16:creationId xmlns:a16="http://schemas.microsoft.com/office/drawing/2014/main" id="{6A225ED4-DBC8-4D76-BE7A-84B91E0D7FD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7EE69073" w14:textId="77777777" w:rsidR="002A57F4" w:rsidRPr="00813BE5" w:rsidRDefault="002A57F4" w:rsidP="002A57F4">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INTAGENT_UG_ALL_1Y_E346 </w:t>
      </w:r>
      <w:r w:rsidRPr="00813BE5">
        <w:rPr>
          <w:rFonts w:cs="Arial"/>
          <w:color w:val="000000" w:themeColor="text1"/>
          <w:sz w:val="18"/>
          <w:szCs w:val="18"/>
        </w:rPr>
        <w:t>worksheet in the 2023 SES International Report Tables available on the QILT website.</w:t>
      </w:r>
    </w:p>
    <w:p w14:paraId="0DD4DE4D" w14:textId="16ABF83B" w:rsidR="0004793B" w:rsidRPr="00217865" w:rsidRDefault="002A57F4" w:rsidP="002A57F4">
      <w:pPr>
        <w:pStyle w:val="Note"/>
        <w:rPr>
          <w:rFonts w:ascii="Arial" w:hAnsi="Arial" w:cs="Arial"/>
          <w:color w:val="000000" w:themeColor="text1"/>
          <w:spacing w:val="1"/>
          <w:sz w:val="18"/>
          <w:szCs w:val="18"/>
        </w:rPr>
        <w:sectPr w:rsidR="0004793B" w:rsidRPr="00217865" w:rsidSect="00866C79">
          <w:headerReference w:type="default" r:id="rId78"/>
          <w:footerReference w:type="default" r:id="rId79"/>
          <w:pgSz w:w="11900" w:h="16840"/>
          <w:pgMar w:top="852" w:right="560" w:bottom="994" w:left="710" w:header="397" w:footer="170" w:gutter="0"/>
          <w:cols w:space="708"/>
          <w:docGrid w:linePitch="360"/>
        </w:sectPr>
      </w:pPr>
      <w:bookmarkStart w:id="109" w:name="_Ref64540727"/>
      <w:r w:rsidRPr="00813BE5">
        <w:rPr>
          <w:rFonts w:ascii="Arial" w:hAnsi="Arial" w:cs="Arial"/>
          <w:color w:val="000000" w:themeColor="text1"/>
          <w:spacing w:val="1"/>
          <w:sz w:val="18"/>
          <w:szCs w:val="18"/>
        </w:rPr>
        <w:t>* The percent positive rating for the service provided by an agent represents the proportion of respondents who selected ‘Good’ or ‘Very good’ when asked ‘How would you rate the overall service provided by the agent?’ Refer to Appendix 3: Production of scores for more information about the methods for calculating item-level and focus area scores.</w:t>
      </w:r>
      <w:r w:rsidRPr="00217865">
        <w:rPr>
          <w:rFonts w:ascii="Arial" w:hAnsi="Arial" w:cs="Arial"/>
          <w:color w:val="000000" w:themeColor="text1"/>
          <w:spacing w:val="1"/>
          <w:sz w:val="18"/>
          <w:szCs w:val="18"/>
        </w:rPr>
        <w:t xml:space="preserve"> </w:t>
      </w:r>
    </w:p>
    <w:p w14:paraId="1E3E1D58" w14:textId="77777777" w:rsidR="00821227" w:rsidRPr="00217865" w:rsidRDefault="00821227" w:rsidP="00A9284B">
      <w:pPr>
        <w:pStyle w:val="Heading1"/>
        <w:rPr>
          <w:rFonts w:cs="Arial"/>
          <w:color w:val="000000" w:themeColor="text1"/>
        </w:rPr>
      </w:pPr>
      <w:bookmarkStart w:id="110" w:name="_Toc178599293"/>
      <w:bookmarkEnd w:id="109"/>
      <w:r w:rsidRPr="00217865">
        <w:rPr>
          <w:rFonts w:cs="Arial"/>
          <w:color w:val="000000" w:themeColor="text1"/>
        </w:rPr>
        <w:lastRenderedPageBreak/>
        <w:t>Factors in deciding where to study</w:t>
      </w:r>
      <w:bookmarkEnd w:id="110"/>
    </w:p>
    <w:p w14:paraId="0B508177" w14:textId="77777777" w:rsidR="00821227" w:rsidRPr="00217865" w:rsidRDefault="00821227" w:rsidP="00E06AED">
      <w:pPr>
        <w:pStyle w:val="Heading2"/>
      </w:pPr>
      <w:bookmarkStart w:id="111" w:name="_Toc178599294"/>
      <w:r w:rsidRPr="00217865">
        <w:t>Reasons for choosing to study in Australia</w:t>
      </w:r>
      <w:bookmarkEnd w:id="111"/>
    </w:p>
    <w:p w14:paraId="58450958" w14:textId="49952D7C" w:rsidR="00D27EF1" w:rsidRPr="00217865" w:rsidRDefault="00D27EF1" w:rsidP="00D27EF1">
      <w:pPr>
        <w:pStyle w:val="Body"/>
        <w:rPr>
          <w:rFonts w:cs="Arial"/>
          <w:color w:val="000000" w:themeColor="text1"/>
        </w:rPr>
      </w:pPr>
      <w:r w:rsidRPr="00217865">
        <w:rPr>
          <w:rFonts w:cs="Arial"/>
          <w:color w:val="000000" w:themeColor="text1"/>
        </w:rPr>
        <w:t>International students were asked to rate how important a variety of reasons were in their decision to study in Australia, and key reasons are shown in</w:t>
      </w:r>
      <w:r w:rsidR="00672EE8" w:rsidRPr="002D5D30">
        <w:rPr>
          <w:rFonts w:cs="Arial"/>
          <w:b/>
          <w:bCs/>
          <w:color w:val="000000" w:themeColor="text1"/>
        </w:rPr>
        <w:t xml:space="preserve"> </w:t>
      </w:r>
      <w:r w:rsidR="00672EE8" w:rsidRPr="002D5D30">
        <w:rPr>
          <w:rFonts w:cs="Arial"/>
          <w:b/>
          <w:bCs/>
          <w:color w:val="000000" w:themeColor="text1"/>
        </w:rPr>
        <w:fldChar w:fldCharType="begin"/>
      </w:r>
      <w:r w:rsidR="00672EE8" w:rsidRPr="002D5D30">
        <w:rPr>
          <w:rFonts w:cs="Arial"/>
          <w:b/>
          <w:bCs/>
          <w:color w:val="000000" w:themeColor="text1"/>
        </w:rPr>
        <w:instrText xml:space="preserve"> REF _Ref171701519 \h </w:instrText>
      </w:r>
      <w:r w:rsidR="00AD6461" w:rsidRPr="002D5D30">
        <w:rPr>
          <w:rFonts w:cs="Arial"/>
          <w:b/>
          <w:bCs/>
          <w:color w:val="000000" w:themeColor="text1"/>
        </w:rPr>
        <w:instrText xml:space="preserve"> \* MERGEFORMAT </w:instrText>
      </w:r>
      <w:r w:rsidR="00672EE8" w:rsidRPr="002D5D30">
        <w:rPr>
          <w:rFonts w:cs="Arial"/>
          <w:b/>
          <w:bCs/>
          <w:color w:val="000000" w:themeColor="text1"/>
        </w:rPr>
      </w:r>
      <w:r w:rsidR="00672EE8" w:rsidRPr="002D5D30">
        <w:rPr>
          <w:rFonts w:cs="Arial"/>
          <w:b/>
          <w:bCs/>
          <w:color w:val="000000" w:themeColor="text1"/>
        </w:rPr>
        <w:fldChar w:fldCharType="separate"/>
      </w:r>
      <w:r w:rsidR="005D5678" w:rsidRPr="002D5D30">
        <w:rPr>
          <w:b/>
          <w:bCs/>
          <w:color w:val="000000" w:themeColor="text1"/>
        </w:rPr>
        <w:t xml:space="preserve">Figure </w:t>
      </w:r>
      <w:r w:rsidR="005D5678" w:rsidRPr="002D5D30">
        <w:rPr>
          <w:b/>
          <w:bCs/>
          <w:noProof/>
          <w:color w:val="000000" w:themeColor="text1"/>
        </w:rPr>
        <w:t>19</w:t>
      </w:r>
      <w:r w:rsidR="00672EE8" w:rsidRPr="002D5D30">
        <w:rPr>
          <w:rFonts w:cs="Arial"/>
          <w:b/>
          <w:bCs/>
          <w:color w:val="000000" w:themeColor="text1"/>
        </w:rPr>
        <w:fldChar w:fldCharType="end"/>
      </w:r>
      <w:r w:rsidRPr="00217865">
        <w:rPr>
          <w:rFonts w:cs="Arial"/>
          <w:color w:val="000000" w:themeColor="text1"/>
        </w:rPr>
        <w:t xml:space="preserve">. Personal safety and security </w:t>
      </w:r>
      <w:proofErr w:type="gramStart"/>
      <w:r w:rsidRPr="00217865">
        <w:rPr>
          <w:rFonts w:cs="Arial"/>
          <w:color w:val="000000" w:themeColor="text1"/>
        </w:rPr>
        <w:t>was</w:t>
      </w:r>
      <w:proofErr w:type="gramEnd"/>
      <w:r w:rsidRPr="00217865">
        <w:rPr>
          <w:rFonts w:cs="Arial"/>
          <w:color w:val="000000" w:themeColor="text1"/>
        </w:rPr>
        <w:t xml:space="preserve"> the top reason chosen by international students, with 97.2 per cent </w:t>
      </w:r>
      <w:r w:rsidR="00672EE8" w:rsidRPr="00217865">
        <w:rPr>
          <w:rFonts w:cs="Arial"/>
          <w:color w:val="000000" w:themeColor="text1"/>
        </w:rPr>
        <w:t xml:space="preserve">of undergraduates and 97.6 per cent of postgraduate coursework students </w:t>
      </w:r>
      <w:r w:rsidRPr="00217865">
        <w:rPr>
          <w:rFonts w:cs="Arial"/>
          <w:color w:val="000000" w:themeColor="text1"/>
        </w:rPr>
        <w:t xml:space="preserve">rating this aspect extremely important or important. High levels of importance were also attached to the cost of living, the reputation of Australia’s education system, the opportunity to study in an English-speaking country, </w:t>
      </w:r>
      <w:r w:rsidR="00672EE8" w:rsidRPr="00217865">
        <w:rPr>
          <w:rFonts w:cs="Arial"/>
          <w:color w:val="000000" w:themeColor="text1"/>
        </w:rPr>
        <w:t>and the chance to experience a new culture/lifestyle.</w:t>
      </w:r>
    </w:p>
    <w:p w14:paraId="1F5237A7" w14:textId="1D61AEB0" w:rsidR="00CC582B" w:rsidRPr="00217865" w:rsidRDefault="00CC582B" w:rsidP="00CC582B">
      <w:pPr>
        <w:pStyle w:val="Caption"/>
        <w:rPr>
          <w:color w:val="000000" w:themeColor="text1"/>
        </w:rPr>
      </w:pPr>
      <w:bookmarkStart w:id="112" w:name="_Ref171701519"/>
      <w:bookmarkStart w:id="113" w:name="_Toc208242376"/>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19</w:t>
      </w:r>
      <w:r w:rsidR="001706E8" w:rsidRPr="00217865">
        <w:rPr>
          <w:noProof/>
          <w:color w:val="000000" w:themeColor="text1"/>
        </w:rPr>
        <w:fldChar w:fldCharType="end"/>
      </w:r>
      <w:bookmarkEnd w:id="112"/>
      <w:r w:rsidR="00813BE5">
        <w:rPr>
          <w:noProof/>
          <w:color w:val="000000" w:themeColor="text1"/>
        </w:rPr>
        <w:tab/>
      </w:r>
      <w:r w:rsidRPr="00217865">
        <w:rPr>
          <w:color w:val="000000" w:themeColor="text1"/>
        </w:rPr>
        <w:t>International student reasons for choosing to study in Australia by course level, 2023 (% importance rating)</w:t>
      </w:r>
      <w:bookmarkEnd w:id="113"/>
    </w:p>
    <w:p w14:paraId="38DC148C" w14:textId="77777777" w:rsidR="00CC582B" w:rsidRPr="00217865" w:rsidRDefault="00CC582B" w:rsidP="00821227">
      <w:pPr>
        <w:pStyle w:val="Body"/>
        <w:rPr>
          <w:rFonts w:cs="Arial"/>
          <w:color w:val="000000" w:themeColor="text1"/>
        </w:rPr>
      </w:pPr>
      <w:r w:rsidRPr="00217865">
        <w:rPr>
          <w:rFonts w:cs="Arial"/>
          <w:noProof/>
          <w:color w:val="000000" w:themeColor="text1"/>
        </w:rPr>
        <w:drawing>
          <wp:inline distT="0" distB="0" distL="0" distR="0" wp14:anchorId="11EE4F7C" wp14:editId="19A82FC9">
            <wp:extent cx="9572625" cy="4667250"/>
            <wp:effectExtent l="0" t="0" r="0" b="0"/>
            <wp:docPr id="146818280" name="Chart 1">
              <a:extLst xmlns:a="http://schemas.openxmlformats.org/drawingml/2006/main">
                <a:ext uri="{FF2B5EF4-FFF2-40B4-BE49-F238E27FC236}">
                  <a16:creationId xmlns:a16="http://schemas.microsoft.com/office/drawing/2014/main" id="{B7202872-7762-7710-0779-1DC821F7D4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E0D09B6" w14:textId="63AAA648" w:rsidR="00CC582B" w:rsidRPr="00813BE5" w:rsidRDefault="00CC582B" w:rsidP="00CC582B">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INTAUS_ALL_ALL_1Y </w:t>
      </w:r>
      <w:r w:rsidRPr="00813BE5">
        <w:rPr>
          <w:rFonts w:cs="Arial"/>
          <w:color w:val="000000" w:themeColor="text1"/>
          <w:sz w:val="18"/>
          <w:szCs w:val="18"/>
        </w:rPr>
        <w:t>worksheet in the 2023 SES International Report Tables available on the QILT website.</w:t>
      </w:r>
    </w:p>
    <w:p w14:paraId="481B4021" w14:textId="4BAA8274" w:rsidR="00821227" w:rsidRPr="00217865" w:rsidRDefault="00821227" w:rsidP="00821227">
      <w:pPr>
        <w:pStyle w:val="Body"/>
        <w:rPr>
          <w:rFonts w:cs="Arial"/>
          <w:color w:val="000000" w:themeColor="text1"/>
        </w:rPr>
      </w:pPr>
      <w:r w:rsidRPr="00217865">
        <w:rPr>
          <w:rFonts w:cs="Arial"/>
          <w:color w:val="000000" w:themeColor="text1"/>
        </w:rPr>
        <w:lastRenderedPageBreak/>
        <w:t xml:space="preserve">Personal safety and security was cited by </w:t>
      </w:r>
      <w:r w:rsidR="00D45A0D" w:rsidRPr="00217865">
        <w:rPr>
          <w:rFonts w:cs="Arial"/>
          <w:color w:val="000000" w:themeColor="text1"/>
        </w:rPr>
        <w:t xml:space="preserve">undergraduate </w:t>
      </w:r>
      <w:r w:rsidRPr="00217865">
        <w:rPr>
          <w:rFonts w:cs="Arial"/>
          <w:color w:val="000000" w:themeColor="text1"/>
        </w:rPr>
        <w:t>students from all five top student source countries as the most important reason in their decision to study in Australia</w:t>
      </w:r>
      <w:r w:rsidRPr="00217865" w:rsidDel="009D44E6">
        <w:rPr>
          <w:rFonts w:cs="Arial"/>
          <w:color w:val="000000" w:themeColor="text1"/>
        </w:rPr>
        <w:t>,</w:t>
      </w:r>
      <w:r w:rsidRPr="00217865">
        <w:rPr>
          <w:rFonts w:cs="Arial"/>
          <w:color w:val="000000" w:themeColor="text1"/>
        </w:rPr>
        <w:t xml:space="preserve"> as shown by</w:t>
      </w:r>
      <w:r w:rsidR="00D45A0D" w:rsidRPr="00217865">
        <w:rPr>
          <w:rFonts w:cs="Arial"/>
          <w:color w:val="000000" w:themeColor="text1"/>
        </w:rPr>
        <w:t xml:space="preserve"> </w:t>
      </w:r>
      <w:r w:rsidR="0041161E" w:rsidRPr="002D5D30">
        <w:rPr>
          <w:rFonts w:cs="Arial"/>
          <w:b/>
          <w:bCs/>
          <w:color w:val="000000" w:themeColor="text1"/>
        </w:rPr>
        <w:fldChar w:fldCharType="begin"/>
      </w:r>
      <w:r w:rsidR="0041161E" w:rsidRPr="002D5D30">
        <w:rPr>
          <w:rFonts w:cs="Arial"/>
          <w:b/>
          <w:bCs/>
          <w:color w:val="000000" w:themeColor="text1"/>
        </w:rPr>
        <w:instrText xml:space="preserve"> REF _Ref171701839 \h </w:instrText>
      </w:r>
      <w:r w:rsidR="00A6216F" w:rsidRPr="002D5D30">
        <w:rPr>
          <w:rFonts w:cs="Arial"/>
          <w:b/>
          <w:bCs/>
          <w:color w:val="000000" w:themeColor="text1"/>
        </w:rPr>
        <w:instrText xml:space="preserve"> \* MERGEFORMAT </w:instrText>
      </w:r>
      <w:r w:rsidR="0041161E" w:rsidRPr="002D5D30">
        <w:rPr>
          <w:rFonts w:cs="Arial"/>
          <w:b/>
          <w:bCs/>
          <w:color w:val="000000" w:themeColor="text1"/>
        </w:rPr>
      </w:r>
      <w:r w:rsidR="0041161E"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20</w:t>
      </w:r>
      <w:r w:rsidR="0041161E" w:rsidRPr="002D5D30">
        <w:rPr>
          <w:rFonts w:cs="Arial"/>
          <w:b/>
          <w:bCs/>
          <w:color w:val="000000" w:themeColor="text1"/>
        </w:rPr>
        <w:fldChar w:fldCharType="end"/>
      </w:r>
      <w:r w:rsidR="00D45A0D" w:rsidRPr="00217865">
        <w:rPr>
          <w:rFonts w:cs="Arial"/>
          <w:b/>
          <w:bCs/>
          <w:color w:val="000000" w:themeColor="text1"/>
        </w:rPr>
        <w:fldChar w:fldCharType="begin"/>
      </w:r>
      <w:r w:rsidR="00D45A0D" w:rsidRPr="00217865">
        <w:rPr>
          <w:rFonts w:cs="Arial"/>
          <w:b/>
          <w:bCs/>
          <w:color w:val="000000" w:themeColor="text1"/>
        </w:rPr>
        <w:instrText xml:space="preserve"> REF _Ref171701839 \h </w:instrText>
      </w:r>
      <w:r w:rsidR="00AD6461" w:rsidRPr="00217865">
        <w:rPr>
          <w:rFonts w:cs="Arial"/>
          <w:b/>
          <w:bCs/>
          <w:color w:val="000000" w:themeColor="text1"/>
        </w:rPr>
        <w:instrText xml:space="preserve"> \* MERGEFORMAT </w:instrText>
      </w:r>
      <w:r w:rsidR="00D45A0D" w:rsidRPr="00217865">
        <w:rPr>
          <w:rFonts w:cs="Arial"/>
          <w:b/>
          <w:bCs/>
          <w:color w:val="000000" w:themeColor="text1"/>
        </w:rPr>
      </w:r>
      <w:r w:rsidR="00D45A0D" w:rsidRPr="00217865">
        <w:rPr>
          <w:rFonts w:cs="Arial"/>
          <w:b/>
          <w:bCs/>
          <w:color w:val="000000" w:themeColor="text1"/>
        </w:rPr>
        <w:fldChar w:fldCharType="separate"/>
      </w:r>
      <w:r w:rsidR="00D45A0D" w:rsidRPr="00217865">
        <w:rPr>
          <w:rFonts w:cs="Arial"/>
          <w:b/>
          <w:bCs/>
          <w:color w:val="000000" w:themeColor="text1"/>
        </w:rPr>
        <w:fldChar w:fldCharType="end"/>
      </w:r>
      <w:r w:rsidRPr="00217865">
        <w:rPr>
          <w:rFonts w:cs="Arial"/>
          <w:color w:val="000000" w:themeColor="text1"/>
        </w:rPr>
        <w:t xml:space="preserve">. The importance of other reasons varied among source countries. However, the reputation of Australia’s education system and cost of living were </w:t>
      </w:r>
      <w:proofErr w:type="gramStart"/>
      <w:r w:rsidRPr="00217865">
        <w:rPr>
          <w:rFonts w:cs="Arial"/>
          <w:color w:val="000000" w:themeColor="text1"/>
        </w:rPr>
        <w:t>fairly consistently</w:t>
      </w:r>
      <w:proofErr w:type="gramEnd"/>
      <w:r w:rsidRPr="00217865">
        <w:rPr>
          <w:rFonts w:cs="Arial"/>
          <w:color w:val="000000" w:themeColor="text1"/>
        </w:rPr>
        <w:t xml:space="preserve"> rated as being important. There was wide variation in ratings among source countries in the importance placed on having family and friends in Australia, the possibility of migrating to Australia and the weather/climate. In general, Indian and Nepalese respondents tended to rate these reasons more highly than Chinese, Vietnamese and Malaysian respondents. </w:t>
      </w:r>
      <w:r w:rsidR="00D45A0D" w:rsidRPr="00217865">
        <w:rPr>
          <w:rFonts w:cs="Arial"/>
          <w:color w:val="000000" w:themeColor="text1"/>
        </w:rPr>
        <w:t>Chinese students placed a lot less importance on the ability to work part-time, the possibility of migration and having friends and family in Australia than students from the other top five source countries.</w:t>
      </w:r>
      <w:r w:rsidRPr="00217865">
        <w:rPr>
          <w:rFonts w:cs="Arial"/>
          <w:color w:val="000000" w:themeColor="text1"/>
        </w:rPr>
        <w:t xml:space="preserve"> </w:t>
      </w:r>
    </w:p>
    <w:p w14:paraId="2A44C6FD" w14:textId="5F8F0E0D" w:rsidR="00D27EF1" w:rsidRPr="00217865" w:rsidRDefault="00D27EF1" w:rsidP="00353E9E">
      <w:pPr>
        <w:pStyle w:val="Caption"/>
        <w:rPr>
          <w:color w:val="000000" w:themeColor="text1"/>
        </w:rPr>
      </w:pPr>
      <w:bookmarkStart w:id="114" w:name="_Ref171701839"/>
      <w:bookmarkStart w:id="115" w:name="_Toc208242377"/>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20</w:t>
      </w:r>
      <w:r w:rsidR="001706E8" w:rsidRPr="00217865">
        <w:rPr>
          <w:noProof/>
          <w:color w:val="000000" w:themeColor="text1"/>
        </w:rPr>
        <w:fldChar w:fldCharType="end"/>
      </w:r>
      <w:bookmarkEnd w:id="114"/>
      <w:r w:rsidR="00813BE5">
        <w:rPr>
          <w:noProof/>
          <w:color w:val="000000" w:themeColor="text1"/>
        </w:rPr>
        <w:tab/>
      </w:r>
      <w:r w:rsidRPr="00217865">
        <w:rPr>
          <w:color w:val="000000" w:themeColor="text1"/>
        </w:rPr>
        <w:t>International undergraduate student reasons for choosing to study in Australia by source country, 2023 (% importance rating)</w:t>
      </w:r>
      <w:bookmarkEnd w:id="115"/>
    </w:p>
    <w:p w14:paraId="26AC3155" w14:textId="1767E33A" w:rsidR="00D27EF1" w:rsidRPr="00813BE5" w:rsidRDefault="00353E9E" w:rsidP="00D27EF1">
      <w:pPr>
        <w:pStyle w:val="FigureNote"/>
        <w:rPr>
          <w:rFonts w:cs="Arial"/>
          <w:color w:val="000000" w:themeColor="text1"/>
          <w:sz w:val="18"/>
          <w:szCs w:val="18"/>
        </w:rPr>
      </w:pPr>
      <w:r>
        <w:rPr>
          <w:noProof/>
        </w:rPr>
        <w:drawing>
          <wp:inline distT="0" distB="0" distL="0" distR="0" wp14:anchorId="0784EA50" wp14:editId="7D25B39D">
            <wp:extent cx="9521190" cy="3374800"/>
            <wp:effectExtent l="0" t="0" r="3810" b="3810"/>
            <wp:docPr id="1769564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6429" name="Picture 1">
                      <a:extLst>
                        <a:ext uri="{C183D7F6-B498-43B3-948B-1728B52AA6E4}">
                          <adec:decorative xmlns:adec="http://schemas.microsoft.com/office/drawing/2017/decorative" val="1"/>
                        </a:ext>
                      </a:extLs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1190" cy="3374800"/>
                    </a:xfrm>
                    <a:prstGeom prst="rect">
                      <a:avLst/>
                    </a:prstGeom>
                    <a:noFill/>
                  </pic:spPr>
                </pic:pic>
              </a:graphicData>
            </a:graphic>
          </wp:inline>
        </w:drawing>
      </w:r>
      <w:r w:rsidR="00D27EF1" w:rsidRPr="00813BE5">
        <w:rPr>
          <w:rFonts w:cs="Arial"/>
          <w:color w:val="000000" w:themeColor="text1"/>
          <w:sz w:val="18"/>
          <w:szCs w:val="18"/>
        </w:rPr>
        <w:t xml:space="preserve">Source: The </w:t>
      </w:r>
      <w:r w:rsidR="00D27EF1" w:rsidRPr="00813BE5" w:rsidDel="007C7AED">
        <w:rPr>
          <w:rStyle w:val="cf01"/>
          <w:rFonts w:ascii="Arial" w:hAnsi="Arial" w:cs="Arial"/>
          <w:color w:val="000000" w:themeColor="text1"/>
        </w:rPr>
        <w:t>I</w:t>
      </w:r>
      <w:r w:rsidR="00D27EF1" w:rsidRPr="00813BE5">
        <w:rPr>
          <w:rStyle w:val="cf01"/>
          <w:rFonts w:ascii="Arial" w:hAnsi="Arial" w:cs="Arial"/>
          <w:color w:val="000000" w:themeColor="text1"/>
        </w:rPr>
        <w:t xml:space="preserve">NTAUS_UG_ALL_1Y_E346 </w:t>
      </w:r>
      <w:r w:rsidR="00D27EF1" w:rsidRPr="00813BE5">
        <w:rPr>
          <w:rFonts w:cs="Arial"/>
          <w:color w:val="000000" w:themeColor="text1"/>
          <w:sz w:val="18"/>
          <w:szCs w:val="18"/>
        </w:rPr>
        <w:t>worksheet in the 2023 SES International Report Tables available on the QILT website.</w:t>
      </w:r>
    </w:p>
    <w:p w14:paraId="1E8D1B94" w14:textId="77777777" w:rsidR="00821227" w:rsidRPr="00217865" w:rsidRDefault="00821227" w:rsidP="00821227">
      <w:pPr>
        <w:pStyle w:val="Body"/>
        <w:rPr>
          <w:rFonts w:cs="Arial"/>
          <w:b/>
          <w:bCs/>
          <w:color w:val="000000" w:themeColor="text1"/>
          <w:highlight w:val="yellow"/>
        </w:rPr>
      </w:pPr>
    </w:p>
    <w:p w14:paraId="2667CB71" w14:textId="77777777" w:rsidR="00821227" w:rsidRPr="00217865" w:rsidRDefault="00821227" w:rsidP="00E06AED">
      <w:pPr>
        <w:pStyle w:val="Heading2"/>
      </w:pPr>
      <w:bookmarkStart w:id="116" w:name="_Toc178599295"/>
      <w:r w:rsidRPr="00217865">
        <w:t>Reasons for choosing to study at current institution</w:t>
      </w:r>
      <w:bookmarkEnd w:id="116"/>
    </w:p>
    <w:p w14:paraId="5EABE5BF" w14:textId="675B7634" w:rsidR="00D45A0D" w:rsidRPr="00217865" w:rsidRDefault="00D45A0D" w:rsidP="00D45A0D">
      <w:pPr>
        <w:pStyle w:val="Body"/>
        <w:rPr>
          <w:rFonts w:cs="Arial"/>
          <w:color w:val="000000" w:themeColor="text1"/>
          <w:highlight w:val="yellow"/>
        </w:rPr>
      </w:pPr>
      <w:r w:rsidRPr="00217865">
        <w:rPr>
          <w:rFonts w:cs="Arial"/>
          <w:color w:val="000000" w:themeColor="text1"/>
        </w:rPr>
        <w:t xml:space="preserve">International students studying in Australia were asked to rate how important a variety of reasons were in their decision to apply to their current institution. As shown in </w:t>
      </w:r>
      <w:r w:rsidR="00142BE8" w:rsidRPr="002D5D30">
        <w:rPr>
          <w:rFonts w:cs="Arial"/>
          <w:b/>
          <w:bCs/>
          <w:color w:val="000000" w:themeColor="text1"/>
        </w:rPr>
        <w:fldChar w:fldCharType="begin"/>
      </w:r>
      <w:r w:rsidR="00142BE8" w:rsidRPr="002D5D30">
        <w:rPr>
          <w:rFonts w:cs="Arial"/>
          <w:b/>
          <w:bCs/>
          <w:color w:val="000000" w:themeColor="text1"/>
        </w:rPr>
        <w:instrText xml:space="preserve"> REF _Ref171702208 \h </w:instrText>
      </w:r>
      <w:r w:rsidR="00A6216F" w:rsidRPr="002D5D30">
        <w:rPr>
          <w:rFonts w:cs="Arial"/>
          <w:b/>
          <w:bCs/>
          <w:color w:val="000000" w:themeColor="text1"/>
        </w:rPr>
        <w:instrText xml:space="preserve"> \* MERGEFORMAT </w:instrText>
      </w:r>
      <w:r w:rsidR="00142BE8" w:rsidRPr="002D5D30">
        <w:rPr>
          <w:rFonts w:cs="Arial"/>
          <w:b/>
          <w:bCs/>
          <w:color w:val="000000" w:themeColor="text1"/>
        </w:rPr>
      </w:r>
      <w:r w:rsidR="00142BE8"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21</w:t>
      </w:r>
      <w:r w:rsidR="00142BE8" w:rsidRPr="002D5D30">
        <w:rPr>
          <w:rFonts w:cs="Arial"/>
          <w:b/>
          <w:bCs/>
          <w:color w:val="000000" w:themeColor="text1"/>
        </w:rPr>
        <w:fldChar w:fldCharType="end"/>
      </w:r>
      <w:r w:rsidRPr="00217865">
        <w:rPr>
          <w:rFonts w:cs="Arial"/>
          <w:b/>
          <w:color w:val="000000" w:themeColor="text1"/>
        </w:rPr>
        <w:t>,</w:t>
      </w:r>
      <w:r w:rsidRPr="00217865">
        <w:rPr>
          <w:rFonts w:cs="Arial"/>
          <w:color w:val="000000" w:themeColor="text1"/>
        </w:rPr>
        <w:t xml:space="preserve"> international </w:t>
      </w:r>
      <w:r w:rsidR="007D2F2F" w:rsidRPr="00217865">
        <w:rPr>
          <w:rFonts w:cs="Arial"/>
          <w:color w:val="000000" w:themeColor="text1"/>
        </w:rPr>
        <w:t>students</w:t>
      </w:r>
      <w:r w:rsidRPr="00217865">
        <w:rPr>
          <w:rFonts w:cs="Arial"/>
          <w:color w:val="000000" w:themeColor="text1"/>
        </w:rPr>
        <w:t>’ most important reasons for choosing to study at their current institution included the institution offering the course the student wanted to study</w:t>
      </w:r>
      <w:r w:rsidR="00B03318" w:rsidRPr="00217865">
        <w:rPr>
          <w:rFonts w:cs="Arial"/>
          <w:color w:val="000000" w:themeColor="text1"/>
        </w:rPr>
        <w:t>,</w:t>
      </w:r>
      <w:r w:rsidRPr="00217865">
        <w:rPr>
          <w:rFonts w:cs="Arial"/>
          <w:color w:val="000000" w:themeColor="text1"/>
        </w:rPr>
        <w:t xml:space="preserve"> the reputation of the qualification, </w:t>
      </w:r>
      <w:r w:rsidR="00B03318" w:rsidRPr="00217865">
        <w:rPr>
          <w:rFonts w:cs="Arial"/>
          <w:color w:val="000000" w:themeColor="text1"/>
        </w:rPr>
        <w:t xml:space="preserve">employment opportunities after course completion and the reputation of the education provider, all of </w:t>
      </w:r>
      <w:r w:rsidRPr="00217865">
        <w:rPr>
          <w:rFonts w:cs="Arial"/>
          <w:color w:val="000000" w:themeColor="text1"/>
        </w:rPr>
        <w:t xml:space="preserve">which were rated as extremely important or important by </w:t>
      </w:r>
      <w:r w:rsidR="00B03318" w:rsidRPr="00217865">
        <w:rPr>
          <w:rFonts w:cs="Arial"/>
          <w:color w:val="000000" w:themeColor="text1"/>
        </w:rPr>
        <w:t>at least 95</w:t>
      </w:r>
      <w:r w:rsidRPr="00217865">
        <w:rPr>
          <w:rFonts w:cs="Arial"/>
          <w:color w:val="000000" w:themeColor="text1"/>
        </w:rPr>
        <w:t xml:space="preserve"> per cent </w:t>
      </w:r>
      <w:r w:rsidR="00B03318" w:rsidRPr="00217865">
        <w:rPr>
          <w:rFonts w:cs="Arial"/>
          <w:color w:val="000000" w:themeColor="text1"/>
        </w:rPr>
        <w:t>of students at both course levels</w:t>
      </w:r>
      <w:r w:rsidRPr="00217865">
        <w:rPr>
          <w:rFonts w:cs="Arial"/>
          <w:color w:val="000000" w:themeColor="text1"/>
        </w:rPr>
        <w:t xml:space="preserve">. High levels of importance were also attached to </w:t>
      </w:r>
      <w:r w:rsidR="00B03318" w:rsidRPr="00217865">
        <w:rPr>
          <w:rFonts w:cs="Arial"/>
          <w:color w:val="000000" w:themeColor="text1"/>
        </w:rPr>
        <w:t>the course fee and to a lesser extent, the location of the institution. The least important reason for choosing the institution was because the institution had a partnership with the student’s local institution</w:t>
      </w:r>
      <w:r w:rsidRPr="00217865">
        <w:rPr>
          <w:rFonts w:cs="Arial"/>
          <w:color w:val="000000" w:themeColor="text1"/>
        </w:rPr>
        <w:t xml:space="preserve">, </w:t>
      </w:r>
      <w:r w:rsidR="00B03318" w:rsidRPr="00217865">
        <w:rPr>
          <w:rFonts w:cs="Arial"/>
          <w:color w:val="000000" w:themeColor="text1"/>
        </w:rPr>
        <w:t>which was rated important by 65 per cent of international undergraduates and 60.9 per cent of international postgraduate coursework students.</w:t>
      </w:r>
      <w:r w:rsidRPr="00217865">
        <w:rPr>
          <w:rFonts w:cs="Arial"/>
          <w:color w:val="000000" w:themeColor="text1"/>
        </w:rPr>
        <w:t xml:space="preserve"> </w:t>
      </w:r>
    </w:p>
    <w:p w14:paraId="251C2CE0" w14:textId="77777777" w:rsidR="00D45A0D" w:rsidRPr="00217865" w:rsidRDefault="00D45A0D" w:rsidP="00535E2A">
      <w:pPr>
        <w:pStyle w:val="Body"/>
        <w:rPr>
          <w:rFonts w:cs="Arial"/>
          <w:color w:val="000000" w:themeColor="text1"/>
        </w:rPr>
      </w:pPr>
    </w:p>
    <w:p w14:paraId="217D0608" w14:textId="622C0108" w:rsidR="00CC582B" w:rsidRPr="00217865" w:rsidRDefault="00CC582B" w:rsidP="00CC582B">
      <w:pPr>
        <w:pStyle w:val="Caption"/>
        <w:rPr>
          <w:color w:val="000000" w:themeColor="text1"/>
        </w:rPr>
      </w:pPr>
      <w:bookmarkStart w:id="117" w:name="_Ref171702208"/>
      <w:bookmarkStart w:id="118" w:name="_Toc208242378"/>
      <w:r w:rsidRPr="00217865">
        <w:rPr>
          <w:color w:val="000000" w:themeColor="text1"/>
        </w:rPr>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21</w:t>
      </w:r>
      <w:r w:rsidR="001706E8" w:rsidRPr="00217865">
        <w:rPr>
          <w:noProof/>
          <w:color w:val="000000" w:themeColor="text1"/>
        </w:rPr>
        <w:fldChar w:fldCharType="end"/>
      </w:r>
      <w:bookmarkEnd w:id="117"/>
      <w:r w:rsidR="00813BE5">
        <w:rPr>
          <w:noProof/>
          <w:color w:val="000000" w:themeColor="text1"/>
        </w:rPr>
        <w:tab/>
      </w:r>
      <w:r w:rsidRPr="00217865">
        <w:rPr>
          <w:color w:val="000000" w:themeColor="text1"/>
        </w:rPr>
        <w:t>International student reasons for choosing current institution by course level, 2023 (% importance rating)</w:t>
      </w:r>
      <w:bookmarkEnd w:id="118"/>
    </w:p>
    <w:p w14:paraId="3C80D9F5" w14:textId="77777777" w:rsidR="00ED675F" w:rsidRPr="00217865" w:rsidRDefault="00CC582B" w:rsidP="00821227">
      <w:pPr>
        <w:pStyle w:val="Body"/>
        <w:rPr>
          <w:rFonts w:cs="Arial"/>
          <w:color w:val="000000" w:themeColor="text1"/>
        </w:rPr>
      </w:pPr>
      <w:r w:rsidRPr="00217865">
        <w:rPr>
          <w:rFonts w:cs="Arial"/>
          <w:noProof/>
          <w:color w:val="000000" w:themeColor="text1"/>
        </w:rPr>
        <w:drawing>
          <wp:inline distT="0" distB="0" distL="0" distR="0" wp14:anchorId="64BDEAB4" wp14:editId="59B6D815">
            <wp:extent cx="9286875" cy="3990975"/>
            <wp:effectExtent l="0" t="0" r="0" b="0"/>
            <wp:docPr id="623040853" name="Chart 1">
              <a:extLst xmlns:a="http://schemas.openxmlformats.org/drawingml/2006/main">
                <a:ext uri="{FF2B5EF4-FFF2-40B4-BE49-F238E27FC236}">
                  <a16:creationId xmlns:a16="http://schemas.microsoft.com/office/drawing/2014/main" id="{FBCBF7AA-40AF-475F-A9C4-30F902E2A78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40864FFE" w14:textId="0D3EC2E7" w:rsidR="00ED675F" w:rsidRPr="00813BE5" w:rsidRDefault="00ED675F" w:rsidP="00535E2A">
      <w:pPr>
        <w:pStyle w:val="FigureNote"/>
        <w:rPr>
          <w:rFonts w:cs="Arial"/>
          <w:color w:val="000000" w:themeColor="text1"/>
          <w:sz w:val="18"/>
          <w:szCs w:val="18"/>
        </w:rPr>
      </w:pPr>
      <w:r w:rsidRPr="00813BE5">
        <w:rPr>
          <w:rFonts w:cs="Arial"/>
          <w:color w:val="000000" w:themeColor="text1"/>
          <w:sz w:val="18"/>
          <w:szCs w:val="18"/>
        </w:rPr>
        <w:t xml:space="preserve">Source: The </w:t>
      </w:r>
      <w:r w:rsidRPr="00813BE5">
        <w:rPr>
          <w:rStyle w:val="cf01"/>
          <w:rFonts w:ascii="Arial" w:hAnsi="Arial" w:cs="Arial"/>
          <w:color w:val="000000" w:themeColor="text1"/>
        </w:rPr>
        <w:t xml:space="preserve">INTINST_ALL_ALL_1Y </w:t>
      </w:r>
      <w:r w:rsidRPr="00813BE5">
        <w:rPr>
          <w:rFonts w:cs="Arial"/>
          <w:color w:val="000000" w:themeColor="text1"/>
          <w:sz w:val="18"/>
          <w:szCs w:val="18"/>
        </w:rPr>
        <w:t>worksheet in the 2023 SES International Report Tables available on the QILT website.</w:t>
      </w:r>
    </w:p>
    <w:p w14:paraId="4A3CF149" w14:textId="77777777" w:rsidR="00821227" w:rsidRPr="00217865" w:rsidRDefault="00821227" w:rsidP="00821227">
      <w:pPr>
        <w:pStyle w:val="Noteupdate"/>
        <w:rPr>
          <w:color w:val="000000" w:themeColor="text1"/>
          <w:highlight w:val="yellow"/>
        </w:rPr>
      </w:pPr>
    </w:p>
    <w:p w14:paraId="1F015DA8" w14:textId="3AD28F78" w:rsidR="00821227" w:rsidRPr="00217865" w:rsidRDefault="00821227" w:rsidP="00821227">
      <w:pPr>
        <w:pStyle w:val="Body"/>
        <w:rPr>
          <w:rFonts w:cs="Arial"/>
          <w:color w:val="000000" w:themeColor="text1"/>
        </w:rPr>
      </w:pPr>
      <w:r w:rsidRPr="00217865">
        <w:rPr>
          <w:rFonts w:cs="Arial"/>
          <w:color w:val="000000" w:themeColor="text1"/>
        </w:rPr>
        <w:t xml:space="preserve">Ratings of important factors when choosing an institution were </w:t>
      </w:r>
      <w:proofErr w:type="gramStart"/>
      <w:r w:rsidRPr="00217865">
        <w:rPr>
          <w:rFonts w:cs="Arial"/>
          <w:color w:val="000000" w:themeColor="text1"/>
        </w:rPr>
        <w:t>fairly consistent</w:t>
      </w:r>
      <w:proofErr w:type="gramEnd"/>
      <w:r w:rsidRPr="00217865">
        <w:rPr>
          <w:rFonts w:cs="Arial"/>
          <w:color w:val="000000" w:themeColor="text1"/>
        </w:rPr>
        <w:t xml:space="preserve"> across the top 5 source countries, </w:t>
      </w:r>
      <w:r w:rsidR="00A67365" w:rsidRPr="00217865">
        <w:rPr>
          <w:rFonts w:cs="Arial"/>
          <w:color w:val="000000" w:themeColor="text1"/>
        </w:rPr>
        <w:t xml:space="preserve">in terms of the order from highest to lowest, </w:t>
      </w:r>
      <w:r w:rsidRPr="00217865">
        <w:rPr>
          <w:rFonts w:cs="Arial"/>
          <w:color w:val="000000" w:themeColor="text1"/>
        </w:rPr>
        <w:t>as shown by</w:t>
      </w:r>
      <w:r w:rsidR="00A67365" w:rsidRPr="00217865" w:rsidDel="001D1384">
        <w:rPr>
          <w:rFonts w:cs="Arial"/>
          <w:color w:val="000000" w:themeColor="text1"/>
        </w:rPr>
        <w:t xml:space="preserve"> </w:t>
      </w:r>
      <w:r w:rsidR="00142BE8" w:rsidRPr="002D5D30">
        <w:rPr>
          <w:rFonts w:cs="Arial"/>
          <w:b/>
          <w:bCs/>
          <w:color w:val="000000" w:themeColor="text1"/>
        </w:rPr>
        <w:fldChar w:fldCharType="begin"/>
      </w:r>
      <w:r w:rsidR="00142BE8" w:rsidRPr="002D5D30">
        <w:rPr>
          <w:rFonts w:cs="Arial"/>
          <w:b/>
          <w:bCs/>
          <w:color w:val="000000" w:themeColor="text1"/>
        </w:rPr>
        <w:instrText xml:space="preserve"> REF _Ref175646481 \h </w:instrText>
      </w:r>
      <w:r w:rsidR="00A6216F" w:rsidRPr="002D5D30">
        <w:rPr>
          <w:rFonts w:cs="Arial"/>
          <w:b/>
          <w:bCs/>
          <w:color w:val="000000" w:themeColor="text1"/>
        </w:rPr>
        <w:instrText xml:space="preserve"> \* MERGEFORMAT </w:instrText>
      </w:r>
      <w:r w:rsidR="00142BE8" w:rsidRPr="002D5D30">
        <w:rPr>
          <w:rFonts w:cs="Arial"/>
          <w:b/>
          <w:bCs/>
          <w:color w:val="000000" w:themeColor="text1"/>
        </w:rPr>
      </w:r>
      <w:r w:rsidR="00142BE8" w:rsidRPr="002D5D30">
        <w:rPr>
          <w:rFonts w:cs="Arial"/>
          <w:b/>
          <w:bCs/>
          <w:color w:val="000000" w:themeColor="text1"/>
        </w:rPr>
        <w:fldChar w:fldCharType="separate"/>
      </w:r>
      <w:r w:rsidR="005D5678" w:rsidRPr="002D5D30">
        <w:rPr>
          <w:rFonts w:cs="Arial"/>
          <w:b/>
          <w:bCs/>
          <w:color w:val="000000" w:themeColor="text1"/>
        </w:rPr>
        <w:t xml:space="preserve">Figure </w:t>
      </w:r>
      <w:r w:rsidR="005D5678" w:rsidRPr="002D5D30">
        <w:rPr>
          <w:rFonts w:cs="Arial"/>
          <w:b/>
          <w:bCs/>
          <w:noProof/>
          <w:color w:val="000000" w:themeColor="text1"/>
        </w:rPr>
        <w:t>22</w:t>
      </w:r>
      <w:r w:rsidR="00142BE8" w:rsidRPr="002D5D30">
        <w:rPr>
          <w:rFonts w:cs="Arial"/>
          <w:b/>
          <w:bCs/>
          <w:color w:val="000000" w:themeColor="text1"/>
        </w:rPr>
        <w:fldChar w:fldCharType="end"/>
      </w:r>
      <w:r w:rsidRPr="002D5D30">
        <w:rPr>
          <w:rFonts w:cs="Arial"/>
          <w:b/>
          <w:bCs/>
          <w:color w:val="000000" w:themeColor="text1"/>
        </w:rPr>
        <w:t>.</w:t>
      </w:r>
      <w:r w:rsidRPr="00217865">
        <w:rPr>
          <w:rFonts w:cs="Arial"/>
          <w:color w:val="000000" w:themeColor="text1"/>
        </w:rPr>
        <w:t xml:space="preserve"> However, like the reasons for choosing to study in Australia, Indian and Nepalese students tended to place greater importance on each of the reasons than did students from the other source countries.</w:t>
      </w:r>
      <w:r w:rsidR="00A67365" w:rsidRPr="00217865">
        <w:rPr>
          <w:rFonts w:cs="Arial"/>
          <w:color w:val="000000" w:themeColor="text1"/>
        </w:rPr>
        <w:t xml:space="preserve"> Chinese undergraduates</w:t>
      </w:r>
      <w:r w:rsidRPr="00217865">
        <w:rPr>
          <w:rFonts w:cs="Arial"/>
          <w:color w:val="000000" w:themeColor="text1"/>
        </w:rPr>
        <w:t xml:space="preserve"> </w:t>
      </w:r>
      <w:r w:rsidR="00A67365" w:rsidRPr="00217865">
        <w:rPr>
          <w:rFonts w:cs="Arial"/>
          <w:color w:val="000000" w:themeColor="text1"/>
        </w:rPr>
        <w:t xml:space="preserve">tended to place less importance on many of the factors, however, it is important to note than these lower ratings were still relatively high. For example, Chinese undergraduates were less likely to rate employment opportunities after course completion as a reason for choosing their current </w:t>
      </w:r>
      <w:proofErr w:type="gramStart"/>
      <w:r w:rsidR="00A67365" w:rsidRPr="00217865">
        <w:rPr>
          <w:rFonts w:cs="Arial"/>
          <w:color w:val="000000" w:themeColor="text1"/>
        </w:rPr>
        <w:t>institution</w:t>
      </w:r>
      <w:proofErr w:type="gramEnd"/>
      <w:r w:rsidR="00A67365" w:rsidRPr="00217865">
        <w:rPr>
          <w:rFonts w:cs="Arial"/>
          <w:color w:val="000000" w:themeColor="text1"/>
        </w:rPr>
        <w:t xml:space="preserve"> but it was still rated important </w:t>
      </w:r>
      <w:r w:rsidR="0027369A" w:rsidRPr="00217865">
        <w:rPr>
          <w:rFonts w:cs="Arial"/>
          <w:color w:val="000000" w:themeColor="text1"/>
        </w:rPr>
        <w:t xml:space="preserve">at </w:t>
      </w:r>
      <w:r w:rsidR="00A67365" w:rsidRPr="00217865">
        <w:rPr>
          <w:rFonts w:cs="Arial"/>
          <w:color w:val="000000" w:themeColor="text1"/>
        </w:rPr>
        <w:t>91.4 per cent.</w:t>
      </w:r>
    </w:p>
    <w:p w14:paraId="78DBB1D5" w14:textId="5A8B9D0F" w:rsidR="00ED675F" w:rsidRPr="00217865" w:rsidRDefault="00ED675F" w:rsidP="00353E9E">
      <w:pPr>
        <w:pStyle w:val="Caption"/>
        <w:rPr>
          <w:color w:val="000000" w:themeColor="text1"/>
        </w:rPr>
      </w:pPr>
      <w:bookmarkStart w:id="119" w:name="_Ref175646481"/>
      <w:bookmarkStart w:id="120" w:name="_Toc208242379"/>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22</w:t>
      </w:r>
      <w:r w:rsidR="001706E8" w:rsidRPr="00217865">
        <w:rPr>
          <w:noProof/>
          <w:color w:val="000000" w:themeColor="text1"/>
        </w:rPr>
        <w:fldChar w:fldCharType="end"/>
      </w:r>
      <w:bookmarkEnd w:id="119"/>
      <w:r w:rsidR="00813BE5">
        <w:rPr>
          <w:noProof/>
          <w:color w:val="000000" w:themeColor="text1"/>
        </w:rPr>
        <w:tab/>
      </w:r>
      <w:r w:rsidRPr="00217865">
        <w:rPr>
          <w:color w:val="000000" w:themeColor="text1"/>
        </w:rPr>
        <w:t>International undergraduate student reasons for choosing to study at current institution by source country, 2023 (% importance rating)</w:t>
      </w:r>
      <w:bookmarkEnd w:id="120"/>
    </w:p>
    <w:p w14:paraId="6ED1FB1B" w14:textId="34DB6E7C" w:rsidR="00ED675F" w:rsidRPr="00813BE5" w:rsidRDefault="00353E9E" w:rsidP="00ED675F">
      <w:pPr>
        <w:pStyle w:val="FigureNote"/>
        <w:rPr>
          <w:rFonts w:cs="Arial"/>
          <w:color w:val="000000" w:themeColor="text1"/>
          <w:sz w:val="18"/>
          <w:szCs w:val="18"/>
        </w:rPr>
      </w:pPr>
      <w:r>
        <w:rPr>
          <w:noProof/>
        </w:rPr>
        <w:drawing>
          <wp:inline distT="0" distB="0" distL="0" distR="0" wp14:anchorId="612A5CA4" wp14:editId="68529B08">
            <wp:extent cx="9521190" cy="3192567"/>
            <wp:effectExtent l="0" t="0" r="3810" b="0"/>
            <wp:docPr id="3296535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53588" name="Picture 2">
                      <a:extLst>
                        <a:ext uri="{C183D7F6-B498-43B3-948B-1728B52AA6E4}">
                          <adec:decorative xmlns:adec="http://schemas.microsoft.com/office/drawing/2017/decorative" val="1"/>
                        </a:ext>
                      </a:extLs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1190" cy="3192567"/>
                    </a:xfrm>
                    <a:prstGeom prst="rect">
                      <a:avLst/>
                    </a:prstGeom>
                    <a:noFill/>
                  </pic:spPr>
                </pic:pic>
              </a:graphicData>
            </a:graphic>
          </wp:inline>
        </w:drawing>
      </w:r>
      <w:r w:rsidR="00ED675F" w:rsidRPr="00813BE5">
        <w:rPr>
          <w:rFonts w:cs="Arial"/>
          <w:color w:val="000000" w:themeColor="text1"/>
          <w:sz w:val="18"/>
          <w:szCs w:val="18"/>
        </w:rPr>
        <w:t xml:space="preserve">Source: The </w:t>
      </w:r>
      <w:r w:rsidR="00ED675F" w:rsidRPr="00813BE5">
        <w:rPr>
          <w:rStyle w:val="cf01"/>
          <w:rFonts w:ascii="Arial" w:hAnsi="Arial" w:cs="Arial"/>
          <w:color w:val="000000" w:themeColor="text1"/>
        </w:rPr>
        <w:t xml:space="preserve">INTINST_UG_ALL_1Y_E346 </w:t>
      </w:r>
      <w:r w:rsidR="00ED675F" w:rsidRPr="00813BE5">
        <w:rPr>
          <w:rFonts w:cs="Arial"/>
          <w:color w:val="000000" w:themeColor="text1"/>
          <w:sz w:val="18"/>
          <w:szCs w:val="18"/>
        </w:rPr>
        <w:t>worksheet in the 2023 SES International Report Tables available on the QILT website.</w:t>
      </w:r>
    </w:p>
    <w:p w14:paraId="76A553F3" w14:textId="77777777" w:rsidR="00B022F9" w:rsidRPr="00217865" w:rsidRDefault="00B022F9" w:rsidP="002611FF">
      <w:pPr>
        <w:rPr>
          <w:rFonts w:cs="Arial"/>
          <w:color w:val="000000" w:themeColor="text1"/>
        </w:rPr>
      </w:pPr>
    </w:p>
    <w:p w14:paraId="4CA850EE" w14:textId="2BB0BB6D" w:rsidR="00B022F9" w:rsidRPr="00217865" w:rsidRDefault="00B022F9" w:rsidP="002611FF">
      <w:pPr>
        <w:rPr>
          <w:rFonts w:eastAsia="Times New Roman" w:cs="Arial"/>
          <w:b/>
          <w:color w:val="000000" w:themeColor="text1"/>
          <w:sz w:val="18"/>
          <w:lang w:eastAsia="en-AU"/>
        </w:rPr>
        <w:sectPr w:rsidR="00B022F9" w:rsidRPr="00217865" w:rsidSect="008D3DEC">
          <w:headerReference w:type="default" r:id="rId84"/>
          <w:footerReference w:type="default" r:id="rId85"/>
          <w:pgSz w:w="16840" w:h="11900" w:orient="landscape"/>
          <w:pgMar w:top="560" w:right="994" w:bottom="710" w:left="852" w:header="397" w:footer="283" w:gutter="0"/>
          <w:cols w:space="708"/>
          <w:docGrid w:linePitch="360"/>
        </w:sectPr>
      </w:pPr>
    </w:p>
    <w:p w14:paraId="0D88F362" w14:textId="77777777" w:rsidR="00821227" w:rsidRPr="00217865" w:rsidRDefault="00821227" w:rsidP="00A9284B">
      <w:pPr>
        <w:pStyle w:val="Heading1"/>
        <w:rPr>
          <w:rFonts w:cs="Arial"/>
          <w:b/>
          <w:color w:val="000000" w:themeColor="text1"/>
        </w:rPr>
      </w:pPr>
      <w:bookmarkStart w:id="121" w:name="_Ref98949432"/>
      <w:bookmarkStart w:id="122" w:name="_Toc178599296"/>
      <w:r w:rsidRPr="00217865">
        <w:rPr>
          <w:rFonts w:cs="Arial"/>
          <w:color w:val="000000" w:themeColor="text1"/>
        </w:rPr>
        <w:lastRenderedPageBreak/>
        <w:t>International comparisons</w:t>
      </w:r>
      <w:bookmarkEnd w:id="121"/>
      <w:bookmarkEnd w:id="122"/>
    </w:p>
    <w:p w14:paraId="712C4EFA" w14:textId="77777777" w:rsidR="002433E9" w:rsidRPr="00217865" w:rsidRDefault="002433E9" w:rsidP="002433E9">
      <w:pPr>
        <w:pStyle w:val="Body"/>
        <w:rPr>
          <w:rFonts w:cs="Arial"/>
          <w:color w:val="000000" w:themeColor="text1"/>
        </w:rPr>
      </w:pPr>
      <w:r w:rsidRPr="00217865">
        <w:rPr>
          <w:rFonts w:cs="Arial"/>
          <w:color w:val="000000" w:themeColor="text1"/>
        </w:rPr>
        <w:t xml:space="preserve">The SES has been designed to enable benchmarking against similar student surveys conducted in other national contexts. </w:t>
      </w:r>
    </w:p>
    <w:p w14:paraId="4BDECBD3" w14:textId="77777777" w:rsidR="002433E9" w:rsidRPr="00217865" w:rsidRDefault="002433E9" w:rsidP="002433E9">
      <w:pPr>
        <w:pStyle w:val="Body"/>
        <w:rPr>
          <w:rFonts w:cs="Arial"/>
          <w:color w:val="000000" w:themeColor="text1"/>
        </w:rPr>
      </w:pPr>
      <w:r w:rsidRPr="00217865">
        <w:rPr>
          <w:rFonts w:cs="Arial"/>
          <w:color w:val="000000" w:themeColor="text1"/>
        </w:rPr>
        <w:t xml:space="preserve">The Quality of entire educational experience item in the SES, for example, is </w:t>
      </w:r>
      <w:proofErr w:type="gramStart"/>
      <w:r w:rsidRPr="00217865">
        <w:rPr>
          <w:rFonts w:cs="Arial"/>
          <w:color w:val="000000" w:themeColor="text1"/>
        </w:rPr>
        <w:t>similar to</w:t>
      </w:r>
      <w:proofErr w:type="gramEnd"/>
      <w:r w:rsidRPr="00217865">
        <w:rPr>
          <w:rFonts w:cs="Arial"/>
          <w:color w:val="000000" w:themeColor="text1"/>
        </w:rPr>
        <w:t xml:space="preserve"> the ‘overall experience’ question in the National Survey of Student Engagement (NSSE).</w:t>
      </w:r>
      <w:r w:rsidRPr="00217865">
        <w:rPr>
          <w:rFonts w:cs="Arial"/>
          <w:color w:val="000000" w:themeColor="text1"/>
          <w:vertAlign w:val="superscript"/>
        </w:rPr>
        <w:footnoteReference w:id="3"/>
      </w:r>
      <w:r w:rsidRPr="00217865">
        <w:rPr>
          <w:rFonts w:cs="Arial"/>
          <w:color w:val="000000" w:themeColor="text1"/>
        </w:rPr>
        <w:t xml:space="preserve"> The NSSE collects information from first year and senior year international students in the United States of America (USA). In 2023 the survey drew responses from 239,753 students from 456 institutions in the USA , four per cent of which were international students.</w:t>
      </w:r>
      <w:r w:rsidRPr="00217865">
        <w:rPr>
          <w:rFonts w:cs="Arial"/>
          <w:color w:val="000000" w:themeColor="text1"/>
          <w:vertAlign w:val="superscript"/>
        </w:rPr>
        <w:footnoteReference w:id="4"/>
      </w:r>
      <w:r w:rsidRPr="00217865">
        <w:rPr>
          <w:rFonts w:cs="Arial"/>
          <w:color w:val="000000" w:themeColor="text1"/>
        </w:rPr>
        <w:t xml:space="preserve"> While the NSSE is only administered to a subset of institutions in the USA, it is worth noting that international students make up four per cent of the overall student body across all of the Bachelor’s Degree-granting Institutions in the USA..</w:t>
      </w:r>
    </w:p>
    <w:p w14:paraId="3D3E32FF" w14:textId="77777777" w:rsidR="002433E9" w:rsidRPr="00217865" w:rsidRDefault="002433E9" w:rsidP="002433E9">
      <w:pPr>
        <w:pStyle w:val="Body"/>
        <w:rPr>
          <w:rFonts w:cs="Arial"/>
          <w:color w:val="000000" w:themeColor="text1"/>
        </w:rPr>
      </w:pPr>
      <w:r w:rsidRPr="00217865">
        <w:rPr>
          <w:rFonts w:cs="Arial"/>
          <w:color w:val="000000" w:themeColor="text1"/>
        </w:rPr>
        <w:t>In the United Kingdom (UK), the National Student Survey (NSS) is an annual census of final year undergraduate students at publicly funded higher education institutions in the UK. The NSS also has a similar overall satisfaction item measured on a five-point Likert-type response scale.</w:t>
      </w:r>
      <w:r w:rsidRPr="00217865">
        <w:rPr>
          <w:rFonts w:cs="Arial"/>
          <w:color w:val="000000" w:themeColor="text1"/>
          <w:vertAlign w:val="superscript"/>
        </w:rPr>
        <w:footnoteReference w:id="5"/>
      </w:r>
      <w:r w:rsidRPr="00217865">
        <w:rPr>
          <w:rFonts w:cs="Arial"/>
          <w:color w:val="000000" w:themeColor="text1"/>
        </w:rPr>
        <w:t xml:space="preserve"> From 2023, the NSS only administers this question to higher education institutions in Scotland, Wales, and Northern Ireland.</w:t>
      </w:r>
      <w:r w:rsidRPr="00217865">
        <w:rPr>
          <w:rFonts w:cs="Arial"/>
          <w:color w:val="000000" w:themeColor="text1"/>
          <w:vertAlign w:val="superscript"/>
        </w:rPr>
        <w:footnoteReference w:id="6"/>
      </w:r>
      <w:r w:rsidRPr="00217865">
        <w:rPr>
          <w:rFonts w:cs="Arial"/>
          <w:color w:val="000000" w:themeColor="text1"/>
        </w:rPr>
        <w:t xml:space="preserve"> Prior to 2023, this question was also administered to higher education institutions in England allowing the preparation of an overall UK measure.</w:t>
      </w:r>
    </w:p>
    <w:p w14:paraId="16373635" w14:textId="77777777" w:rsidR="002433E9" w:rsidRPr="00217865" w:rsidRDefault="002433E9" w:rsidP="002433E9">
      <w:pPr>
        <w:pStyle w:val="Body"/>
        <w:rPr>
          <w:rFonts w:cs="Arial"/>
          <w:color w:val="000000" w:themeColor="text1"/>
        </w:rPr>
      </w:pPr>
      <w:r w:rsidRPr="00217865">
        <w:rPr>
          <w:rFonts w:cs="Arial"/>
          <w:color w:val="000000" w:themeColor="text1"/>
        </w:rPr>
        <w:t>International students in Australia have historically rated their experience lower than their counterparts studying in other countries, this continues in 2023. The SES shows that in 2019, 75 per cent of international students in Australia rated their overall educational experience positively, falling to 63 per cent in 2020 with the impact of the COVID-19 pandemic, recovering to 76 per cent in 2023. These results are lower than those recorded for international students in the USA, which were around 85 per cent in 2019 and 2020, and around 84 per cent in 2022.</w:t>
      </w:r>
      <w:r w:rsidRPr="00217865">
        <w:rPr>
          <w:rStyle w:val="FootnoteReference"/>
          <w:rFonts w:cs="Arial"/>
          <w:color w:val="000000" w:themeColor="text1"/>
        </w:rPr>
        <w:footnoteReference w:id="7"/>
      </w:r>
      <w:r w:rsidRPr="00217865">
        <w:rPr>
          <w:rFonts w:cs="Arial"/>
          <w:color w:val="000000" w:themeColor="text1"/>
        </w:rPr>
        <w:t xml:space="preserve"> In the United Kingdom, ratings were at 83 per cent in 2019 before falling to 77 per cent in 2021 as a result of the pandemic and recovering to 79 per cent in 2022. In 2023, results for Wales, Northern Ireland, and Scotland were broadly similar at between 81 and 79 per cent.</w:t>
      </w:r>
      <w:r w:rsidRPr="00217865">
        <w:rPr>
          <w:rStyle w:val="FootnoteReference"/>
          <w:rFonts w:cs="Arial"/>
          <w:color w:val="000000" w:themeColor="text1"/>
        </w:rPr>
        <w:footnoteReference w:id="8"/>
      </w:r>
      <w:r w:rsidRPr="00217865">
        <w:rPr>
          <w:rFonts w:cs="Arial"/>
          <w:color w:val="000000" w:themeColor="text1"/>
        </w:rPr>
        <w:t xml:space="preserve"> </w:t>
      </w:r>
    </w:p>
    <w:p w14:paraId="5F27535D" w14:textId="77777777" w:rsidR="002433E9" w:rsidRPr="00217865" w:rsidRDefault="002433E9" w:rsidP="002433E9">
      <w:pPr>
        <w:pStyle w:val="Body"/>
        <w:rPr>
          <w:rFonts w:cs="Arial"/>
          <w:color w:val="000000" w:themeColor="text1"/>
        </w:rPr>
      </w:pPr>
      <w:r w:rsidRPr="00217865">
        <w:rPr>
          <w:rFonts w:cs="Arial"/>
          <w:color w:val="000000" w:themeColor="text1"/>
        </w:rPr>
        <w:t>It is important to remember these results do not account for potential differences in the composition of the respective undergraduate international student populations, methodological differences between the three surveys, timing differences between the surveys or cultural differences in responding to surveys. Nevertheless, these results establish a baseline for measuring changes in the experience of international students over time in different countries.</w:t>
      </w:r>
    </w:p>
    <w:p w14:paraId="7F61D6C1" w14:textId="645B06AB" w:rsidR="00212DBD" w:rsidRPr="00217865" w:rsidRDefault="003D3AF7" w:rsidP="00821227">
      <w:pPr>
        <w:pStyle w:val="Noteupdate"/>
        <w:rPr>
          <w:color w:val="000000" w:themeColor="text1"/>
        </w:rPr>
      </w:pPr>
      <w:r w:rsidRPr="00217865">
        <w:rPr>
          <w:noProof/>
          <w:color w:val="000000" w:themeColor="text1"/>
        </w:rPr>
        <w:t xml:space="preserve"> </w:t>
      </w:r>
    </w:p>
    <w:p w14:paraId="6778AAC3" w14:textId="2C8B29F6" w:rsidR="00212DBD" w:rsidRPr="00217865" w:rsidRDefault="00212DBD" w:rsidP="00212DBD">
      <w:pPr>
        <w:pStyle w:val="Caption"/>
        <w:rPr>
          <w:color w:val="000000" w:themeColor="text1"/>
        </w:rPr>
      </w:pPr>
      <w:bookmarkStart w:id="123" w:name="_Toc208242380"/>
      <w:r w:rsidRPr="00217865">
        <w:rPr>
          <w:color w:val="000000" w:themeColor="text1"/>
        </w:rPr>
        <w:lastRenderedPageBreak/>
        <w:t xml:space="preserve">Figure </w:t>
      </w:r>
      <w:r w:rsidR="001706E8" w:rsidRPr="00217865">
        <w:rPr>
          <w:color w:val="000000" w:themeColor="text1"/>
        </w:rPr>
        <w:fldChar w:fldCharType="begin"/>
      </w:r>
      <w:r w:rsidR="001706E8" w:rsidRPr="00217865">
        <w:rPr>
          <w:color w:val="000000" w:themeColor="text1"/>
        </w:rPr>
        <w:instrText xml:space="preserve"> SEQ Figure \* ARABIC </w:instrText>
      </w:r>
      <w:r w:rsidR="001706E8" w:rsidRPr="00217865">
        <w:rPr>
          <w:color w:val="000000" w:themeColor="text1"/>
        </w:rPr>
        <w:fldChar w:fldCharType="separate"/>
      </w:r>
      <w:r w:rsidR="005D5678">
        <w:rPr>
          <w:noProof/>
          <w:color w:val="000000" w:themeColor="text1"/>
        </w:rPr>
        <w:t>23</w:t>
      </w:r>
      <w:r w:rsidR="001706E8" w:rsidRPr="00217865">
        <w:rPr>
          <w:noProof/>
          <w:color w:val="000000" w:themeColor="text1"/>
        </w:rPr>
        <w:fldChar w:fldCharType="end"/>
      </w:r>
      <w:r w:rsidR="00813BE5">
        <w:rPr>
          <w:noProof/>
          <w:color w:val="000000" w:themeColor="text1"/>
        </w:rPr>
        <w:tab/>
      </w:r>
      <w:r w:rsidRPr="00217865">
        <w:rPr>
          <w:color w:val="000000" w:themeColor="text1"/>
        </w:rPr>
        <w:t>International undergraduate student ratings of overall educational experience, Australia</w:t>
      </w:r>
      <w:r w:rsidR="00EF1F67" w:rsidRPr="00217865">
        <w:rPr>
          <w:color w:val="000000" w:themeColor="text1"/>
        </w:rPr>
        <w:t>,</w:t>
      </w:r>
      <w:r w:rsidRPr="00217865">
        <w:rPr>
          <w:color w:val="000000" w:themeColor="text1"/>
        </w:rPr>
        <w:t xml:space="preserve"> USA</w:t>
      </w:r>
      <w:r w:rsidR="00EF1F67" w:rsidRPr="00217865">
        <w:rPr>
          <w:color w:val="000000" w:themeColor="text1"/>
        </w:rPr>
        <w:t>,</w:t>
      </w:r>
      <w:r w:rsidRPr="00217865">
        <w:rPr>
          <w:color w:val="000000" w:themeColor="text1"/>
        </w:rPr>
        <w:t xml:space="preserve"> and United Kingdom</w:t>
      </w:r>
      <w:r w:rsidR="00EF1F67" w:rsidRPr="00217865">
        <w:rPr>
          <w:color w:val="000000" w:themeColor="text1"/>
        </w:rPr>
        <w:t>, 2019-2023</w:t>
      </w:r>
      <w:r w:rsidRPr="00217865">
        <w:rPr>
          <w:color w:val="000000" w:themeColor="text1"/>
        </w:rPr>
        <w:t xml:space="preserve"> (% positive rating)</w:t>
      </w:r>
      <w:bookmarkEnd w:id="123"/>
    </w:p>
    <w:p w14:paraId="20662495" w14:textId="2B0F2742" w:rsidR="00821227" w:rsidRPr="00217865" w:rsidRDefault="003D3AF7" w:rsidP="00821227">
      <w:pPr>
        <w:pStyle w:val="Noteupdate"/>
        <w:rPr>
          <w:color w:val="000000" w:themeColor="text1"/>
          <w:highlight w:val="yellow"/>
        </w:rPr>
      </w:pPr>
      <w:r w:rsidRPr="00217865">
        <w:rPr>
          <w:noProof/>
          <w:color w:val="000000" w:themeColor="text1"/>
        </w:rPr>
        <w:drawing>
          <wp:inline distT="0" distB="0" distL="0" distR="0" wp14:anchorId="59525A4F" wp14:editId="626CA8E3">
            <wp:extent cx="6642100" cy="3649345"/>
            <wp:effectExtent l="0" t="0" r="6350" b="8255"/>
            <wp:docPr id="642865174" name="Chart 1">
              <a:extLst xmlns:a="http://schemas.openxmlformats.org/drawingml/2006/main">
                <a:ext uri="{FF2B5EF4-FFF2-40B4-BE49-F238E27FC236}">
                  <a16:creationId xmlns:a16="http://schemas.microsoft.com/office/drawing/2014/main" id="{9B0BB468-7FCF-4B1F-A795-A7F49A0C227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65B41EB" w14:textId="77777777" w:rsidR="00D96A2C" w:rsidRPr="00813BE5" w:rsidRDefault="00D96A2C" w:rsidP="009A7C62">
      <w:pPr>
        <w:pStyle w:val="Noteupdate"/>
        <w:rPr>
          <w:rFonts w:eastAsiaTheme="minorHAnsi"/>
          <w:color w:val="000000" w:themeColor="text1"/>
          <w:sz w:val="18"/>
          <w:szCs w:val="18"/>
        </w:rPr>
      </w:pPr>
      <w:r w:rsidRPr="00813BE5">
        <w:rPr>
          <w:rFonts w:eastAsiaTheme="minorHAnsi"/>
          <w:color w:val="000000" w:themeColor="text1"/>
          <w:sz w:val="18"/>
          <w:szCs w:val="18"/>
        </w:rPr>
        <w:t>* Data for USA are not available for 2021 and 2023.</w:t>
      </w:r>
    </w:p>
    <w:p w14:paraId="4837AB4A" w14:textId="7D912B6E" w:rsidR="005A5905" w:rsidRPr="00217865" w:rsidRDefault="00D96A2C" w:rsidP="0095648F">
      <w:pPr>
        <w:pStyle w:val="Noteupdate"/>
        <w:rPr>
          <w:rFonts w:eastAsiaTheme="majorEastAsia"/>
          <w:b/>
          <w:bCs/>
          <w:color w:val="000000" w:themeColor="text1"/>
          <w:sz w:val="40"/>
          <w:szCs w:val="32"/>
          <w:highlight w:val="yellow"/>
        </w:rPr>
      </w:pPr>
      <w:r w:rsidRPr="00813BE5">
        <w:rPr>
          <w:rFonts w:eastAsiaTheme="minorHAnsi"/>
          <w:color w:val="000000" w:themeColor="text1"/>
          <w:sz w:val="18"/>
          <w:szCs w:val="18"/>
        </w:rPr>
        <w:t>** Data for UK are not available for 2023 as the overall satisfaction item was not administered to higher education institutions in England. Data for Scotland, Wales, and Northern Ireland are not available prior to 2023.</w:t>
      </w:r>
      <w:bookmarkStart w:id="124" w:name="_Toc531104115"/>
      <w:bookmarkStart w:id="125" w:name="_Toc531104120"/>
      <w:bookmarkEnd w:id="13"/>
      <w:r w:rsidR="005A5905" w:rsidRPr="00217865">
        <w:rPr>
          <w:color w:val="000000" w:themeColor="text1"/>
          <w:highlight w:val="yellow"/>
        </w:rPr>
        <w:br w:type="page"/>
      </w:r>
    </w:p>
    <w:p w14:paraId="1AB30828" w14:textId="53D6EEE3" w:rsidR="005A5905" w:rsidRPr="00217865" w:rsidRDefault="005A5905" w:rsidP="00535E2A">
      <w:pPr>
        <w:pStyle w:val="AppendixHeading"/>
        <w:numPr>
          <w:ilvl w:val="0"/>
          <w:numId w:val="44"/>
        </w:numPr>
        <w:rPr>
          <w:rFonts w:cs="Arial"/>
          <w:color w:val="000000" w:themeColor="text1"/>
        </w:rPr>
      </w:pPr>
      <w:bookmarkStart w:id="126" w:name="_Toc167872799"/>
      <w:bookmarkStart w:id="127" w:name="_Toc178599297"/>
      <w:r w:rsidRPr="00217865">
        <w:rPr>
          <w:rFonts w:cs="Arial"/>
          <w:color w:val="000000" w:themeColor="text1"/>
        </w:rPr>
        <w:lastRenderedPageBreak/>
        <w:t>Methodolog</w:t>
      </w:r>
      <w:bookmarkStart w:id="128" w:name="_Toc509240180"/>
      <w:bookmarkStart w:id="129" w:name="_Toc531104116"/>
      <w:bookmarkEnd w:id="124"/>
      <w:r w:rsidR="00503CCB" w:rsidRPr="00217865">
        <w:rPr>
          <w:rFonts w:cs="Arial"/>
          <w:color w:val="000000" w:themeColor="text1"/>
        </w:rPr>
        <w:t>ical summary</w:t>
      </w:r>
      <w:bookmarkEnd w:id="126"/>
      <w:bookmarkEnd w:id="127"/>
    </w:p>
    <w:p w14:paraId="5546B32B" w14:textId="2560E648" w:rsidR="005A5905" w:rsidRPr="00217865" w:rsidRDefault="005A5905" w:rsidP="00E13525">
      <w:pPr>
        <w:pStyle w:val="Appendix2"/>
        <w:ind w:left="1134" w:hanging="1134"/>
      </w:pPr>
      <w:bookmarkStart w:id="130" w:name="_Toc167872800"/>
      <w:bookmarkStart w:id="131" w:name="_Toc178599298"/>
      <w:bookmarkStart w:id="132" w:name="_Hlk57989103"/>
      <w:bookmarkEnd w:id="128"/>
      <w:bookmarkEnd w:id="129"/>
      <w:r w:rsidRPr="00217865">
        <w:t>Overview</w:t>
      </w:r>
      <w:bookmarkEnd w:id="130"/>
      <w:bookmarkEnd w:id="131"/>
    </w:p>
    <w:bookmarkEnd w:id="132"/>
    <w:p w14:paraId="2AFA0CE4" w14:textId="594394C4" w:rsidR="00F65500" w:rsidRPr="00217865" w:rsidRDefault="00821227" w:rsidP="00821227">
      <w:pPr>
        <w:pStyle w:val="Body"/>
        <w:rPr>
          <w:rFonts w:cs="Arial"/>
          <w:color w:val="000000" w:themeColor="text1"/>
        </w:rPr>
      </w:pPr>
      <w:r w:rsidRPr="00217865">
        <w:rPr>
          <w:rFonts w:cs="Arial"/>
          <w:color w:val="000000" w:themeColor="text1"/>
        </w:rPr>
        <w:t xml:space="preserve">The target population for the SES is commencing and later-year </w:t>
      </w:r>
      <w:r w:rsidR="002F20D4" w:rsidRPr="00217865">
        <w:rPr>
          <w:rFonts w:cs="Arial"/>
          <w:color w:val="000000" w:themeColor="text1"/>
        </w:rPr>
        <w:t>onshore</w:t>
      </w:r>
      <w:r w:rsidRPr="00217865">
        <w:rPr>
          <w:rFonts w:cs="Arial"/>
          <w:color w:val="000000" w:themeColor="text1"/>
        </w:rPr>
        <w:t xml:space="preserve"> undergraduate and postgraduate coursework students currently enrolled in Australian higher education institutions. As introduced in 2020, the target population also included students who intended to study </w:t>
      </w:r>
      <w:r w:rsidR="002F20D4" w:rsidRPr="00217865">
        <w:rPr>
          <w:rFonts w:cs="Arial"/>
          <w:color w:val="000000" w:themeColor="text1"/>
        </w:rPr>
        <w:t>onshore</w:t>
      </w:r>
      <w:r w:rsidRPr="00217865">
        <w:rPr>
          <w:rFonts w:cs="Arial"/>
          <w:color w:val="000000" w:themeColor="text1"/>
        </w:rPr>
        <w:t xml:space="preserve"> but were </w:t>
      </w:r>
      <w:r w:rsidR="00CD1409" w:rsidRPr="00217865">
        <w:rPr>
          <w:rFonts w:cs="Arial"/>
          <w:color w:val="000000" w:themeColor="text1"/>
        </w:rPr>
        <w:t>offshore</w:t>
      </w:r>
      <w:r w:rsidRPr="00217865">
        <w:rPr>
          <w:rFonts w:cs="Arial"/>
          <w:color w:val="000000" w:themeColor="text1"/>
        </w:rPr>
        <w:t xml:space="preserve"> at the time of the survey’s administration due to travel restrictions resulting from the COVID-19 pandemic. </w:t>
      </w:r>
    </w:p>
    <w:p w14:paraId="7D8F575A" w14:textId="3864B243" w:rsidR="00821227" w:rsidRPr="00217865" w:rsidRDefault="00821227" w:rsidP="00821227">
      <w:pPr>
        <w:pStyle w:val="Body"/>
        <w:rPr>
          <w:rFonts w:cs="Arial"/>
          <w:color w:val="000000" w:themeColor="text1"/>
        </w:rPr>
      </w:pPr>
      <w:r w:rsidRPr="00217865">
        <w:rPr>
          <w:rFonts w:cs="Arial"/>
          <w:color w:val="000000" w:themeColor="text1"/>
        </w:rPr>
        <w:t>Strata for the SES are defined based on institution, study area (45), course level (undergraduate or postgraduate coursework) and stage of studies (i.e. commencing or later year).</w:t>
      </w:r>
      <w:r w:rsidR="00E04D6B" w:rsidRPr="00217865">
        <w:rPr>
          <w:rFonts w:cs="Arial"/>
          <w:color w:val="000000" w:themeColor="text1"/>
        </w:rPr>
        <w:t xml:space="preserve"> </w:t>
      </w:r>
      <w:r w:rsidRPr="00217865">
        <w:rPr>
          <w:rFonts w:cs="Arial"/>
          <w:color w:val="000000" w:themeColor="text1"/>
        </w:rPr>
        <w:t xml:space="preserve">Given a desire to report stratum-level results at a level of precision of ±7.5 percentage points at a 90 per cent level of confidence, the SES is effectively a census of commencing and later year students, </w:t>
      </w:r>
      <w:proofErr w:type="gramStart"/>
      <w:r w:rsidRPr="00217865">
        <w:rPr>
          <w:rFonts w:cs="Arial"/>
          <w:color w:val="000000" w:themeColor="text1"/>
        </w:rPr>
        <w:t>with the exception of</w:t>
      </w:r>
      <w:proofErr w:type="gramEnd"/>
      <w:r w:rsidRPr="00217865">
        <w:rPr>
          <w:rFonts w:cs="Arial"/>
          <w:color w:val="000000" w:themeColor="text1"/>
        </w:rPr>
        <w:t xml:space="preserve"> universities offering a generalist degree, such as the University of Melbourne and University of Western Australia.</w:t>
      </w:r>
    </w:p>
    <w:p w14:paraId="7F17041D" w14:textId="432064AC" w:rsidR="00821227" w:rsidRPr="00217865" w:rsidRDefault="00821227" w:rsidP="00821227">
      <w:pPr>
        <w:pStyle w:val="Body"/>
        <w:rPr>
          <w:rFonts w:cs="Arial"/>
          <w:color w:val="000000" w:themeColor="text1"/>
        </w:rPr>
      </w:pPr>
      <w:r w:rsidRPr="00217865">
        <w:rPr>
          <w:rFonts w:cs="Arial"/>
          <w:color w:val="000000" w:themeColor="text1"/>
        </w:rPr>
        <w:t xml:space="preserve">Up until 2019, the SES used a centralised approach to sampling based on Submission 1 data extracted from the Higher Education Information Management System (HEIMS). Full population templates were used </w:t>
      </w:r>
      <w:r w:rsidR="004E36D9" w:rsidRPr="00217865">
        <w:rPr>
          <w:rFonts w:cs="Arial"/>
          <w:color w:val="000000" w:themeColor="text1"/>
        </w:rPr>
        <w:t xml:space="preserve">in </w:t>
      </w:r>
      <w:r w:rsidRPr="00217865">
        <w:rPr>
          <w:rFonts w:cs="Arial"/>
          <w:color w:val="000000" w:themeColor="text1"/>
        </w:rPr>
        <w:t>2020 and 202</w:t>
      </w:r>
      <w:r w:rsidR="004E36D9" w:rsidRPr="00217865">
        <w:rPr>
          <w:rFonts w:cs="Arial"/>
          <w:color w:val="000000" w:themeColor="text1"/>
        </w:rPr>
        <w:t>1</w:t>
      </w:r>
      <w:r w:rsidRPr="00217865">
        <w:rPr>
          <w:rFonts w:cs="Arial"/>
          <w:color w:val="000000" w:themeColor="text1"/>
        </w:rPr>
        <w:t xml:space="preserve"> to source the sample directly from institutions due to delays in the Tertiary Collection of Student Information (TCSI) migration. Given that most institutions were reporting to TCSI by 202</w:t>
      </w:r>
      <w:r w:rsidR="004E36D9" w:rsidRPr="00217865">
        <w:rPr>
          <w:rFonts w:cs="Arial"/>
          <w:color w:val="000000" w:themeColor="text1"/>
        </w:rPr>
        <w:t>2</w:t>
      </w:r>
      <w:r w:rsidRPr="00217865">
        <w:rPr>
          <w:rFonts w:cs="Arial"/>
          <w:color w:val="000000" w:themeColor="text1"/>
        </w:rPr>
        <w:t>, a centralised approach was resumed, and the sample population was sourced from TCSI. For more detailed information about this process, please refer to the 2023 SES Methodological Report available on the QILT website.</w:t>
      </w:r>
    </w:p>
    <w:p w14:paraId="3105C672" w14:textId="5B803831" w:rsidR="00821227" w:rsidRPr="00217865" w:rsidRDefault="001B2C4C" w:rsidP="00821227">
      <w:pPr>
        <w:pStyle w:val="Body"/>
        <w:rPr>
          <w:rFonts w:cs="Arial"/>
          <w:color w:val="000000" w:themeColor="text1"/>
        </w:rPr>
      </w:pPr>
      <w:r w:rsidRPr="001E2723">
        <w:rPr>
          <w:rFonts w:cs="Arial"/>
          <w:b/>
          <w:color w:val="000000" w:themeColor="text1"/>
        </w:rPr>
        <w:fldChar w:fldCharType="begin"/>
      </w:r>
      <w:r w:rsidRPr="001E2723">
        <w:rPr>
          <w:rFonts w:cs="Arial"/>
          <w:b/>
          <w:color w:val="000000" w:themeColor="text1"/>
        </w:rPr>
        <w:instrText xml:space="preserve"> REF _Ref64210635 \h </w:instrText>
      </w:r>
      <w:r w:rsidR="00A6216F" w:rsidRPr="001E2723">
        <w:rPr>
          <w:rFonts w:cs="Arial"/>
          <w:b/>
          <w:color w:val="000000" w:themeColor="text1"/>
        </w:rPr>
        <w:instrText xml:space="preserve"> \* MERGEFORMAT </w:instrText>
      </w:r>
      <w:r w:rsidRPr="001E2723">
        <w:rPr>
          <w:rFonts w:cs="Arial"/>
          <w:b/>
          <w:color w:val="000000" w:themeColor="text1"/>
        </w:rPr>
      </w:r>
      <w:r w:rsidRPr="001E2723">
        <w:rPr>
          <w:rFonts w:cs="Arial"/>
          <w:b/>
          <w:color w:val="000000" w:themeColor="text1"/>
        </w:rPr>
        <w:fldChar w:fldCharType="separate"/>
      </w:r>
      <w:r w:rsidR="005D5678" w:rsidRPr="001E2723">
        <w:rPr>
          <w:rFonts w:cs="Arial"/>
          <w:b/>
          <w:color w:val="000000" w:themeColor="text1"/>
        </w:rPr>
        <w:t xml:space="preserve">Table </w:t>
      </w:r>
      <w:r w:rsidR="005D5678" w:rsidRPr="001E2723">
        <w:rPr>
          <w:rFonts w:cs="Arial"/>
          <w:b/>
          <w:noProof/>
          <w:color w:val="000000" w:themeColor="text1"/>
        </w:rPr>
        <w:t>12</w:t>
      </w:r>
      <w:r w:rsidRPr="001E2723">
        <w:rPr>
          <w:rFonts w:cs="Arial"/>
          <w:b/>
          <w:color w:val="000000" w:themeColor="text1"/>
        </w:rPr>
        <w:fldChar w:fldCharType="end"/>
      </w:r>
      <w:r w:rsidR="00821227" w:rsidRPr="00217865">
        <w:rPr>
          <w:rFonts w:cs="Arial"/>
          <w:color w:val="000000" w:themeColor="text1"/>
        </w:rPr>
        <w:t xml:space="preserve"> provides an operational summary of the 2023 SES. A total of 208,604 international students from 134 institutions were approached to participate in the SES. From a final in-scope sample of 196,653 students, responses were received from a total of 71,479 students which equated to 72,229 valid course level survey responses once combined and double degrees were </w:t>
      </w:r>
      <w:proofErr w:type="gramStart"/>
      <w:r w:rsidR="00821227" w:rsidRPr="00217865">
        <w:rPr>
          <w:rFonts w:cs="Arial"/>
          <w:color w:val="000000" w:themeColor="text1"/>
        </w:rPr>
        <w:t>taken into account</w:t>
      </w:r>
      <w:proofErr w:type="gramEnd"/>
      <w:r w:rsidR="00821227" w:rsidRPr="00217865">
        <w:rPr>
          <w:rFonts w:cs="Arial"/>
          <w:color w:val="000000" w:themeColor="text1"/>
        </w:rPr>
        <w:t xml:space="preserve">. This represents an overall response rate of 36.3 per cent. </w:t>
      </w:r>
    </w:p>
    <w:p w14:paraId="4840FC26" w14:textId="4A76BBE1" w:rsidR="00821227" w:rsidRPr="00217865" w:rsidRDefault="00821227" w:rsidP="0081215D">
      <w:pPr>
        <w:pStyle w:val="Tabletitle"/>
        <w:rPr>
          <w:i/>
          <w:iCs/>
        </w:rPr>
      </w:pPr>
      <w:bookmarkStart w:id="133" w:name="_Ref64210635"/>
      <w:bookmarkStart w:id="134" w:name="_Toc178599377"/>
      <w:r w:rsidRPr="00217865">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12</w:t>
      </w:r>
      <w:r w:rsidRPr="00217865">
        <w:rPr>
          <w:i/>
          <w:iCs/>
        </w:rPr>
        <w:fldChar w:fldCharType="end"/>
      </w:r>
      <w:bookmarkEnd w:id="133"/>
      <w:r w:rsidR="00813BE5">
        <w:tab/>
      </w:r>
      <w:r w:rsidRPr="00217865">
        <w:t>2023 SES operational overview: international undergraduate and postgraduate coursework</w:t>
      </w:r>
      <w:bookmarkEnd w:id="134"/>
    </w:p>
    <w:tbl>
      <w:tblPr>
        <w:tblW w:w="4815" w:type="pct"/>
        <w:tblLayout w:type="fixed"/>
        <w:tblCellMar>
          <w:left w:w="0" w:type="dxa"/>
          <w:right w:w="0" w:type="dxa"/>
        </w:tblCellMar>
        <w:tblLook w:val="0000" w:firstRow="0" w:lastRow="0" w:firstColumn="0" w:lastColumn="0" w:noHBand="0" w:noVBand="0"/>
      </w:tblPr>
      <w:tblGrid>
        <w:gridCol w:w="4503"/>
        <w:gridCol w:w="1854"/>
        <w:gridCol w:w="1854"/>
        <w:gridCol w:w="1852"/>
      </w:tblGrid>
      <w:tr w:rsidR="00217865" w:rsidRPr="00217865" w14:paraId="06CA2D67" w14:textId="77777777" w:rsidTr="001E4C62">
        <w:trPr>
          <w:trHeight w:val="60"/>
          <w:tblHeader/>
        </w:trPr>
        <w:tc>
          <w:tcPr>
            <w:tcW w:w="2238" w:type="pct"/>
            <w:tcBorders>
              <w:top w:val="single" w:sz="4" w:space="0" w:color="000000"/>
              <w:left w:val="single" w:sz="4" w:space="0" w:color="000000"/>
              <w:bottom w:val="single" w:sz="4" w:space="0" w:color="000000"/>
              <w:right w:val="single" w:sz="4" w:space="0" w:color="000000"/>
            </w:tcBorders>
            <w:tcMar>
              <w:top w:w="113" w:type="dxa"/>
              <w:left w:w="80" w:type="dxa"/>
              <w:bottom w:w="113" w:type="dxa"/>
              <w:right w:w="57" w:type="dxa"/>
            </w:tcMar>
            <w:vAlign w:val="bottom"/>
          </w:tcPr>
          <w:p w14:paraId="00162536" w14:textId="77777777" w:rsidR="00821227" w:rsidRPr="00217865" w:rsidRDefault="00821227" w:rsidP="001E4C62">
            <w:pPr>
              <w:pStyle w:val="zz"/>
              <w:framePr w:wrap="auto"/>
              <w:spacing w:before="60" w:after="60"/>
              <w:jc w:val="left"/>
              <w:rPr>
                <w:rFonts w:ascii="Arial" w:hAnsi="Arial" w:cs="Arial"/>
                <w:color w:val="000000" w:themeColor="text1"/>
                <w:lang w:val="en-US"/>
              </w:rPr>
            </w:pPr>
            <w:r w:rsidRPr="00217865">
              <w:rPr>
                <w:rFonts w:ascii="Arial" w:hAnsi="Arial" w:cs="Arial"/>
                <w:color w:val="000000" w:themeColor="text1"/>
              </w:rPr>
              <w:t>Project element</w:t>
            </w:r>
            <w:bookmarkStart w:id="135" w:name="Title_12"/>
            <w:bookmarkEnd w:id="135"/>
          </w:p>
        </w:tc>
        <w:tc>
          <w:tcPr>
            <w:tcW w:w="921" w:type="pct"/>
            <w:tcBorders>
              <w:top w:val="single" w:sz="4" w:space="0" w:color="000000"/>
              <w:left w:val="single" w:sz="4" w:space="0" w:color="000000"/>
              <w:bottom w:val="single" w:sz="4" w:space="0" w:color="000000"/>
              <w:right w:val="single" w:sz="4" w:space="0" w:color="000000"/>
            </w:tcBorders>
            <w:vAlign w:val="bottom"/>
          </w:tcPr>
          <w:p w14:paraId="6C9E2F34"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Universities</w:t>
            </w:r>
          </w:p>
        </w:tc>
        <w:tc>
          <w:tcPr>
            <w:tcW w:w="921" w:type="pct"/>
            <w:tcBorders>
              <w:top w:val="single" w:sz="4" w:space="0" w:color="000000"/>
              <w:left w:val="single" w:sz="4" w:space="0" w:color="000000"/>
              <w:bottom w:val="single" w:sz="4" w:space="0" w:color="000000"/>
              <w:right w:val="single" w:sz="4" w:space="0" w:color="000000"/>
            </w:tcBorders>
            <w:vAlign w:val="bottom"/>
          </w:tcPr>
          <w:p w14:paraId="0B85CCA4"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NUHEIs</w:t>
            </w:r>
          </w:p>
        </w:tc>
        <w:tc>
          <w:tcPr>
            <w:tcW w:w="920" w:type="pct"/>
            <w:tcBorders>
              <w:top w:val="single" w:sz="4" w:space="0" w:color="000000"/>
              <w:left w:val="single" w:sz="4" w:space="0" w:color="000000"/>
              <w:bottom w:val="single" w:sz="4" w:space="0" w:color="000000"/>
              <w:right w:val="single" w:sz="4" w:space="0" w:color="000000"/>
            </w:tcBorders>
            <w:vAlign w:val="bottom"/>
          </w:tcPr>
          <w:p w14:paraId="27085C50"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Total</w:t>
            </w:r>
          </w:p>
        </w:tc>
      </w:tr>
      <w:tr w:rsidR="00217865" w:rsidRPr="00217865" w14:paraId="251A86B7"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153C6EB6"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Number of participating institutions</w:t>
            </w:r>
          </w:p>
        </w:tc>
        <w:tc>
          <w:tcPr>
            <w:tcW w:w="921" w:type="pct"/>
            <w:tcBorders>
              <w:top w:val="single" w:sz="4" w:space="0" w:color="000000"/>
              <w:left w:val="single" w:sz="4" w:space="0" w:color="000000"/>
              <w:bottom w:val="single" w:sz="4" w:space="0" w:color="000000"/>
              <w:right w:val="single" w:sz="4" w:space="0" w:color="000000"/>
            </w:tcBorders>
            <w:vAlign w:val="center"/>
          </w:tcPr>
          <w:p w14:paraId="4A6FE8A0"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42</w:t>
            </w:r>
          </w:p>
        </w:tc>
        <w:tc>
          <w:tcPr>
            <w:tcW w:w="921" w:type="pct"/>
            <w:tcBorders>
              <w:top w:val="single" w:sz="4" w:space="0" w:color="000000"/>
              <w:left w:val="single" w:sz="4" w:space="0" w:color="000000"/>
              <w:bottom w:val="single" w:sz="4" w:space="0" w:color="000000"/>
              <w:right w:val="single" w:sz="4" w:space="0" w:color="000000"/>
            </w:tcBorders>
            <w:vAlign w:val="center"/>
          </w:tcPr>
          <w:p w14:paraId="423C17EB" w14:textId="77777777" w:rsidR="00821227" w:rsidRPr="00217865" w:rsidRDefault="00821227" w:rsidP="001E4C62">
            <w:pPr>
              <w:pStyle w:val="Z"/>
              <w:spacing w:before="60" w:after="60"/>
              <w:jc w:val="center"/>
              <w:rPr>
                <w:color w:val="000000" w:themeColor="text1"/>
                <w:szCs w:val="18"/>
              </w:rPr>
            </w:pPr>
            <w:r w:rsidRPr="00217865">
              <w:rPr>
                <w:color w:val="000000" w:themeColor="text1"/>
              </w:rPr>
              <w:t>92</w:t>
            </w:r>
          </w:p>
        </w:tc>
        <w:tc>
          <w:tcPr>
            <w:tcW w:w="920" w:type="pct"/>
            <w:tcBorders>
              <w:top w:val="single" w:sz="4" w:space="0" w:color="000000"/>
              <w:left w:val="single" w:sz="4" w:space="0" w:color="000000"/>
              <w:bottom w:val="single" w:sz="4" w:space="0" w:color="000000"/>
              <w:right w:val="single" w:sz="4" w:space="0" w:color="000000"/>
            </w:tcBorders>
            <w:vAlign w:val="center"/>
          </w:tcPr>
          <w:p w14:paraId="166E6B64" w14:textId="77777777" w:rsidR="00821227" w:rsidRPr="00217865" w:rsidRDefault="00821227" w:rsidP="001E4C62">
            <w:pPr>
              <w:pStyle w:val="Z"/>
              <w:spacing w:before="60" w:after="60"/>
              <w:jc w:val="center"/>
              <w:rPr>
                <w:color w:val="000000" w:themeColor="text1"/>
                <w:szCs w:val="18"/>
              </w:rPr>
            </w:pPr>
            <w:r w:rsidRPr="00217865">
              <w:rPr>
                <w:color w:val="000000" w:themeColor="text1"/>
              </w:rPr>
              <w:t>134</w:t>
            </w:r>
          </w:p>
        </w:tc>
      </w:tr>
      <w:tr w:rsidR="00217865" w:rsidRPr="00217865" w14:paraId="0AB137D3"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05AED47B"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Number of students approached</w:t>
            </w:r>
          </w:p>
        </w:tc>
        <w:tc>
          <w:tcPr>
            <w:tcW w:w="921" w:type="pct"/>
            <w:tcBorders>
              <w:top w:val="single" w:sz="4" w:space="0" w:color="000000"/>
              <w:left w:val="single" w:sz="4" w:space="0" w:color="000000"/>
              <w:bottom w:val="single" w:sz="4" w:space="0" w:color="000000"/>
              <w:right w:val="single" w:sz="4" w:space="0" w:color="000000"/>
            </w:tcBorders>
            <w:vAlign w:val="center"/>
          </w:tcPr>
          <w:p w14:paraId="1F1A166D"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173,553</w:t>
            </w:r>
          </w:p>
        </w:tc>
        <w:tc>
          <w:tcPr>
            <w:tcW w:w="921" w:type="pct"/>
            <w:tcBorders>
              <w:top w:val="single" w:sz="4" w:space="0" w:color="000000"/>
              <w:left w:val="single" w:sz="4" w:space="0" w:color="000000"/>
              <w:bottom w:val="single" w:sz="4" w:space="0" w:color="000000"/>
              <w:right w:val="single" w:sz="4" w:space="0" w:color="000000"/>
            </w:tcBorders>
            <w:vAlign w:val="center"/>
          </w:tcPr>
          <w:p w14:paraId="46DB1FBA"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35,051</w:t>
            </w:r>
          </w:p>
        </w:tc>
        <w:tc>
          <w:tcPr>
            <w:tcW w:w="920" w:type="pct"/>
            <w:tcBorders>
              <w:top w:val="single" w:sz="4" w:space="0" w:color="000000"/>
              <w:left w:val="single" w:sz="4" w:space="0" w:color="000000"/>
              <w:bottom w:val="single" w:sz="4" w:space="0" w:color="000000"/>
              <w:right w:val="single" w:sz="4" w:space="0" w:color="000000"/>
            </w:tcBorders>
            <w:vAlign w:val="center"/>
          </w:tcPr>
          <w:p w14:paraId="5F5CEB06"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208,604</w:t>
            </w:r>
          </w:p>
        </w:tc>
      </w:tr>
      <w:tr w:rsidR="00217865" w:rsidRPr="00217865" w14:paraId="4CBBDAD1" w14:textId="77777777" w:rsidTr="001E4C62">
        <w:trPr>
          <w:trHeight w:val="176"/>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4BB749AE"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Final 'in-scope' sample</w:t>
            </w:r>
          </w:p>
        </w:tc>
        <w:tc>
          <w:tcPr>
            <w:tcW w:w="921" w:type="pct"/>
            <w:tcBorders>
              <w:top w:val="single" w:sz="4" w:space="0" w:color="000000"/>
              <w:left w:val="single" w:sz="4" w:space="0" w:color="000000"/>
              <w:bottom w:val="single" w:sz="4" w:space="0" w:color="000000"/>
              <w:right w:val="single" w:sz="4" w:space="0" w:color="000000"/>
            </w:tcBorders>
            <w:vAlign w:val="center"/>
          </w:tcPr>
          <w:p w14:paraId="5192829C"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163,914</w:t>
            </w:r>
          </w:p>
        </w:tc>
        <w:tc>
          <w:tcPr>
            <w:tcW w:w="921" w:type="pct"/>
            <w:tcBorders>
              <w:top w:val="single" w:sz="4" w:space="0" w:color="000000"/>
              <w:left w:val="single" w:sz="4" w:space="0" w:color="000000"/>
              <w:bottom w:val="single" w:sz="4" w:space="0" w:color="000000"/>
              <w:right w:val="single" w:sz="4" w:space="0" w:color="000000"/>
            </w:tcBorders>
            <w:vAlign w:val="center"/>
          </w:tcPr>
          <w:p w14:paraId="7CA971CF"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32,739</w:t>
            </w:r>
          </w:p>
        </w:tc>
        <w:tc>
          <w:tcPr>
            <w:tcW w:w="920" w:type="pct"/>
            <w:tcBorders>
              <w:top w:val="single" w:sz="4" w:space="0" w:color="000000"/>
              <w:left w:val="single" w:sz="4" w:space="0" w:color="000000"/>
              <w:bottom w:val="single" w:sz="4" w:space="0" w:color="000000"/>
              <w:right w:val="single" w:sz="4" w:space="0" w:color="000000"/>
            </w:tcBorders>
            <w:vAlign w:val="center"/>
          </w:tcPr>
          <w:p w14:paraId="0B801BEC"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196,653</w:t>
            </w:r>
          </w:p>
        </w:tc>
      </w:tr>
      <w:tr w:rsidR="00217865" w:rsidRPr="00217865" w14:paraId="1DE35DBC"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0" w:type="dxa"/>
            </w:tcMar>
            <w:vAlign w:val="center"/>
          </w:tcPr>
          <w:p w14:paraId="5DC65299"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Number of completed surveys (student level)</w:t>
            </w:r>
          </w:p>
        </w:tc>
        <w:tc>
          <w:tcPr>
            <w:tcW w:w="921" w:type="pct"/>
            <w:tcBorders>
              <w:top w:val="single" w:sz="4" w:space="0" w:color="000000"/>
              <w:left w:val="single" w:sz="4" w:space="0" w:color="000000"/>
              <w:bottom w:val="single" w:sz="4" w:space="0" w:color="000000"/>
              <w:right w:val="single" w:sz="4" w:space="0" w:color="000000"/>
            </w:tcBorders>
            <w:vAlign w:val="center"/>
          </w:tcPr>
          <w:p w14:paraId="1C5BAD26"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57,923</w:t>
            </w:r>
          </w:p>
        </w:tc>
        <w:tc>
          <w:tcPr>
            <w:tcW w:w="921" w:type="pct"/>
            <w:tcBorders>
              <w:top w:val="single" w:sz="4" w:space="0" w:color="000000"/>
              <w:left w:val="single" w:sz="4" w:space="0" w:color="000000"/>
              <w:bottom w:val="single" w:sz="4" w:space="0" w:color="000000"/>
              <w:right w:val="single" w:sz="4" w:space="0" w:color="000000"/>
            </w:tcBorders>
            <w:vAlign w:val="center"/>
          </w:tcPr>
          <w:p w14:paraId="040E3E0F"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13,556</w:t>
            </w:r>
          </w:p>
        </w:tc>
        <w:tc>
          <w:tcPr>
            <w:tcW w:w="920" w:type="pct"/>
            <w:tcBorders>
              <w:top w:val="single" w:sz="4" w:space="0" w:color="000000"/>
              <w:left w:val="single" w:sz="4" w:space="0" w:color="000000"/>
              <w:bottom w:val="single" w:sz="4" w:space="0" w:color="000000"/>
              <w:right w:val="single" w:sz="4" w:space="0" w:color="000000"/>
            </w:tcBorders>
            <w:vAlign w:val="center"/>
          </w:tcPr>
          <w:p w14:paraId="316F8238"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71,479</w:t>
            </w:r>
          </w:p>
        </w:tc>
      </w:tr>
      <w:tr w:rsidR="00217865" w:rsidRPr="00217865" w14:paraId="5F247A8B"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368FC266" w14:textId="77777777" w:rsidR="00821227" w:rsidRPr="00217865" w:rsidRDefault="00821227" w:rsidP="001E4C62">
            <w:pPr>
              <w:pStyle w:val="Tabletext"/>
              <w:spacing w:before="60" w:after="60"/>
              <w:rPr>
                <w:rStyle w:val="Body02BOLD"/>
                <w:b w:val="0"/>
                <w:bCs/>
                <w:color w:val="000000" w:themeColor="text1"/>
              </w:rPr>
            </w:pPr>
            <w:bookmarkStart w:id="136" w:name="_Hlk27733866"/>
            <w:r w:rsidRPr="00217865">
              <w:rPr>
                <w:rFonts w:cs="Arial"/>
                <w:color w:val="000000" w:themeColor="text1"/>
              </w:rPr>
              <w:t>Number of completed surveys (course level)</w:t>
            </w:r>
          </w:p>
        </w:tc>
        <w:tc>
          <w:tcPr>
            <w:tcW w:w="921" w:type="pct"/>
            <w:tcBorders>
              <w:top w:val="single" w:sz="4" w:space="0" w:color="000000"/>
              <w:left w:val="single" w:sz="4" w:space="0" w:color="000000"/>
              <w:bottom w:val="single" w:sz="4" w:space="0" w:color="000000"/>
              <w:right w:val="single" w:sz="4" w:space="0" w:color="000000"/>
            </w:tcBorders>
            <w:vAlign w:val="center"/>
          </w:tcPr>
          <w:p w14:paraId="4421995F"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58,648</w:t>
            </w:r>
          </w:p>
        </w:tc>
        <w:tc>
          <w:tcPr>
            <w:tcW w:w="921" w:type="pct"/>
            <w:tcBorders>
              <w:top w:val="single" w:sz="4" w:space="0" w:color="000000"/>
              <w:left w:val="single" w:sz="4" w:space="0" w:color="000000"/>
              <w:bottom w:val="single" w:sz="4" w:space="0" w:color="000000"/>
              <w:right w:val="single" w:sz="4" w:space="0" w:color="000000"/>
            </w:tcBorders>
            <w:vAlign w:val="center"/>
          </w:tcPr>
          <w:p w14:paraId="5805B4F1"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13,581</w:t>
            </w:r>
          </w:p>
        </w:tc>
        <w:tc>
          <w:tcPr>
            <w:tcW w:w="920" w:type="pct"/>
            <w:tcBorders>
              <w:top w:val="single" w:sz="4" w:space="0" w:color="000000"/>
              <w:left w:val="single" w:sz="4" w:space="0" w:color="000000"/>
              <w:bottom w:val="single" w:sz="4" w:space="0" w:color="000000"/>
              <w:right w:val="single" w:sz="4" w:space="0" w:color="000000"/>
            </w:tcBorders>
            <w:vAlign w:val="center"/>
          </w:tcPr>
          <w:p w14:paraId="6DFB5CD0"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72,229</w:t>
            </w:r>
          </w:p>
        </w:tc>
      </w:tr>
      <w:bookmarkEnd w:id="136"/>
      <w:tr w:rsidR="00217865" w:rsidRPr="00217865" w14:paraId="77BF4F76"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0" w:type="dxa"/>
            </w:tcMar>
            <w:vAlign w:val="center"/>
          </w:tcPr>
          <w:p w14:paraId="157DFE64"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Overall response rate (%)</w:t>
            </w:r>
          </w:p>
        </w:tc>
        <w:tc>
          <w:tcPr>
            <w:tcW w:w="921" w:type="pct"/>
            <w:tcBorders>
              <w:top w:val="single" w:sz="4" w:space="0" w:color="000000"/>
              <w:left w:val="single" w:sz="4" w:space="0" w:color="000000"/>
              <w:bottom w:val="single" w:sz="4" w:space="0" w:color="000000"/>
              <w:right w:val="single" w:sz="4" w:space="0" w:color="000000"/>
            </w:tcBorders>
            <w:vAlign w:val="center"/>
          </w:tcPr>
          <w:p w14:paraId="1D94F847"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35.3</w:t>
            </w:r>
          </w:p>
        </w:tc>
        <w:tc>
          <w:tcPr>
            <w:tcW w:w="921" w:type="pct"/>
            <w:tcBorders>
              <w:top w:val="single" w:sz="4" w:space="0" w:color="000000"/>
              <w:left w:val="single" w:sz="4" w:space="0" w:color="000000"/>
              <w:bottom w:val="single" w:sz="4" w:space="0" w:color="000000"/>
              <w:right w:val="single" w:sz="4" w:space="0" w:color="000000"/>
            </w:tcBorders>
            <w:vAlign w:val="center"/>
          </w:tcPr>
          <w:p w14:paraId="77058D3D"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41.4</w:t>
            </w:r>
          </w:p>
        </w:tc>
        <w:tc>
          <w:tcPr>
            <w:tcW w:w="920" w:type="pct"/>
            <w:tcBorders>
              <w:top w:val="single" w:sz="4" w:space="0" w:color="000000"/>
              <w:left w:val="single" w:sz="4" w:space="0" w:color="000000"/>
              <w:bottom w:val="single" w:sz="4" w:space="0" w:color="000000"/>
              <w:right w:val="single" w:sz="4" w:space="0" w:color="000000"/>
            </w:tcBorders>
            <w:vAlign w:val="center"/>
          </w:tcPr>
          <w:p w14:paraId="2B084802"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36.3</w:t>
            </w:r>
          </w:p>
        </w:tc>
      </w:tr>
      <w:tr w:rsidR="00217865" w:rsidRPr="00217865" w14:paraId="5BD3BCBD"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015860CD"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Analytic unit</w:t>
            </w:r>
          </w:p>
        </w:tc>
        <w:tc>
          <w:tcPr>
            <w:tcW w:w="921" w:type="pct"/>
            <w:tcBorders>
              <w:top w:val="single" w:sz="4" w:space="0" w:color="000000"/>
              <w:left w:val="single" w:sz="4" w:space="0" w:color="000000"/>
              <w:bottom w:val="single" w:sz="4" w:space="0" w:color="000000"/>
              <w:right w:val="single" w:sz="4" w:space="0" w:color="000000"/>
            </w:tcBorders>
            <w:vAlign w:val="center"/>
          </w:tcPr>
          <w:p w14:paraId="3686408F"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Course</w:t>
            </w:r>
          </w:p>
        </w:tc>
        <w:tc>
          <w:tcPr>
            <w:tcW w:w="921" w:type="pct"/>
            <w:tcBorders>
              <w:top w:val="single" w:sz="4" w:space="0" w:color="000000"/>
              <w:left w:val="single" w:sz="4" w:space="0" w:color="000000"/>
              <w:bottom w:val="single" w:sz="4" w:space="0" w:color="000000"/>
              <w:right w:val="single" w:sz="4" w:space="0" w:color="000000"/>
            </w:tcBorders>
            <w:vAlign w:val="center"/>
          </w:tcPr>
          <w:p w14:paraId="57678E9B"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Course</w:t>
            </w:r>
          </w:p>
        </w:tc>
        <w:tc>
          <w:tcPr>
            <w:tcW w:w="920" w:type="pct"/>
            <w:tcBorders>
              <w:top w:val="single" w:sz="4" w:space="0" w:color="000000"/>
              <w:left w:val="single" w:sz="4" w:space="0" w:color="000000"/>
              <w:bottom w:val="single" w:sz="4" w:space="0" w:color="000000"/>
              <w:right w:val="single" w:sz="4" w:space="0" w:color="000000"/>
            </w:tcBorders>
            <w:vAlign w:val="center"/>
          </w:tcPr>
          <w:p w14:paraId="3AD6C1C0"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Course</w:t>
            </w:r>
          </w:p>
        </w:tc>
      </w:tr>
      <w:tr w:rsidR="00217865" w:rsidRPr="00217865" w14:paraId="754EF69C"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64FC7E44"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Data collection period</w:t>
            </w:r>
          </w:p>
        </w:tc>
        <w:tc>
          <w:tcPr>
            <w:tcW w:w="921" w:type="pct"/>
            <w:tcBorders>
              <w:top w:val="single" w:sz="4" w:space="0" w:color="000000"/>
              <w:left w:val="single" w:sz="4" w:space="0" w:color="000000"/>
              <w:bottom w:val="single" w:sz="4" w:space="0" w:color="000000"/>
              <w:right w:val="single" w:sz="4" w:space="0" w:color="000000"/>
            </w:tcBorders>
            <w:vAlign w:val="center"/>
          </w:tcPr>
          <w:p w14:paraId="4584EE37"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August-October</w:t>
            </w:r>
          </w:p>
        </w:tc>
        <w:tc>
          <w:tcPr>
            <w:tcW w:w="921" w:type="pct"/>
            <w:tcBorders>
              <w:top w:val="single" w:sz="4" w:space="0" w:color="000000"/>
              <w:left w:val="single" w:sz="4" w:space="0" w:color="000000"/>
              <w:bottom w:val="single" w:sz="4" w:space="0" w:color="000000"/>
              <w:right w:val="single" w:sz="4" w:space="0" w:color="000000"/>
            </w:tcBorders>
            <w:vAlign w:val="center"/>
          </w:tcPr>
          <w:p w14:paraId="17B382F5"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August-October</w:t>
            </w:r>
          </w:p>
        </w:tc>
        <w:tc>
          <w:tcPr>
            <w:tcW w:w="920" w:type="pct"/>
            <w:tcBorders>
              <w:top w:val="single" w:sz="4" w:space="0" w:color="000000"/>
              <w:left w:val="single" w:sz="4" w:space="0" w:color="000000"/>
              <w:bottom w:val="single" w:sz="4" w:space="0" w:color="000000"/>
              <w:right w:val="single" w:sz="4" w:space="0" w:color="000000"/>
            </w:tcBorders>
            <w:vAlign w:val="center"/>
          </w:tcPr>
          <w:p w14:paraId="5CB3B5B6"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August-October</w:t>
            </w:r>
          </w:p>
        </w:tc>
      </w:tr>
      <w:tr w:rsidR="00217865" w:rsidRPr="00217865" w14:paraId="2D2065E1" w14:textId="77777777" w:rsidTr="001E4C62">
        <w:trPr>
          <w:trHeight w:val="60"/>
        </w:trPr>
        <w:tc>
          <w:tcPr>
            <w:tcW w:w="2238" w:type="pct"/>
            <w:tcBorders>
              <w:top w:val="single" w:sz="4" w:space="0" w:color="000000"/>
              <w:left w:val="single" w:sz="4" w:space="0" w:color="000000"/>
              <w:bottom w:val="single" w:sz="4" w:space="0" w:color="000000"/>
              <w:right w:val="single" w:sz="4" w:space="0" w:color="000000"/>
            </w:tcBorders>
            <w:tcMar>
              <w:top w:w="99" w:type="dxa"/>
              <w:left w:w="57" w:type="dxa"/>
              <w:bottom w:w="113" w:type="dxa"/>
              <w:right w:w="57" w:type="dxa"/>
            </w:tcMar>
            <w:vAlign w:val="center"/>
          </w:tcPr>
          <w:p w14:paraId="7157A34C" w14:textId="77777777" w:rsidR="00821227" w:rsidRPr="00217865" w:rsidRDefault="00821227" w:rsidP="001E4C62">
            <w:pPr>
              <w:pStyle w:val="Tabletext"/>
              <w:spacing w:before="60" w:after="60"/>
              <w:rPr>
                <w:rStyle w:val="Body02BOLD"/>
                <w:b w:val="0"/>
                <w:bCs/>
                <w:color w:val="000000" w:themeColor="text1"/>
              </w:rPr>
            </w:pPr>
            <w:r w:rsidRPr="00217865">
              <w:rPr>
                <w:rFonts w:cs="Arial"/>
                <w:color w:val="000000" w:themeColor="text1"/>
              </w:rPr>
              <w:t>Mode of data collection</w:t>
            </w:r>
          </w:p>
        </w:tc>
        <w:tc>
          <w:tcPr>
            <w:tcW w:w="921" w:type="pct"/>
            <w:tcBorders>
              <w:top w:val="single" w:sz="4" w:space="0" w:color="000000"/>
              <w:left w:val="single" w:sz="4" w:space="0" w:color="000000"/>
              <w:bottom w:val="single" w:sz="4" w:space="0" w:color="000000"/>
              <w:right w:val="single" w:sz="4" w:space="0" w:color="000000"/>
            </w:tcBorders>
            <w:vAlign w:val="center"/>
          </w:tcPr>
          <w:p w14:paraId="4A2098B7"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Online</w:t>
            </w:r>
          </w:p>
        </w:tc>
        <w:tc>
          <w:tcPr>
            <w:tcW w:w="921" w:type="pct"/>
            <w:tcBorders>
              <w:top w:val="single" w:sz="4" w:space="0" w:color="000000"/>
              <w:left w:val="single" w:sz="4" w:space="0" w:color="000000"/>
              <w:bottom w:val="single" w:sz="4" w:space="0" w:color="000000"/>
              <w:right w:val="single" w:sz="4" w:space="0" w:color="000000"/>
            </w:tcBorders>
            <w:vAlign w:val="center"/>
          </w:tcPr>
          <w:p w14:paraId="5F8F72EE"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Online</w:t>
            </w:r>
          </w:p>
        </w:tc>
        <w:tc>
          <w:tcPr>
            <w:tcW w:w="920" w:type="pct"/>
            <w:tcBorders>
              <w:top w:val="single" w:sz="4" w:space="0" w:color="000000"/>
              <w:left w:val="single" w:sz="4" w:space="0" w:color="000000"/>
              <w:bottom w:val="single" w:sz="4" w:space="0" w:color="000000"/>
              <w:right w:val="single" w:sz="4" w:space="0" w:color="000000"/>
            </w:tcBorders>
            <w:vAlign w:val="center"/>
          </w:tcPr>
          <w:p w14:paraId="1D38F51F" w14:textId="77777777" w:rsidR="00821227" w:rsidRPr="00217865" w:rsidRDefault="00821227" w:rsidP="001E4C62">
            <w:pPr>
              <w:pStyle w:val="Z"/>
              <w:spacing w:before="60" w:after="60"/>
              <w:jc w:val="center"/>
              <w:rPr>
                <w:color w:val="000000" w:themeColor="text1"/>
                <w:szCs w:val="18"/>
              </w:rPr>
            </w:pPr>
            <w:r w:rsidRPr="00217865">
              <w:rPr>
                <w:color w:val="000000" w:themeColor="text1"/>
                <w:szCs w:val="18"/>
              </w:rPr>
              <w:t>Online</w:t>
            </w:r>
          </w:p>
        </w:tc>
      </w:tr>
    </w:tbl>
    <w:p w14:paraId="4EF12461" w14:textId="77777777" w:rsidR="00821227" w:rsidRPr="00217865" w:rsidRDefault="00821227" w:rsidP="00821227">
      <w:pPr>
        <w:pStyle w:val="Body"/>
        <w:rPr>
          <w:rFonts w:cs="Arial"/>
          <w:color w:val="000000" w:themeColor="text1"/>
        </w:rPr>
      </w:pPr>
      <w:r w:rsidRPr="00217865">
        <w:rPr>
          <w:rFonts w:cs="Arial"/>
          <w:color w:val="000000" w:themeColor="text1"/>
        </w:rPr>
        <w:t>A time series operational overview for SES implementations dating back to 2013 is available in the additional tables associated with this report available from the QILT website as listed in Appendix 7.</w:t>
      </w:r>
    </w:p>
    <w:p w14:paraId="191C864A" w14:textId="5301D86F" w:rsidR="005A5905" w:rsidRPr="00217865" w:rsidRDefault="005A5905" w:rsidP="00E13525">
      <w:pPr>
        <w:pStyle w:val="Appendix2"/>
        <w:ind w:left="1134" w:hanging="1134"/>
      </w:pPr>
      <w:bookmarkStart w:id="137" w:name="_Toc167872801"/>
      <w:bookmarkStart w:id="138" w:name="_Toc178599299"/>
      <w:r w:rsidRPr="00217865">
        <w:t>Data collection</w:t>
      </w:r>
      <w:bookmarkEnd w:id="137"/>
      <w:bookmarkEnd w:id="138"/>
    </w:p>
    <w:p w14:paraId="4D15EF1C" w14:textId="77777777" w:rsidR="00821227" w:rsidRPr="00217865" w:rsidRDefault="00821227" w:rsidP="00821227">
      <w:pPr>
        <w:pStyle w:val="Body"/>
        <w:rPr>
          <w:rFonts w:cs="Arial"/>
          <w:color w:val="000000" w:themeColor="text1"/>
        </w:rPr>
      </w:pPr>
      <w:bookmarkStart w:id="139" w:name="_Toc59697749"/>
      <w:bookmarkStart w:id="140" w:name="_Toc59697952"/>
      <w:bookmarkStart w:id="141" w:name="_Toc66806706"/>
      <w:bookmarkStart w:id="142" w:name="_Toc88770403"/>
      <w:bookmarkStart w:id="143" w:name="_Toc89115975"/>
      <w:bookmarkStart w:id="144" w:name="_Toc89116078"/>
      <w:bookmarkStart w:id="145" w:name="_Toc89693122"/>
      <w:bookmarkStart w:id="146" w:name="_Toc90928619"/>
      <w:bookmarkStart w:id="147" w:name="_Toc90929935"/>
      <w:bookmarkStart w:id="148" w:name="_Toc90965102"/>
      <w:bookmarkStart w:id="149" w:name="_Toc96016741"/>
      <w:bookmarkStart w:id="150" w:name="_Toc106962018"/>
      <w:bookmarkStart w:id="151" w:name="_Toc125629168"/>
      <w:bookmarkStart w:id="152" w:name="_Toc125643386"/>
      <w:bookmarkStart w:id="153" w:name="_Toc126088443"/>
      <w:bookmarkStart w:id="154" w:name="_Toc126700339"/>
      <w:bookmarkStart w:id="155" w:name="_Toc126700389"/>
      <w:bookmarkStart w:id="156" w:name="_Toc126700438"/>
      <w:bookmarkStart w:id="157" w:name="_Toc134022645"/>
      <w:bookmarkStart w:id="158" w:name="_Toc155257877"/>
      <w:bookmarkStart w:id="159" w:name="_Toc156217705"/>
      <w:bookmarkStart w:id="160" w:name="_Toc164328387"/>
      <w:bookmarkStart w:id="161" w:name="_Toc59697750"/>
      <w:bookmarkStart w:id="162" w:name="_Toc59697953"/>
      <w:bookmarkStart w:id="163" w:name="_Toc66806707"/>
      <w:bookmarkStart w:id="164" w:name="_Toc88770404"/>
      <w:bookmarkStart w:id="165" w:name="_Toc89115976"/>
      <w:bookmarkStart w:id="166" w:name="_Toc89116079"/>
      <w:bookmarkStart w:id="167" w:name="_Toc89693123"/>
      <w:bookmarkStart w:id="168" w:name="_Toc90928620"/>
      <w:bookmarkStart w:id="169" w:name="_Toc90929936"/>
      <w:bookmarkStart w:id="170" w:name="_Toc90965103"/>
      <w:bookmarkStart w:id="171" w:name="_Toc96016742"/>
      <w:bookmarkStart w:id="172" w:name="_Toc106962019"/>
      <w:bookmarkStart w:id="173" w:name="_Toc125629169"/>
      <w:bookmarkStart w:id="174" w:name="_Toc125643387"/>
      <w:bookmarkStart w:id="175" w:name="_Toc126088444"/>
      <w:bookmarkStart w:id="176" w:name="_Toc126700340"/>
      <w:bookmarkStart w:id="177" w:name="_Toc126700390"/>
      <w:bookmarkStart w:id="178" w:name="_Toc126700439"/>
      <w:bookmarkStart w:id="179" w:name="_Toc134022646"/>
      <w:bookmarkStart w:id="180" w:name="_Toc155257878"/>
      <w:bookmarkStart w:id="181" w:name="_Toc156217706"/>
      <w:bookmarkStart w:id="182" w:name="_Toc164328388"/>
      <w:bookmarkStart w:id="183" w:name="_Toc16787280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17865">
        <w:rPr>
          <w:rFonts w:cs="Arial"/>
          <w:color w:val="000000" w:themeColor="text1"/>
        </w:rPr>
        <w:t xml:space="preserve">The main online survey took place in August 2023, with a secondary collection in September-October 2023 for trimester institutions. </w:t>
      </w:r>
    </w:p>
    <w:p w14:paraId="5D82E621" w14:textId="77777777" w:rsidR="00821227" w:rsidRPr="00217865" w:rsidRDefault="00821227" w:rsidP="00821227">
      <w:pPr>
        <w:pStyle w:val="Body"/>
        <w:rPr>
          <w:rFonts w:cs="Arial"/>
          <w:color w:val="000000" w:themeColor="text1"/>
        </w:rPr>
      </w:pPr>
      <w:r w:rsidRPr="00217865">
        <w:rPr>
          <w:rFonts w:cs="Arial"/>
          <w:color w:val="000000" w:themeColor="text1"/>
        </w:rPr>
        <w:lastRenderedPageBreak/>
        <w:t>A broad range of promotional materials was provided to institutions to raise awareness of the SES and encourage participation amongst the target population.</w:t>
      </w:r>
    </w:p>
    <w:p w14:paraId="01C35B7B" w14:textId="77777777" w:rsidR="00821227" w:rsidRPr="00217865" w:rsidRDefault="00821227" w:rsidP="00821227">
      <w:pPr>
        <w:pStyle w:val="Body"/>
        <w:rPr>
          <w:rFonts w:cs="Arial"/>
          <w:color w:val="000000" w:themeColor="text1"/>
        </w:rPr>
      </w:pPr>
      <w:r w:rsidRPr="00217865">
        <w:rPr>
          <w:rFonts w:cs="Arial"/>
          <w:color w:val="000000" w:themeColor="text1"/>
        </w:rPr>
        <w:t>The contact strategy for the 2023 SES featured an email invitation to complete the survey, followed by nine reminder emails and up to three SMS reminders.</w:t>
      </w:r>
    </w:p>
    <w:p w14:paraId="3E9928D8" w14:textId="77777777" w:rsidR="00821227" w:rsidRPr="00217865" w:rsidRDefault="00821227" w:rsidP="00821227">
      <w:pPr>
        <w:pStyle w:val="Body"/>
        <w:rPr>
          <w:rFonts w:cs="Arial"/>
          <w:color w:val="000000" w:themeColor="text1"/>
        </w:rPr>
      </w:pPr>
      <w:r w:rsidRPr="00217865">
        <w:rPr>
          <w:rFonts w:cs="Arial"/>
          <w:color w:val="000000" w:themeColor="text1"/>
        </w:rPr>
        <w:t>Refer to the 2023 SES Methodological Report for further information on target population definition, sample design, sampling processes, response rate calculation for QILT surveys, response maximisation strategies and data preparation processes.</w:t>
      </w:r>
    </w:p>
    <w:p w14:paraId="4C05860E" w14:textId="77777777" w:rsidR="00CB36C4" w:rsidRPr="00217865" w:rsidRDefault="005A5905" w:rsidP="00E13525">
      <w:pPr>
        <w:pStyle w:val="Appendix2"/>
        <w:ind w:left="1134" w:hanging="1134"/>
      </w:pPr>
      <w:bookmarkStart w:id="184" w:name="_Toc178599300"/>
      <w:r w:rsidRPr="00217865">
        <w:t>Response rate by institution</w:t>
      </w:r>
      <w:bookmarkEnd w:id="183"/>
      <w:bookmarkEnd w:id="184"/>
    </w:p>
    <w:bookmarkStart w:id="185" w:name="_Toc59697752"/>
    <w:bookmarkStart w:id="186" w:name="_Toc59697955"/>
    <w:bookmarkStart w:id="187" w:name="_Toc66806709"/>
    <w:bookmarkStart w:id="188" w:name="_Toc88770406"/>
    <w:bookmarkStart w:id="189" w:name="_Toc89115978"/>
    <w:bookmarkStart w:id="190" w:name="_Toc89116081"/>
    <w:bookmarkStart w:id="191" w:name="_Toc89693125"/>
    <w:bookmarkStart w:id="192" w:name="_Toc90928621"/>
    <w:bookmarkStart w:id="193" w:name="_Toc90929937"/>
    <w:bookmarkStart w:id="194" w:name="_Toc90965104"/>
    <w:bookmarkStart w:id="195" w:name="_Toc96016743"/>
    <w:bookmarkStart w:id="196" w:name="_Toc106962020"/>
    <w:bookmarkStart w:id="197" w:name="_Toc125629170"/>
    <w:bookmarkStart w:id="198" w:name="_Toc125643388"/>
    <w:bookmarkStart w:id="199" w:name="_Toc126088445"/>
    <w:bookmarkStart w:id="200" w:name="_Toc126700341"/>
    <w:bookmarkStart w:id="201" w:name="_Toc126700391"/>
    <w:bookmarkStart w:id="202" w:name="_Toc126700440"/>
    <w:bookmarkStart w:id="203" w:name="_Toc134022647"/>
    <w:bookmarkStart w:id="204" w:name="_Toc155257879"/>
    <w:bookmarkStart w:id="205" w:name="_Toc156217707"/>
    <w:bookmarkStart w:id="206" w:name="_Toc164328389"/>
    <w:bookmarkStart w:id="207" w:name="_Toc59697753"/>
    <w:bookmarkStart w:id="208" w:name="_Toc59697956"/>
    <w:bookmarkStart w:id="209" w:name="_Toc66806710"/>
    <w:bookmarkStart w:id="210" w:name="_Toc88770407"/>
    <w:bookmarkStart w:id="211" w:name="_Toc89115979"/>
    <w:bookmarkStart w:id="212" w:name="_Toc89116082"/>
    <w:bookmarkStart w:id="213" w:name="_Toc89693126"/>
    <w:bookmarkStart w:id="214" w:name="_Toc90928622"/>
    <w:bookmarkStart w:id="215" w:name="_Toc90929938"/>
    <w:bookmarkStart w:id="216" w:name="_Toc90965105"/>
    <w:bookmarkStart w:id="217" w:name="_Toc96016744"/>
    <w:bookmarkStart w:id="218" w:name="_Toc106962021"/>
    <w:bookmarkStart w:id="219" w:name="_Toc125629171"/>
    <w:bookmarkStart w:id="220" w:name="_Toc125643389"/>
    <w:bookmarkStart w:id="221" w:name="_Toc126088446"/>
    <w:bookmarkStart w:id="222" w:name="_Toc126700342"/>
    <w:bookmarkStart w:id="223" w:name="_Toc126700392"/>
    <w:bookmarkStart w:id="224" w:name="_Toc126700441"/>
    <w:bookmarkStart w:id="225" w:name="_Toc134022648"/>
    <w:bookmarkStart w:id="226" w:name="_Toc155257880"/>
    <w:bookmarkStart w:id="227" w:name="_Toc156217708"/>
    <w:bookmarkStart w:id="228" w:name="_Toc164328390"/>
    <w:bookmarkStart w:id="229" w:name="_Toc59697754"/>
    <w:bookmarkStart w:id="230" w:name="_Toc59697957"/>
    <w:bookmarkStart w:id="231" w:name="_Toc66806711"/>
    <w:bookmarkStart w:id="232" w:name="_Toc88770408"/>
    <w:bookmarkStart w:id="233" w:name="_Toc89115980"/>
    <w:bookmarkStart w:id="234" w:name="_Toc89116083"/>
    <w:bookmarkStart w:id="235" w:name="_Toc89693127"/>
    <w:bookmarkStart w:id="236" w:name="_Toc90928623"/>
    <w:bookmarkStart w:id="237" w:name="_Toc90929939"/>
    <w:bookmarkStart w:id="238" w:name="_Toc90965106"/>
    <w:bookmarkStart w:id="239" w:name="_Toc96016745"/>
    <w:bookmarkStart w:id="240" w:name="_Toc106962022"/>
    <w:bookmarkStart w:id="241" w:name="_Toc125629172"/>
    <w:bookmarkStart w:id="242" w:name="_Toc125643390"/>
    <w:bookmarkStart w:id="243" w:name="_Toc126088447"/>
    <w:bookmarkStart w:id="244" w:name="_Toc126700343"/>
    <w:bookmarkStart w:id="245" w:name="_Toc126700393"/>
    <w:bookmarkStart w:id="246" w:name="_Toc126700442"/>
    <w:bookmarkStart w:id="247" w:name="_Toc134022649"/>
    <w:bookmarkStart w:id="248" w:name="_Toc155257881"/>
    <w:bookmarkStart w:id="249" w:name="_Toc156217709"/>
    <w:bookmarkStart w:id="250" w:name="_Toc164328391"/>
    <w:bookmarkStart w:id="251" w:name="_Ref64211614"/>
    <w:bookmarkStart w:id="252" w:name="_Toc16787280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512CCBE6" w14:textId="60F89CF8" w:rsidR="00821227" w:rsidRPr="00217865" w:rsidRDefault="00EA6005" w:rsidP="00306192">
      <w:pPr>
        <w:pStyle w:val="Body"/>
        <w:rPr>
          <w:rFonts w:cs="Arial"/>
          <w:color w:val="000000" w:themeColor="text1"/>
        </w:rPr>
      </w:pPr>
      <w:r w:rsidRPr="001E2723">
        <w:rPr>
          <w:rFonts w:cs="Arial"/>
          <w:b/>
          <w:color w:val="000000" w:themeColor="text1"/>
        </w:rPr>
        <w:fldChar w:fldCharType="begin"/>
      </w:r>
      <w:r w:rsidRPr="001E2723">
        <w:rPr>
          <w:rFonts w:cs="Arial"/>
          <w:b/>
          <w:color w:val="000000" w:themeColor="text1"/>
        </w:rPr>
        <w:instrText xml:space="preserve"> REF _Ref128144340 \h </w:instrText>
      </w:r>
      <w:r w:rsidR="00A6216F" w:rsidRPr="001E2723">
        <w:rPr>
          <w:rFonts w:cs="Arial"/>
          <w:b/>
          <w:color w:val="000000" w:themeColor="text1"/>
        </w:rPr>
        <w:instrText xml:space="preserve"> \* MERGEFORMAT </w:instrText>
      </w:r>
      <w:r w:rsidRPr="001E2723">
        <w:rPr>
          <w:rFonts w:cs="Arial"/>
          <w:b/>
          <w:color w:val="000000" w:themeColor="text1"/>
        </w:rPr>
      </w:r>
      <w:r w:rsidRPr="001E2723">
        <w:rPr>
          <w:rFonts w:cs="Arial"/>
          <w:b/>
          <w:color w:val="000000" w:themeColor="text1"/>
        </w:rPr>
        <w:fldChar w:fldCharType="separate"/>
      </w:r>
      <w:r w:rsidR="005D5678" w:rsidRPr="001E2723">
        <w:rPr>
          <w:rFonts w:cs="Arial"/>
          <w:b/>
          <w:color w:val="000000" w:themeColor="text1"/>
        </w:rPr>
        <w:t xml:space="preserve">Table </w:t>
      </w:r>
      <w:r w:rsidR="005D5678" w:rsidRPr="001E2723">
        <w:rPr>
          <w:rFonts w:cs="Arial"/>
          <w:b/>
          <w:noProof/>
          <w:color w:val="000000" w:themeColor="text1"/>
        </w:rPr>
        <w:t>13</w:t>
      </w:r>
      <w:r w:rsidRPr="001E2723">
        <w:rPr>
          <w:rFonts w:cs="Arial"/>
          <w:b/>
          <w:color w:val="000000" w:themeColor="text1"/>
        </w:rPr>
        <w:fldChar w:fldCharType="end"/>
      </w:r>
      <w:r w:rsidR="00821227" w:rsidRPr="001E2723">
        <w:rPr>
          <w:rFonts w:cs="Arial"/>
          <w:bCs/>
          <w:color w:val="000000" w:themeColor="text1"/>
        </w:rPr>
        <w:t xml:space="preserve"> </w:t>
      </w:r>
      <w:r w:rsidR="00821227" w:rsidRPr="00217865">
        <w:rPr>
          <w:rFonts w:cs="Arial"/>
          <w:color w:val="000000" w:themeColor="text1"/>
        </w:rPr>
        <w:t>shows 2022 and 2023 SES international student response rates by institution. Whilst the overall response rate in 2023 was 36.3 per cent, institutional response rates ranged from 17.2 per cent to 100.0 per cent. Across universities, the response rates ranged between a high of 61.3 per cent and a low of 20.5 per cent.</w:t>
      </w:r>
    </w:p>
    <w:p w14:paraId="3E97247A" w14:textId="579AD07A" w:rsidR="00821227" w:rsidRPr="00217865" w:rsidRDefault="00821227" w:rsidP="00306192">
      <w:pPr>
        <w:pStyle w:val="Caption"/>
        <w:rPr>
          <w:color w:val="000000" w:themeColor="text1"/>
        </w:rPr>
      </w:pPr>
      <w:bookmarkStart w:id="253" w:name="_Ref128144340"/>
      <w:bookmarkStart w:id="254" w:name="_Ref70278439"/>
      <w:bookmarkStart w:id="255" w:name="_Toc178599378"/>
      <w:bookmarkEnd w:id="251"/>
      <w:r w:rsidRPr="00217865">
        <w:rPr>
          <w:color w:val="000000" w:themeColor="text1"/>
        </w:rPr>
        <w:t xml:space="preserve">Table </w:t>
      </w:r>
      <w:r w:rsidR="001706E8" w:rsidRPr="00217865">
        <w:rPr>
          <w:color w:val="000000" w:themeColor="text1"/>
        </w:rPr>
        <w:fldChar w:fldCharType="begin"/>
      </w:r>
      <w:r w:rsidR="001706E8" w:rsidRPr="00217865">
        <w:rPr>
          <w:color w:val="000000" w:themeColor="text1"/>
        </w:rPr>
        <w:instrText xml:space="preserve"> SEQ Table \* ARABIC </w:instrText>
      </w:r>
      <w:r w:rsidR="001706E8" w:rsidRPr="00217865">
        <w:rPr>
          <w:color w:val="000000" w:themeColor="text1"/>
        </w:rPr>
        <w:fldChar w:fldCharType="separate"/>
      </w:r>
      <w:r w:rsidR="005D5678">
        <w:rPr>
          <w:noProof/>
          <w:color w:val="000000" w:themeColor="text1"/>
        </w:rPr>
        <w:t>13</w:t>
      </w:r>
      <w:r w:rsidR="001706E8" w:rsidRPr="00217865">
        <w:rPr>
          <w:noProof/>
          <w:color w:val="000000" w:themeColor="text1"/>
        </w:rPr>
        <w:fldChar w:fldCharType="end"/>
      </w:r>
      <w:bookmarkEnd w:id="253"/>
      <w:r w:rsidR="00813BE5">
        <w:rPr>
          <w:noProof/>
          <w:color w:val="000000" w:themeColor="text1"/>
        </w:rPr>
        <w:tab/>
      </w:r>
      <w:r w:rsidRPr="00217865">
        <w:rPr>
          <w:color w:val="000000" w:themeColor="text1"/>
        </w:rPr>
        <w:t>SES international response rate by institution</w:t>
      </w:r>
      <w:bookmarkEnd w:id="254"/>
      <w:r w:rsidRPr="00217865">
        <w:rPr>
          <w:color w:val="000000" w:themeColor="text1"/>
        </w:rPr>
        <w:t>, 2022-2023 (%)</w:t>
      </w:r>
      <w:bookmarkEnd w:id="255"/>
    </w:p>
    <w:tbl>
      <w:tblPr>
        <w:tblW w:w="9776" w:type="dxa"/>
        <w:tblLook w:val="04A0" w:firstRow="1" w:lastRow="0" w:firstColumn="1" w:lastColumn="0" w:noHBand="0" w:noVBand="1"/>
      </w:tblPr>
      <w:tblGrid>
        <w:gridCol w:w="5382"/>
        <w:gridCol w:w="2268"/>
        <w:gridCol w:w="2126"/>
      </w:tblGrid>
      <w:tr w:rsidR="00217865" w:rsidRPr="00217865" w14:paraId="28C2CB0C" w14:textId="77777777" w:rsidTr="001E4C62">
        <w:trPr>
          <w:trHeight w:val="438"/>
          <w:tblHeader/>
        </w:trPr>
        <w:tc>
          <w:tcPr>
            <w:tcW w:w="5382" w:type="dxa"/>
            <w:tcBorders>
              <w:top w:val="single" w:sz="4" w:space="0" w:color="auto"/>
              <w:left w:val="single" w:sz="4" w:space="0" w:color="auto"/>
              <w:bottom w:val="single" w:sz="4" w:space="0" w:color="auto"/>
              <w:right w:val="single" w:sz="4" w:space="0" w:color="auto"/>
            </w:tcBorders>
            <w:noWrap/>
            <w:vAlign w:val="bottom"/>
            <w:hideMark/>
          </w:tcPr>
          <w:p w14:paraId="475F21B4" w14:textId="77777777" w:rsidR="00821227" w:rsidRPr="00217865" w:rsidRDefault="00821227" w:rsidP="001E4C62">
            <w:pPr>
              <w:spacing w:before="60" w:after="60"/>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Institu</w:t>
            </w:r>
            <w:bookmarkStart w:id="256" w:name="Title_13"/>
            <w:bookmarkEnd w:id="256"/>
            <w:r w:rsidRPr="00217865">
              <w:rPr>
                <w:rFonts w:eastAsia="Times New Roman" w:cs="Arial"/>
                <w:b/>
                <w:bCs/>
                <w:color w:val="000000" w:themeColor="text1"/>
                <w:sz w:val="18"/>
                <w:lang w:val="en-GB" w:eastAsia="en-AU"/>
              </w:rPr>
              <w:t>tion</w:t>
            </w:r>
          </w:p>
        </w:tc>
        <w:tc>
          <w:tcPr>
            <w:tcW w:w="2268" w:type="dxa"/>
            <w:tcBorders>
              <w:top w:val="single" w:sz="4" w:space="0" w:color="auto"/>
              <w:left w:val="nil"/>
              <w:bottom w:val="single" w:sz="4" w:space="0" w:color="auto"/>
              <w:right w:val="single" w:sz="4" w:space="0" w:color="auto"/>
            </w:tcBorders>
            <w:noWrap/>
            <w:vAlign w:val="bottom"/>
            <w:hideMark/>
          </w:tcPr>
          <w:p w14:paraId="279CD7E0" w14:textId="77777777" w:rsidR="00821227" w:rsidRPr="00217865" w:rsidRDefault="00821227" w:rsidP="001E4C62">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val="en-GB" w:eastAsia="en-AU"/>
              </w:rPr>
              <w:t>2022</w:t>
            </w:r>
          </w:p>
        </w:tc>
        <w:tc>
          <w:tcPr>
            <w:tcW w:w="2126" w:type="dxa"/>
            <w:tcBorders>
              <w:top w:val="single" w:sz="4" w:space="0" w:color="auto"/>
              <w:left w:val="nil"/>
              <w:bottom w:val="single" w:sz="4" w:space="0" w:color="auto"/>
              <w:right w:val="single" w:sz="4" w:space="0" w:color="auto"/>
            </w:tcBorders>
            <w:noWrap/>
            <w:vAlign w:val="bottom"/>
            <w:hideMark/>
          </w:tcPr>
          <w:p w14:paraId="47126BEA" w14:textId="77777777" w:rsidR="00821227" w:rsidRPr="00217865" w:rsidRDefault="00821227" w:rsidP="001E4C62">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2023</w:t>
            </w:r>
          </w:p>
        </w:tc>
      </w:tr>
      <w:tr w:rsidR="00217865" w:rsidRPr="00217865" w14:paraId="303EDDC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3F4596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Academies Australasia Polytechnic Pty Limited</w:t>
            </w:r>
          </w:p>
        </w:tc>
        <w:tc>
          <w:tcPr>
            <w:tcW w:w="2268" w:type="dxa"/>
            <w:tcBorders>
              <w:top w:val="nil"/>
              <w:left w:val="nil"/>
              <w:bottom w:val="single" w:sz="4" w:space="0" w:color="auto"/>
              <w:right w:val="single" w:sz="4" w:space="0" w:color="auto"/>
            </w:tcBorders>
            <w:noWrap/>
            <w:vAlign w:val="center"/>
            <w:hideMark/>
          </w:tcPr>
          <w:p w14:paraId="6017DB8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49.2</w:t>
            </w:r>
          </w:p>
        </w:tc>
        <w:tc>
          <w:tcPr>
            <w:tcW w:w="2126" w:type="dxa"/>
            <w:tcBorders>
              <w:top w:val="nil"/>
              <w:left w:val="nil"/>
              <w:bottom w:val="single" w:sz="4" w:space="0" w:color="auto"/>
              <w:right w:val="single" w:sz="4" w:space="0" w:color="auto"/>
            </w:tcBorders>
            <w:noWrap/>
            <w:vAlign w:val="center"/>
            <w:hideMark/>
          </w:tcPr>
          <w:p w14:paraId="0E4CB81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53.3</w:t>
            </w:r>
          </w:p>
        </w:tc>
      </w:tr>
      <w:tr w:rsidR="00217865" w:rsidRPr="00217865" w14:paraId="641D0A8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6CE5D6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Academy of Information Technology</w:t>
            </w:r>
          </w:p>
        </w:tc>
        <w:tc>
          <w:tcPr>
            <w:tcW w:w="2268" w:type="dxa"/>
            <w:tcBorders>
              <w:top w:val="nil"/>
              <w:left w:val="nil"/>
              <w:bottom w:val="single" w:sz="4" w:space="0" w:color="auto"/>
              <w:right w:val="single" w:sz="4" w:space="0" w:color="auto"/>
            </w:tcBorders>
            <w:noWrap/>
            <w:vAlign w:val="center"/>
            <w:hideMark/>
          </w:tcPr>
          <w:p w14:paraId="65E210E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41.8</w:t>
            </w:r>
          </w:p>
        </w:tc>
        <w:tc>
          <w:tcPr>
            <w:tcW w:w="2126" w:type="dxa"/>
            <w:tcBorders>
              <w:top w:val="nil"/>
              <w:left w:val="nil"/>
              <w:bottom w:val="single" w:sz="4" w:space="0" w:color="auto"/>
              <w:right w:val="single" w:sz="4" w:space="0" w:color="auto"/>
            </w:tcBorders>
            <w:noWrap/>
            <w:vAlign w:val="center"/>
            <w:hideMark/>
          </w:tcPr>
          <w:p w14:paraId="2CAF820D"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48.4</w:t>
            </w:r>
          </w:p>
        </w:tc>
      </w:tr>
      <w:tr w:rsidR="00217865" w:rsidRPr="00217865" w14:paraId="02F730D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929ED2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Adelaide Institute of Higher Education</w:t>
            </w:r>
          </w:p>
        </w:tc>
        <w:tc>
          <w:tcPr>
            <w:tcW w:w="2268" w:type="dxa"/>
            <w:tcBorders>
              <w:top w:val="nil"/>
              <w:left w:val="nil"/>
              <w:bottom w:val="single" w:sz="4" w:space="0" w:color="auto"/>
              <w:right w:val="single" w:sz="4" w:space="0" w:color="auto"/>
            </w:tcBorders>
            <w:noWrap/>
            <w:vAlign w:val="center"/>
            <w:hideMark/>
          </w:tcPr>
          <w:p w14:paraId="687AF02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48.4</w:t>
            </w:r>
          </w:p>
        </w:tc>
        <w:tc>
          <w:tcPr>
            <w:tcW w:w="2126" w:type="dxa"/>
            <w:tcBorders>
              <w:top w:val="nil"/>
              <w:left w:val="nil"/>
              <w:bottom w:val="single" w:sz="4" w:space="0" w:color="auto"/>
              <w:right w:val="single" w:sz="4" w:space="0" w:color="auto"/>
            </w:tcBorders>
            <w:noWrap/>
            <w:vAlign w:val="center"/>
            <w:hideMark/>
          </w:tcPr>
          <w:p w14:paraId="4F5B772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51.3</w:t>
            </w:r>
          </w:p>
        </w:tc>
      </w:tr>
      <w:tr w:rsidR="00217865" w:rsidRPr="00217865" w14:paraId="2893709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018A25B" w14:textId="77777777" w:rsidR="00821227" w:rsidRPr="00217865" w:rsidRDefault="00821227" w:rsidP="001E4C62">
            <w:pPr>
              <w:spacing w:before="60" w:after="60"/>
              <w:rPr>
                <w:rFonts w:eastAsia="Times New Roman" w:cs="Arial"/>
                <w:color w:val="000000" w:themeColor="text1"/>
                <w:sz w:val="18"/>
                <w:highlight w:val="yellow"/>
                <w:lang w:eastAsia="en-AU"/>
              </w:rPr>
            </w:pPr>
            <w:proofErr w:type="spellStart"/>
            <w:r w:rsidRPr="00217865">
              <w:rPr>
                <w:rFonts w:cs="Arial"/>
                <w:color w:val="000000" w:themeColor="text1"/>
                <w:sz w:val="18"/>
              </w:rPr>
              <w:t>Alphacrucis</w:t>
            </w:r>
            <w:proofErr w:type="spellEnd"/>
            <w:r w:rsidRPr="00217865">
              <w:rPr>
                <w:rFonts w:cs="Arial"/>
                <w:color w:val="000000" w:themeColor="text1"/>
                <w:sz w:val="18"/>
              </w:rPr>
              <w:t xml:space="preserve"> University College</w:t>
            </w:r>
          </w:p>
        </w:tc>
        <w:tc>
          <w:tcPr>
            <w:tcW w:w="2268" w:type="dxa"/>
            <w:tcBorders>
              <w:top w:val="nil"/>
              <w:left w:val="nil"/>
              <w:bottom w:val="single" w:sz="4" w:space="0" w:color="auto"/>
              <w:right w:val="single" w:sz="4" w:space="0" w:color="auto"/>
            </w:tcBorders>
            <w:noWrap/>
            <w:vAlign w:val="center"/>
            <w:hideMark/>
          </w:tcPr>
          <w:p w14:paraId="2C19748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30.4</w:t>
            </w:r>
          </w:p>
        </w:tc>
        <w:tc>
          <w:tcPr>
            <w:tcW w:w="2126" w:type="dxa"/>
            <w:tcBorders>
              <w:top w:val="nil"/>
              <w:left w:val="nil"/>
              <w:bottom w:val="single" w:sz="4" w:space="0" w:color="auto"/>
              <w:right w:val="single" w:sz="4" w:space="0" w:color="auto"/>
            </w:tcBorders>
            <w:noWrap/>
            <w:vAlign w:val="center"/>
            <w:hideMark/>
          </w:tcPr>
          <w:p w14:paraId="67970B2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26.8</w:t>
            </w:r>
          </w:p>
        </w:tc>
      </w:tr>
      <w:tr w:rsidR="00217865" w:rsidRPr="00217865" w14:paraId="3A0C1DF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B525A9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Asia Pacific International College</w:t>
            </w:r>
          </w:p>
        </w:tc>
        <w:tc>
          <w:tcPr>
            <w:tcW w:w="2268" w:type="dxa"/>
            <w:tcBorders>
              <w:top w:val="nil"/>
              <w:left w:val="nil"/>
              <w:bottom w:val="single" w:sz="4" w:space="0" w:color="auto"/>
              <w:right w:val="single" w:sz="4" w:space="0" w:color="auto"/>
            </w:tcBorders>
            <w:noWrap/>
            <w:vAlign w:val="center"/>
            <w:hideMark/>
          </w:tcPr>
          <w:p w14:paraId="616B477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30.4</w:t>
            </w:r>
          </w:p>
        </w:tc>
        <w:tc>
          <w:tcPr>
            <w:tcW w:w="2126" w:type="dxa"/>
            <w:tcBorders>
              <w:top w:val="nil"/>
              <w:left w:val="nil"/>
              <w:bottom w:val="single" w:sz="4" w:space="0" w:color="auto"/>
              <w:right w:val="single" w:sz="4" w:space="0" w:color="auto"/>
            </w:tcBorders>
            <w:noWrap/>
            <w:vAlign w:val="center"/>
            <w:hideMark/>
          </w:tcPr>
          <w:p w14:paraId="6BA1D24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37.9</w:t>
            </w:r>
          </w:p>
        </w:tc>
      </w:tr>
      <w:tr w:rsidR="00217865" w:rsidRPr="00217865" w14:paraId="2795660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AB5B4F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 Advance Education Group Pty Ltd</w:t>
            </w:r>
          </w:p>
        </w:tc>
        <w:tc>
          <w:tcPr>
            <w:tcW w:w="2268" w:type="dxa"/>
            <w:tcBorders>
              <w:top w:val="nil"/>
              <w:left w:val="nil"/>
              <w:bottom w:val="single" w:sz="4" w:space="0" w:color="auto"/>
              <w:right w:val="single" w:sz="4" w:space="0" w:color="auto"/>
            </w:tcBorders>
            <w:noWrap/>
            <w:vAlign w:val="center"/>
            <w:hideMark/>
          </w:tcPr>
          <w:p w14:paraId="57EBACB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25.6</w:t>
            </w:r>
          </w:p>
        </w:tc>
        <w:tc>
          <w:tcPr>
            <w:tcW w:w="2126" w:type="dxa"/>
            <w:tcBorders>
              <w:top w:val="nil"/>
              <w:left w:val="nil"/>
              <w:bottom w:val="single" w:sz="4" w:space="0" w:color="auto"/>
              <w:right w:val="single" w:sz="4" w:space="0" w:color="auto"/>
            </w:tcBorders>
            <w:noWrap/>
            <w:vAlign w:val="center"/>
            <w:hideMark/>
          </w:tcPr>
          <w:p w14:paraId="074CC7B0"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29.3</w:t>
            </w:r>
          </w:p>
        </w:tc>
      </w:tr>
      <w:tr w:rsidR="00217865" w:rsidRPr="00217865" w14:paraId="2098D8E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9790CF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Academy of Music and Performing Arts</w:t>
            </w:r>
          </w:p>
        </w:tc>
        <w:tc>
          <w:tcPr>
            <w:tcW w:w="2268" w:type="dxa"/>
            <w:tcBorders>
              <w:top w:val="nil"/>
              <w:left w:val="nil"/>
              <w:bottom w:val="single" w:sz="4" w:space="0" w:color="auto"/>
              <w:right w:val="single" w:sz="4" w:space="0" w:color="auto"/>
            </w:tcBorders>
            <w:noWrap/>
            <w:vAlign w:val="center"/>
            <w:hideMark/>
          </w:tcPr>
          <w:p w14:paraId="23F420F3"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66.7</w:t>
            </w:r>
          </w:p>
        </w:tc>
        <w:tc>
          <w:tcPr>
            <w:tcW w:w="2126" w:type="dxa"/>
            <w:tcBorders>
              <w:top w:val="nil"/>
              <w:left w:val="nil"/>
              <w:bottom w:val="single" w:sz="4" w:space="0" w:color="auto"/>
              <w:right w:val="single" w:sz="4" w:space="0" w:color="auto"/>
            </w:tcBorders>
            <w:noWrap/>
            <w:vAlign w:val="center"/>
            <w:hideMark/>
          </w:tcPr>
          <w:p w14:paraId="67A0D85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41.2</w:t>
            </w:r>
          </w:p>
        </w:tc>
      </w:tr>
      <w:tr w:rsidR="00217865" w:rsidRPr="00217865" w14:paraId="3882249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2C4DD9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Catholic University</w:t>
            </w:r>
          </w:p>
        </w:tc>
        <w:tc>
          <w:tcPr>
            <w:tcW w:w="2268" w:type="dxa"/>
            <w:tcBorders>
              <w:top w:val="nil"/>
              <w:left w:val="nil"/>
              <w:bottom w:val="single" w:sz="4" w:space="0" w:color="auto"/>
              <w:right w:val="single" w:sz="4" w:space="0" w:color="auto"/>
            </w:tcBorders>
            <w:noWrap/>
            <w:vAlign w:val="center"/>
            <w:hideMark/>
          </w:tcPr>
          <w:p w14:paraId="7575F05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52.0</w:t>
            </w:r>
          </w:p>
        </w:tc>
        <w:tc>
          <w:tcPr>
            <w:tcW w:w="2126" w:type="dxa"/>
            <w:tcBorders>
              <w:top w:val="nil"/>
              <w:left w:val="nil"/>
              <w:bottom w:val="single" w:sz="4" w:space="0" w:color="auto"/>
              <w:right w:val="single" w:sz="4" w:space="0" w:color="auto"/>
            </w:tcBorders>
            <w:noWrap/>
            <w:vAlign w:val="center"/>
            <w:hideMark/>
          </w:tcPr>
          <w:p w14:paraId="4892884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45.7</w:t>
            </w:r>
          </w:p>
        </w:tc>
      </w:tr>
      <w:tr w:rsidR="00217865" w:rsidRPr="00217865" w14:paraId="7061AF4A"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3C396A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Chiropractic College Limited</w:t>
            </w:r>
          </w:p>
        </w:tc>
        <w:tc>
          <w:tcPr>
            <w:tcW w:w="2268" w:type="dxa"/>
            <w:tcBorders>
              <w:top w:val="nil"/>
              <w:left w:val="nil"/>
              <w:bottom w:val="single" w:sz="4" w:space="0" w:color="auto"/>
              <w:right w:val="single" w:sz="4" w:space="0" w:color="auto"/>
            </w:tcBorders>
            <w:noWrap/>
            <w:vAlign w:val="center"/>
            <w:hideMark/>
          </w:tcPr>
          <w:p w14:paraId="3177ECB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60C13D83"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100.0</w:t>
            </w:r>
          </w:p>
        </w:tc>
      </w:tr>
      <w:tr w:rsidR="00217865" w:rsidRPr="00217865" w14:paraId="6D5714D7"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E8EAEE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College of Applied Professions</w:t>
            </w:r>
          </w:p>
        </w:tc>
        <w:tc>
          <w:tcPr>
            <w:tcW w:w="2268" w:type="dxa"/>
            <w:tcBorders>
              <w:top w:val="nil"/>
              <w:left w:val="nil"/>
              <w:bottom w:val="single" w:sz="4" w:space="0" w:color="auto"/>
              <w:right w:val="single" w:sz="4" w:space="0" w:color="auto"/>
            </w:tcBorders>
            <w:noWrap/>
            <w:vAlign w:val="center"/>
            <w:hideMark/>
          </w:tcPr>
          <w:p w14:paraId="72D7D77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46.5</w:t>
            </w:r>
          </w:p>
        </w:tc>
        <w:tc>
          <w:tcPr>
            <w:tcW w:w="2126" w:type="dxa"/>
            <w:tcBorders>
              <w:top w:val="nil"/>
              <w:left w:val="nil"/>
              <w:bottom w:val="single" w:sz="4" w:space="0" w:color="auto"/>
              <w:right w:val="single" w:sz="4" w:space="0" w:color="auto"/>
            </w:tcBorders>
            <w:noWrap/>
            <w:vAlign w:val="center"/>
            <w:hideMark/>
          </w:tcPr>
          <w:p w14:paraId="5D71AF1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55.0</w:t>
            </w:r>
          </w:p>
        </w:tc>
      </w:tr>
      <w:tr w:rsidR="00217865" w:rsidRPr="00217865" w14:paraId="6DB4D47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0C7763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College of Christian Studies</w:t>
            </w:r>
          </w:p>
        </w:tc>
        <w:tc>
          <w:tcPr>
            <w:tcW w:w="2268" w:type="dxa"/>
            <w:tcBorders>
              <w:top w:val="nil"/>
              <w:left w:val="nil"/>
              <w:bottom w:val="single" w:sz="4" w:space="0" w:color="auto"/>
              <w:right w:val="single" w:sz="4" w:space="0" w:color="auto"/>
            </w:tcBorders>
            <w:noWrap/>
            <w:vAlign w:val="center"/>
            <w:hideMark/>
          </w:tcPr>
          <w:p w14:paraId="3F0FDEF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5EEAB87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66.7</w:t>
            </w:r>
          </w:p>
        </w:tc>
      </w:tr>
      <w:tr w:rsidR="00217865" w:rsidRPr="00217865" w14:paraId="3E5D8A6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D490FB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College of Nursing</w:t>
            </w:r>
          </w:p>
        </w:tc>
        <w:tc>
          <w:tcPr>
            <w:tcW w:w="2268" w:type="dxa"/>
            <w:tcBorders>
              <w:top w:val="nil"/>
              <w:left w:val="nil"/>
              <w:bottom w:val="single" w:sz="4" w:space="0" w:color="auto"/>
              <w:right w:val="single" w:sz="4" w:space="0" w:color="auto"/>
            </w:tcBorders>
            <w:noWrap/>
            <w:vAlign w:val="center"/>
            <w:hideMark/>
          </w:tcPr>
          <w:p w14:paraId="06EC917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62.1</w:t>
            </w:r>
          </w:p>
        </w:tc>
        <w:tc>
          <w:tcPr>
            <w:tcW w:w="2126" w:type="dxa"/>
            <w:tcBorders>
              <w:top w:val="nil"/>
              <w:left w:val="nil"/>
              <w:bottom w:val="single" w:sz="4" w:space="0" w:color="auto"/>
              <w:right w:val="single" w:sz="4" w:space="0" w:color="auto"/>
            </w:tcBorders>
            <w:noWrap/>
            <w:vAlign w:val="center"/>
            <w:hideMark/>
          </w:tcPr>
          <w:p w14:paraId="3C951543"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25.0</w:t>
            </w:r>
          </w:p>
        </w:tc>
      </w:tr>
      <w:tr w:rsidR="00217865" w:rsidRPr="00217865" w14:paraId="07FE6F1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5943E55"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College of Theology Limited</w:t>
            </w:r>
          </w:p>
        </w:tc>
        <w:tc>
          <w:tcPr>
            <w:tcW w:w="2268" w:type="dxa"/>
            <w:tcBorders>
              <w:top w:val="nil"/>
              <w:left w:val="nil"/>
              <w:bottom w:val="single" w:sz="4" w:space="0" w:color="auto"/>
              <w:right w:val="single" w:sz="4" w:space="0" w:color="auto"/>
            </w:tcBorders>
            <w:noWrap/>
            <w:vAlign w:val="center"/>
            <w:hideMark/>
          </w:tcPr>
          <w:p w14:paraId="4328085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62.0</w:t>
            </w:r>
          </w:p>
        </w:tc>
        <w:tc>
          <w:tcPr>
            <w:tcW w:w="2126" w:type="dxa"/>
            <w:tcBorders>
              <w:top w:val="nil"/>
              <w:left w:val="nil"/>
              <w:bottom w:val="single" w:sz="4" w:space="0" w:color="auto"/>
              <w:right w:val="single" w:sz="4" w:space="0" w:color="auto"/>
            </w:tcBorders>
            <w:noWrap/>
            <w:vAlign w:val="center"/>
            <w:hideMark/>
          </w:tcPr>
          <w:p w14:paraId="71D4B3B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50.0</w:t>
            </w:r>
          </w:p>
        </w:tc>
      </w:tr>
      <w:tr w:rsidR="00217865" w:rsidRPr="00217865" w14:paraId="1AEB7C6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6F8541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Institute of Business Pty Ltd</w:t>
            </w:r>
          </w:p>
        </w:tc>
        <w:tc>
          <w:tcPr>
            <w:tcW w:w="2268" w:type="dxa"/>
            <w:tcBorders>
              <w:top w:val="nil"/>
              <w:left w:val="nil"/>
              <w:bottom w:val="single" w:sz="4" w:space="0" w:color="auto"/>
              <w:right w:val="single" w:sz="4" w:space="0" w:color="auto"/>
            </w:tcBorders>
            <w:noWrap/>
            <w:vAlign w:val="center"/>
            <w:hideMark/>
          </w:tcPr>
          <w:p w14:paraId="3FBFD46C"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52.6</w:t>
            </w:r>
          </w:p>
        </w:tc>
        <w:tc>
          <w:tcPr>
            <w:tcW w:w="2126" w:type="dxa"/>
            <w:tcBorders>
              <w:top w:val="nil"/>
              <w:left w:val="nil"/>
              <w:bottom w:val="single" w:sz="4" w:space="0" w:color="auto"/>
              <w:right w:val="single" w:sz="4" w:space="0" w:color="auto"/>
            </w:tcBorders>
            <w:noWrap/>
            <w:vAlign w:val="center"/>
            <w:hideMark/>
          </w:tcPr>
          <w:p w14:paraId="3D44FEB0"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27.8</w:t>
            </w:r>
          </w:p>
        </w:tc>
      </w:tr>
      <w:tr w:rsidR="00217865" w:rsidRPr="00217865" w14:paraId="351AD58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7106CC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Institute of Higher Education</w:t>
            </w:r>
          </w:p>
        </w:tc>
        <w:tc>
          <w:tcPr>
            <w:tcW w:w="2268" w:type="dxa"/>
            <w:tcBorders>
              <w:top w:val="nil"/>
              <w:left w:val="nil"/>
              <w:bottom w:val="single" w:sz="4" w:space="0" w:color="auto"/>
              <w:right w:val="single" w:sz="4" w:space="0" w:color="auto"/>
            </w:tcBorders>
            <w:noWrap/>
            <w:vAlign w:val="center"/>
            <w:hideMark/>
          </w:tcPr>
          <w:p w14:paraId="2C2A2E0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33.4</w:t>
            </w:r>
          </w:p>
        </w:tc>
        <w:tc>
          <w:tcPr>
            <w:tcW w:w="2126" w:type="dxa"/>
            <w:tcBorders>
              <w:top w:val="nil"/>
              <w:left w:val="nil"/>
              <w:bottom w:val="single" w:sz="4" w:space="0" w:color="auto"/>
              <w:right w:val="single" w:sz="4" w:space="0" w:color="auto"/>
            </w:tcBorders>
            <w:noWrap/>
            <w:vAlign w:val="center"/>
            <w:hideMark/>
          </w:tcPr>
          <w:p w14:paraId="6935195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36.2</w:t>
            </w:r>
          </w:p>
        </w:tc>
      </w:tr>
      <w:tr w:rsidR="00217865" w:rsidRPr="00217865" w14:paraId="4CD0A3C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17FA17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Institute of Management Education &amp; Training</w:t>
            </w:r>
          </w:p>
        </w:tc>
        <w:tc>
          <w:tcPr>
            <w:tcW w:w="2268" w:type="dxa"/>
            <w:tcBorders>
              <w:top w:val="nil"/>
              <w:left w:val="nil"/>
              <w:bottom w:val="single" w:sz="4" w:space="0" w:color="auto"/>
              <w:right w:val="single" w:sz="4" w:space="0" w:color="auto"/>
            </w:tcBorders>
            <w:noWrap/>
            <w:vAlign w:val="center"/>
            <w:hideMark/>
          </w:tcPr>
          <w:p w14:paraId="78616BB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25.0</w:t>
            </w:r>
          </w:p>
        </w:tc>
        <w:tc>
          <w:tcPr>
            <w:tcW w:w="2126" w:type="dxa"/>
            <w:tcBorders>
              <w:top w:val="nil"/>
              <w:left w:val="nil"/>
              <w:bottom w:val="single" w:sz="4" w:space="0" w:color="auto"/>
              <w:right w:val="single" w:sz="4" w:space="0" w:color="auto"/>
            </w:tcBorders>
            <w:noWrap/>
            <w:vAlign w:val="center"/>
            <w:hideMark/>
          </w:tcPr>
          <w:p w14:paraId="4C6EAC3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50.0</w:t>
            </w:r>
          </w:p>
        </w:tc>
      </w:tr>
      <w:tr w:rsidR="00217865" w:rsidRPr="00217865" w14:paraId="4822E0C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B26CF5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Institute of Professional Counsellors</w:t>
            </w:r>
          </w:p>
        </w:tc>
        <w:tc>
          <w:tcPr>
            <w:tcW w:w="2268" w:type="dxa"/>
            <w:tcBorders>
              <w:top w:val="nil"/>
              <w:left w:val="nil"/>
              <w:bottom w:val="single" w:sz="4" w:space="0" w:color="auto"/>
              <w:right w:val="single" w:sz="4" w:space="0" w:color="auto"/>
            </w:tcBorders>
            <w:noWrap/>
            <w:vAlign w:val="center"/>
            <w:hideMark/>
          </w:tcPr>
          <w:p w14:paraId="1AEC5D13"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20.0</w:t>
            </w:r>
          </w:p>
        </w:tc>
        <w:tc>
          <w:tcPr>
            <w:tcW w:w="2126" w:type="dxa"/>
            <w:tcBorders>
              <w:top w:val="nil"/>
              <w:left w:val="nil"/>
              <w:bottom w:val="single" w:sz="4" w:space="0" w:color="auto"/>
              <w:right w:val="single" w:sz="4" w:space="0" w:color="auto"/>
            </w:tcBorders>
            <w:noWrap/>
            <w:vAlign w:val="center"/>
            <w:hideMark/>
          </w:tcPr>
          <w:p w14:paraId="78BB651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25.0</w:t>
            </w:r>
          </w:p>
        </w:tc>
      </w:tr>
      <w:tr w:rsidR="00217865" w:rsidRPr="00217865" w14:paraId="4253DDE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D15101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Australian School of Accounting</w:t>
            </w:r>
          </w:p>
        </w:tc>
        <w:tc>
          <w:tcPr>
            <w:tcW w:w="2268" w:type="dxa"/>
            <w:tcBorders>
              <w:top w:val="nil"/>
              <w:left w:val="nil"/>
              <w:bottom w:val="single" w:sz="4" w:space="0" w:color="auto"/>
              <w:right w:val="single" w:sz="4" w:space="0" w:color="auto"/>
            </w:tcBorders>
            <w:noWrap/>
            <w:vAlign w:val="center"/>
            <w:hideMark/>
          </w:tcPr>
          <w:p w14:paraId="2C167914" w14:textId="62F176EA"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752FB58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42.6</w:t>
            </w:r>
          </w:p>
        </w:tc>
      </w:tr>
      <w:tr w:rsidR="00217865" w:rsidRPr="00217865" w14:paraId="2AE67F1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674A31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Avondale University</w:t>
            </w:r>
          </w:p>
        </w:tc>
        <w:tc>
          <w:tcPr>
            <w:tcW w:w="2268" w:type="dxa"/>
            <w:tcBorders>
              <w:top w:val="nil"/>
              <w:left w:val="nil"/>
              <w:bottom w:val="single" w:sz="4" w:space="0" w:color="auto"/>
              <w:right w:val="single" w:sz="4" w:space="0" w:color="auto"/>
            </w:tcBorders>
            <w:noWrap/>
            <w:vAlign w:val="center"/>
            <w:hideMark/>
          </w:tcPr>
          <w:p w14:paraId="63A1575C"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65.0</w:t>
            </w:r>
          </w:p>
        </w:tc>
        <w:tc>
          <w:tcPr>
            <w:tcW w:w="2126" w:type="dxa"/>
            <w:tcBorders>
              <w:top w:val="nil"/>
              <w:left w:val="nil"/>
              <w:bottom w:val="single" w:sz="4" w:space="0" w:color="auto"/>
              <w:right w:val="single" w:sz="4" w:space="0" w:color="auto"/>
            </w:tcBorders>
            <w:noWrap/>
            <w:vAlign w:val="center"/>
            <w:hideMark/>
          </w:tcPr>
          <w:p w14:paraId="3FA1527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46.4</w:t>
            </w:r>
          </w:p>
        </w:tc>
      </w:tr>
      <w:tr w:rsidR="00217865" w:rsidRPr="00217865" w14:paraId="5FC05DD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7A694F5"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BBI - The Australian Institute of Theological Education</w:t>
            </w:r>
          </w:p>
        </w:tc>
        <w:tc>
          <w:tcPr>
            <w:tcW w:w="2268" w:type="dxa"/>
            <w:tcBorders>
              <w:top w:val="nil"/>
              <w:left w:val="nil"/>
              <w:bottom w:val="single" w:sz="4" w:space="0" w:color="auto"/>
              <w:right w:val="single" w:sz="4" w:space="0" w:color="auto"/>
            </w:tcBorders>
            <w:noWrap/>
            <w:vAlign w:val="center"/>
            <w:hideMark/>
          </w:tcPr>
          <w:p w14:paraId="7CAD61A7"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22883E0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100.0</w:t>
            </w:r>
          </w:p>
        </w:tc>
      </w:tr>
      <w:tr w:rsidR="00217865" w:rsidRPr="00217865" w14:paraId="1F67E2F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1DD165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Bond University</w:t>
            </w:r>
          </w:p>
        </w:tc>
        <w:tc>
          <w:tcPr>
            <w:tcW w:w="2268" w:type="dxa"/>
            <w:tcBorders>
              <w:top w:val="nil"/>
              <w:left w:val="nil"/>
              <w:bottom w:val="single" w:sz="4" w:space="0" w:color="auto"/>
              <w:right w:val="single" w:sz="4" w:space="0" w:color="auto"/>
            </w:tcBorders>
            <w:noWrap/>
            <w:vAlign w:val="center"/>
            <w:hideMark/>
          </w:tcPr>
          <w:p w14:paraId="49AFC10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38.7</w:t>
            </w:r>
          </w:p>
        </w:tc>
        <w:tc>
          <w:tcPr>
            <w:tcW w:w="2126" w:type="dxa"/>
            <w:tcBorders>
              <w:top w:val="nil"/>
              <w:left w:val="nil"/>
              <w:bottom w:val="single" w:sz="4" w:space="0" w:color="auto"/>
              <w:right w:val="single" w:sz="4" w:space="0" w:color="auto"/>
            </w:tcBorders>
            <w:noWrap/>
            <w:vAlign w:val="center"/>
            <w:hideMark/>
          </w:tcPr>
          <w:p w14:paraId="768D2240"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37.2</w:t>
            </w:r>
          </w:p>
        </w:tc>
      </w:tr>
      <w:tr w:rsidR="00217865" w:rsidRPr="00217865" w14:paraId="66321C55"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F7BF9E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Box Hill Institute</w:t>
            </w:r>
          </w:p>
        </w:tc>
        <w:tc>
          <w:tcPr>
            <w:tcW w:w="2268" w:type="dxa"/>
            <w:tcBorders>
              <w:top w:val="nil"/>
              <w:left w:val="nil"/>
              <w:bottom w:val="single" w:sz="4" w:space="0" w:color="auto"/>
              <w:right w:val="single" w:sz="4" w:space="0" w:color="auto"/>
            </w:tcBorders>
            <w:noWrap/>
            <w:vAlign w:val="center"/>
            <w:hideMark/>
          </w:tcPr>
          <w:p w14:paraId="022FAFC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38.5</w:t>
            </w:r>
          </w:p>
        </w:tc>
        <w:tc>
          <w:tcPr>
            <w:tcW w:w="2126" w:type="dxa"/>
            <w:tcBorders>
              <w:top w:val="nil"/>
              <w:left w:val="nil"/>
              <w:bottom w:val="single" w:sz="4" w:space="0" w:color="auto"/>
              <w:right w:val="single" w:sz="4" w:space="0" w:color="auto"/>
            </w:tcBorders>
            <w:noWrap/>
            <w:vAlign w:val="center"/>
            <w:hideMark/>
          </w:tcPr>
          <w:p w14:paraId="7A77EFA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38.8</w:t>
            </w:r>
          </w:p>
        </w:tc>
      </w:tr>
      <w:tr w:rsidR="00217865" w:rsidRPr="00217865" w14:paraId="202A9D8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B75D60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Central Queensland University</w:t>
            </w:r>
          </w:p>
        </w:tc>
        <w:tc>
          <w:tcPr>
            <w:tcW w:w="2268" w:type="dxa"/>
            <w:tcBorders>
              <w:top w:val="nil"/>
              <w:left w:val="nil"/>
              <w:bottom w:val="single" w:sz="4" w:space="0" w:color="auto"/>
              <w:right w:val="single" w:sz="4" w:space="0" w:color="auto"/>
            </w:tcBorders>
            <w:noWrap/>
            <w:vAlign w:val="center"/>
            <w:hideMark/>
          </w:tcPr>
          <w:p w14:paraId="62A17D2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38.4</w:t>
            </w:r>
          </w:p>
        </w:tc>
        <w:tc>
          <w:tcPr>
            <w:tcW w:w="2126" w:type="dxa"/>
            <w:tcBorders>
              <w:top w:val="nil"/>
              <w:left w:val="nil"/>
              <w:bottom w:val="single" w:sz="4" w:space="0" w:color="auto"/>
              <w:right w:val="single" w:sz="4" w:space="0" w:color="auto"/>
            </w:tcBorders>
            <w:noWrap/>
            <w:vAlign w:val="center"/>
            <w:hideMark/>
          </w:tcPr>
          <w:p w14:paraId="684AFF2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40.6</w:t>
            </w:r>
          </w:p>
        </w:tc>
      </w:tr>
      <w:tr w:rsidR="00217865" w:rsidRPr="00217865" w14:paraId="3B7C34A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DE95C1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Charles Darwin University</w:t>
            </w:r>
          </w:p>
        </w:tc>
        <w:tc>
          <w:tcPr>
            <w:tcW w:w="2268" w:type="dxa"/>
            <w:tcBorders>
              <w:top w:val="nil"/>
              <w:left w:val="nil"/>
              <w:bottom w:val="single" w:sz="4" w:space="0" w:color="auto"/>
              <w:right w:val="single" w:sz="4" w:space="0" w:color="auto"/>
            </w:tcBorders>
            <w:noWrap/>
            <w:vAlign w:val="center"/>
            <w:hideMark/>
          </w:tcPr>
          <w:p w14:paraId="1C7FC73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37.7</w:t>
            </w:r>
          </w:p>
        </w:tc>
        <w:tc>
          <w:tcPr>
            <w:tcW w:w="2126" w:type="dxa"/>
            <w:tcBorders>
              <w:top w:val="nil"/>
              <w:left w:val="nil"/>
              <w:bottom w:val="single" w:sz="4" w:space="0" w:color="auto"/>
              <w:right w:val="single" w:sz="4" w:space="0" w:color="auto"/>
            </w:tcBorders>
            <w:noWrap/>
            <w:vAlign w:val="center"/>
            <w:hideMark/>
          </w:tcPr>
          <w:p w14:paraId="6D0A3410"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40.2</w:t>
            </w:r>
          </w:p>
        </w:tc>
      </w:tr>
      <w:tr w:rsidR="00217865" w:rsidRPr="00217865" w14:paraId="7A9D343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6FD122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Charles Sturt University</w:t>
            </w:r>
          </w:p>
        </w:tc>
        <w:tc>
          <w:tcPr>
            <w:tcW w:w="2268" w:type="dxa"/>
            <w:tcBorders>
              <w:top w:val="nil"/>
              <w:left w:val="nil"/>
              <w:bottom w:val="single" w:sz="4" w:space="0" w:color="auto"/>
              <w:right w:val="single" w:sz="4" w:space="0" w:color="auto"/>
            </w:tcBorders>
            <w:noWrap/>
            <w:vAlign w:val="center"/>
            <w:hideMark/>
          </w:tcPr>
          <w:p w14:paraId="55AD7AE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28.6</w:t>
            </w:r>
          </w:p>
        </w:tc>
        <w:tc>
          <w:tcPr>
            <w:tcW w:w="2126" w:type="dxa"/>
            <w:tcBorders>
              <w:top w:val="nil"/>
              <w:left w:val="nil"/>
              <w:bottom w:val="single" w:sz="4" w:space="0" w:color="auto"/>
              <w:right w:val="single" w:sz="4" w:space="0" w:color="auto"/>
            </w:tcBorders>
            <w:noWrap/>
            <w:vAlign w:val="center"/>
            <w:hideMark/>
          </w:tcPr>
          <w:p w14:paraId="7B5157A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39.7</w:t>
            </w:r>
          </w:p>
        </w:tc>
      </w:tr>
      <w:tr w:rsidR="00217865" w:rsidRPr="00217865" w14:paraId="5209802A"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BE89D1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Chartered Accountants Australia and New Zealand</w:t>
            </w:r>
          </w:p>
        </w:tc>
        <w:tc>
          <w:tcPr>
            <w:tcW w:w="2268" w:type="dxa"/>
            <w:tcBorders>
              <w:top w:val="nil"/>
              <w:left w:val="nil"/>
              <w:bottom w:val="single" w:sz="4" w:space="0" w:color="auto"/>
              <w:right w:val="single" w:sz="4" w:space="0" w:color="auto"/>
            </w:tcBorders>
            <w:noWrap/>
            <w:vAlign w:val="center"/>
            <w:hideMark/>
          </w:tcPr>
          <w:p w14:paraId="25E01C81" w14:textId="0E18A7FE"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21B258E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17.2</w:t>
            </w:r>
          </w:p>
        </w:tc>
      </w:tr>
      <w:tr w:rsidR="00217865" w:rsidRPr="00217865" w14:paraId="1AD7D7E5"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186BAD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Chisholm Institute</w:t>
            </w:r>
          </w:p>
        </w:tc>
        <w:tc>
          <w:tcPr>
            <w:tcW w:w="2268" w:type="dxa"/>
            <w:tcBorders>
              <w:top w:val="nil"/>
              <w:left w:val="nil"/>
              <w:bottom w:val="single" w:sz="4" w:space="0" w:color="auto"/>
              <w:right w:val="single" w:sz="4" w:space="0" w:color="auto"/>
            </w:tcBorders>
            <w:noWrap/>
            <w:vAlign w:val="center"/>
            <w:hideMark/>
          </w:tcPr>
          <w:p w14:paraId="38BA1C4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28.8</w:t>
            </w:r>
          </w:p>
        </w:tc>
        <w:tc>
          <w:tcPr>
            <w:tcW w:w="2126" w:type="dxa"/>
            <w:tcBorders>
              <w:top w:val="nil"/>
              <w:left w:val="nil"/>
              <w:bottom w:val="single" w:sz="4" w:space="0" w:color="auto"/>
              <w:right w:val="single" w:sz="4" w:space="0" w:color="auto"/>
            </w:tcBorders>
            <w:noWrap/>
            <w:vAlign w:val="center"/>
            <w:hideMark/>
          </w:tcPr>
          <w:p w14:paraId="56DA96C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37.2</w:t>
            </w:r>
          </w:p>
        </w:tc>
      </w:tr>
      <w:tr w:rsidR="00217865" w:rsidRPr="00217865" w14:paraId="2C30532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582201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Christian Heritage College</w:t>
            </w:r>
          </w:p>
        </w:tc>
        <w:tc>
          <w:tcPr>
            <w:tcW w:w="2268" w:type="dxa"/>
            <w:tcBorders>
              <w:top w:val="nil"/>
              <w:left w:val="nil"/>
              <w:bottom w:val="single" w:sz="4" w:space="0" w:color="auto"/>
              <w:right w:val="single" w:sz="4" w:space="0" w:color="auto"/>
            </w:tcBorders>
            <w:noWrap/>
            <w:vAlign w:val="center"/>
            <w:hideMark/>
          </w:tcPr>
          <w:p w14:paraId="4C16F40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47.1</w:t>
            </w:r>
          </w:p>
        </w:tc>
        <w:tc>
          <w:tcPr>
            <w:tcW w:w="2126" w:type="dxa"/>
            <w:tcBorders>
              <w:top w:val="nil"/>
              <w:left w:val="nil"/>
              <w:bottom w:val="single" w:sz="4" w:space="0" w:color="auto"/>
              <w:right w:val="single" w:sz="4" w:space="0" w:color="auto"/>
            </w:tcBorders>
            <w:noWrap/>
            <w:vAlign w:val="center"/>
            <w:hideMark/>
          </w:tcPr>
          <w:p w14:paraId="279C247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57.1</w:t>
            </w:r>
          </w:p>
        </w:tc>
      </w:tr>
      <w:tr w:rsidR="00217865" w:rsidRPr="00217865" w14:paraId="504098F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4F30284"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CIC Higher Education</w:t>
            </w:r>
          </w:p>
        </w:tc>
        <w:tc>
          <w:tcPr>
            <w:tcW w:w="2268" w:type="dxa"/>
            <w:tcBorders>
              <w:top w:val="nil"/>
              <w:left w:val="nil"/>
              <w:bottom w:val="single" w:sz="4" w:space="0" w:color="auto"/>
              <w:right w:val="single" w:sz="4" w:space="0" w:color="auto"/>
            </w:tcBorders>
            <w:noWrap/>
            <w:vAlign w:val="center"/>
            <w:hideMark/>
          </w:tcPr>
          <w:p w14:paraId="09B46BC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39.8</w:t>
            </w:r>
          </w:p>
        </w:tc>
        <w:tc>
          <w:tcPr>
            <w:tcW w:w="2126" w:type="dxa"/>
            <w:tcBorders>
              <w:top w:val="nil"/>
              <w:left w:val="nil"/>
              <w:bottom w:val="single" w:sz="4" w:space="0" w:color="auto"/>
              <w:right w:val="single" w:sz="4" w:space="0" w:color="auto"/>
            </w:tcBorders>
            <w:noWrap/>
            <w:vAlign w:val="center"/>
            <w:hideMark/>
          </w:tcPr>
          <w:p w14:paraId="699690D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40.4</w:t>
            </w:r>
          </w:p>
        </w:tc>
      </w:tr>
      <w:tr w:rsidR="00217865" w:rsidRPr="00217865" w14:paraId="05BFCFF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93959C1" w14:textId="77777777" w:rsidR="00821227" w:rsidRPr="00217865" w:rsidRDefault="00821227" w:rsidP="001E4C62">
            <w:pPr>
              <w:spacing w:before="60" w:after="60"/>
              <w:rPr>
                <w:rFonts w:eastAsia="Times New Roman" w:cs="Arial"/>
                <w:color w:val="000000" w:themeColor="text1"/>
                <w:sz w:val="18"/>
                <w:highlight w:val="yellow"/>
                <w:lang w:eastAsia="en-AU"/>
              </w:rPr>
            </w:pPr>
            <w:proofErr w:type="spellStart"/>
            <w:r w:rsidRPr="00217865">
              <w:rPr>
                <w:rFonts w:cs="Arial"/>
                <w:color w:val="000000" w:themeColor="text1"/>
                <w:sz w:val="18"/>
              </w:rPr>
              <w:t>Collarts</w:t>
            </w:r>
            <w:proofErr w:type="spellEnd"/>
            <w:r w:rsidRPr="00217865">
              <w:rPr>
                <w:rFonts w:cs="Arial"/>
                <w:color w:val="000000" w:themeColor="text1"/>
                <w:sz w:val="18"/>
              </w:rPr>
              <w:t xml:space="preserve"> (Australian College of the Arts)</w:t>
            </w:r>
          </w:p>
        </w:tc>
        <w:tc>
          <w:tcPr>
            <w:tcW w:w="2268" w:type="dxa"/>
            <w:tcBorders>
              <w:top w:val="nil"/>
              <w:left w:val="nil"/>
              <w:bottom w:val="single" w:sz="4" w:space="0" w:color="auto"/>
              <w:right w:val="single" w:sz="4" w:space="0" w:color="auto"/>
            </w:tcBorders>
            <w:noWrap/>
            <w:vAlign w:val="center"/>
            <w:hideMark/>
          </w:tcPr>
          <w:p w14:paraId="08351E07"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44.4</w:t>
            </w:r>
          </w:p>
        </w:tc>
        <w:tc>
          <w:tcPr>
            <w:tcW w:w="2126" w:type="dxa"/>
            <w:tcBorders>
              <w:top w:val="nil"/>
              <w:left w:val="nil"/>
              <w:bottom w:val="single" w:sz="4" w:space="0" w:color="auto"/>
              <w:right w:val="single" w:sz="4" w:space="0" w:color="auto"/>
            </w:tcBorders>
            <w:noWrap/>
            <w:vAlign w:val="center"/>
            <w:hideMark/>
          </w:tcPr>
          <w:p w14:paraId="78CDAF0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25.9</w:t>
            </w:r>
          </w:p>
        </w:tc>
      </w:tr>
      <w:tr w:rsidR="00217865" w:rsidRPr="00217865" w14:paraId="4C9850E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A9A3AD5"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Crown Institute of Higher Education Pty Ltd</w:t>
            </w:r>
          </w:p>
        </w:tc>
        <w:tc>
          <w:tcPr>
            <w:tcW w:w="2268" w:type="dxa"/>
            <w:tcBorders>
              <w:top w:val="nil"/>
              <w:left w:val="nil"/>
              <w:bottom w:val="single" w:sz="4" w:space="0" w:color="auto"/>
              <w:right w:val="single" w:sz="4" w:space="0" w:color="auto"/>
            </w:tcBorders>
            <w:noWrap/>
            <w:vAlign w:val="center"/>
            <w:hideMark/>
          </w:tcPr>
          <w:p w14:paraId="79CFB9C5" w14:textId="3E6043DF"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3116A3D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27.8</w:t>
            </w:r>
          </w:p>
        </w:tc>
      </w:tr>
      <w:tr w:rsidR="00217865" w:rsidRPr="00217865" w14:paraId="73DA6761"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A63EFE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lastRenderedPageBreak/>
              <w:t>Curtin College</w:t>
            </w:r>
          </w:p>
        </w:tc>
        <w:tc>
          <w:tcPr>
            <w:tcW w:w="2268" w:type="dxa"/>
            <w:tcBorders>
              <w:top w:val="nil"/>
              <w:left w:val="nil"/>
              <w:bottom w:val="single" w:sz="4" w:space="0" w:color="auto"/>
              <w:right w:val="single" w:sz="4" w:space="0" w:color="auto"/>
            </w:tcBorders>
            <w:noWrap/>
            <w:vAlign w:val="center"/>
            <w:hideMark/>
          </w:tcPr>
          <w:p w14:paraId="36F6554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46.8</w:t>
            </w:r>
          </w:p>
        </w:tc>
        <w:tc>
          <w:tcPr>
            <w:tcW w:w="2126" w:type="dxa"/>
            <w:tcBorders>
              <w:top w:val="nil"/>
              <w:left w:val="nil"/>
              <w:bottom w:val="single" w:sz="4" w:space="0" w:color="auto"/>
              <w:right w:val="single" w:sz="4" w:space="0" w:color="auto"/>
            </w:tcBorders>
            <w:noWrap/>
            <w:vAlign w:val="center"/>
            <w:hideMark/>
          </w:tcPr>
          <w:p w14:paraId="2332EDD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40.4</w:t>
            </w:r>
          </w:p>
        </w:tc>
      </w:tr>
      <w:tr w:rsidR="00217865" w:rsidRPr="00217865" w14:paraId="57F5FB3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CBCE92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Curtin University</w:t>
            </w:r>
          </w:p>
        </w:tc>
        <w:tc>
          <w:tcPr>
            <w:tcW w:w="2268" w:type="dxa"/>
            <w:tcBorders>
              <w:top w:val="nil"/>
              <w:left w:val="nil"/>
              <w:bottom w:val="single" w:sz="4" w:space="0" w:color="auto"/>
              <w:right w:val="single" w:sz="4" w:space="0" w:color="auto"/>
            </w:tcBorders>
            <w:noWrap/>
            <w:vAlign w:val="center"/>
            <w:hideMark/>
          </w:tcPr>
          <w:p w14:paraId="1648584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40.5</w:t>
            </w:r>
          </w:p>
        </w:tc>
        <w:tc>
          <w:tcPr>
            <w:tcW w:w="2126" w:type="dxa"/>
            <w:tcBorders>
              <w:top w:val="nil"/>
              <w:left w:val="nil"/>
              <w:bottom w:val="single" w:sz="4" w:space="0" w:color="auto"/>
              <w:right w:val="single" w:sz="4" w:space="0" w:color="auto"/>
            </w:tcBorders>
            <w:noWrap/>
            <w:vAlign w:val="center"/>
            <w:hideMark/>
          </w:tcPr>
          <w:p w14:paraId="706E711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48.0</w:t>
            </w:r>
          </w:p>
        </w:tc>
      </w:tr>
      <w:tr w:rsidR="00217865" w:rsidRPr="00217865" w14:paraId="136C6A7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2B24D50"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Deakin College</w:t>
            </w:r>
          </w:p>
        </w:tc>
        <w:tc>
          <w:tcPr>
            <w:tcW w:w="2268" w:type="dxa"/>
            <w:tcBorders>
              <w:top w:val="nil"/>
              <w:left w:val="nil"/>
              <w:bottom w:val="single" w:sz="4" w:space="0" w:color="auto"/>
              <w:right w:val="single" w:sz="4" w:space="0" w:color="auto"/>
            </w:tcBorders>
            <w:noWrap/>
            <w:vAlign w:val="center"/>
            <w:hideMark/>
          </w:tcPr>
          <w:p w14:paraId="5D4CA69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35.8</w:t>
            </w:r>
          </w:p>
        </w:tc>
        <w:tc>
          <w:tcPr>
            <w:tcW w:w="2126" w:type="dxa"/>
            <w:tcBorders>
              <w:top w:val="nil"/>
              <w:left w:val="nil"/>
              <w:bottom w:val="single" w:sz="4" w:space="0" w:color="auto"/>
              <w:right w:val="single" w:sz="4" w:space="0" w:color="auto"/>
            </w:tcBorders>
            <w:noWrap/>
            <w:vAlign w:val="center"/>
            <w:hideMark/>
          </w:tcPr>
          <w:p w14:paraId="60A0C9D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34.0</w:t>
            </w:r>
          </w:p>
        </w:tc>
      </w:tr>
      <w:tr w:rsidR="00217865" w:rsidRPr="00217865" w14:paraId="5E9870B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13E236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Deakin University</w:t>
            </w:r>
          </w:p>
        </w:tc>
        <w:tc>
          <w:tcPr>
            <w:tcW w:w="2268" w:type="dxa"/>
            <w:tcBorders>
              <w:top w:val="nil"/>
              <w:left w:val="nil"/>
              <w:bottom w:val="single" w:sz="4" w:space="0" w:color="auto"/>
              <w:right w:val="single" w:sz="4" w:space="0" w:color="auto"/>
            </w:tcBorders>
            <w:noWrap/>
            <w:vAlign w:val="center"/>
            <w:hideMark/>
          </w:tcPr>
          <w:p w14:paraId="07E06EF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36.2</w:t>
            </w:r>
          </w:p>
        </w:tc>
        <w:tc>
          <w:tcPr>
            <w:tcW w:w="2126" w:type="dxa"/>
            <w:tcBorders>
              <w:top w:val="nil"/>
              <w:left w:val="nil"/>
              <w:bottom w:val="single" w:sz="4" w:space="0" w:color="auto"/>
              <w:right w:val="single" w:sz="4" w:space="0" w:color="auto"/>
            </w:tcBorders>
            <w:noWrap/>
            <w:vAlign w:val="center"/>
            <w:hideMark/>
          </w:tcPr>
          <w:p w14:paraId="480E106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33.9</w:t>
            </w:r>
          </w:p>
        </w:tc>
      </w:tr>
      <w:tr w:rsidR="00217865" w:rsidRPr="00217865" w14:paraId="3D20433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92853B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Eastern College Australia</w:t>
            </w:r>
          </w:p>
        </w:tc>
        <w:tc>
          <w:tcPr>
            <w:tcW w:w="2268" w:type="dxa"/>
            <w:tcBorders>
              <w:top w:val="nil"/>
              <w:left w:val="nil"/>
              <w:bottom w:val="single" w:sz="4" w:space="0" w:color="auto"/>
              <w:right w:val="single" w:sz="4" w:space="0" w:color="auto"/>
            </w:tcBorders>
            <w:noWrap/>
            <w:vAlign w:val="center"/>
            <w:hideMark/>
          </w:tcPr>
          <w:p w14:paraId="3B20D21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7528E68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100.0</w:t>
            </w:r>
          </w:p>
        </w:tc>
      </w:tr>
      <w:tr w:rsidR="00217865" w:rsidRPr="00217865" w14:paraId="1D08856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9BECF1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Edith Cowan College</w:t>
            </w:r>
          </w:p>
        </w:tc>
        <w:tc>
          <w:tcPr>
            <w:tcW w:w="2268" w:type="dxa"/>
            <w:tcBorders>
              <w:top w:val="nil"/>
              <w:left w:val="nil"/>
              <w:bottom w:val="single" w:sz="4" w:space="0" w:color="auto"/>
              <w:right w:val="single" w:sz="4" w:space="0" w:color="auto"/>
            </w:tcBorders>
            <w:noWrap/>
            <w:vAlign w:val="center"/>
            <w:hideMark/>
          </w:tcPr>
          <w:p w14:paraId="481AD3A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48.5</w:t>
            </w:r>
          </w:p>
        </w:tc>
        <w:tc>
          <w:tcPr>
            <w:tcW w:w="2126" w:type="dxa"/>
            <w:tcBorders>
              <w:top w:val="nil"/>
              <w:left w:val="nil"/>
              <w:bottom w:val="single" w:sz="4" w:space="0" w:color="auto"/>
              <w:right w:val="single" w:sz="4" w:space="0" w:color="auto"/>
            </w:tcBorders>
            <w:noWrap/>
            <w:vAlign w:val="center"/>
            <w:hideMark/>
          </w:tcPr>
          <w:p w14:paraId="4837BADD"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49.1</w:t>
            </w:r>
          </w:p>
        </w:tc>
      </w:tr>
      <w:tr w:rsidR="00217865" w:rsidRPr="00217865" w14:paraId="7650B26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AF2A77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Edith Cowan University</w:t>
            </w:r>
          </w:p>
        </w:tc>
        <w:tc>
          <w:tcPr>
            <w:tcW w:w="2268" w:type="dxa"/>
            <w:tcBorders>
              <w:top w:val="nil"/>
              <w:left w:val="nil"/>
              <w:bottom w:val="single" w:sz="4" w:space="0" w:color="auto"/>
              <w:right w:val="single" w:sz="4" w:space="0" w:color="auto"/>
            </w:tcBorders>
            <w:noWrap/>
            <w:vAlign w:val="center"/>
            <w:hideMark/>
          </w:tcPr>
          <w:p w14:paraId="7A0E90E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42.3</w:t>
            </w:r>
          </w:p>
        </w:tc>
        <w:tc>
          <w:tcPr>
            <w:tcW w:w="2126" w:type="dxa"/>
            <w:tcBorders>
              <w:top w:val="nil"/>
              <w:left w:val="nil"/>
              <w:bottom w:val="single" w:sz="4" w:space="0" w:color="auto"/>
              <w:right w:val="single" w:sz="4" w:space="0" w:color="auto"/>
            </w:tcBorders>
            <w:noWrap/>
            <w:vAlign w:val="center"/>
            <w:hideMark/>
          </w:tcPr>
          <w:p w14:paraId="1BD9319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59.6</w:t>
            </w:r>
          </w:p>
        </w:tc>
      </w:tr>
      <w:tr w:rsidR="00217865" w:rsidRPr="00217865" w14:paraId="3F32464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0D8912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Endeavour College of Natural Health</w:t>
            </w:r>
          </w:p>
        </w:tc>
        <w:tc>
          <w:tcPr>
            <w:tcW w:w="2268" w:type="dxa"/>
            <w:tcBorders>
              <w:top w:val="nil"/>
              <w:left w:val="nil"/>
              <w:bottom w:val="single" w:sz="4" w:space="0" w:color="auto"/>
              <w:right w:val="single" w:sz="4" w:space="0" w:color="auto"/>
            </w:tcBorders>
            <w:noWrap/>
            <w:vAlign w:val="center"/>
            <w:hideMark/>
          </w:tcPr>
          <w:p w14:paraId="5F46461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40.9</w:t>
            </w:r>
          </w:p>
        </w:tc>
        <w:tc>
          <w:tcPr>
            <w:tcW w:w="2126" w:type="dxa"/>
            <w:tcBorders>
              <w:top w:val="nil"/>
              <w:left w:val="nil"/>
              <w:bottom w:val="single" w:sz="4" w:space="0" w:color="auto"/>
              <w:right w:val="single" w:sz="4" w:space="0" w:color="auto"/>
            </w:tcBorders>
            <w:noWrap/>
            <w:vAlign w:val="center"/>
            <w:hideMark/>
          </w:tcPr>
          <w:p w14:paraId="25FB928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59.5</w:t>
            </w:r>
          </w:p>
        </w:tc>
      </w:tr>
      <w:tr w:rsidR="00217865" w:rsidRPr="00217865" w14:paraId="08CFCBCA"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6BDD7F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Engineering Institute of Technology</w:t>
            </w:r>
          </w:p>
        </w:tc>
        <w:tc>
          <w:tcPr>
            <w:tcW w:w="2268" w:type="dxa"/>
            <w:tcBorders>
              <w:top w:val="nil"/>
              <w:left w:val="nil"/>
              <w:bottom w:val="single" w:sz="4" w:space="0" w:color="auto"/>
              <w:right w:val="single" w:sz="4" w:space="0" w:color="auto"/>
            </w:tcBorders>
            <w:noWrap/>
            <w:vAlign w:val="center"/>
            <w:hideMark/>
          </w:tcPr>
          <w:p w14:paraId="3C13335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54.1</w:t>
            </w:r>
          </w:p>
        </w:tc>
        <w:tc>
          <w:tcPr>
            <w:tcW w:w="2126" w:type="dxa"/>
            <w:tcBorders>
              <w:top w:val="nil"/>
              <w:left w:val="nil"/>
              <w:bottom w:val="single" w:sz="4" w:space="0" w:color="auto"/>
              <w:right w:val="single" w:sz="4" w:space="0" w:color="auto"/>
            </w:tcBorders>
            <w:noWrap/>
            <w:vAlign w:val="center"/>
            <w:hideMark/>
          </w:tcPr>
          <w:p w14:paraId="47A4655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68.1</w:t>
            </w:r>
          </w:p>
        </w:tc>
      </w:tr>
      <w:tr w:rsidR="00217865" w:rsidRPr="00217865" w14:paraId="5F0A679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6C9C56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Equals International</w:t>
            </w:r>
          </w:p>
        </w:tc>
        <w:tc>
          <w:tcPr>
            <w:tcW w:w="2268" w:type="dxa"/>
            <w:tcBorders>
              <w:top w:val="nil"/>
              <w:left w:val="nil"/>
              <w:bottom w:val="single" w:sz="4" w:space="0" w:color="auto"/>
              <w:right w:val="single" w:sz="4" w:space="0" w:color="auto"/>
            </w:tcBorders>
            <w:noWrap/>
            <w:vAlign w:val="center"/>
            <w:hideMark/>
          </w:tcPr>
          <w:p w14:paraId="25A78D30" w14:textId="53CB6EA3"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27E032D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31.3</w:t>
            </w:r>
          </w:p>
        </w:tc>
      </w:tr>
      <w:tr w:rsidR="00217865" w:rsidRPr="00217865" w14:paraId="044E69B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D353319" w14:textId="77777777" w:rsidR="00821227" w:rsidRPr="00217865" w:rsidRDefault="00821227" w:rsidP="001E4C62">
            <w:pPr>
              <w:spacing w:before="60" w:after="60"/>
              <w:rPr>
                <w:rFonts w:eastAsia="Times New Roman" w:cs="Arial"/>
                <w:color w:val="000000" w:themeColor="text1"/>
                <w:sz w:val="18"/>
                <w:highlight w:val="yellow"/>
                <w:lang w:eastAsia="en-AU"/>
              </w:rPr>
            </w:pPr>
            <w:proofErr w:type="spellStart"/>
            <w:r w:rsidRPr="00217865">
              <w:rPr>
                <w:rFonts w:cs="Arial"/>
                <w:color w:val="000000" w:themeColor="text1"/>
                <w:sz w:val="18"/>
              </w:rPr>
              <w:t>Excelsia</w:t>
            </w:r>
            <w:proofErr w:type="spellEnd"/>
            <w:r w:rsidRPr="00217865">
              <w:rPr>
                <w:rFonts w:cs="Arial"/>
                <w:color w:val="000000" w:themeColor="text1"/>
                <w:sz w:val="18"/>
              </w:rPr>
              <w:t xml:space="preserve"> College</w:t>
            </w:r>
          </w:p>
        </w:tc>
        <w:tc>
          <w:tcPr>
            <w:tcW w:w="2268" w:type="dxa"/>
            <w:tcBorders>
              <w:top w:val="nil"/>
              <w:left w:val="nil"/>
              <w:bottom w:val="single" w:sz="4" w:space="0" w:color="auto"/>
              <w:right w:val="single" w:sz="4" w:space="0" w:color="auto"/>
            </w:tcBorders>
            <w:noWrap/>
            <w:vAlign w:val="center"/>
            <w:hideMark/>
          </w:tcPr>
          <w:p w14:paraId="6CF609B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29.9</w:t>
            </w:r>
          </w:p>
        </w:tc>
        <w:tc>
          <w:tcPr>
            <w:tcW w:w="2126" w:type="dxa"/>
            <w:tcBorders>
              <w:top w:val="nil"/>
              <w:left w:val="nil"/>
              <w:bottom w:val="single" w:sz="4" w:space="0" w:color="auto"/>
              <w:right w:val="single" w:sz="4" w:space="0" w:color="auto"/>
            </w:tcBorders>
            <w:noWrap/>
            <w:vAlign w:val="center"/>
            <w:hideMark/>
          </w:tcPr>
          <w:p w14:paraId="35E098B0"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38.2</w:t>
            </w:r>
          </w:p>
        </w:tc>
      </w:tr>
      <w:tr w:rsidR="00217865" w:rsidRPr="00217865" w14:paraId="2CAB675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F393EE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Eynesbury College</w:t>
            </w:r>
          </w:p>
        </w:tc>
        <w:tc>
          <w:tcPr>
            <w:tcW w:w="2268" w:type="dxa"/>
            <w:tcBorders>
              <w:top w:val="nil"/>
              <w:left w:val="nil"/>
              <w:bottom w:val="single" w:sz="4" w:space="0" w:color="auto"/>
              <w:right w:val="single" w:sz="4" w:space="0" w:color="auto"/>
            </w:tcBorders>
            <w:noWrap/>
            <w:vAlign w:val="center"/>
            <w:hideMark/>
          </w:tcPr>
          <w:p w14:paraId="623020E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31.0</w:t>
            </w:r>
          </w:p>
        </w:tc>
        <w:tc>
          <w:tcPr>
            <w:tcW w:w="2126" w:type="dxa"/>
            <w:tcBorders>
              <w:top w:val="nil"/>
              <w:left w:val="nil"/>
              <w:bottom w:val="single" w:sz="4" w:space="0" w:color="auto"/>
              <w:right w:val="single" w:sz="4" w:space="0" w:color="auto"/>
            </w:tcBorders>
            <w:noWrap/>
            <w:vAlign w:val="center"/>
            <w:hideMark/>
          </w:tcPr>
          <w:p w14:paraId="6B6C169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40.0</w:t>
            </w:r>
          </w:p>
        </w:tc>
      </w:tr>
      <w:tr w:rsidR="00217865" w:rsidRPr="00217865" w14:paraId="36AA989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6A7346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Federation University Australia</w:t>
            </w:r>
          </w:p>
        </w:tc>
        <w:tc>
          <w:tcPr>
            <w:tcW w:w="2268" w:type="dxa"/>
            <w:tcBorders>
              <w:top w:val="nil"/>
              <w:left w:val="nil"/>
              <w:bottom w:val="single" w:sz="4" w:space="0" w:color="auto"/>
              <w:right w:val="single" w:sz="4" w:space="0" w:color="auto"/>
            </w:tcBorders>
            <w:noWrap/>
            <w:vAlign w:val="center"/>
            <w:hideMark/>
          </w:tcPr>
          <w:p w14:paraId="1792A3D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26.6</w:t>
            </w:r>
          </w:p>
        </w:tc>
        <w:tc>
          <w:tcPr>
            <w:tcW w:w="2126" w:type="dxa"/>
            <w:tcBorders>
              <w:top w:val="nil"/>
              <w:left w:val="nil"/>
              <w:bottom w:val="single" w:sz="4" w:space="0" w:color="auto"/>
              <w:right w:val="single" w:sz="4" w:space="0" w:color="auto"/>
            </w:tcBorders>
            <w:noWrap/>
            <w:vAlign w:val="center"/>
            <w:hideMark/>
          </w:tcPr>
          <w:p w14:paraId="6FA561E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35.6</w:t>
            </w:r>
          </w:p>
        </w:tc>
      </w:tr>
      <w:tr w:rsidR="00217865" w:rsidRPr="00217865" w14:paraId="6E79483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9AD9ED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Flinders University</w:t>
            </w:r>
          </w:p>
        </w:tc>
        <w:tc>
          <w:tcPr>
            <w:tcW w:w="2268" w:type="dxa"/>
            <w:tcBorders>
              <w:top w:val="nil"/>
              <w:left w:val="nil"/>
              <w:bottom w:val="single" w:sz="4" w:space="0" w:color="auto"/>
              <w:right w:val="single" w:sz="4" w:space="0" w:color="auto"/>
            </w:tcBorders>
            <w:noWrap/>
            <w:vAlign w:val="center"/>
            <w:hideMark/>
          </w:tcPr>
          <w:p w14:paraId="24B490B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37.6</w:t>
            </w:r>
          </w:p>
        </w:tc>
        <w:tc>
          <w:tcPr>
            <w:tcW w:w="2126" w:type="dxa"/>
            <w:tcBorders>
              <w:top w:val="nil"/>
              <w:left w:val="nil"/>
              <w:bottom w:val="single" w:sz="4" w:space="0" w:color="auto"/>
              <w:right w:val="single" w:sz="4" w:space="0" w:color="auto"/>
            </w:tcBorders>
            <w:noWrap/>
            <w:vAlign w:val="center"/>
            <w:hideMark/>
          </w:tcPr>
          <w:p w14:paraId="3E200C0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35.8</w:t>
            </w:r>
          </w:p>
        </w:tc>
      </w:tr>
      <w:tr w:rsidR="00217865" w:rsidRPr="00217865" w14:paraId="2A874BA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DD38B18"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Governance Institute of Australia</w:t>
            </w:r>
          </w:p>
        </w:tc>
        <w:tc>
          <w:tcPr>
            <w:tcW w:w="2268" w:type="dxa"/>
            <w:tcBorders>
              <w:top w:val="nil"/>
              <w:left w:val="nil"/>
              <w:bottom w:val="single" w:sz="4" w:space="0" w:color="auto"/>
              <w:right w:val="single" w:sz="4" w:space="0" w:color="auto"/>
            </w:tcBorders>
            <w:noWrap/>
            <w:vAlign w:val="center"/>
            <w:hideMark/>
          </w:tcPr>
          <w:p w14:paraId="778BE4F7" w14:textId="38E8BDF0"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4CDBE25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83.3</w:t>
            </w:r>
          </w:p>
        </w:tc>
      </w:tr>
      <w:tr w:rsidR="00217865" w:rsidRPr="00217865" w14:paraId="47B0640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36EC91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Griffith College</w:t>
            </w:r>
          </w:p>
        </w:tc>
        <w:tc>
          <w:tcPr>
            <w:tcW w:w="2268" w:type="dxa"/>
            <w:tcBorders>
              <w:top w:val="nil"/>
              <w:left w:val="nil"/>
              <w:bottom w:val="single" w:sz="4" w:space="0" w:color="auto"/>
              <w:right w:val="single" w:sz="4" w:space="0" w:color="auto"/>
            </w:tcBorders>
            <w:noWrap/>
            <w:vAlign w:val="center"/>
            <w:hideMark/>
          </w:tcPr>
          <w:p w14:paraId="6C248B3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24.4</w:t>
            </w:r>
          </w:p>
        </w:tc>
        <w:tc>
          <w:tcPr>
            <w:tcW w:w="2126" w:type="dxa"/>
            <w:tcBorders>
              <w:top w:val="nil"/>
              <w:left w:val="nil"/>
              <w:bottom w:val="single" w:sz="4" w:space="0" w:color="auto"/>
              <w:right w:val="single" w:sz="4" w:space="0" w:color="auto"/>
            </w:tcBorders>
            <w:noWrap/>
            <w:vAlign w:val="center"/>
            <w:hideMark/>
          </w:tcPr>
          <w:p w14:paraId="50FE528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34.6</w:t>
            </w:r>
          </w:p>
        </w:tc>
      </w:tr>
      <w:tr w:rsidR="00217865" w:rsidRPr="00217865" w14:paraId="58437E0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4F929D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Griffith University</w:t>
            </w:r>
          </w:p>
        </w:tc>
        <w:tc>
          <w:tcPr>
            <w:tcW w:w="2268" w:type="dxa"/>
            <w:tcBorders>
              <w:top w:val="nil"/>
              <w:left w:val="nil"/>
              <w:bottom w:val="single" w:sz="4" w:space="0" w:color="auto"/>
              <w:right w:val="single" w:sz="4" w:space="0" w:color="auto"/>
            </w:tcBorders>
            <w:noWrap/>
            <w:vAlign w:val="center"/>
            <w:hideMark/>
          </w:tcPr>
          <w:p w14:paraId="75C809A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29.4</w:t>
            </w:r>
          </w:p>
        </w:tc>
        <w:tc>
          <w:tcPr>
            <w:tcW w:w="2126" w:type="dxa"/>
            <w:tcBorders>
              <w:top w:val="nil"/>
              <w:left w:val="nil"/>
              <w:bottom w:val="single" w:sz="4" w:space="0" w:color="auto"/>
              <w:right w:val="single" w:sz="4" w:space="0" w:color="auto"/>
            </w:tcBorders>
            <w:noWrap/>
            <w:vAlign w:val="center"/>
            <w:hideMark/>
          </w:tcPr>
          <w:p w14:paraId="1626597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40.3</w:t>
            </w:r>
          </w:p>
        </w:tc>
      </w:tr>
      <w:tr w:rsidR="00217865" w:rsidRPr="00217865" w14:paraId="07C77C1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047A5A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HEPCO The Tax Institute Higher Education</w:t>
            </w:r>
          </w:p>
        </w:tc>
        <w:tc>
          <w:tcPr>
            <w:tcW w:w="2268" w:type="dxa"/>
            <w:tcBorders>
              <w:top w:val="nil"/>
              <w:left w:val="nil"/>
              <w:bottom w:val="single" w:sz="4" w:space="0" w:color="auto"/>
              <w:right w:val="single" w:sz="4" w:space="0" w:color="auto"/>
            </w:tcBorders>
            <w:noWrap/>
            <w:vAlign w:val="center"/>
            <w:hideMark/>
          </w:tcPr>
          <w:p w14:paraId="47AB6F0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30.0</w:t>
            </w:r>
          </w:p>
        </w:tc>
        <w:tc>
          <w:tcPr>
            <w:tcW w:w="2126" w:type="dxa"/>
            <w:tcBorders>
              <w:top w:val="nil"/>
              <w:left w:val="nil"/>
              <w:bottom w:val="single" w:sz="4" w:space="0" w:color="auto"/>
              <w:right w:val="single" w:sz="4" w:space="0" w:color="auto"/>
            </w:tcBorders>
            <w:noWrap/>
            <w:vAlign w:val="center"/>
            <w:hideMark/>
          </w:tcPr>
          <w:p w14:paraId="16CE6A0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23.1</w:t>
            </w:r>
          </w:p>
        </w:tc>
      </w:tr>
      <w:tr w:rsidR="00217865" w:rsidRPr="00217865" w14:paraId="02A6E29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AF16D5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Holmes Institute</w:t>
            </w:r>
          </w:p>
        </w:tc>
        <w:tc>
          <w:tcPr>
            <w:tcW w:w="2268" w:type="dxa"/>
            <w:tcBorders>
              <w:top w:val="nil"/>
              <w:left w:val="nil"/>
              <w:bottom w:val="single" w:sz="4" w:space="0" w:color="auto"/>
              <w:right w:val="single" w:sz="4" w:space="0" w:color="auto"/>
            </w:tcBorders>
            <w:noWrap/>
            <w:vAlign w:val="center"/>
            <w:hideMark/>
          </w:tcPr>
          <w:p w14:paraId="6AFD097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18.7</w:t>
            </w:r>
          </w:p>
        </w:tc>
        <w:tc>
          <w:tcPr>
            <w:tcW w:w="2126" w:type="dxa"/>
            <w:tcBorders>
              <w:top w:val="nil"/>
              <w:left w:val="nil"/>
              <w:bottom w:val="single" w:sz="4" w:space="0" w:color="auto"/>
              <w:right w:val="single" w:sz="4" w:space="0" w:color="auto"/>
            </w:tcBorders>
            <w:noWrap/>
            <w:vAlign w:val="center"/>
            <w:hideMark/>
          </w:tcPr>
          <w:p w14:paraId="0860BFB3"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37.6</w:t>
            </w:r>
          </w:p>
        </w:tc>
      </w:tr>
      <w:tr w:rsidR="00217865" w:rsidRPr="00217865" w14:paraId="1CD0EA5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750576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Holmesglen Institute</w:t>
            </w:r>
          </w:p>
        </w:tc>
        <w:tc>
          <w:tcPr>
            <w:tcW w:w="2268" w:type="dxa"/>
            <w:tcBorders>
              <w:top w:val="nil"/>
              <w:left w:val="nil"/>
              <w:bottom w:val="single" w:sz="4" w:space="0" w:color="auto"/>
              <w:right w:val="single" w:sz="4" w:space="0" w:color="auto"/>
            </w:tcBorders>
            <w:noWrap/>
            <w:vAlign w:val="center"/>
            <w:hideMark/>
          </w:tcPr>
          <w:p w14:paraId="4037123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22.0</w:t>
            </w:r>
          </w:p>
        </w:tc>
        <w:tc>
          <w:tcPr>
            <w:tcW w:w="2126" w:type="dxa"/>
            <w:tcBorders>
              <w:top w:val="nil"/>
              <w:left w:val="nil"/>
              <w:bottom w:val="single" w:sz="4" w:space="0" w:color="auto"/>
              <w:right w:val="single" w:sz="4" w:space="0" w:color="auto"/>
            </w:tcBorders>
            <w:noWrap/>
            <w:vAlign w:val="center"/>
            <w:hideMark/>
          </w:tcPr>
          <w:p w14:paraId="1BC2D77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30.6</w:t>
            </w:r>
          </w:p>
        </w:tc>
      </w:tr>
      <w:tr w:rsidR="00217865" w:rsidRPr="00217865" w14:paraId="4C211D6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5BBCE7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ICHM</w:t>
            </w:r>
          </w:p>
        </w:tc>
        <w:tc>
          <w:tcPr>
            <w:tcW w:w="2268" w:type="dxa"/>
            <w:tcBorders>
              <w:top w:val="nil"/>
              <w:left w:val="nil"/>
              <w:bottom w:val="single" w:sz="4" w:space="0" w:color="auto"/>
              <w:right w:val="single" w:sz="4" w:space="0" w:color="auto"/>
            </w:tcBorders>
            <w:noWrap/>
            <w:vAlign w:val="center"/>
            <w:hideMark/>
          </w:tcPr>
          <w:p w14:paraId="60ECC5E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42.9</w:t>
            </w:r>
          </w:p>
        </w:tc>
        <w:tc>
          <w:tcPr>
            <w:tcW w:w="2126" w:type="dxa"/>
            <w:tcBorders>
              <w:top w:val="nil"/>
              <w:left w:val="nil"/>
              <w:bottom w:val="single" w:sz="4" w:space="0" w:color="auto"/>
              <w:right w:val="single" w:sz="4" w:space="0" w:color="auto"/>
            </w:tcBorders>
            <w:noWrap/>
            <w:vAlign w:val="center"/>
            <w:hideMark/>
          </w:tcPr>
          <w:p w14:paraId="7670455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48.3</w:t>
            </w:r>
          </w:p>
        </w:tc>
      </w:tr>
      <w:tr w:rsidR="00217865" w:rsidRPr="00217865" w14:paraId="311A8D0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D72E47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Ikon Institute of Australia</w:t>
            </w:r>
          </w:p>
        </w:tc>
        <w:tc>
          <w:tcPr>
            <w:tcW w:w="2268" w:type="dxa"/>
            <w:tcBorders>
              <w:top w:val="nil"/>
              <w:left w:val="nil"/>
              <w:bottom w:val="single" w:sz="4" w:space="0" w:color="auto"/>
              <w:right w:val="single" w:sz="4" w:space="0" w:color="auto"/>
            </w:tcBorders>
            <w:noWrap/>
            <w:vAlign w:val="center"/>
            <w:hideMark/>
          </w:tcPr>
          <w:p w14:paraId="2BB4A65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44.8</w:t>
            </w:r>
          </w:p>
        </w:tc>
        <w:tc>
          <w:tcPr>
            <w:tcW w:w="2126" w:type="dxa"/>
            <w:tcBorders>
              <w:top w:val="nil"/>
              <w:left w:val="nil"/>
              <w:bottom w:val="single" w:sz="4" w:space="0" w:color="auto"/>
              <w:right w:val="single" w:sz="4" w:space="0" w:color="auto"/>
            </w:tcBorders>
            <w:noWrap/>
            <w:vAlign w:val="center"/>
            <w:hideMark/>
          </w:tcPr>
          <w:p w14:paraId="4C5D448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49.3</w:t>
            </w:r>
          </w:p>
        </w:tc>
      </w:tr>
      <w:tr w:rsidR="00217865" w:rsidRPr="00217865" w14:paraId="0B450D6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2A09F1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Institute of Health &amp; Management Pty Ltd</w:t>
            </w:r>
          </w:p>
        </w:tc>
        <w:tc>
          <w:tcPr>
            <w:tcW w:w="2268" w:type="dxa"/>
            <w:tcBorders>
              <w:top w:val="nil"/>
              <w:left w:val="nil"/>
              <w:bottom w:val="single" w:sz="4" w:space="0" w:color="auto"/>
              <w:right w:val="single" w:sz="4" w:space="0" w:color="auto"/>
            </w:tcBorders>
            <w:noWrap/>
            <w:vAlign w:val="center"/>
            <w:hideMark/>
          </w:tcPr>
          <w:p w14:paraId="4704A1A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52.5</w:t>
            </w:r>
          </w:p>
        </w:tc>
        <w:tc>
          <w:tcPr>
            <w:tcW w:w="2126" w:type="dxa"/>
            <w:tcBorders>
              <w:top w:val="nil"/>
              <w:left w:val="nil"/>
              <w:bottom w:val="single" w:sz="4" w:space="0" w:color="auto"/>
              <w:right w:val="single" w:sz="4" w:space="0" w:color="auto"/>
            </w:tcBorders>
            <w:noWrap/>
            <w:vAlign w:val="center"/>
            <w:hideMark/>
          </w:tcPr>
          <w:p w14:paraId="17BB660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52.2</w:t>
            </w:r>
          </w:p>
        </w:tc>
      </w:tr>
      <w:tr w:rsidR="00217865" w:rsidRPr="00217865" w14:paraId="140851D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31F13F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International College of Management, Sydney</w:t>
            </w:r>
          </w:p>
        </w:tc>
        <w:tc>
          <w:tcPr>
            <w:tcW w:w="2268" w:type="dxa"/>
            <w:tcBorders>
              <w:top w:val="nil"/>
              <w:left w:val="nil"/>
              <w:bottom w:val="single" w:sz="4" w:space="0" w:color="auto"/>
              <w:right w:val="single" w:sz="4" w:space="0" w:color="auto"/>
            </w:tcBorders>
            <w:noWrap/>
            <w:vAlign w:val="center"/>
            <w:hideMark/>
          </w:tcPr>
          <w:p w14:paraId="0A4E8AE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51.5</w:t>
            </w:r>
          </w:p>
        </w:tc>
        <w:tc>
          <w:tcPr>
            <w:tcW w:w="2126" w:type="dxa"/>
            <w:tcBorders>
              <w:top w:val="nil"/>
              <w:left w:val="nil"/>
              <w:bottom w:val="single" w:sz="4" w:space="0" w:color="auto"/>
              <w:right w:val="single" w:sz="4" w:space="0" w:color="auto"/>
            </w:tcBorders>
            <w:noWrap/>
            <w:vAlign w:val="center"/>
            <w:hideMark/>
          </w:tcPr>
          <w:p w14:paraId="0233B08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47.8</w:t>
            </w:r>
          </w:p>
        </w:tc>
      </w:tr>
      <w:tr w:rsidR="00217865" w:rsidRPr="00217865" w14:paraId="47C835B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E383EF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James Cook University</w:t>
            </w:r>
          </w:p>
        </w:tc>
        <w:tc>
          <w:tcPr>
            <w:tcW w:w="2268" w:type="dxa"/>
            <w:tcBorders>
              <w:top w:val="nil"/>
              <w:left w:val="nil"/>
              <w:bottom w:val="single" w:sz="4" w:space="0" w:color="auto"/>
              <w:right w:val="single" w:sz="4" w:space="0" w:color="auto"/>
            </w:tcBorders>
            <w:noWrap/>
            <w:vAlign w:val="center"/>
            <w:hideMark/>
          </w:tcPr>
          <w:p w14:paraId="6ED4210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38.5</w:t>
            </w:r>
          </w:p>
        </w:tc>
        <w:tc>
          <w:tcPr>
            <w:tcW w:w="2126" w:type="dxa"/>
            <w:tcBorders>
              <w:top w:val="nil"/>
              <w:left w:val="nil"/>
              <w:bottom w:val="single" w:sz="4" w:space="0" w:color="auto"/>
              <w:right w:val="single" w:sz="4" w:space="0" w:color="auto"/>
            </w:tcBorders>
            <w:noWrap/>
            <w:vAlign w:val="center"/>
            <w:hideMark/>
          </w:tcPr>
          <w:p w14:paraId="5B041C8D"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51.7</w:t>
            </w:r>
          </w:p>
        </w:tc>
      </w:tr>
      <w:tr w:rsidR="00217865" w:rsidRPr="00217865" w14:paraId="3F988715"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6C2C92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Kaplan Business School</w:t>
            </w:r>
          </w:p>
        </w:tc>
        <w:tc>
          <w:tcPr>
            <w:tcW w:w="2268" w:type="dxa"/>
            <w:tcBorders>
              <w:top w:val="nil"/>
              <w:left w:val="nil"/>
              <w:bottom w:val="single" w:sz="4" w:space="0" w:color="auto"/>
              <w:right w:val="single" w:sz="4" w:space="0" w:color="auto"/>
            </w:tcBorders>
            <w:noWrap/>
            <w:vAlign w:val="center"/>
            <w:hideMark/>
          </w:tcPr>
          <w:p w14:paraId="59AB1B0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34.3</w:t>
            </w:r>
          </w:p>
        </w:tc>
        <w:tc>
          <w:tcPr>
            <w:tcW w:w="2126" w:type="dxa"/>
            <w:tcBorders>
              <w:top w:val="nil"/>
              <w:left w:val="nil"/>
              <w:bottom w:val="single" w:sz="4" w:space="0" w:color="auto"/>
              <w:right w:val="single" w:sz="4" w:space="0" w:color="auto"/>
            </w:tcBorders>
            <w:noWrap/>
            <w:vAlign w:val="center"/>
            <w:hideMark/>
          </w:tcPr>
          <w:p w14:paraId="1437E6A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46.8</w:t>
            </w:r>
          </w:p>
        </w:tc>
      </w:tr>
      <w:tr w:rsidR="00217865" w:rsidRPr="00217865" w14:paraId="1F90C5D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983187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Kaplan Higher Education Pty Ltd</w:t>
            </w:r>
          </w:p>
        </w:tc>
        <w:tc>
          <w:tcPr>
            <w:tcW w:w="2268" w:type="dxa"/>
            <w:tcBorders>
              <w:top w:val="nil"/>
              <w:left w:val="nil"/>
              <w:bottom w:val="single" w:sz="4" w:space="0" w:color="auto"/>
              <w:right w:val="single" w:sz="4" w:space="0" w:color="auto"/>
            </w:tcBorders>
            <w:noWrap/>
            <w:vAlign w:val="center"/>
            <w:hideMark/>
          </w:tcPr>
          <w:p w14:paraId="154EF71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17.9</w:t>
            </w:r>
          </w:p>
        </w:tc>
        <w:tc>
          <w:tcPr>
            <w:tcW w:w="2126" w:type="dxa"/>
            <w:tcBorders>
              <w:top w:val="nil"/>
              <w:left w:val="nil"/>
              <w:bottom w:val="single" w:sz="4" w:space="0" w:color="auto"/>
              <w:right w:val="single" w:sz="4" w:space="0" w:color="auto"/>
            </w:tcBorders>
            <w:noWrap/>
            <w:vAlign w:val="center"/>
            <w:hideMark/>
          </w:tcPr>
          <w:p w14:paraId="1169B6A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22.5</w:t>
            </w:r>
          </w:p>
        </w:tc>
      </w:tr>
      <w:tr w:rsidR="00217865" w:rsidRPr="00217865" w14:paraId="6A5E61D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00374A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King's Own Institute</w:t>
            </w:r>
          </w:p>
        </w:tc>
        <w:tc>
          <w:tcPr>
            <w:tcW w:w="2268" w:type="dxa"/>
            <w:tcBorders>
              <w:top w:val="nil"/>
              <w:left w:val="nil"/>
              <w:bottom w:val="single" w:sz="4" w:space="0" w:color="auto"/>
              <w:right w:val="single" w:sz="4" w:space="0" w:color="auto"/>
            </w:tcBorders>
            <w:noWrap/>
            <w:vAlign w:val="center"/>
            <w:hideMark/>
          </w:tcPr>
          <w:p w14:paraId="6F9FA59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35.3</w:t>
            </w:r>
          </w:p>
        </w:tc>
        <w:tc>
          <w:tcPr>
            <w:tcW w:w="2126" w:type="dxa"/>
            <w:tcBorders>
              <w:top w:val="nil"/>
              <w:left w:val="nil"/>
              <w:bottom w:val="single" w:sz="4" w:space="0" w:color="auto"/>
              <w:right w:val="single" w:sz="4" w:space="0" w:color="auto"/>
            </w:tcBorders>
            <w:noWrap/>
            <w:vAlign w:val="center"/>
            <w:hideMark/>
          </w:tcPr>
          <w:p w14:paraId="5AA0EAD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47.3</w:t>
            </w:r>
          </w:p>
        </w:tc>
      </w:tr>
      <w:tr w:rsidR="00217865" w:rsidRPr="00217865" w14:paraId="65D3E50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1DD761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La Trobe College Australia</w:t>
            </w:r>
          </w:p>
        </w:tc>
        <w:tc>
          <w:tcPr>
            <w:tcW w:w="2268" w:type="dxa"/>
            <w:tcBorders>
              <w:top w:val="nil"/>
              <w:left w:val="nil"/>
              <w:bottom w:val="single" w:sz="4" w:space="0" w:color="auto"/>
              <w:right w:val="single" w:sz="4" w:space="0" w:color="auto"/>
            </w:tcBorders>
            <w:noWrap/>
            <w:vAlign w:val="center"/>
            <w:hideMark/>
          </w:tcPr>
          <w:p w14:paraId="68080E2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41.3</w:t>
            </w:r>
          </w:p>
        </w:tc>
        <w:tc>
          <w:tcPr>
            <w:tcW w:w="2126" w:type="dxa"/>
            <w:tcBorders>
              <w:top w:val="nil"/>
              <w:left w:val="nil"/>
              <w:bottom w:val="single" w:sz="4" w:space="0" w:color="auto"/>
              <w:right w:val="single" w:sz="4" w:space="0" w:color="auto"/>
            </w:tcBorders>
            <w:noWrap/>
            <w:vAlign w:val="center"/>
            <w:hideMark/>
          </w:tcPr>
          <w:p w14:paraId="1814823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41.8</w:t>
            </w:r>
          </w:p>
        </w:tc>
      </w:tr>
      <w:tr w:rsidR="00217865" w:rsidRPr="00217865" w14:paraId="6A910D5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D05F2B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La Trobe University</w:t>
            </w:r>
          </w:p>
        </w:tc>
        <w:tc>
          <w:tcPr>
            <w:tcW w:w="2268" w:type="dxa"/>
            <w:tcBorders>
              <w:top w:val="nil"/>
              <w:left w:val="nil"/>
              <w:bottom w:val="single" w:sz="4" w:space="0" w:color="auto"/>
              <w:right w:val="single" w:sz="4" w:space="0" w:color="auto"/>
            </w:tcBorders>
            <w:noWrap/>
            <w:vAlign w:val="center"/>
            <w:hideMark/>
          </w:tcPr>
          <w:p w14:paraId="383E3B8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34.1</w:t>
            </w:r>
          </w:p>
        </w:tc>
        <w:tc>
          <w:tcPr>
            <w:tcW w:w="2126" w:type="dxa"/>
            <w:tcBorders>
              <w:top w:val="nil"/>
              <w:left w:val="nil"/>
              <w:bottom w:val="single" w:sz="4" w:space="0" w:color="auto"/>
              <w:right w:val="single" w:sz="4" w:space="0" w:color="auto"/>
            </w:tcBorders>
            <w:noWrap/>
            <w:vAlign w:val="center"/>
            <w:hideMark/>
          </w:tcPr>
          <w:p w14:paraId="467DFE4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37.8</w:t>
            </w:r>
          </w:p>
        </w:tc>
      </w:tr>
      <w:tr w:rsidR="00217865" w:rsidRPr="00217865" w14:paraId="4EB6070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9BA7044"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LCI Melbourne</w:t>
            </w:r>
          </w:p>
        </w:tc>
        <w:tc>
          <w:tcPr>
            <w:tcW w:w="2268" w:type="dxa"/>
            <w:tcBorders>
              <w:top w:val="nil"/>
              <w:left w:val="nil"/>
              <w:bottom w:val="single" w:sz="4" w:space="0" w:color="auto"/>
              <w:right w:val="single" w:sz="4" w:space="0" w:color="auto"/>
            </w:tcBorders>
            <w:noWrap/>
            <w:vAlign w:val="center"/>
            <w:hideMark/>
          </w:tcPr>
          <w:p w14:paraId="6071C57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25.0</w:t>
            </w:r>
          </w:p>
        </w:tc>
        <w:tc>
          <w:tcPr>
            <w:tcW w:w="2126" w:type="dxa"/>
            <w:tcBorders>
              <w:top w:val="nil"/>
              <w:left w:val="nil"/>
              <w:bottom w:val="single" w:sz="4" w:space="0" w:color="auto"/>
              <w:right w:val="single" w:sz="4" w:space="0" w:color="auto"/>
            </w:tcBorders>
            <w:noWrap/>
            <w:vAlign w:val="center"/>
            <w:hideMark/>
          </w:tcPr>
          <w:p w14:paraId="07B1E54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22.2</w:t>
            </w:r>
          </w:p>
        </w:tc>
      </w:tr>
      <w:tr w:rsidR="00217865" w:rsidRPr="00217865" w14:paraId="5E8BC65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83935E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Le Cordon Bleu Australia</w:t>
            </w:r>
          </w:p>
        </w:tc>
        <w:tc>
          <w:tcPr>
            <w:tcW w:w="2268" w:type="dxa"/>
            <w:tcBorders>
              <w:top w:val="nil"/>
              <w:left w:val="nil"/>
              <w:bottom w:val="single" w:sz="4" w:space="0" w:color="auto"/>
              <w:right w:val="single" w:sz="4" w:space="0" w:color="auto"/>
            </w:tcBorders>
            <w:noWrap/>
            <w:vAlign w:val="center"/>
            <w:hideMark/>
          </w:tcPr>
          <w:p w14:paraId="05D65B0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22.7</w:t>
            </w:r>
          </w:p>
        </w:tc>
        <w:tc>
          <w:tcPr>
            <w:tcW w:w="2126" w:type="dxa"/>
            <w:tcBorders>
              <w:top w:val="nil"/>
              <w:left w:val="nil"/>
              <w:bottom w:val="single" w:sz="4" w:space="0" w:color="auto"/>
              <w:right w:val="single" w:sz="4" w:space="0" w:color="auto"/>
            </w:tcBorders>
            <w:noWrap/>
            <w:vAlign w:val="center"/>
            <w:hideMark/>
          </w:tcPr>
          <w:p w14:paraId="0B6FE40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37.6</w:t>
            </w:r>
          </w:p>
        </w:tc>
      </w:tr>
      <w:tr w:rsidR="00217865" w:rsidRPr="00217865" w14:paraId="5A2B81B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345FE95"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Leaders Institute</w:t>
            </w:r>
          </w:p>
        </w:tc>
        <w:tc>
          <w:tcPr>
            <w:tcW w:w="2268" w:type="dxa"/>
            <w:tcBorders>
              <w:top w:val="nil"/>
              <w:left w:val="nil"/>
              <w:bottom w:val="single" w:sz="4" w:space="0" w:color="auto"/>
              <w:right w:val="single" w:sz="4" w:space="0" w:color="auto"/>
            </w:tcBorders>
            <w:noWrap/>
            <w:vAlign w:val="center"/>
            <w:hideMark/>
          </w:tcPr>
          <w:p w14:paraId="1F446C5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64.5</w:t>
            </w:r>
          </w:p>
        </w:tc>
        <w:tc>
          <w:tcPr>
            <w:tcW w:w="2126" w:type="dxa"/>
            <w:tcBorders>
              <w:top w:val="nil"/>
              <w:left w:val="nil"/>
              <w:bottom w:val="single" w:sz="4" w:space="0" w:color="auto"/>
              <w:right w:val="single" w:sz="4" w:space="0" w:color="auto"/>
            </w:tcBorders>
            <w:noWrap/>
            <w:vAlign w:val="center"/>
            <w:hideMark/>
          </w:tcPr>
          <w:p w14:paraId="1EFC8FF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77.4</w:t>
            </w:r>
          </w:p>
        </w:tc>
      </w:tr>
      <w:tr w:rsidR="00217865" w:rsidRPr="00217865" w14:paraId="2D4F4BB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21D4AC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Lyons College</w:t>
            </w:r>
          </w:p>
        </w:tc>
        <w:tc>
          <w:tcPr>
            <w:tcW w:w="2268" w:type="dxa"/>
            <w:tcBorders>
              <w:top w:val="nil"/>
              <w:left w:val="nil"/>
              <w:bottom w:val="single" w:sz="4" w:space="0" w:color="auto"/>
              <w:right w:val="single" w:sz="4" w:space="0" w:color="auto"/>
            </w:tcBorders>
            <w:noWrap/>
            <w:vAlign w:val="center"/>
            <w:hideMark/>
          </w:tcPr>
          <w:p w14:paraId="48C9F487" w14:textId="711E77D9"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06B6C92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32.8</w:t>
            </w:r>
          </w:p>
        </w:tc>
      </w:tr>
      <w:tr w:rsidR="00217865" w:rsidRPr="00217865" w14:paraId="2E95CCE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6185298"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Macquarie University</w:t>
            </w:r>
          </w:p>
        </w:tc>
        <w:tc>
          <w:tcPr>
            <w:tcW w:w="2268" w:type="dxa"/>
            <w:tcBorders>
              <w:top w:val="nil"/>
              <w:left w:val="nil"/>
              <w:bottom w:val="single" w:sz="4" w:space="0" w:color="auto"/>
              <w:right w:val="single" w:sz="4" w:space="0" w:color="auto"/>
            </w:tcBorders>
            <w:noWrap/>
            <w:vAlign w:val="center"/>
            <w:hideMark/>
          </w:tcPr>
          <w:p w14:paraId="7E256403"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33.1</w:t>
            </w:r>
          </w:p>
        </w:tc>
        <w:tc>
          <w:tcPr>
            <w:tcW w:w="2126" w:type="dxa"/>
            <w:tcBorders>
              <w:top w:val="nil"/>
              <w:left w:val="nil"/>
              <w:bottom w:val="single" w:sz="4" w:space="0" w:color="auto"/>
              <w:right w:val="single" w:sz="4" w:space="0" w:color="auto"/>
            </w:tcBorders>
            <w:noWrap/>
            <w:vAlign w:val="center"/>
            <w:hideMark/>
          </w:tcPr>
          <w:p w14:paraId="7B7ABC4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42.0</w:t>
            </w:r>
          </w:p>
        </w:tc>
      </w:tr>
      <w:tr w:rsidR="00217865" w:rsidRPr="00217865" w14:paraId="48EF6E65"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3E397E8"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Marcus Oldham College</w:t>
            </w:r>
          </w:p>
        </w:tc>
        <w:tc>
          <w:tcPr>
            <w:tcW w:w="2268" w:type="dxa"/>
            <w:tcBorders>
              <w:top w:val="nil"/>
              <w:left w:val="nil"/>
              <w:bottom w:val="single" w:sz="4" w:space="0" w:color="auto"/>
              <w:right w:val="single" w:sz="4" w:space="0" w:color="auto"/>
            </w:tcBorders>
            <w:noWrap/>
            <w:vAlign w:val="center"/>
            <w:hideMark/>
          </w:tcPr>
          <w:p w14:paraId="0D478A2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0C8AEE9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100.0</w:t>
            </w:r>
          </w:p>
        </w:tc>
      </w:tr>
      <w:tr w:rsidR="00217865" w:rsidRPr="00217865" w14:paraId="4EB86F5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46AEF3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Melbourne Institute of Technology</w:t>
            </w:r>
          </w:p>
        </w:tc>
        <w:tc>
          <w:tcPr>
            <w:tcW w:w="2268" w:type="dxa"/>
            <w:tcBorders>
              <w:top w:val="nil"/>
              <w:left w:val="nil"/>
              <w:bottom w:val="single" w:sz="4" w:space="0" w:color="auto"/>
              <w:right w:val="single" w:sz="4" w:space="0" w:color="auto"/>
            </w:tcBorders>
            <w:noWrap/>
            <w:vAlign w:val="center"/>
            <w:hideMark/>
          </w:tcPr>
          <w:p w14:paraId="3568A2C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26.3</w:t>
            </w:r>
          </w:p>
        </w:tc>
        <w:tc>
          <w:tcPr>
            <w:tcW w:w="2126" w:type="dxa"/>
            <w:tcBorders>
              <w:top w:val="nil"/>
              <w:left w:val="nil"/>
              <w:bottom w:val="single" w:sz="4" w:space="0" w:color="auto"/>
              <w:right w:val="single" w:sz="4" w:space="0" w:color="auto"/>
            </w:tcBorders>
            <w:noWrap/>
            <w:vAlign w:val="center"/>
            <w:hideMark/>
          </w:tcPr>
          <w:p w14:paraId="0A392E7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42.6</w:t>
            </w:r>
          </w:p>
        </w:tc>
      </w:tr>
      <w:tr w:rsidR="00217865" w:rsidRPr="00217865" w14:paraId="7CDC51F1"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494037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Melbourne Polytechnic</w:t>
            </w:r>
          </w:p>
        </w:tc>
        <w:tc>
          <w:tcPr>
            <w:tcW w:w="2268" w:type="dxa"/>
            <w:tcBorders>
              <w:top w:val="nil"/>
              <w:left w:val="nil"/>
              <w:bottom w:val="single" w:sz="4" w:space="0" w:color="auto"/>
              <w:right w:val="single" w:sz="4" w:space="0" w:color="auto"/>
            </w:tcBorders>
            <w:noWrap/>
            <w:vAlign w:val="center"/>
            <w:hideMark/>
          </w:tcPr>
          <w:p w14:paraId="0D56DD0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19.1</w:t>
            </w:r>
          </w:p>
        </w:tc>
        <w:tc>
          <w:tcPr>
            <w:tcW w:w="2126" w:type="dxa"/>
            <w:tcBorders>
              <w:top w:val="nil"/>
              <w:left w:val="nil"/>
              <w:bottom w:val="single" w:sz="4" w:space="0" w:color="auto"/>
              <w:right w:val="single" w:sz="4" w:space="0" w:color="auto"/>
            </w:tcBorders>
            <w:noWrap/>
            <w:vAlign w:val="center"/>
            <w:hideMark/>
          </w:tcPr>
          <w:p w14:paraId="586A30B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24.0</w:t>
            </w:r>
          </w:p>
        </w:tc>
      </w:tr>
      <w:tr w:rsidR="00217865" w:rsidRPr="00217865" w14:paraId="4E88E8F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B408CD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Monash College</w:t>
            </w:r>
          </w:p>
        </w:tc>
        <w:tc>
          <w:tcPr>
            <w:tcW w:w="2268" w:type="dxa"/>
            <w:tcBorders>
              <w:top w:val="nil"/>
              <w:left w:val="nil"/>
              <w:bottom w:val="single" w:sz="4" w:space="0" w:color="auto"/>
              <w:right w:val="single" w:sz="4" w:space="0" w:color="auto"/>
            </w:tcBorders>
            <w:noWrap/>
            <w:vAlign w:val="center"/>
            <w:hideMark/>
          </w:tcPr>
          <w:p w14:paraId="66685C3D" w14:textId="6B031A8D"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4CA7703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27.5</w:t>
            </w:r>
          </w:p>
        </w:tc>
      </w:tr>
      <w:tr w:rsidR="00217865" w:rsidRPr="00217865" w14:paraId="4B5BA81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55D1BC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Monash University</w:t>
            </w:r>
          </w:p>
        </w:tc>
        <w:tc>
          <w:tcPr>
            <w:tcW w:w="2268" w:type="dxa"/>
            <w:tcBorders>
              <w:top w:val="nil"/>
              <w:left w:val="nil"/>
              <w:bottom w:val="single" w:sz="4" w:space="0" w:color="auto"/>
              <w:right w:val="single" w:sz="4" w:space="0" w:color="auto"/>
            </w:tcBorders>
            <w:noWrap/>
            <w:vAlign w:val="center"/>
            <w:hideMark/>
          </w:tcPr>
          <w:p w14:paraId="10004E6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32.9</w:t>
            </w:r>
          </w:p>
        </w:tc>
        <w:tc>
          <w:tcPr>
            <w:tcW w:w="2126" w:type="dxa"/>
            <w:tcBorders>
              <w:top w:val="nil"/>
              <w:left w:val="nil"/>
              <w:bottom w:val="single" w:sz="4" w:space="0" w:color="auto"/>
              <w:right w:val="single" w:sz="4" w:space="0" w:color="auto"/>
            </w:tcBorders>
            <w:noWrap/>
            <w:vAlign w:val="center"/>
            <w:hideMark/>
          </w:tcPr>
          <w:p w14:paraId="76CDAC6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32.9</w:t>
            </w:r>
          </w:p>
        </w:tc>
      </w:tr>
      <w:tr w:rsidR="00217865" w:rsidRPr="00217865" w14:paraId="000F457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64D191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Moore Theological College</w:t>
            </w:r>
          </w:p>
        </w:tc>
        <w:tc>
          <w:tcPr>
            <w:tcW w:w="2268" w:type="dxa"/>
            <w:tcBorders>
              <w:top w:val="nil"/>
              <w:left w:val="nil"/>
              <w:bottom w:val="single" w:sz="4" w:space="0" w:color="auto"/>
              <w:right w:val="single" w:sz="4" w:space="0" w:color="auto"/>
            </w:tcBorders>
            <w:noWrap/>
            <w:vAlign w:val="center"/>
            <w:hideMark/>
          </w:tcPr>
          <w:p w14:paraId="26C8FFF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08109AC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75.0</w:t>
            </w:r>
          </w:p>
        </w:tc>
      </w:tr>
      <w:tr w:rsidR="00217865" w:rsidRPr="00217865" w14:paraId="6624D5E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4E80F3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Morling College</w:t>
            </w:r>
          </w:p>
        </w:tc>
        <w:tc>
          <w:tcPr>
            <w:tcW w:w="2268" w:type="dxa"/>
            <w:tcBorders>
              <w:top w:val="nil"/>
              <w:left w:val="nil"/>
              <w:bottom w:val="single" w:sz="4" w:space="0" w:color="auto"/>
              <w:right w:val="single" w:sz="4" w:space="0" w:color="auto"/>
            </w:tcBorders>
            <w:noWrap/>
            <w:vAlign w:val="center"/>
            <w:hideMark/>
          </w:tcPr>
          <w:p w14:paraId="359D756C"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0.0</w:t>
            </w:r>
          </w:p>
        </w:tc>
        <w:tc>
          <w:tcPr>
            <w:tcW w:w="2126" w:type="dxa"/>
            <w:tcBorders>
              <w:top w:val="nil"/>
              <w:left w:val="nil"/>
              <w:bottom w:val="single" w:sz="4" w:space="0" w:color="auto"/>
              <w:right w:val="single" w:sz="4" w:space="0" w:color="auto"/>
            </w:tcBorders>
            <w:noWrap/>
            <w:vAlign w:val="center"/>
            <w:hideMark/>
          </w:tcPr>
          <w:p w14:paraId="74AE84AD"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100.0</w:t>
            </w:r>
          </w:p>
        </w:tc>
      </w:tr>
      <w:tr w:rsidR="00217865" w:rsidRPr="00217865" w14:paraId="66178BB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E2E34D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Murdoch University</w:t>
            </w:r>
          </w:p>
        </w:tc>
        <w:tc>
          <w:tcPr>
            <w:tcW w:w="2268" w:type="dxa"/>
            <w:tcBorders>
              <w:top w:val="nil"/>
              <w:left w:val="nil"/>
              <w:bottom w:val="single" w:sz="4" w:space="0" w:color="auto"/>
              <w:right w:val="single" w:sz="4" w:space="0" w:color="auto"/>
            </w:tcBorders>
            <w:noWrap/>
            <w:vAlign w:val="center"/>
            <w:hideMark/>
          </w:tcPr>
          <w:p w14:paraId="3DACF71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40.0</w:t>
            </w:r>
          </w:p>
        </w:tc>
        <w:tc>
          <w:tcPr>
            <w:tcW w:w="2126" w:type="dxa"/>
            <w:tcBorders>
              <w:top w:val="nil"/>
              <w:left w:val="nil"/>
              <w:bottom w:val="single" w:sz="4" w:space="0" w:color="auto"/>
              <w:right w:val="single" w:sz="4" w:space="0" w:color="auto"/>
            </w:tcBorders>
            <w:noWrap/>
            <w:vAlign w:val="center"/>
            <w:hideMark/>
          </w:tcPr>
          <w:p w14:paraId="2F90EE6D"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60.6</w:t>
            </w:r>
          </w:p>
        </w:tc>
      </w:tr>
      <w:tr w:rsidR="00217865" w:rsidRPr="00217865" w14:paraId="01B1DF9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05897B8"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Nan Tien Institute</w:t>
            </w:r>
          </w:p>
        </w:tc>
        <w:tc>
          <w:tcPr>
            <w:tcW w:w="2268" w:type="dxa"/>
            <w:tcBorders>
              <w:top w:val="nil"/>
              <w:left w:val="nil"/>
              <w:bottom w:val="single" w:sz="4" w:space="0" w:color="auto"/>
              <w:right w:val="single" w:sz="4" w:space="0" w:color="auto"/>
            </w:tcBorders>
            <w:noWrap/>
            <w:vAlign w:val="center"/>
            <w:hideMark/>
          </w:tcPr>
          <w:p w14:paraId="51C1415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75.0</w:t>
            </w:r>
          </w:p>
        </w:tc>
        <w:tc>
          <w:tcPr>
            <w:tcW w:w="2126" w:type="dxa"/>
            <w:tcBorders>
              <w:top w:val="nil"/>
              <w:left w:val="nil"/>
              <w:bottom w:val="single" w:sz="4" w:space="0" w:color="auto"/>
              <w:right w:val="single" w:sz="4" w:space="0" w:color="auto"/>
            </w:tcBorders>
            <w:noWrap/>
            <w:vAlign w:val="center"/>
            <w:hideMark/>
          </w:tcPr>
          <w:p w14:paraId="7DF3813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50.0</w:t>
            </w:r>
          </w:p>
        </w:tc>
      </w:tr>
      <w:tr w:rsidR="00217865" w:rsidRPr="00217865" w14:paraId="096AE38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FDAB8C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lastRenderedPageBreak/>
              <w:t>National Art School</w:t>
            </w:r>
          </w:p>
        </w:tc>
        <w:tc>
          <w:tcPr>
            <w:tcW w:w="2268" w:type="dxa"/>
            <w:tcBorders>
              <w:top w:val="nil"/>
              <w:left w:val="nil"/>
              <w:bottom w:val="single" w:sz="4" w:space="0" w:color="auto"/>
              <w:right w:val="single" w:sz="4" w:space="0" w:color="auto"/>
            </w:tcBorders>
            <w:noWrap/>
            <w:vAlign w:val="center"/>
            <w:hideMark/>
          </w:tcPr>
          <w:p w14:paraId="24EFBB3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50.0</w:t>
            </w:r>
          </w:p>
        </w:tc>
        <w:tc>
          <w:tcPr>
            <w:tcW w:w="2126" w:type="dxa"/>
            <w:tcBorders>
              <w:top w:val="nil"/>
              <w:left w:val="nil"/>
              <w:bottom w:val="single" w:sz="4" w:space="0" w:color="auto"/>
              <w:right w:val="single" w:sz="4" w:space="0" w:color="auto"/>
            </w:tcBorders>
            <w:noWrap/>
            <w:vAlign w:val="center"/>
            <w:hideMark/>
          </w:tcPr>
          <w:p w14:paraId="1BEDB5F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33.3</w:t>
            </w:r>
          </w:p>
        </w:tc>
      </w:tr>
      <w:tr w:rsidR="00217865" w:rsidRPr="00217865" w14:paraId="53727D5E"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4A6A1BB" w14:textId="77777777" w:rsidR="00821227" w:rsidRPr="00217865" w:rsidRDefault="00821227" w:rsidP="001E4C62">
            <w:pPr>
              <w:spacing w:before="60" w:after="60"/>
              <w:rPr>
                <w:rFonts w:eastAsia="Times New Roman" w:cs="Arial"/>
                <w:color w:val="000000" w:themeColor="text1"/>
                <w:sz w:val="18"/>
                <w:highlight w:val="yellow"/>
                <w:lang w:eastAsia="en-AU"/>
              </w:rPr>
            </w:pPr>
            <w:proofErr w:type="spellStart"/>
            <w:r w:rsidRPr="00217865">
              <w:rPr>
                <w:rFonts w:cs="Arial"/>
                <w:color w:val="000000" w:themeColor="text1"/>
                <w:sz w:val="18"/>
              </w:rPr>
              <w:t>Ozford</w:t>
            </w:r>
            <w:proofErr w:type="spellEnd"/>
            <w:r w:rsidRPr="00217865">
              <w:rPr>
                <w:rFonts w:cs="Arial"/>
                <w:color w:val="000000" w:themeColor="text1"/>
                <w:sz w:val="18"/>
              </w:rPr>
              <w:t xml:space="preserve"> Institute of Higher Education</w:t>
            </w:r>
          </w:p>
        </w:tc>
        <w:tc>
          <w:tcPr>
            <w:tcW w:w="2268" w:type="dxa"/>
            <w:tcBorders>
              <w:top w:val="nil"/>
              <w:left w:val="nil"/>
              <w:bottom w:val="single" w:sz="4" w:space="0" w:color="auto"/>
              <w:right w:val="single" w:sz="4" w:space="0" w:color="auto"/>
            </w:tcBorders>
            <w:noWrap/>
            <w:vAlign w:val="center"/>
            <w:hideMark/>
          </w:tcPr>
          <w:p w14:paraId="679762E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27.5</w:t>
            </w:r>
          </w:p>
        </w:tc>
        <w:tc>
          <w:tcPr>
            <w:tcW w:w="2126" w:type="dxa"/>
            <w:tcBorders>
              <w:top w:val="nil"/>
              <w:left w:val="nil"/>
              <w:bottom w:val="single" w:sz="4" w:space="0" w:color="auto"/>
              <w:right w:val="single" w:sz="4" w:space="0" w:color="auto"/>
            </w:tcBorders>
            <w:noWrap/>
            <w:vAlign w:val="center"/>
            <w:hideMark/>
          </w:tcPr>
          <w:p w14:paraId="35BA9EF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36.4</w:t>
            </w:r>
          </w:p>
        </w:tc>
      </w:tr>
      <w:tr w:rsidR="00217865" w:rsidRPr="00217865" w14:paraId="2C7F844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A406C18"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Perth Bible College</w:t>
            </w:r>
          </w:p>
        </w:tc>
        <w:tc>
          <w:tcPr>
            <w:tcW w:w="2268" w:type="dxa"/>
            <w:tcBorders>
              <w:top w:val="nil"/>
              <w:left w:val="nil"/>
              <w:bottom w:val="single" w:sz="4" w:space="0" w:color="auto"/>
              <w:right w:val="single" w:sz="4" w:space="0" w:color="auto"/>
            </w:tcBorders>
            <w:noWrap/>
            <w:vAlign w:val="center"/>
            <w:hideMark/>
          </w:tcPr>
          <w:p w14:paraId="447FB29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100.0</w:t>
            </w:r>
          </w:p>
        </w:tc>
        <w:tc>
          <w:tcPr>
            <w:tcW w:w="2126" w:type="dxa"/>
            <w:tcBorders>
              <w:top w:val="nil"/>
              <w:left w:val="nil"/>
              <w:bottom w:val="single" w:sz="4" w:space="0" w:color="auto"/>
              <w:right w:val="single" w:sz="4" w:space="0" w:color="auto"/>
            </w:tcBorders>
            <w:noWrap/>
            <w:vAlign w:val="center"/>
            <w:hideMark/>
          </w:tcPr>
          <w:p w14:paraId="71F3AEA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50.0</w:t>
            </w:r>
          </w:p>
        </w:tc>
      </w:tr>
      <w:tr w:rsidR="00217865" w:rsidRPr="00217865" w14:paraId="38171CC1"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301476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Photography Studies College (Melbourne)</w:t>
            </w:r>
          </w:p>
        </w:tc>
        <w:tc>
          <w:tcPr>
            <w:tcW w:w="2268" w:type="dxa"/>
            <w:tcBorders>
              <w:top w:val="nil"/>
              <w:left w:val="nil"/>
              <w:bottom w:val="single" w:sz="4" w:space="0" w:color="auto"/>
              <w:right w:val="single" w:sz="4" w:space="0" w:color="auto"/>
            </w:tcBorders>
            <w:noWrap/>
            <w:vAlign w:val="center"/>
            <w:hideMark/>
          </w:tcPr>
          <w:p w14:paraId="531DA83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85.7</w:t>
            </w:r>
          </w:p>
        </w:tc>
        <w:tc>
          <w:tcPr>
            <w:tcW w:w="2126" w:type="dxa"/>
            <w:tcBorders>
              <w:top w:val="nil"/>
              <w:left w:val="nil"/>
              <w:bottom w:val="single" w:sz="4" w:space="0" w:color="auto"/>
              <w:right w:val="single" w:sz="4" w:space="0" w:color="auto"/>
            </w:tcBorders>
            <w:noWrap/>
            <w:vAlign w:val="center"/>
            <w:hideMark/>
          </w:tcPr>
          <w:p w14:paraId="33CC1A3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77.8</w:t>
            </w:r>
          </w:p>
        </w:tc>
      </w:tr>
      <w:tr w:rsidR="00217865" w:rsidRPr="00217865" w14:paraId="158013B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9B6F15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Polytechnic Institute Australia Pty Ltd</w:t>
            </w:r>
          </w:p>
        </w:tc>
        <w:tc>
          <w:tcPr>
            <w:tcW w:w="2268" w:type="dxa"/>
            <w:tcBorders>
              <w:top w:val="nil"/>
              <w:left w:val="nil"/>
              <w:bottom w:val="single" w:sz="4" w:space="0" w:color="auto"/>
              <w:right w:val="single" w:sz="4" w:space="0" w:color="auto"/>
            </w:tcBorders>
            <w:noWrap/>
            <w:vAlign w:val="center"/>
            <w:hideMark/>
          </w:tcPr>
          <w:p w14:paraId="2A55F05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18.3</w:t>
            </w:r>
          </w:p>
        </w:tc>
        <w:tc>
          <w:tcPr>
            <w:tcW w:w="2126" w:type="dxa"/>
            <w:tcBorders>
              <w:top w:val="nil"/>
              <w:left w:val="nil"/>
              <w:bottom w:val="single" w:sz="4" w:space="0" w:color="auto"/>
              <w:right w:val="single" w:sz="4" w:space="0" w:color="auto"/>
            </w:tcBorders>
            <w:noWrap/>
            <w:vAlign w:val="center"/>
            <w:hideMark/>
          </w:tcPr>
          <w:p w14:paraId="3DF25A5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30.7</w:t>
            </w:r>
          </w:p>
        </w:tc>
      </w:tr>
      <w:tr w:rsidR="00217865" w:rsidRPr="00217865" w14:paraId="3024AAC7"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D8247F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Queensland University of Technology</w:t>
            </w:r>
          </w:p>
        </w:tc>
        <w:tc>
          <w:tcPr>
            <w:tcW w:w="2268" w:type="dxa"/>
            <w:tcBorders>
              <w:top w:val="nil"/>
              <w:left w:val="nil"/>
              <w:bottom w:val="single" w:sz="4" w:space="0" w:color="auto"/>
              <w:right w:val="single" w:sz="4" w:space="0" w:color="auto"/>
            </w:tcBorders>
            <w:noWrap/>
            <w:vAlign w:val="center"/>
            <w:hideMark/>
          </w:tcPr>
          <w:p w14:paraId="3A0F0CA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31.2</w:t>
            </w:r>
          </w:p>
        </w:tc>
        <w:tc>
          <w:tcPr>
            <w:tcW w:w="2126" w:type="dxa"/>
            <w:tcBorders>
              <w:top w:val="nil"/>
              <w:left w:val="nil"/>
              <w:bottom w:val="single" w:sz="4" w:space="0" w:color="auto"/>
              <w:right w:val="single" w:sz="4" w:space="0" w:color="auto"/>
            </w:tcBorders>
            <w:noWrap/>
            <w:vAlign w:val="center"/>
            <w:hideMark/>
          </w:tcPr>
          <w:p w14:paraId="6E64E7F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36.8</w:t>
            </w:r>
          </w:p>
        </w:tc>
      </w:tr>
      <w:tr w:rsidR="00217865" w:rsidRPr="00217865" w14:paraId="0FE2434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9B8746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RMIT University</w:t>
            </w:r>
          </w:p>
        </w:tc>
        <w:tc>
          <w:tcPr>
            <w:tcW w:w="2268" w:type="dxa"/>
            <w:tcBorders>
              <w:top w:val="nil"/>
              <w:left w:val="nil"/>
              <w:bottom w:val="single" w:sz="4" w:space="0" w:color="auto"/>
              <w:right w:val="single" w:sz="4" w:space="0" w:color="auto"/>
            </w:tcBorders>
            <w:noWrap/>
            <w:vAlign w:val="center"/>
            <w:hideMark/>
          </w:tcPr>
          <w:p w14:paraId="0457552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18.5</w:t>
            </w:r>
          </w:p>
        </w:tc>
        <w:tc>
          <w:tcPr>
            <w:tcW w:w="2126" w:type="dxa"/>
            <w:tcBorders>
              <w:top w:val="nil"/>
              <w:left w:val="nil"/>
              <w:bottom w:val="single" w:sz="4" w:space="0" w:color="auto"/>
              <w:right w:val="single" w:sz="4" w:space="0" w:color="auto"/>
            </w:tcBorders>
            <w:noWrap/>
            <w:vAlign w:val="center"/>
            <w:hideMark/>
          </w:tcPr>
          <w:p w14:paraId="256ADE63"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21.3</w:t>
            </w:r>
          </w:p>
        </w:tc>
      </w:tr>
      <w:tr w:rsidR="00217865" w:rsidRPr="00217865" w14:paraId="3438317A"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63C917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SAE Institute</w:t>
            </w:r>
          </w:p>
        </w:tc>
        <w:tc>
          <w:tcPr>
            <w:tcW w:w="2268" w:type="dxa"/>
            <w:tcBorders>
              <w:top w:val="nil"/>
              <w:left w:val="nil"/>
              <w:bottom w:val="single" w:sz="4" w:space="0" w:color="auto"/>
              <w:right w:val="single" w:sz="4" w:space="0" w:color="auto"/>
            </w:tcBorders>
            <w:noWrap/>
            <w:vAlign w:val="center"/>
            <w:hideMark/>
          </w:tcPr>
          <w:p w14:paraId="0CA4D6A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14.0</w:t>
            </w:r>
          </w:p>
        </w:tc>
        <w:tc>
          <w:tcPr>
            <w:tcW w:w="2126" w:type="dxa"/>
            <w:tcBorders>
              <w:top w:val="nil"/>
              <w:left w:val="nil"/>
              <w:bottom w:val="single" w:sz="4" w:space="0" w:color="auto"/>
              <w:right w:val="single" w:sz="4" w:space="0" w:color="auto"/>
            </w:tcBorders>
            <w:noWrap/>
            <w:vAlign w:val="center"/>
            <w:hideMark/>
          </w:tcPr>
          <w:p w14:paraId="2ACA76B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45.2</w:t>
            </w:r>
          </w:p>
        </w:tc>
      </w:tr>
      <w:tr w:rsidR="00217865" w:rsidRPr="00217865" w14:paraId="399158BB"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ACEF29B"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Sheridan Institute of Higher Education</w:t>
            </w:r>
          </w:p>
        </w:tc>
        <w:tc>
          <w:tcPr>
            <w:tcW w:w="2268" w:type="dxa"/>
            <w:tcBorders>
              <w:top w:val="nil"/>
              <w:left w:val="nil"/>
              <w:bottom w:val="single" w:sz="4" w:space="0" w:color="auto"/>
              <w:right w:val="single" w:sz="4" w:space="0" w:color="auto"/>
            </w:tcBorders>
            <w:noWrap/>
            <w:vAlign w:val="center"/>
            <w:hideMark/>
          </w:tcPr>
          <w:p w14:paraId="203E039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80.5</w:t>
            </w:r>
          </w:p>
        </w:tc>
        <w:tc>
          <w:tcPr>
            <w:tcW w:w="2126" w:type="dxa"/>
            <w:tcBorders>
              <w:top w:val="nil"/>
              <w:left w:val="nil"/>
              <w:bottom w:val="single" w:sz="4" w:space="0" w:color="auto"/>
              <w:right w:val="single" w:sz="4" w:space="0" w:color="auto"/>
            </w:tcBorders>
            <w:noWrap/>
            <w:vAlign w:val="center"/>
            <w:hideMark/>
          </w:tcPr>
          <w:p w14:paraId="061DA00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76.1</w:t>
            </w:r>
          </w:p>
        </w:tc>
      </w:tr>
      <w:tr w:rsidR="00217865" w:rsidRPr="00217865" w14:paraId="1B08853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805C12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South Australian Institute of Business and Technology</w:t>
            </w:r>
          </w:p>
        </w:tc>
        <w:tc>
          <w:tcPr>
            <w:tcW w:w="2268" w:type="dxa"/>
            <w:tcBorders>
              <w:top w:val="nil"/>
              <w:left w:val="nil"/>
              <w:bottom w:val="single" w:sz="4" w:space="0" w:color="auto"/>
              <w:right w:val="single" w:sz="4" w:space="0" w:color="auto"/>
            </w:tcBorders>
            <w:noWrap/>
            <w:vAlign w:val="center"/>
            <w:hideMark/>
          </w:tcPr>
          <w:p w14:paraId="2FCF7FA9"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34.3</w:t>
            </w:r>
          </w:p>
        </w:tc>
        <w:tc>
          <w:tcPr>
            <w:tcW w:w="2126" w:type="dxa"/>
            <w:tcBorders>
              <w:top w:val="nil"/>
              <w:left w:val="nil"/>
              <w:bottom w:val="single" w:sz="4" w:space="0" w:color="auto"/>
              <w:right w:val="single" w:sz="4" w:space="0" w:color="auto"/>
            </w:tcBorders>
            <w:noWrap/>
            <w:vAlign w:val="center"/>
            <w:hideMark/>
          </w:tcPr>
          <w:p w14:paraId="46613A5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35.0</w:t>
            </w:r>
          </w:p>
        </w:tc>
      </w:tr>
      <w:tr w:rsidR="00217865" w:rsidRPr="00217865" w14:paraId="2C82FBF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0EC0FE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Southern Cross Education Institute (Higher Education)</w:t>
            </w:r>
          </w:p>
        </w:tc>
        <w:tc>
          <w:tcPr>
            <w:tcW w:w="2268" w:type="dxa"/>
            <w:tcBorders>
              <w:top w:val="nil"/>
              <w:left w:val="nil"/>
              <w:bottom w:val="single" w:sz="4" w:space="0" w:color="auto"/>
              <w:right w:val="single" w:sz="4" w:space="0" w:color="auto"/>
            </w:tcBorders>
            <w:noWrap/>
            <w:vAlign w:val="center"/>
            <w:hideMark/>
          </w:tcPr>
          <w:p w14:paraId="6B2B3190" w14:textId="789E467D"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73194BE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34.9</w:t>
            </w:r>
          </w:p>
        </w:tc>
      </w:tr>
      <w:tr w:rsidR="00217865" w:rsidRPr="00217865" w14:paraId="72120EB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80850F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Southern Cross University</w:t>
            </w:r>
          </w:p>
        </w:tc>
        <w:tc>
          <w:tcPr>
            <w:tcW w:w="2268" w:type="dxa"/>
            <w:tcBorders>
              <w:top w:val="nil"/>
              <w:left w:val="nil"/>
              <w:bottom w:val="single" w:sz="4" w:space="0" w:color="auto"/>
              <w:right w:val="single" w:sz="4" w:space="0" w:color="auto"/>
            </w:tcBorders>
            <w:noWrap/>
            <w:vAlign w:val="center"/>
            <w:hideMark/>
          </w:tcPr>
          <w:p w14:paraId="3216528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41.4</w:t>
            </w:r>
          </w:p>
        </w:tc>
        <w:tc>
          <w:tcPr>
            <w:tcW w:w="2126" w:type="dxa"/>
            <w:tcBorders>
              <w:top w:val="nil"/>
              <w:left w:val="nil"/>
              <w:bottom w:val="single" w:sz="4" w:space="0" w:color="auto"/>
              <w:right w:val="single" w:sz="4" w:space="0" w:color="auto"/>
            </w:tcBorders>
            <w:noWrap/>
            <w:vAlign w:val="center"/>
            <w:hideMark/>
          </w:tcPr>
          <w:p w14:paraId="1D69774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33.8</w:t>
            </w:r>
          </w:p>
        </w:tc>
      </w:tr>
      <w:tr w:rsidR="00217865" w:rsidRPr="00217865" w14:paraId="258245D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9CBBBEE"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SP Jain School of Management</w:t>
            </w:r>
          </w:p>
        </w:tc>
        <w:tc>
          <w:tcPr>
            <w:tcW w:w="2268" w:type="dxa"/>
            <w:tcBorders>
              <w:top w:val="nil"/>
              <w:left w:val="nil"/>
              <w:bottom w:val="single" w:sz="4" w:space="0" w:color="auto"/>
              <w:right w:val="single" w:sz="4" w:space="0" w:color="auto"/>
            </w:tcBorders>
            <w:noWrap/>
            <w:vAlign w:val="center"/>
            <w:hideMark/>
          </w:tcPr>
          <w:p w14:paraId="57F5628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65.8</w:t>
            </w:r>
          </w:p>
        </w:tc>
        <w:tc>
          <w:tcPr>
            <w:tcW w:w="2126" w:type="dxa"/>
            <w:tcBorders>
              <w:top w:val="nil"/>
              <w:left w:val="nil"/>
              <w:bottom w:val="single" w:sz="4" w:space="0" w:color="auto"/>
              <w:right w:val="single" w:sz="4" w:space="0" w:color="auto"/>
            </w:tcBorders>
            <w:noWrap/>
            <w:vAlign w:val="center"/>
            <w:hideMark/>
          </w:tcPr>
          <w:p w14:paraId="7BD13F9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76.9</w:t>
            </w:r>
          </w:p>
        </w:tc>
      </w:tr>
      <w:tr w:rsidR="00217865" w:rsidRPr="00217865" w14:paraId="449F085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1BD76C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Stanley College</w:t>
            </w:r>
          </w:p>
        </w:tc>
        <w:tc>
          <w:tcPr>
            <w:tcW w:w="2268" w:type="dxa"/>
            <w:tcBorders>
              <w:top w:val="nil"/>
              <w:left w:val="nil"/>
              <w:bottom w:val="single" w:sz="4" w:space="0" w:color="auto"/>
              <w:right w:val="single" w:sz="4" w:space="0" w:color="auto"/>
            </w:tcBorders>
            <w:noWrap/>
            <w:vAlign w:val="center"/>
            <w:hideMark/>
          </w:tcPr>
          <w:p w14:paraId="2C81D8C7"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39.1</w:t>
            </w:r>
          </w:p>
        </w:tc>
        <w:tc>
          <w:tcPr>
            <w:tcW w:w="2126" w:type="dxa"/>
            <w:tcBorders>
              <w:top w:val="nil"/>
              <w:left w:val="nil"/>
              <w:bottom w:val="single" w:sz="4" w:space="0" w:color="auto"/>
              <w:right w:val="single" w:sz="4" w:space="0" w:color="auto"/>
            </w:tcBorders>
            <w:noWrap/>
            <w:vAlign w:val="center"/>
            <w:hideMark/>
          </w:tcPr>
          <w:p w14:paraId="0C661E2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42.4</w:t>
            </w:r>
          </w:p>
        </w:tc>
      </w:tr>
      <w:tr w:rsidR="00217865" w:rsidRPr="00217865" w14:paraId="6B9B77F7"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410EE5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Stott's College</w:t>
            </w:r>
          </w:p>
        </w:tc>
        <w:tc>
          <w:tcPr>
            <w:tcW w:w="2268" w:type="dxa"/>
            <w:tcBorders>
              <w:top w:val="nil"/>
              <w:left w:val="nil"/>
              <w:bottom w:val="single" w:sz="4" w:space="0" w:color="auto"/>
              <w:right w:val="single" w:sz="4" w:space="0" w:color="auto"/>
            </w:tcBorders>
            <w:noWrap/>
            <w:vAlign w:val="center"/>
            <w:hideMark/>
          </w:tcPr>
          <w:p w14:paraId="3893700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32.6</w:t>
            </w:r>
          </w:p>
        </w:tc>
        <w:tc>
          <w:tcPr>
            <w:tcW w:w="2126" w:type="dxa"/>
            <w:tcBorders>
              <w:top w:val="nil"/>
              <w:left w:val="nil"/>
              <w:bottom w:val="single" w:sz="4" w:space="0" w:color="auto"/>
              <w:right w:val="single" w:sz="4" w:space="0" w:color="auto"/>
            </w:tcBorders>
            <w:noWrap/>
            <w:vAlign w:val="center"/>
            <w:hideMark/>
          </w:tcPr>
          <w:p w14:paraId="0B3E2EF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43.2</w:t>
            </w:r>
          </w:p>
        </w:tc>
      </w:tr>
      <w:tr w:rsidR="00217865" w:rsidRPr="00217865" w14:paraId="53FEAD2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656233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Swinburne University of Technology</w:t>
            </w:r>
          </w:p>
        </w:tc>
        <w:tc>
          <w:tcPr>
            <w:tcW w:w="2268" w:type="dxa"/>
            <w:tcBorders>
              <w:top w:val="nil"/>
              <w:left w:val="nil"/>
              <w:bottom w:val="single" w:sz="4" w:space="0" w:color="auto"/>
              <w:right w:val="single" w:sz="4" w:space="0" w:color="auto"/>
            </w:tcBorders>
            <w:noWrap/>
            <w:vAlign w:val="center"/>
            <w:hideMark/>
          </w:tcPr>
          <w:p w14:paraId="7191986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40.7</w:t>
            </w:r>
          </w:p>
        </w:tc>
        <w:tc>
          <w:tcPr>
            <w:tcW w:w="2126" w:type="dxa"/>
            <w:tcBorders>
              <w:top w:val="nil"/>
              <w:left w:val="nil"/>
              <w:bottom w:val="single" w:sz="4" w:space="0" w:color="auto"/>
              <w:right w:val="single" w:sz="4" w:space="0" w:color="auto"/>
            </w:tcBorders>
            <w:noWrap/>
            <w:vAlign w:val="center"/>
            <w:hideMark/>
          </w:tcPr>
          <w:p w14:paraId="79913DD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37.9</w:t>
            </w:r>
          </w:p>
        </w:tc>
      </w:tr>
      <w:tr w:rsidR="00217865" w:rsidRPr="00217865" w14:paraId="7CADFA8F"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C44E29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Sydney College of Divinity</w:t>
            </w:r>
          </w:p>
        </w:tc>
        <w:tc>
          <w:tcPr>
            <w:tcW w:w="2268" w:type="dxa"/>
            <w:tcBorders>
              <w:top w:val="nil"/>
              <w:left w:val="nil"/>
              <w:bottom w:val="single" w:sz="4" w:space="0" w:color="auto"/>
              <w:right w:val="single" w:sz="4" w:space="0" w:color="auto"/>
            </w:tcBorders>
            <w:noWrap/>
            <w:vAlign w:val="center"/>
            <w:hideMark/>
          </w:tcPr>
          <w:p w14:paraId="29B4C02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20.6</w:t>
            </w:r>
          </w:p>
        </w:tc>
        <w:tc>
          <w:tcPr>
            <w:tcW w:w="2126" w:type="dxa"/>
            <w:tcBorders>
              <w:top w:val="nil"/>
              <w:left w:val="nil"/>
              <w:bottom w:val="single" w:sz="4" w:space="0" w:color="auto"/>
              <w:right w:val="single" w:sz="4" w:space="0" w:color="auto"/>
            </w:tcBorders>
            <w:noWrap/>
            <w:vAlign w:val="center"/>
            <w:hideMark/>
          </w:tcPr>
          <w:p w14:paraId="163B5163"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34.8</w:t>
            </w:r>
          </w:p>
        </w:tc>
      </w:tr>
      <w:tr w:rsidR="00217865" w:rsidRPr="00217865" w14:paraId="61F6A72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972379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Sydney Institute of Business and Technology</w:t>
            </w:r>
          </w:p>
        </w:tc>
        <w:tc>
          <w:tcPr>
            <w:tcW w:w="2268" w:type="dxa"/>
            <w:tcBorders>
              <w:top w:val="nil"/>
              <w:left w:val="nil"/>
              <w:bottom w:val="single" w:sz="4" w:space="0" w:color="auto"/>
              <w:right w:val="single" w:sz="4" w:space="0" w:color="auto"/>
            </w:tcBorders>
            <w:noWrap/>
            <w:vAlign w:val="center"/>
            <w:hideMark/>
          </w:tcPr>
          <w:p w14:paraId="6DCC38A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43.0</w:t>
            </w:r>
          </w:p>
        </w:tc>
        <w:tc>
          <w:tcPr>
            <w:tcW w:w="2126" w:type="dxa"/>
            <w:tcBorders>
              <w:top w:val="nil"/>
              <w:left w:val="nil"/>
              <w:bottom w:val="single" w:sz="4" w:space="0" w:color="auto"/>
              <w:right w:val="single" w:sz="4" w:space="0" w:color="auto"/>
            </w:tcBorders>
            <w:noWrap/>
            <w:vAlign w:val="center"/>
            <w:hideMark/>
          </w:tcPr>
          <w:p w14:paraId="4EA66ED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47.9</w:t>
            </w:r>
          </w:p>
        </w:tc>
      </w:tr>
      <w:tr w:rsidR="00217865" w:rsidRPr="00217865" w14:paraId="32B53887"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E76C7A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TAFE NSW</w:t>
            </w:r>
          </w:p>
        </w:tc>
        <w:tc>
          <w:tcPr>
            <w:tcW w:w="2268" w:type="dxa"/>
            <w:tcBorders>
              <w:top w:val="nil"/>
              <w:left w:val="nil"/>
              <w:bottom w:val="single" w:sz="4" w:space="0" w:color="auto"/>
              <w:right w:val="single" w:sz="4" w:space="0" w:color="auto"/>
            </w:tcBorders>
            <w:noWrap/>
            <w:vAlign w:val="center"/>
            <w:hideMark/>
          </w:tcPr>
          <w:p w14:paraId="3DD7092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40.4</w:t>
            </w:r>
          </w:p>
        </w:tc>
        <w:tc>
          <w:tcPr>
            <w:tcW w:w="2126" w:type="dxa"/>
            <w:tcBorders>
              <w:top w:val="nil"/>
              <w:left w:val="nil"/>
              <w:bottom w:val="single" w:sz="4" w:space="0" w:color="auto"/>
              <w:right w:val="single" w:sz="4" w:space="0" w:color="auto"/>
            </w:tcBorders>
            <w:noWrap/>
            <w:vAlign w:val="center"/>
            <w:hideMark/>
          </w:tcPr>
          <w:p w14:paraId="7D86AD59"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48.8</w:t>
            </w:r>
          </w:p>
        </w:tc>
      </w:tr>
      <w:tr w:rsidR="00217865" w:rsidRPr="00217865" w14:paraId="18B740C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D465CF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TAFE Queensland</w:t>
            </w:r>
          </w:p>
        </w:tc>
        <w:tc>
          <w:tcPr>
            <w:tcW w:w="2268" w:type="dxa"/>
            <w:tcBorders>
              <w:top w:val="nil"/>
              <w:left w:val="nil"/>
              <w:bottom w:val="single" w:sz="4" w:space="0" w:color="auto"/>
              <w:right w:val="single" w:sz="4" w:space="0" w:color="auto"/>
            </w:tcBorders>
            <w:noWrap/>
            <w:vAlign w:val="center"/>
            <w:hideMark/>
          </w:tcPr>
          <w:p w14:paraId="3F6A873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36.1</w:t>
            </w:r>
          </w:p>
        </w:tc>
        <w:tc>
          <w:tcPr>
            <w:tcW w:w="2126" w:type="dxa"/>
            <w:tcBorders>
              <w:top w:val="nil"/>
              <w:left w:val="nil"/>
              <w:bottom w:val="single" w:sz="4" w:space="0" w:color="auto"/>
              <w:right w:val="single" w:sz="4" w:space="0" w:color="auto"/>
            </w:tcBorders>
            <w:noWrap/>
            <w:vAlign w:val="center"/>
            <w:hideMark/>
          </w:tcPr>
          <w:p w14:paraId="74D133A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36.8</w:t>
            </w:r>
          </w:p>
        </w:tc>
      </w:tr>
      <w:tr w:rsidR="00217865" w:rsidRPr="00217865" w14:paraId="1DBACC7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93C9AE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TAFE South Australia</w:t>
            </w:r>
          </w:p>
        </w:tc>
        <w:tc>
          <w:tcPr>
            <w:tcW w:w="2268" w:type="dxa"/>
            <w:tcBorders>
              <w:top w:val="nil"/>
              <w:left w:val="nil"/>
              <w:bottom w:val="single" w:sz="4" w:space="0" w:color="auto"/>
              <w:right w:val="single" w:sz="4" w:space="0" w:color="auto"/>
            </w:tcBorders>
            <w:noWrap/>
            <w:vAlign w:val="center"/>
            <w:hideMark/>
          </w:tcPr>
          <w:p w14:paraId="350FB237"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38.3</w:t>
            </w:r>
          </w:p>
        </w:tc>
        <w:tc>
          <w:tcPr>
            <w:tcW w:w="2126" w:type="dxa"/>
            <w:tcBorders>
              <w:top w:val="nil"/>
              <w:left w:val="nil"/>
              <w:bottom w:val="single" w:sz="4" w:space="0" w:color="auto"/>
              <w:right w:val="single" w:sz="4" w:space="0" w:color="auto"/>
            </w:tcBorders>
            <w:noWrap/>
            <w:vAlign w:val="center"/>
            <w:hideMark/>
          </w:tcPr>
          <w:p w14:paraId="3634AC1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39.9</w:t>
            </w:r>
          </w:p>
        </w:tc>
      </w:tr>
      <w:tr w:rsidR="00217865" w:rsidRPr="00217865" w14:paraId="556DD1A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242D077"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Australian College of Physical Education</w:t>
            </w:r>
          </w:p>
        </w:tc>
        <w:tc>
          <w:tcPr>
            <w:tcW w:w="2268" w:type="dxa"/>
            <w:tcBorders>
              <w:top w:val="nil"/>
              <w:left w:val="nil"/>
              <w:bottom w:val="single" w:sz="4" w:space="0" w:color="auto"/>
              <w:right w:val="single" w:sz="4" w:space="0" w:color="auto"/>
            </w:tcBorders>
            <w:noWrap/>
            <w:vAlign w:val="center"/>
            <w:hideMark/>
          </w:tcPr>
          <w:p w14:paraId="784439E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25.0</w:t>
            </w:r>
          </w:p>
        </w:tc>
        <w:tc>
          <w:tcPr>
            <w:tcW w:w="2126" w:type="dxa"/>
            <w:tcBorders>
              <w:top w:val="nil"/>
              <w:left w:val="nil"/>
              <w:bottom w:val="single" w:sz="4" w:space="0" w:color="auto"/>
              <w:right w:val="single" w:sz="4" w:space="0" w:color="auto"/>
            </w:tcBorders>
            <w:noWrap/>
            <w:vAlign w:val="center"/>
            <w:hideMark/>
          </w:tcPr>
          <w:p w14:paraId="6C6E102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33.3</w:t>
            </w:r>
          </w:p>
        </w:tc>
      </w:tr>
      <w:tr w:rsidR="00217865" w:rsidRPr="00217865" w14:paraId="576B2DEB"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10FC8E7"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Australian Institute of Music</w:t>
            </w:r>
          </w:p>
        </w:tc>
        <w:tc>
          <w:tcPr>
            <w:tcW w:w="2268" w:type="dxa"/>
            <w:tcBorders>
              <w:top w:val="nil"/>
              <w:left w:val="nil"/>
              <w:bottom w:val="single" w:sz="4" w:space="0" w:color="auto"/>
              <w:right w:val="single" w:sz="4" w:space="0" w:color="auto"/>
            </w:tcBorders>
            <w:noWrap/>
            <w:vAlign w:val="center"/>
            <w:hideMark/>
          </w:tcPr>
          <w:p w14:paraId="059B47B3"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24.1</w:t>
            </w:r>
          </w:p>
        </w:tc>
        <w:tc>
          <w:tcPr>
            <w:tcW w:w="2126" w:type="dxa"/>
            <w:tcBorders>
              <w:top w:val="nil"/>
              <w:left w:val="nil"/>
              <w:bottom w:val="single" w:sz="4" w:space="0" w:color="auto"/>
              <w:right w:val="single" w:sz="4" w:space="0" w:color="auto"/>
            </w:tcBorders>
            <w:noWrap/>
            <w:vAlign w:val="center"/>
            <w:hideMark/>
          </w:tcPr>
          <w:p w14:paraId="311A423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42.3</w:t>
            </w:r>
          </w:p>
        </w:tc>
      </w:tr>
      <w:tr w:rsidR="00217865" w:rsidRPr="00217865" w14:paraId="1BC4D49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5CD6677"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Australian National University</w:t>
            </w:r>
          </w:p>
        </w:tc>
        <w:tc>
          <w:tcPr>
            <w:tcW w:w="2268" w:type="dxa"/>
            <w:tcBorders>
              <w:top w:val="nil"/>
              <w:left w:val="nil"/>
              <w:bottom w:val="single" w:sz="4" w:space="0" w:color="auto"/>
              <w:right w:val="single" w:sz="4" w:space="0" w:color="auto"/>
            </w:tcBorders>
            <w:noWrap/>
            <w:vAlign w:val="center"/>
            <w:hideMark/>
          </w:tcPr>
          <w:p w14:paraId="73E0B1C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27.5</w:t>
            </w:r>
          </w:p>
        </w:tc>
        <w:tc>
          <w:tcPr>
            <w:tcW w:w="2126" w:type="dxa"/>
            <w:tcBorders>
              <w:top w:val="nil"/>
              <w:left w:val="nil"/>
              <w:bottom w:val="single" w:sz="4" w:space="0" w:color="auto"/>
              <w:right w:val="single" w:sz="4" w:space="0" w:color="auto"/>
            </w:tcBorders>
            <w:noWrap/>
            <w:vAlign w:val="center"/>
            <w:hideMark/>
          </w:tcPr>
          <w:p w14:paraId="0E1020B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28.4</w:t>
            </w:r>
          </w:p>
        </w:tc>
      </w:tr>
      <w:tr w:rsidR="00217865" w:rsidRPr="00217865" w14:paraId="16219F0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91C8E34"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 xml:space="preserve">The </w:t>
            </w:r>
            <w:proofErr w:type="spellStart"/>
            <w:r w:rsidRPr="00217865">
              <w:rPr>
                <w:rFonts w:cs="Arial"/>
                <w:color w:val="000000" w:themeColor="text1"/>
                <w:sz w:val="18"/>
              </w:rPr>
              <w:t>Cairnmillar</w:t>
            </w:r>
            <w:proofErr w:type="spellEnd"/>
            <w:r w:rsidRPr="00217865">
              <w:rPr>
                <w:rFonts w:cs="Arial"/>
                <w:color w:val="000000" w:themeColor="text1"/>
                <w:sz w:val="18"/>
              </w:rPr>
              <w:t xml:space="preserve"> Institute</w:t>
            </w:r>
          </w:p>
        </w:tc>
        <w:tc>
          <w:tcPr>
            <w:tcW w:w="2268" w:type="dxa"/>
            <w:tcBorders>
              <w:top w:val="nil"/>
              <w:left w:val="nil"/>
              <w:bottom w:val="single" w:sz="4" w:space="0" w:color="auto"/>
              <w:right w:val="single" w:sz="4" w:space="0" w:color="auto"/>
            </w:tcBorders>
            <w:noWrap/>
            <w:vAlign w:val="center"/>
            <w:hideMark/>
          </w:tcPr>
          <w:p w14:paraId="0788499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43.8</w:t>
            </w:r>
          </w:p>
        </w:tc>
        <w:tc>
          <w:tcPr>
            <w:tcW w:w="2126" w:type="dxa"/>
            <w:tcBorders>
              <w:top w:val="nil"/>
              <w:left w:val="nil"/>
              <w:bottom w:val="single" w:sz="4" w:space="0" w:color="auto"/>
              <w:right w:val="single" w:sz="4" w:space="0" w:color="auto"/>
            </w:tcBorders>
            <w:noWrap/>
            <w:vAlign w:val="center"/>
            <w:hideMark/>
          </w:tcPr>
          <w:p w14:paraId="127B1001"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42.9</w:t>
            </w:r>
          </w:p>
        </w:tc>
      </w:tr>
      <w:tr w:rsidR="00217865" w:rsidRPr="00217865" w14:paraId="510C5317"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2DF8167"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College of Law Limited</w:t>
            </w:r>
          </w:p>
        </w:tc>
        <w:tc>
          <w:tcPr>
            <w:tcW w:w="2268" w:type="dxa"/>
            <w:tcBorders>
              <w:top w:val="nil"/>
              <w:left w:val="nil"/>
              <w:bottom w:val="single" w:sz="4" w:space="0" w:color="auto"/>
              <w:right w:val="single" w:sz="4" w:space="0" w:color="auto"/>
            </w:tcBorders>
            <w:noWrap/>
            <w:vAlign w:val="center"/>
            <w:hideMark/>
          </w:tcPr>
          <w:p w14:paraId="7374116D" w14:textId="75B86AAE" w:rsidR="00821227" w:rsidRPr="00217865" w:rsidRDefault="001E4C62" w:rsidP="001E4C62">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2126" w:type="dxa"/>
            <w:tcBorders>
              <w:top w:val="nil"/>
              <w:left w:val="nil"/>
              <w:bottom w:val="single" w:sz="4" w:space="0" w:color="auto"/>
              <w:right w:val="single" w:sz="4" w:space="0" w:color="auto"/>
            </w:tcBorders>
            <w:noWrap/>
            <w:vAlign w:val="center"/>
            <w:hideMark/>
          </w:tcPr>
          <w:p w14:paraId="46CD679A"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17.3</w:t>
            </w:r>
          </w:p>
        </w:tc>
      </w:tr>
      <w:tr w:rsidR="00217865" w:rsidRPr="00217865" w14:paraId="2101B9C1"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60DC7285"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Institute of Creative Arts and Technology</w:t>
            </w:r>
          </w:p>
        </w:tc>
        <w:tc>
          <w:tcPr>
            <w:tcW w:w="2268" w:type="dxa"/>
            <w:tcBorders>
              <w:top w:val="nil"/>
              <w:left w:val="nil"/>
              <w:bottom w:val="single" w:sz="4" w:space="0" w:color="auto"/>
              <w:right w:val="single" w:sz="4" w:space="0" w:color="auto"/>
            </w:tcBorders>
            <w:noWrap/>
            <w:vAlign w:val="center"/>
            <w:hideMark/>
          </w:tcPr>
          <w:p w14:paraId="0422380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0.0</w:t>
            </w:r>
          </w:p>
        </w:tc>
        <w:tc>
          <w:tcPr>
            <w:tcW w:w="2126" w:type="dxa"/>
            <w:tcBorders>
              <w:top w:val="nil"/>
              <w:left w:val="nil"/>
              <w:bottom w:val="single" w:sz="4" w:space="0" w:color="auto"/>
              <w:right w:val="single" w:sz="4" w:space="0" w:color="auto"/>
            </w:tcBorders>
            <w:noWrap/>
            <w:vAlign w:val="center"/>
            <w:hideMark/>
          </w:tcPr>
          <w:p w14:paraId="2FCB301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50.0</w:t>
            </w:r>
          </w:p>
        </w:tc>
      </w:tr>
      <w:tr w:rsidR="00217865" w:rsidRPr="00217865" w14:paraId="4B04FA3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A3FE63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JMC Academy</w:t>
            </w:r>
          </w:p>
        </w:tc>
        <w:tc>
          <w:tcPr>
            <w:tcW w:w="2268" w:type="dxa"/>
            <w:tcBorders>
              <w:top w:val="nil"/>
              <w:left w:val="nil"/>
              <w:bottom w:val="single" w:sz="4" w:space="0" w:color="auto"/>
              <w:right w:val="single" w:sz="4" w:space="0" w:color="auto"/>
            </w:tcBorders>
            <w:noWrap/>
            <w:vAlign w:val="center"/>
            <w:hideMark/>
          </w:tcPr>
          <w:p w14:paraId="606EF82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50.0</w:t>
            </w:r>
          </w:p>
        </w:tc>
        <w:tc>
          <w:tcPr>
            <w:tcW w:w="2126" w:type="dxa"/>
            <w:tcBorders>
              <w:top w:val="nil"/>
              <w:left w:val="nil"/>
              <w:bottom w:val="single" w:sz="4" w:space="0" w:color="auto"/>
              <w:right w:val="single" w:sz="4" w:space="0" w:color="auto"/>
            </w:tcBorders>
            <w:noWrap/>
            <w:vAlign w:val="center"/>
            <w:hideMark/>
          </w:tcPr>
          <w:p w14:paraId="1C3226B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54.2</w:t>
            </w:r>
          </w:p>
        </w:tc>
      </w:tr>
      <w:tr w:rsidR="00217865" w:rsidRPr="00217865" w14:paraId="55AAF3B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8FF52B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Adelaide</w:t>
            </w:r>
          </w:p>
        </w:tc>
        <w:tc>
          <w:tcPr>
            <w:tcW w:w="2268" w:type="dxa"/>
            <w:tcBorders>
              <w:top w:val="nil"/>
              <w:left w:val="nil"/>
              <w:bottom w:val="single" w:sz="4" w:space="0" w:color="auto"/>
              <w:right w:val="single" w:sz="4" w:space="0" w:color="auto"/>
            </w:tcBorders>
            <w:noWrap/>
            <w:vAlign w:val="center"/>
            <w:hideMark/>
          </w:tcPr>
          <w:p w14:paraId="161413D0"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40.5</w:t>
            </w:r>
          </w:p>
        </w:tc>
        <w:tc>
          <w:tcPr>
            <w:tcW w:w="2126" w:type="dxa"/>
            <w:tcBorders>
              <w:top w:val="nil"/>
              <w:left w:val="nil"/>
              <w:bottom w:val="single" w:sz="4" w:space="0" w:color="auto"/>
              <w:right w:val="single" w:sz="4" w:space="0" w:color="auto"/>
            </w:tcBorders>
            <w:noWrap/>
            <w:vAlign w:val="center"/>
            <w:hideMark/>
          </w:tcPr>
          <w:p w14:paraId="1B48DF4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37.7</w:t>
            </w:r>
          </w:p>
        </w:tc>
      </w:tr>
      <w:tr w:rsidR="00217865" w:rsidRPr="00217865" w14:paraId="0494B7B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A54D1E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Melbourne</w:t>
            </w:r>
          </w:p>
        </w:tc>
        <w:tc>
          <w:tcPr>
            <w:tcW w:w="2268" w:type="dxa"/>
            <w:tcBorders>
              <w:top w:val="nil"/>
              <w:left w:val="nil"/>
              <w:bottom w:val="single" w:sz="4" w:space="0" w:color="auto"/>
              <w:right w:val="single" w:sz="4" w:space="0" w:color="auto"/>
            </w:tcBorders>
            <w:noWrap/>
            <w:vAlign w:val="center"/>
            <w:hideMark/>
          </w:tcPr>
          <w:p w14:paraId="43047E2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41.0</w:t>
            </w:r>
          </w:p>
        </w:tc>
        <w:tc>
          <w:tcPr>
            <w:tcW w:w="2126" w:type="dxa"/>
            <w:tcBorders>
              <w:top w:val="nil"/>
              <w:left w:val="nil"/>
              <w:bottom w:val="single" w:sz="4" w:space="0" w:color="auto"/>
              <w:right w:val="single" w:sz="4" w:space="0" w:color="auto"/>
            </w:tcBorders>
            <w:noWrap/>
            <w:vAlign w:val="center"/>
            <w:hideMark/>
          </w:tcPr>
          <w:p w14:paraId="1E67863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42.0</w:t>
            </w:r>
          </w:p>
        </w:tc>
      </w:tr>
      <w:tr w:rsidR="00217865" w:rsidRPr="00217865" w14:paraId="2E8323C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859734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Notre Dame Australia</w:t>
            </w:r>
          </w:p>
        </w:tc>
        <w:tc>
          <w:tcPr>
            <w:tcW w:w="2268" w:type="dxa"/>
            <w:tcBorders>
              <w:top w:val="nil"/>
              <w:left w:val="nil"/>
              <w:bottom w:val="single" w:sz="4" w:space="0" w:color="auto"/>
              <w:right w:val="single" w:sz="4" w:space="0" w:color="auto"/>
            </w:tcBorders>
            <w:noWrap/>
            <w:vAlign w:val="center"/>
            <w:hideMark/>
          </w:tcPr>
          <w:p w14:paraId="7AA8254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41.7</w:t>
            </w:r>
          </w:p>
        </w:tc>
        <w:tc>
          <w:tcPr>
            <w:tcW w:w="2126" w:type="dxa"/>
            <w:tcBorders>
              <w:top w:val="nil"/>
              <w:left w:val="nil"/>
              <w:bottom w:val="single" w:sz="4" w:space="0" w:color="auto"/>
              <w:right w:val="single" w:sz="4" w:space="0" w:color="auto"/>
            </w:tcBorders>
            <w:noWrap/>
            <w:vAlign w:val="center"/>
            <w:hideMark/>
          </w:tcPr>
          <w:p w14:paraId="1FAC4295"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50.4</w:t>
            </w:r>
          </w:p>
        </w:tc>
      </w:tr>
      <w:tr w:rsidR="00217865" w:rsidRPr="00217865" w14:paraId="26507B6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8002E0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Queensland</w:t>
            </w:r>
          </w:p>
        </w:tc>
        <w:tc>
          <w:tcPr>
            <w:tcW w:w="2268" w:type="dxa"/>
            <w:tcBorders>
              <w:top w:val="nil"/>
              <w:left w:val="nil"/>
              <w:bottom w:val="single" w:sz="4" w:space="0" w:color="auto"/>
              <w:right w:val="single" w:sz="4" w:space="0" w:color="auto"/>
            </w:tcBorders>
            <w:noWrap/>
            <w:vAlign w:val="center"/>
            <w:hideMark/>
          </w:tcPr>
          <w:p w14:paraId="39F1DCB7"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22.9</w:t>
            </w:r>
          </w:p>
        </w:tc>
        <w:tc>
          <w:tcPr>
            <w:tcW w:w="2126" w:type="dxa"/>
            <w:tcBorders>
              <w:top w:val="nil"/>
              <w:left w:val="nil"/>
              <w:bottom w:val="single" w:sz="4" w:space="0" w:color="auto"/>
              <w:right w:val="single" w:sz="4" w:space="0" w:color="auto"/>
            </w:tcBorders>
            <w:noWrap/>
            <w:vAlign w:val="center"/>
            <w:hideMark/>
          </w:tcPr>
          <w:p w14:paraId="0EAD382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25.0</w:t>
            </w:r>
          </w:p>
        </w:tc>
      </w:tr>
      <w:tr w:rsidR="00217865" w:rsidRPr="00217865" w14:paraId="3991E55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899DCB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South Australia</w:t>
            </w:r>
          </w:p>
        </w:tc>
        <w:tc>
          <w:tcPr>
            <w:tcW w:w="2268" w:type="dxa"/>
            <w:tcBorders>
              <w:top w:val="nil"/>
              <w:left w:val="nil"/>
              <w:bottom w:val="single" w:sz="4" w:space="0" w:color="auto"/>
              <w:right w:val="single" w:sz="4" w:space="0" w:color="auto"/>
            </w:tcBorders>
            <w:noWrap/>
            <w:vAlign w:val="center"/>
            <w:hideMark/>
          </w:tcPr>
          <w:p w14:paraId="41B5B70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38.9</w:t>
            </w:r>
          </w:p>
        </w:tc>
        <w:tc>
          <w:tcPr>
            <w:tcW w:w="2126" w:type="dxa"/>
            <w:tcBorders>
              <w:top w:val="nil"/>
              <w:left w:val="nil"/>
              <w:bottom w:val="single" w:sz="4" w:space="0" w:color="auto"/>
              <w:right w:val="single" w:sz="4" w:space="0" w:color="auto"/>
            </w:tcBorders>
            <w:noWrap/>
            <w:vAlign w:val="center"/>
            <w:hideMark/>
          </w:tcPr>
          <w:p w14:paraId="733B009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39.9</w:t>
            </w:r>
          </w:p>
        </w:tc>
      </w:tr>
      <w:tr w:rsidR="00217865" w:rsidRPr="00217865" w14:paraId="5BF40A0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D18F23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Sydney</w:t>
            </w:r>
          </w:p>
        </w:tc>
        <w:tc>
          <w:tcPr>
            <w:tcW w:w="2268" w:type="dxa"/>
            <w:tcBorders>
              <w:top w:val="nil"/>
              <w:left w:val="nil"/>
              <w:bottom w:val="single" w:sz="4" w:space="0" w:color="auto"/>
              <w:right w:val="single" w:sz="4" w:space="0" w:color="auto"/>
            </w:tcBorders>
            <w:noWrap/>
            <w:vAlign w:val="center"/>
            <w:hideMark/>
          </w:tcPr>
          <w:p w14:paraId="3111AC48"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25.8</w:t>
            </w:r>
          </w:p>
        </w:tc>
        <w:tc>
          <w:tcPr>
            <w:tcW w:w="2126" w:type="dxa"/>
            <w:tcBorders>
              <w:top w:val="nil"/>
              <w:left w:val="nil"/>
              <w:bottom w:val="single" w:sz="4" w:space="0" w:color="auto"/>
              <w:right w:val="single" w:sz="4" w:space="0" w:color="auto"/>
            </w:tcBorders>
            <w:noWrap/>
            <w:vAlign w:val="center"/>
            <w:hideMark/>
          </w:tcPr>
          <w:p w14:paraId="0E0B20B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20.5</w:t>
            </w:r>
          </w:p>
        </w:tc>
      </w:tr>
      <w:tr w:rsidR="00217865" w:rsidRPr="00217865" w14:paraId="5B78752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C3111F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The University of Western Australia</w:t>
            </w:r>
          </w:p>
        </w:tc>
        <w:tc>
          <w:tcPr>
            <w:tcW w:w="2268" w:type="dxa"/>
            <w:tcBorders>
              <w:top w:val="nil"/>
              <w:left w:val="nil"/>
              <w:bottom w:val="single" w:sz="4" w:space="0" w:color="auto"/>
              <w:right w:val="single" w:sz="4" w:space="0" w:color="auto"/>
            </w:tcBorders>
            <w:noWrap/>
            <w:vAlign w:val="center"/>
            <w:hideMark/>
          </w:tcPr>
          <w:p w14:paraId="418C359C"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41.3</w:t>
            </w:r>
          </w:p>
        </w:tc>
        <w:tc>
          <w:tcPr>
            <w:tcW w:w="2126" w:type="dxa"/>
            <w:tcBorders>
              <w:top w:val="nil"/>
              <w:left w:val="nil"/>
              <w:bottom w:val="single" w:sz="4" w:space="0" w:color="auto"/>
              <w:right w:val="single" w:sz="4" w:space="0" w:color="auto"/>
            </w:tcBorders>
            <w:noWrap/>
            <w:vAlign w:val="center"/>
            <w:hideMark/>
          </w:tcPr>
          <w:p w14:paraId="3AF1709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51.8</w:t>
            </w:r>
          </w:p>
        </w:tc>
      </w:tr>
      <w:tr w:rsidR="00217865" w:rsidRPr="00217865" w14:paraId="315758F1"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732D9B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Think Education</w:t>
            </w:r>
          </w:p>
        </w:tc>
        <w:tc>
          <w:tcPr>
            <w:tcW w:w="2268" w:type="dxa"/>
            <w:tcBorders>
              <w:top w:val="nil"/>
              <w:left w:val="nil"/>
              <w:bottom w:val="single" w:sz="4" w:space="0" w:color="auto"/>
              <w:right w:val="single" w:sz="4" w:space="0" w:color="auto"/>
            </w:tcBorders>
            <w:noWrap/>
            <w:vAlign w:val="center"/>
            <w:hideMark/>
          </w:tcPr>
          <w:p w14:paraId="34D63F8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50.0</w:t>
            </w:r>
          </w:p>
        </w:tc>
        <w:tc>
          <w:tcPr>
            <w:tcW w:w="2126" w:type="dxa"/>
            <w:tcBorders>
              <w:top w:val="nil"/>
              <w:left w:val="nil"/>
              <w:bottom w:val="single" w:sz="4" w:space="0" w:color="auto"/>
              <w:right w:val="single" w:sz="4" w:space="0" w:color="auto"/>
            </w:tcBorders>
            <w:noWrap/>
            <w:vAlign w:val="center"/>
            <w:hideMark/>
          </w:tcPr>
          <w:p w14:paraId="1A5105C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68.8</w:t>
            </w:r>
          </w:p>
        </w:tc>
      </w:tr>
      <w:tr w:rsidR="00217865" w:rsidRPr="00217865" w14:paraId="7FE98DF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7EFBF17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Torrens University</w:t>
            </w:r>
          </w:p>
        </w:tc>
        <w:tc>
          <w:tcPr>
            <w:tcW w:w="2268" w:type="dxa"/>
            <w:tcBorders>
              <w:top w:val="nil"/>
              <w:left w:val="nil"/>
              <w:bottom w:val="single" w:sz="4" w:space="0" w:color="auto"/>
              <w:right w:val="single" w:sz="4" w:space="0" w:color="auto"/>
            </w:tcBorders>
            <w:noWrap/>
            <w:vAlign w:val="center"/>
            <w:hideMark/>
          </w:tcPr>
          <w:p w14:paraId="226C1D6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53.0</w:t>
            </w:r>
          </w:p>
        </w:tc>
        <w:tc>
          <w:tcPr>
            <w:tcW w:w="2126" w:type="dxa"/>
            <w:tcBorders>
              <w:top w:val="nil"/>
              <w:left w:val="nil"/>
              <w:bottom w:val="single" w:sz="4" w:space="0" w:color="auto"/>
              <w:right w:val="single" w:sz="4" w:space="0" w:color="auto"/>
            </w:tcBorders>
            <w:noWrap/>
            <w:vAlign w:val="center"/>
            <w:hideMark/>
          </w:tcPr>
          <w:p w14:paraId="28AFEB7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60.1</w:t>
            </w:r>
          </w:p>
        </w:tc>
      </w:tr>
      <w:tr w:rsidR="00217865" w:rsidRPr="00217865" w14:paraId="6E448628"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DF85D74"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Universal Business School Sydney</w:t>
            </w:r>
          </w:p>
        </w:tc>
        <w:tc>
          <w:tcPr>
            <w:tcW w:w="2268" w:type="dxa"/>
            <w:tcBorders>
              <w:top w:val="nil"/>
              <w:left w:val="nil"/>
              <w:bottom w:val="single" w:sz="4" w:space="0" w:color="auto"/>
              <w:right w:val="single" w:sz="4" w:space="0" w:color="auto"/>
            </w:tcBorders>
            <w:noWrap/>
            <w:vAlign w:val="center"/>
            <w:hideMark/>
          </w:tcPr>
          <w:p w14:paraId="7C25F671"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26.4</w:t>
            </w:r>
          </w:p>
        </w:tc>
        <w:tc>
          <w:tcPr>
            <w:tcW w:w="2126" w:type="dxa"/>
            <w:tcBorders>
              <w:top w:val="nil"/>
              <w:left w:val="nil"/>
              <w:bottom w:val="single" w:sz="4" w:space="0" w:color="auto"/>
              <w:right w:val="single" w:sz="4" w:space="0" w:color="auto"/>
            </w:tcBorders>
            <w:noWrap/>
            <w:vAlign w:val="center"/>
            <w:hideMark/>
          </w:tcPr>
          <w:p w14:paraId="576C3BF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40.4</w:t>
            </w:r>
          </w:p>
        </w:tc>
      </w:tr>
      <w:tr w:rsidR="00217865" w:rsidRPr="00217865" w14:paraId="60CFAA92"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55DBA52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Canberra</w:t>
            </w:r>
          </w:p>
        </w:tc>
        <w:tc>
          <w:tcPr>
            <w:tcW w:w="2268" w:type="dxa"/>
            <w:tcBorders>
              <w:top w:val="nil"/>
              <w:left w:val="nil"/>
              <w:bottom w:val="single" w:sz="4" w:space="0" w:color="auto"/>
              <w:right w:val="single" w:sz="4" w:space="0" w:color="auto"/>
            </w:tcBorders>
            <w:noWrap/>
            <w:vAlign w:val="center"/>
            <w:hideMark/>
          </w:tcPr>
          <w:p w14:paraId="665C272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33.9</w:t>
            </w:r>
          </w:p>
        </w:tc>
        <w:tc>
          <w:tcPr>
            <w:tcW w:w="2126" w:type="dxa"/>
            <w:tcBorders>
              <w:top w:val="nil"/>
              <w:left w:val="nil"/>
              <w:bottom w:val="single" w:sz="4" w:space="0" w:color="auto"/>
              <w:right w:val="single" w:sz="4" w:space="0" w:color="auto"/>
            </w:tcBorders>
            <w:noWrap/>
            <w:vAlign w:val="center"/>
            <w:hideMark/>
          </w:tcPr>
          <w:p w14:paraId="7857F144"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42.3</w:t>
            </w:r>
          </w:p>
        </w:tc>
      </w:tr>
      <w:tr w:rsidR="00217865" w:rsidRPr="00217865" w14:paraId="0589F41C"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9CFA066"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Divinity</w:t>
            </w:r>
          </w:p>
        </w:tc>
        <w:tc>
          <w:tcPr>
            <w:tcW w:w="2268" w:type="dxa"/>
            <w:tcBorders>
              <w:top w:val="nil"/>
              <w:left w:val="nil"/>
              <w:bottom w:val="single" w:sz="4" w:space="0" w:color="auto"/>
              <w:right w:val="single" w:sz="4" w:space="0" w:color="auto"/>
            </w:tcBorders>
            <w:noWrap/>
            <w:vAlign w:val="center"/>
            <w:hideMark/>
          </w:tcPr>
          <w:p w14:paraId="4D49181C"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46.0</w:t>
            </w:r>
          </w:p>
        </w:tc>
        <w:tc>
          <w:tcPr>
            <w:tcW w:w="2126" w:type="dxa"/>
            <w:tcBorders>
              <w:top w:val="nil"/>
              <w:left w:val="nil"/>
              <w:bottom w:val="single" w:sz="4" w:space="0" w:color="auto"/>
              <w:right w:val="single" w:sz="4" w:space="0" w:color="auto"/>
            </w:tcBorders>
            <w:noWrap/>
            <w:vAlign w:val="center"/>
            <w:hideMark/>
          </w:tcPr>
          <w:p w14:paraId="082EC6B6"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61.3</w:t>
            </w:r>
          </w:p>
        </w:tc>
      </w:tr>
      <w:tr w:rsidR="00217865" w:rsidRPr="00217865" w14:paraId="7405086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8668E4C"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New England</w:t>
            </w:r>
          </w:p>
        </w:tc>
        <w:tc>
          <w:tcPr>
            <w:tcW w:w="2268" w:type="dxa"/>
            <w:tcBorders>
              <w:top w:val="nil"/>
              <w:left w:val="nil"/>
              <w:bottom w:val="single" w:sz="4" w:space="0" w:color="auto"/>
              <w:right w:val="single" w:sz="4" w:space="0" w:color="auto"/>
            </w:tcBorders>
            <w:noWrap/>
            <w:vAlign w:val="center"/>
            <w:hideMark/>
          </w:tcPr>
          <w:p w14:paraId="316DAEF6"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34.3</w:t>
            </w:r>
          </w:p>
        </w:tc>
        <w:tc>
          <w:tcPr>
            <w:tcW w:w="2126" w:type="dxa"/>
            <w:tcBorders>
              <w:top w:val="nil"/>
              <w:left w:val="nil"/>
              <w:bottom w:val="single" w:sz="4" w:space="0" w:color="auto"/>
              <w:right w:val="single" w:sz="4" w:space="0" w:color="auto"/>
            </w:tcBorders>
            <w:noWrap/>
            <w:vAlign w:val="center"/>
            <w:hideMark/>
          </w:tcPr>
          <w:p w14:paraId="57DDD36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41.7</w:t>
            </w:r>
          </w:p>
        </w:tc>
      </w:tr>
      <w:tr w:rsidR="00217865" w:rsidRPr="00217865" w14:paraId="03E60B8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020A21A"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New South Wales</w:t>
            </w:r>
          </w:p>
        </w:tc>
        <w:tc>
          <w:tcPr>
            <w:tcW w:w="2268" w:type="dxa"/>
            <w:tcBorders>
              <w:top w:val="nil"/>
              <w:left w:val="nil"/>
              <w:bottom w:val="single" w:sz="4" w:space="0" w:color="auto"/>
              <w:right w:val="single" w:sz="4" w:space="0" w:color="auto"/>
            </w:tcBorders>
            <w:noWrap/>
            <w:vAlign w:val="center"/>
            <w:hideMark/>
          </w:tcPr>
          <w:p w14:paraId="7EF77FF4"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35.0</w:t>
            </w:r>
          </w:p>
        </w:tc>
        <w:tc>
          <w:tcPr>
            <w:tcW w:w="2126" w:type="dxa"/>
            <w:tcBorders>
              <w:top w:val="nil"/>
              <w:left w:val="nil"/>
              <w:bottom w:val="single" w:sz="4" w:space="0" w:color="auto"/>
              <w:right w:val="single" w:sz="4" w:space="0" w:color="auto"/>
            </w:tcBorders>
            <w:noWrap/>
            <w:vAlign w:val="center"/>
            <w:hideMark/>
          </w:tcPr>
          <w:p w14:paraId="77F4C2E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35.6</w:t>
            </w:r>
          </w:p>
        </w:tc>
      </w:tr>
      <w:tr w:rsidR="00217865" w:rsidRPr="00217865" w14:paraId="08017339"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2B5544BD"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Newcastle</w:t>
            </w:r>
          </w:p>
        </w:tc>
        <w:tc>
          <w:tcPr>
            <w:tcW w:w="2268" w:type="dxa"/>
            <w:tcBorders>
              <w:top w:val="nil"/>
              <w:left w:val="nil"/>
              <w:bottom w:val="single" w:sz="4" w:space="0" w:color="auto"/>
              <w:right w:val="single" w:sz="4" w:space="0" w:color="auto"/>
            </w:tcBorders>
            <w:noWrap/>
            <w:vAlign w:val="center"/>
            <w:hideMark/>
          </w:tcPr>
          <w:p w14:paraId="013AC275"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32.4</w:t>
            </w:r>
          </w:p>
        </w:tc>
        <w:tc>
          <w:tcPr>
            <w:tcW w:w="2126" w:type="dxa"/>
            <w:tcBorders>
              <w:top w:val="nil"/>
              <w:left w:val="nil"/>
              <w:bottom w:val="single" w:sz="4" w:space="0" w:color="auto"/>
              <w:right w:val="single" w:sz="4" w:space="0" w:color="auto"/>
            </w:tcBorders>
            <w:noWrap/>
            <w:vAlign w:val="center"/>
            <w:hideMark/>
          </w:tcPr>
          <w:p w14:paraId="4642B408"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30.8</w:t>
            </w:r>
          </w:p>
        </w:tc>
      </w:tr>
      <w:tr w:rsidR="00217865" w:rsidRPr="00217865" w14:paraId="7095E5D4"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3AAE084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Southern Queensland</w:t>
            </w:r>
          </w:p>
        </w:tc>
        <w:tc>
          <w:tcPr>
            <w:tcW w:w="2268" w:type="dxa"/>
            <w:tcBorders>
              <w:top w:val="nil"/>
              <w:left w:val="nil"/>
              <w:bottom w:val="single" w:sz="4" w:space="0" w:color="auto"/>
              <w:right w:val="single" w:sz="4" w:space="0" w:color="auto"/>
            </w:tcBorders>
            <w:noWrap/>
            <w:vAlign w:val="center"/>
            <w:hideMark/>
          </w:tcPr>
          <w:p w14:paraId="417F8872"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43.8</w:t>
            </w:r>
          </w:p>
        </w:tc>
        <w:tc>
          <w:tcPr>
            <w:tcW w:w="2126" w:type="dxa"/>
            <w:tcBorders>
              <w:top w:val="nil"/>
              <w:left w:val="nil"/>
              <w:bottom w:val="single" w:sz="4" w:space="0" w:color="auto"/>
              <w:right w:val="single" w:sz="4" w:space="0" w:color="auto"/>
            </w:tcBorders>
            <w:noWrap/>
            <w:vAlign w:val="center"/>
            <w:hideMark/>
          </w:tcPr>
          <w:p w14:paraId="54A2474B"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45.6</w:t>
            </w:r>
          </w:p>
        </w:tc>
      </w:tr>
      <w:tr w:rsidR="00217865" w:rsidRPr="00217865" w14:paraId="01D2CD1D"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19EF133"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lastRenderedPageBreak/>
              <w:t>University of Tasmania</w:t>
            </w:r>
          </w:p>
        </w:tc>
        <w:tc>
          <w:tcPr>
            <w:tcW w:w="2268" w:type="dxa"/>
            <w:tcBorders>
              <w:top w:val="nil"/>
              <w:left w:val="nil"/>
              <w:bottom w:val="single" w:sz="4" w:space="0" w:color="auto"/>
              <w:right w:val="single" w:sz="4" w:space="0" w:color="auto"/>
            </w:tcBorders>
            <w:noWrap/>
            <w:vAlign w:val="center"/>
            <w:hideMark/>
          </w:tcPr>
          <w:p w14:paraId="0997FCAF"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35.1</w:t>
            </w:r>
          </w:p>
        </w:tc>
        <w:tc>
          <w:tcPr>
            <w:tcW w:w="2126" w:type="dxa"/>
            <w:tcBorders>
              <w:top w:val="nil"/>
              <w:left w:val="nil"/>
              <w:bottom w:val="single" w:sz="4" w:space="0" w:color="auto"/>
              <w:right w:val="single" w:sz="4" w:space="0" w:color="auto"/>
            </w:tcBorders>
            <w:noWrap/>
            <w:vAlign w:val="center"/>
            <w:hideMark/>
          </w:tcPr>
          <w:p w14:paraId="26C5802C"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38.9</w:t>
            </w:r>
          </w:p>
        </w:tc>
      </w:tr>
      <w:tr w:rsidR="00217865" w:rsidRPr="00217865" w14:paraId="3C4DDE86"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0F137CB2"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Technology Sydney</w:t>
            </w:r>
          </w:p>
        </w:tc>
        <w:tc>
          <w:tcPr>
            <w:tcW w:w="2268" w:type="dxa"/>
            <w:tcBorders>
              <w:top w:val="nil"/>
              <w:left w:val="nil"/>
              <w:bottom w:val="single" w:sz="4" w:space="0" w:color="auto"/>
              <w:right w:val="single" w:sz="4" w:space="0" w:color="auto"/>
            </w:tcBorders>
            <w:noWrap/>
            <w:vAlign w:val="center"/>
            <w:hideMark/>
          </w:tcPr>
          <w:p w14:paraId="79A3841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25.3</w:t>
            </w:r>
          </w:p>
        </w:tc>
        <w:tc>
          <w:tcPr>
            <w:tcW w:w="2126" w:type="dxa"/>
            <w:tcBorders>
              <w:top w:val="nil"/>
              <w:left w:val="nil"/>
              <w:bottom w:val="single" w:sz="4" w:space="0" w:color="auto"/>
              <w:right w:val="single" w:sz="4" w:space="0" w:color="auto"/>
            </w:tcBorders>
            <w:noWrap/>
            <w:vAlign w:val="center"/>
            <w:hideMark/>
          </w:tcPr>
          <w:p w14:paraId="1110605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26.9</w:t>
            </w:r>
          </w:p>
        </w:tc>
      </w:tr>
      <w:tr w:rsidR="00217865" w:rsidRPr="00217865" w14:paraId="668D1CD5"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125E957F"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the Sunshine Coast</w:t>
            </w:r>
          </w:p>
        </w:tc>
        <w:tc>
          <w:tcPr>
            <w:tcW w:w="2268" w:type="dxa"/>
            <w:tcBorders>
              <w:top w:val="nil"/>
              <w:left w:val="nil"/>
              <w:bottom w:val="single" w:sz="4" w:space="0" w:color="auto"/>
              <w:right w:val="single" w:sz="4" w:space="0" w:color="auto"/>
            </w:tcBorders>
            <w:noWrap/>
            <w:vAlign w:val="center"/>
            <w:hideMark/>
          </w:tcPr>
          <w:p w14:paraId="5199E24E"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48.8</w:t>
            </w:r>
          </w:p>
        </w:tc>
        <w:tc>
          <w:tcPr>
            <w:tcW w:w="2126" w:type="dxa"/>
            <w:tcBorders>
              <w:top w:val="nil"/>
              <w:left w:val="nil"/>
              <w:bottom w:val="single" w:sz="4" w:space="0" w:color="auto"/>
              <w:right w:val="single" w:sz="4" w:space="0" w:color="auto"/>
            </w:tcBorders>
            <w:noWrap/>
            <w:vAlign w:val="center"/>
            <w:hideMark/>
          </w:tcPr>
          <w:p w14:paraId="178BBAE2"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52.7</w:t>
            </w:r>
          </w:p>
        </w:tc>
      </w:tr>
      <w:tr w:rsidR="00217865" w:rsidRPr="00217865" w14:paraId="6AD32F50"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E980214"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University of Wollongong</w:t>
            </w:r>
          </w:p>
        </w:tc>
        <w:tc>
          <w:tcPr>
            <w:tcW w:w="2268" w:type="dxa"/>
            <w:tcBorders>
              <w:top w:val="nil"/>
              <w:left w:val="nil"/>
              <w:bottom w:val="single" w:sz="4" w:space="0" w:color="auto"/>
              <w:right w:val="single" w:sz="4" w:space="0" w:color="auto"/>
            </w:tcBorders>
            <w:noWrap/>
            <w:vAlign w:val="center"/>
            <w:hideMark/>
          </w:tcPr>
          <w:p w14:paraId="389485EB"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41.6</w:t>
            </w:r>
          </w:p>
        </w:tc>
        <w:tc>
          <w:tcPr>
            <w:tcW w:w="2126" w:type="dxa"/>
            <w:tcBorders>
              <w:top w:val="nil"/>
              <w:left w:val="nil"/>
              <w:bottom w:val="single" w:sz="4" w:space="0" w:color="auto"/>
              <w:right w:val="single" w:sz="4" w:space="0" w:color="auto"/>
            </w:tcBorders>
            <w:noWrap/>
            <w:vAlign w:val="center"/>
            <w:hideMark/>
          </w:tcPr>
          <w:p w14:paraId="34E25B3E"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38.7</w:t>
            </w:r>
          </w:p>
        </w:tc>
      </w:tr>
      <w:tr w:rsidR="00217865" w:rsidRPr="00217865" w14:paraId="3C9E3AB3" w14:textId="77777777" w:rsidTr="001E4C62">
        <w:trPr>
          <w:trHeight w:val="290"/>
        </w:trPr>
        <w:tc>
          <w:tcPr>
            <w:tcW w:w="5382" w:type="dxa"/>
            <w:tcBorders>
              <w:top w:val="nil"/>
              <w:left w:val="single" w:sz="4" w:space="0" w:color="auto"/>
              <w:bottom w:val="single" w:sz="4" w:space="0" w:color="auto"/>
              <w:right w:val="single" w:sz="4" w:space="0" w:color="auto"/>
            </w:tcBorders>
            <w:noWrap/>
            <w:vAlign w:val="center"/>
            <w:hideMark/>
          </w:tcPr>
          <w:p w14:paraId="42CB0F71"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UOW College</w:t>
            </w:r>
          </w:p>
        </w:tc>
        <w:tc>
          <w:tcPr>
            <w:tcW w:w="2268" w:type="dxa"/>
            <w:tcBorders>
              <w:top w:val="nil"/>
              <w:left w:val="nil"/>
              <w:bottom w:val="single" w:sz="4" w:space="0" w:color="auto"/>
              <w:right w:val="single" w:sz="4" w:space="0" w:color="auto"/>
            </w:tcBorders>
            <w:noWrap/>
            <w:vAlign w:val="center"/>
            <w:hideMark/>
          </w:tcPr>
          <w:p w14:paraId="031C33CD"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40.8</w:t>
            </w:r>
          </w:p>
        </w:tc>
        <w:tc>
          <w:tcPr>
            <w:tcW w:w="2126" w:type="dxa"/>
            <w:tcBorders>
              <w:top w:val="nil"/>
              <w:left w:val="nil"/>
              <w:bottom w:val="single" w:sz="4" w:space="0" w:color="auto"/>
              <w:right w:val="single" w:sz="4" w:space="0" w:color="auto"/>
            </w:tcBorders>
            <w:noWrap/>
            <w:vAlign w:val="center"/>
            <w:hideMark/>
          </w:tcPr>
          <w:p w14:paraId="6BFBF977"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30.5</w:t>
            </w:r>
          </w:p>
        </w:tc>
      </w:tr>
      <w:tr w:rsidR="00217865" w:rsidRPr="00217865" w14:paraId="3F753F14"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hideMark/>
          </w:tcPr>
          <w:p w14:paraId="1D3EC829" w14:textId="77777777" w:rsidR="00821227" w:rsidRPr="00217865" w:rsidRDefault="00821227" w:rsidP="001E4C62">
            <w:pPr>
              <w:spacing w:before="60" w:after="60"/>
              <w:rPr>
                <w:rFonts w:eastAsia="Times New Roman" w:cs="Arial"/>
                <w:color w:val="000000" w:themeColor="text1"/>
                <w:sz w:val="18"/>
                <w:highlight w:val="yellow"/>
                <w:lang w:eastAsia="en-AU"/>
              </w:rPr>
            </w:pPr>
            <w:r w:rsidRPr="00217865">
              <w:rPr>
                <w:rFonts w:cs="Arial"/>
                <w:color w:val="000000" w:themeColor="text1"/>
                <w:sz w:val="18"/>
              </w:rPr>
              <w:t>UTS College</w:t>
            </w:r>
          </w:p>
        </w:tc>
        <w:tc>
          <w:tcPr>
            <w:tcW w:w="2268" w:type="dxa"/>
            <w:tcBorders>
              <w:top w:val="single" w:sz="4" w:space="0" w:color="auto"/>
              <w:left w:val="nil"/>
              <w:bottom w:val="single" w:sz="4" w:space="0" w:color="auto"/>
              <w:right w:val="single" w:sz="4" w:space="0" w:color="auto"/>
            </w:tcBorders>
            <w:noWrap/>
            <w:vAlign w:val="center"/>
            <w:hideMark/>
          </w:tcPr>
          <w:p w14:paraId="0C918C4A" w14:textId="77777777" w:rsidR="00821227" w:rsidRPr="00217865" w:rsidRDefault="00821227" w:rsidP="001E4C62">
            <w:pPr>
              <w:spacing w:before="60" w:after="60"/>
              <w:jc w:val="center"/>
              <w:rPr>
                <w:rFonts w:eastAsia="Times New Roman" w:cs="Arial"/>
                <w:color w:val="000000" w:themeColor="text1"/>
                <w:sz w:val="18"/>
                <w:lang w:eastAsia="en-AU"/>
              </w:rPr>
            </w:pPr>
            <w:r w:rsidRPr="00217865">
              <w:rPr>
                <w:rFonts w:cs="Arial"/>
                <w:color w:val="000000" w:themeColor="text1"/>
                <w:sz w:val="18"/>
              </w:rPr>
              <w:t>31.6</w:t>
            </w:r>
          </w:p>
        </w:tc>
        <w:tc>
          <w:tcPr>
            <w:tcW w:w="2126" w:type="dxa"/>
            <w:tcBorders>
              <w:top w:val="single" w:sz="4" w:space="0" w:color="auto"/>
              <w:left w:val="nil"/>
              <w:bottom w:val="single" w:sz="4" w:space="0" w:color="auto"/>
              <w:right w:val="single" w:sz="4" w:space="0" w:color="auto"/>
            </w:tcBorders>
            <w:noWrap/>
            <w:vAlign w:val="center"/>
            <w:hideMark/>
          </w:tcPr>
          <w:p w14:paraId="46BF999F" w14:textId="77777777" w:rsidR="00821227" w:rsidRPr="00217865" w:rsidRDefault="00821227" w:rsidP="001E4C62">
            <w:pPr>
              <w:spacing w:before="60" w:after="60"/>
              <w:jc w:val="center"/>
              <w:rPr>
                <w:rFonts w:eastAsia="Times New Roman" w:cs="Arial"/>
                <w:color w:val="000000" w:themeColor="text1"/>
                <w:sz w:val="18"/>
                <w:highlight w:val="yellow"/>
                <w:lang w:eastAsia="en-AU"/>
              </w:rPr>
            </w:pPr>
            <w:r w:rsidRPr="00217865">
              <w:rPr>
                <w:rFonts w:cs="Arial"/>
                <w:color w:val="000000" w:themeColor="text1"/>
                <w:sz w:val="18"/>
              </w:rPr>
              <w:t>40.4</w:t>
            </w:r>
          </w:p>
        </w:tc>
      </w:tr>
      <w:tr w:rsidR="00217865" w:rsidRPr="00217865" w14:paraId="75941A14"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1001C5B3"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Victoria University</w:t>
            </w:r>
          </w:p>
        </w:tc>
        <w:tc>
          <w:tcPr>
            <w:tcW w:w="2268" w:type="dxa"/>
            <w:tcBorders>
              <w:top w:val="single" w:sz="4" w:space="0" w:color="auto"/>
              <w:left w:val="nil"/>
              <w:bottom w:val="single" w:sz="4" w:space="0" w:color="auto"/>
              <w:right w:val="single" w:sz="4" w:space="0" w:color="auto"/>
            </w:tcBorders>
            <w:noWrap/>
            <w:vAlign w:val="center"/>
          </w:tcPr>
          <w:p w14:paraId="2F0A18EE"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36.3</w:t>
            </w:r>
          </w:p>
        </w:tc>
        <w:tc>
          <w:tcPr>
            <w:tcW w:w="2126" w:type="dxa"/>
            <w:tcBorders>
              <w:top w:val="single" w:sz="4" w:space="0" w:color="auto"/>
              <w:left w:val="nil"/>
              <w:bottom w:val="single" w:sz="4" w:space="0" w:color="auto"/>
              <w:right w:val="single" w:sz="4" w:space="0" w:color="auto"/>
            </w:tcBorders>
            <w:noWrap/>
            <w:vAlign w:val="center"/>
          </w:tcPr>
          <w:p w14:paraId="316B1F14"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38.8</w:t>
            </w:r>
          </w:p>
        </w:tc>
      </w:tr>
      <w:tr w:rsidR="00217865" w:rsidRPr="00217865" w14:paraId="09BDD0AC"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4DB96CF9"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VIT (Victorian Institute of Technology)</w:t>
            </w:r>
          </w:p>
        </w:tc>
        <w:tc>
          <w:tcPr>
            <w:tcW w:w="2268" w:type="dxa"/>
            <w:tcBorders>
              <w:top w:val="single" w:sz="4" w:space="0" w:color="auto"/>
              <w:left w:val="nil"/>
              <w:bottom w:val="single" w:sz="4" w:space="0" w:color="auto"/>
              <w:right w:val="single" w:sz="4" w:space="0" w:color="auto"/>
            </w:tcBorders>
            <w:noWrap/>
            <w:vAlign w:val="center"/>
          </w:tcPr>
          <w:p w14:paraId="5D966219"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63.1</w:t>
            </w:r>
          </w:p>
        </w:tc>
        <w:tc>
          <w:tcPr>
            <w:tcW w:w="2126" w:type="dxa"/>
            <w:tcBorders>
              <w:top w:val="single" w:sz="4" w:space="0" w:color="auto"/>
              <w:left w:val="nil"/>
              <w:bottom w:val="single" w:sz="4" w:space="0" w:color="auto"/>
              <w:right w:val="single" w:sz="4" w:space="0" w:color="auto"/>
            </w:tcBorders>
            <w:noWrap/>
            <w:vAlign w:val="center"/>
          </w:tcPr>
          <w:p w14:paraId="6D3E4A85"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56.6</w:t>
            </w:r>
          </w:p>
        </w:tc>
      </w:tr>
      <w:tr w:rsidR="00217865" w:rsidRPr="00217865" w14:paraId="4EDF0D38"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51FB0FCE"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Wentworth Institute of Higher Education</w:t>
            </w:r>
          </w:p>
        </w:tc>
        <w:tc>
          <w:tcPr>
            <w:tcW w:w="2268" w:type="dxa"/>
            <w:tcBorders>
              <w:top w:val="single" w:sz="4" w:space="0" w:color="auto"/>
              <w:left w:val="nil"/>
              <w:bottom w:val="single" w:sz="4" w:space="0" w:color="auto"/>
              <w:right w:val="single" w:sz="4" w:space="0" w:color="auto"/>
            </w:tcBorders>
            <w:noWrap/>
            <w:vAlign w:val="center"/>
          </w:tcPr>
          <w:p w14:paraId="279A29F4"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43.8</w:t>
            </w:r>
          </w:p>
        </w:tc>
        <w:tc>
          <w:tcPr>
            <w:tcW w:w="2126" w:type="dxa"/>
            <w:tcBorders>
              <w:top w:val="single" w:sz="4" w:space="0" w:color="auto"/>
              <w:left w:val="nil"/>
              <w:bottom w:val="single" w:sz="4" w:space="0" w:color="auto"/>
              <w:right w:val="single" w:sz="4" w:space="0" w:color="auto"/>
            </w:tcBorders>
            <w:noWrap/>
            <w:vAlign w:val="center"/>
          </w:tcPr>
          <w:p w14:paraId="6048407E"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46.9</w:t>
            </w:r>
          </w:p>
        </w:tc>
      </w:tr>
      <w:tr w:rsidR="00217865" w:rsidRPr="00217865" w14:paraId="4B619896"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5E0B0950"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Western Sydney University</w:t>
            </w:r>
          </w:p>
        </w:tc>
        <w:tc>
          <w:tcPr>
            <w:tcW w:w="2268" w:type="dxa"/>
            <w:tcBorders>
              <w:top w:val="single" w:sz="4" w:space="0" w:color="auto"/>
              <w:left w:val="nil"/>
              <w:bottom w:val="single" w:sz="4" w:space="0" w:color="auto"/>
              <w:right w:val="single" w:sz="4" w:space="0" w:color="auto"/>
            </w:tcBorders>
            <w:noWrap/>
            <w:vAlign w:val="center"/>
          </w:tcPr>
          <w:p w14:paraId="68713872"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39.5</w:t>
            </w:r>
          </w:p>
        </w:tc>
        <w:tc>
          <w:tcPr>
            <w:tcW w:w="2126" w:type="dxa"/>
            <w:tcBorders>
              <w:top w:val="single" w:sz="4" w:space="0" w:color="auto"/>
              <w:left w:val="nil"/>
              <w:bottom w:val="single" w:sz="4" w:space="0" w:color="auto"/>
              <w:right w:val="single" w:sz="4" w:space="0" w:color="auto"/>
            </w:tcBorders>
            <w:noWrap/>
            <w:vAlign w:val="center"/>
          </w:tcPr>
          <w:p w14:paraId="5A8F6D51"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30.8</w:t>
            </w:r>
          </w:p>
        </w:tc>
      </w:tr>
      <w:tr w:rsidR="00217865" w:rsidRPr="00217865" w14:paraId="066F6CA8"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7A279C5D"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Western Sydney University International College</w:t>
            </w:r>
          </w:p>
        </w:tc>
        <w:tc>
          <w:tcPr>
            <w:tcW w:w="2268" w:type="dxa"/>
            <w:tcBorders>
              <w:top w:val="single" w:sz="4" w:space="0" w:color="auto"/>
              <w:left w:val="nil"/>
              <w:bottom w:val="single" w:sz="4" w:space="0" w:color="auto"/>
              <w:right w:val="single" w:sz="4" w:space="0" w:color="auto"/>
            </w:tcBorders>
            <w:noWrap/>
            <w:vAlign w:val="center"/>
          </w:tcPr>
          <w:p w14:paraId="5CA68EE0" w14:textId="17AD90F2" w:rsidR="00821227" w:rsidRPr="00217865" w:rsidRDefault="001E4C62" w:rsidP="001E4C62">
            <w:pPr>
              <w:spacing w:before="60" w:after="60"/>
              <w:jc w:val="center"/>
              <w:rPr>
                <w:rFonts w:cs="Arial"/>
                <w:color w:val="000000" w:themeColor="text1"/>
                <w:sz w:val="18"/>
              </w:rPr>
            </w:pPr>
            <w:r w:rsidRPr="00217865">
              <w:rPr>
                <w:rFonts w:cs="Arial"/>
                <w:color w:val="000000" w:themeColor="text1"/>
                <w:sz w:val="18"/>
              </w:rPr>
              <w:t>-</w:t>
            </w:r>
          </w:p>
        </w:tc>
        <w:tc>
          <w:tcPr>
            <w:tcW w:w="2126" w:type="dxa"/>
            <w:tcBorders>
              <w:top w:val="single" w:sz="4" w:space="0" w:color="auto"/>
              <w:left w:val="nil"/>
              <w:bottom w:val="single" w:sz="4" w:space="0" w:color="auto"/>
              <w:right w:val="single" w:sz="4" w:space="0" w:color="auto"/>
            </w:tcBorders>
            <w:noWrap/>
            <w:vAlign w:val="center"/>
          </w:tcPr>
          <w:p w14:paraId="7CC40136"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26.9</w:t>
            </w:r>
          </w:p>
        </w:tc>
      </w:tr>
      <w:tr w:rsidR="00217865" w:rsidRPr="00217865" w14:paraId="20B5D926"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7BA81C34"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Whitehouse Institute of Design, Australia</w:t>
            </w:r>
          </w:p>
        </w:tc>
        <w:tc>
          <w:tcPr>
            <w:tcW w:w="2268" w:type="dxa"/>
            <w:tcBorders>
              <w:top w:val="single" w:sz="4" w:space="0" w:color="auto"/>
              <w:left w:val="nil"/>
              <w:bottom w:val="single" w:sz="4" w:space="0" w:color="auto"/>
              <w:right w:val="single" w:sz="4" w:space="0" w:color="auto"/>
            </w:tcBorders>
            <w:noWrap/>
            <w:vAlign w:val="center"/>
          </w:tcPr>
          <w:p w14:paraId="7B4EF96A"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57.1</w:t>
            </w:r>
          </w:p>
        </w:tc>
        <w:tc>
          <w:tcPr>
            <w:tcW w:w="2126" w:type="dxa"/>
            <w:tcBorders>
              <w:top w:val="single" w:sz="4" w:space="0" w:color="auto"/>
              <w:left w:val="nil"/>
              <w:bottom w:val="single" w:sz="4" w:space="0" w:color="auto"/>
              <w:right w:val="single" w:sz="4" w:space="0" w:color="auto"/>
            </w:tcBorders>
            <w:noWrap/>
            <w:vAlign w:val="center"/>
          </w:tcPr>
          <w:p w14:paraId="1FC34189"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57.1</w:t>
            </w:r>
          </w:p>
        </w:tc>
      </w:tr>
      <w:tr w:rsidR="00217865" w:rsidRPr="00217865" w14:paraId="5DB82B6E" w14:textId="77777777" w:rsidTr="001E4C62">
        <w:trPr>
          <w:trHeight w:val="290"/>
        </w:trPr>
        <w:tc>
          <w:tcPr>
            <w:tcW w:w="5382" w:type="dxa"/>
            <w:tcBorders>
              <w:top w:val="single" w:sz="4" w:space="0" w:color="auto"/>
              <w:left w:val="single" w:sz="4" w:space="0" w:color="auto"/>
              <w:bottom w:val="single" w:sz="4" w:space="0" w:color="auto"/>
              <w:right w:val="single" w:sz="4" w:space="0" w:color="auto"/>
            </w:tcBorders>
            <w:noWrap/>
            <w:vAlign w:val="center"/>
          </w:tcPr>
          <w:p w14:paraId="7B583901" w14:textId="77777777" w:rsidR="00821227" w:rsidRPr="00217865" w:rsidRDefault="00821227" w:rsidP="001E4C62">
            <w:pPr>
              <w:spacing w:before="60" w:after="60"/>
              <w:rPr>
                <w:rFonts w:cs="Arial"/>
                <w:color w:val="000000" w:themeColor="text1"/>
                <w:sz w:val="18"/>
              </w:rPr>
            </w:pPr>
            <w:r w:rsidRPr="00217865">
              <w:rPr>
                <w:rFonts w:cs="Arial"/>
                <w:color w:val="000000" w:themeColor="text1"/>
                <w:sz w:val="18"/>
              </w:rPr>
              <w:t>William Angliss Institute</w:t>
            </w:r>
          </w:p>
        </w:tc>
        <w:tc>
          <w:tcPr>
            <w:tcW w:w="2268" w:type="dxa"/>
            <w:tcBorders>
              <w:top w:val="single" w:sz="4" w:space="0" w:color="auto"/>
              <w:left w:val="nil"/>
              <w:bottom w:val="single" w:sz="4" w:space="0" w:color="auto"/>
              <w:right w:val="single" w:sz="4" w:space="0" w:color="auto"/>
            </w:tcBorders>
            <w:noWrap/>
            <w:vAlign w:val="center"/>
          </w:tcPr>
          <w:p w14:paraId="028FD008"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23.8</w:t>
            </w:r>
          </w:p>
        </w:tc>
        <w:tc>
          <w:tcPr>
            <w:tcW w:w="2126" w:type="dxa"/>
            <w:tcBorders>
              <w:top w:val="single" w:sz="4" w:space="0" w:color="auto"/>
              <w:left w:val="nil"/>
              <w:bottom w:val="single" w:sz="4" w:space="0" w:color="auto"/>
              <w:right w:val="single" w:sz="4" w:space="0" w:color="auto"/>
            </w:tcBorders>
            <w:noWrap/>
            <w:vAlign w:val="center"/>
          </w:tcPr>
          <w:p w14:paraId="622C6F56" w14:textId="77777777" w:rsidR="00821227" w:rsidRPr="00217865" w:rsidRDefault="00821227" w:rsidP="001E4C62">
            <w:pPr>
              <w:spacing w:before="60" w:after="60"/>
              <w:jc w:val="center"/>
              <w:rPr>
                <w:rFonts w:cs="Arial"/>
                <w:color w:val="000000" w:themeColor="text1"/>
                <w:sz w:val="18"/>
              </w:rPr>
            </w:pPr>
            <w:r w:rsidRPr="00217865">
              <w:rPr>
                <w:rFonts w:cs="Arial"/>
                <w:color w:val="000000" w:themeColor="text1"/>
                <w:sz w:val="18"/>
              </w:rPr>
              <w:t>25.7</w:t>
            </w:r>
          </w:p>
        </w:tc>
      </w:tr>
    </w:tbl>
    <w:p w14:paraId="7D670F19" w14:textId="77777777" w:rsidR="00821227" w:rsidRPr="00217865" w:rsidRDefault="00821227" w:rsidP="00821227">
      <w:pPr>
        <w:pStyle w:val="Body"/>
        <w:rPr>
          <w:rFonts w:cs="Arial"/>
          <w:color w:val="000000" w:themeColor="text1"/>
        </w:rPr>
      </w:pPr>
      <w:r w:rsidRPr="00217865">
        <w:rPr>
          <w:rFonts w:cs="Arial"/>
          <w:color w:val="000000" w:themeColor="text1"/>
        </w:rPr>
        <w:t>A time series view of response rate by institution is available from the QILT Website in the additional tables associated with this report as listed in Appendix 7.</w:t>
      </w:r>
    </w:p>
    <w:p w14:paraId="324BA90C" w14:textId="22B67FB7" w:rsidR="005A5905" w:rsidRPr="00217865" w:rsidRDefault="005A5905" w:rsidP="00E13525">
      <w:pPr>
        <w:pStyle w:val="Appendix2"/>
        <w:ind w:left="1134" w:hanging="1134"/>
      </w:pPr>
      <w:bookmarkStart w:id="257" w:name="_Toc178599301"/>
      <w:r w:rsidRPr="00217865">
        <w:t>Data representativeness</w:t>
      </w:r>
      <w:bookmarkEnd w:id="252"/>
      <w:bookmarkEnd w:id="257"/>
    </w:p>
    <w:p w14:paraId="179D8F9B" w14:textId="3CAAC8E2" w:rsidR="00821227" w:rsidRPr="00217865" w:rsidRDefault="00821227" w:rsidP="00821227">
      <w:pPr>
        <w:pStyle w:val="Body"/>
        <w:rPr>
          <w:rFonts w:cs="Arial"/>
          <w:color w:val="000000" w:themeColor="text1"/>
        </w:rPr>
      </w:pPr>
      <w:bookmarkStart w:id="258" w:name="_Toc59697757"/>
      <w:bookmarkStart w:id="259" w:name="_Toc59697960"/>
      <w:bookmarkStart w:id="260" w:name="_Toc66806714"/>
      <w:bookmarkStart w:id="261" w:name="_Toc88770411"/>
      <w:bookmarkStart w:id="262" w:name="_Toc89115983"/>
      <w:bookmarkStart w:id="263" w:name="_Toc89116086"/>
      <w:bookmarkStart w:id="264" w:name="_Toc89693130"/>
      <w:bookmarkStart w:id="265" w:name="_Toc90928625"/>
      <w:bookmarkStart w:id="266" w:name="_Toc90929941"/>
      <w:bookmarkStart w:id="267" w:name="_Toc90965108"/>
      <w:bookmarkStart w:id="268" w:name="_Toc96016747"/>
      <w:bookmarkStart w:id="269" w:name="_Toc106962024"/>
      <w:bookmarkStart w:id="270" w:name="_Toc125629174"/>
      <w:bookmarkStart w:id="271" w:name="_Toc125643392"/>
      <w:bookmarkStart w:id="272" w:name="_Toc126088449"/>
      <w:bookmarkStart w:id="273" w:name="_Toc126700345"/>
      <w:bookmarkStart w:id="274" w:name="_Toc126700395"/>
      <w:bookmarkStart w:id="275" w:name="_Toc126700444"/>
      <w:bookmarkStart w:id="276" w:name="_Toc134022651"/>
      <w:bookmarkStart w:id="277" w:name="_Toc155257883"/>
      <w:bookmarkStart w:id="278" w:name="_Toc156217711"/>
      <w:bookmarkStart w:id="279" w:name="_Toc59697758"/>
      <w:bookmarkStart w:id="280" w:name="_Toc59697961"/>
      <w:bookmarkStart w:id="281" w:name="_Toc66806715"/>
      <w:bookmarkStart w:id="282" w:name="_Toc88770412"/>
      <w:bookmarkStart w:id="283" w:name="_Toc89115984"/>
      <w:bookmarkStart w:id="284" w:name="_Toc89116087"/>
      <w:bookmarkStart w:id="285" w:name="_Toc89693131"/>
      <w:bookmarkStart w:id="286" w:name="_Toc90928626"/>
      <w:bookmarkStart w:id="287" w:name="_Toc90929942"/>
      <w:bookmarkStart w:id="288" w:name="_Toc90965109"/>
      <w:bookmarkStart w:id="289" w:name="_Toc96016748"/>
      <w:bookmarkStart w:id="290" w:name="_Toc106962025"/>
      <w:bookmarkStart w:id="291" w:name="_Toc125629175"/>
      <w:bookmarkStart w:id="292" w:name="_Toc125643393"/>
      <w:bookmarkStart w:id="293" w:name="_Toc126088450"/>
      <w:bookmarkStart w:id="294" w:name="_Toc126700346"/>
      <w:bookmarkStart w:id="295" w:name="_Toc126700396"/>
      <w:bookmarkStart w:id="296" w:name="_Toc126700445"/>
      <w:bookmarkStart w:id="297" w:name="_Toc134022652"/>
      <w:bookmarkStart w:id="298" w:name="_Toc155257884"/>
      <w:bookmarkStart w:id="299" w:name="_Toc156217712"/>
      <w:bookmarkStart w:id="300" w:name="_Toc59697759"/>
      <w:bookmarkStart w:id="301" w:name="_Toc59697962"/>
      <w:bookmarkStart w:id="302" w:name="_Toc66806716"/>
      <w:bookmarkStart w:id="303" w:name="_Toc88770413"/>
      <w:bookmarkStart w:id="304" w:name="_Toc89115985"/>
      <w:bookmarkStart w:id="305" w:name="_Toc89116088"/>
      <w:bookmarkStart w:id="306" w:name="_Toc89693132"/>
      <w:bookmarkStart w:id="307" w:name="_Toc90928627"/>
      <w:bookmarkStart w:id="308" w:name="_Toc90929943"/>
      <w:bookmarkStart w:id="309" w:name="_Toc90965110"/>
      <w:bookmarkStart w:id="310" w:name="_Toc96016749"/>
      <w:bookmarkStart w:id="311" w:name="_Toc106962026"/>
      <w:bookmarkStart w:id="312" w:name="_Toc125629176"/>
      <w:bookmarkStart w:id="313" w:name="_Toc125643394"/>
      <w:bookmarkStart w:id="314" w:name="_Toc126088451"/>
      <w:bookmarkStart w:id="315" w:name="_Toc126700347"/>
      <w:bookmarkStart w:id="316" w:name="_Toc126700397"/>
      <w:bookmarkStart w:id="317" w:name="_Toc126700446"/>
      <w:bookmarkStart w:id="318" w:name="_Toc134022653"/>
      <w:bookmarkStart w:id="319" w:name="_Toc155257885"/>
      <w:bookmarkStart w:id="320" w:name="_Toc156217713"/>
      <w:bookmarkStart w:id="321" w:name="_Toc16787280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217865">
        <w:rPr>
          <w:rFonts w:cs="Arial"/>
          <w:color w:val="000000" w:themeColor="text1"/>
        </w:rPr>
        <w:t xml:space="preserve">In terms of minimising Total Survey Error, response rates are less important than the representativeness of the respondent profile. To investigate the extent to which those who responded to the SES are representative of the target population, undergraduate respondent characteristics are presented alongside population parameters in </w:t>
      </w:r>
      <w:r w:rsidR="006226A9" w:rsidRPr="001E2723">
        <w:rPr>
          <w:rFonts w:cs="Arial"/>
          <w:b/>
          <w:bCs/>
          <w:color w:val="000000" w:themeColor="text1"/>
        </w:rPr>
        <w:fldChar w:fldCharType="begin"/>
      </w:r>
      <w:r w:rsidR="006226A9" w:rsidRPr="001E2723">
        <w:rPr>
          <w:rFonts w:cs="Arial"/>
          <w:b/>
          <w:bCs/>
          <w:color w:val="000000" w:themeColor="text1"/>
        </w:rPr>
        <w:instrText xml:space="preserve"> REF _Ref66261587 \h </w:instrText>
      </w:r>
      <w:r w:rsidR="00A6216F" w:rsidRPr="001E2723">
        <w:rPr>
          <w:rFonts w:cs="Arial"/>
          <w:b/>
          <w:bCs/>
          <w:color w:val="000000" w:themeColor="text1"/>
        </w:rPr>
        <w:instrText xml:space="preserve"> \* MERGEFORMAT </w:instrText>
      </w:r>
      <w:r w:rsidR="006226A9" w:rsidRPr="001E2723">
        <w:rPr>
          <w:rFonts w:cs="Arial"/>
          <w:b/>
          <w:bCs/>
          <w:color w:val="000000" w:themeColor="text1"/>
        </w:rPr>
      </w:r>
      <w:r w:rsidR="006226A9"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14</w:t>
      </w:r>
      <w:r w:rsidR="006226A9" w:rsidRPr="001E2723">
        <w:rPr>
          <w:rFonts w:cs="Arial"/>
          <w:b/>
          <w:bCs/>
          <w:color w:val="000000" w:themeColor="text1"/>
        </w:rPr>
        <w:fldChar w:fldCharType="end"/>
      </w:r>
      <w:r w:rsidRPr="00217865">
        <w:rPr>
          <w:rFonts w:cs="Arial"/>
          <w:color w:val="000000" w:themeColor="text1"/>
        </w:rPr>
        <w:t xml:space="preserve">. </w:t>
      </w:r>
    </w:p>
    <w:p w14:paraId="129AE835" w14:textId="77777777" w:rsidR="00821227" w:rsidRPr="00217865" w:rsidRDefault="00821227" w:rsidP="00821227">
      <w:pPr>
        <w:pStyle w:val="Body"/>
        <w:rPr>
          <w:rFonts w:cs="Arial"/>
          <w:color w:val="000000" w:themeColor="text1"/>
        </w:rPr>
      </w:pPr>
      <w:r w:rsidRPr="00217865">
        <w:rPr>
          <w:rFonts w:cs="Arial"/>
          <w:color w:val="000000" w:themeColor="text1"/>
        </w:rPr>
        <w:t xml:space="preserve">As has been the case in previous surveys in the series, it is evident that many of the characteristics of respondents in 2023 very closely match those of the target population for both international undergraduate and postgraduate coursework students, especially with respect to age, home language and disability status. </w:t>
      </w:r>
    </w:p>
    <w:p w14:paraId="5BCAE3E3" w14:textId="77777777" w:rsidR="00821227" w:rsidRPr="00217865" w:rsidRDefault="00821227" w:rsidP="00821227">
      <w:pPr>
        <w:pStyle w:val="Body"/>
        <w:rPr>
          <w:rFonts w:cs="Arial"/>
          <w:color w:val="000000" w:themeColor="text1"/>
        </w:rPr>
      </w:pPr>
      <w:r w:rsidRPr="00217865">
        <w:rPr>
          <w:rFonts w:cs="Arial"/>
          <w:color w:val="000000" w:themeColor="text1"/>
        </w:rPr>
        <w:t xml:space="preserve">Whilst students who speak a language other than English at home are typically less likely to participate in similar surveys, for the SES, there is a surprisingly small under-representation of this group for undergraduates, with home language other than English under-represented in the responding sample by 3.1 percentage points, relative to population parameters. </w:t>
      </w:r>
    </w:p>
    <w:p w14:paraId="119562DE" w14:textId="4B12AAAB" w:rsidR="00821227" w:rsidRPr="00217865" w:rsidRDefault="00821227" w:rsidP="00821227">
      <w:pPr>
        <w:pStyle w:val="Body"/>
        <w:rPr>
          <w:rFonts w:cs="Arial"/>
          <w:color w:val="000000" w:themeColor="text1"/>
        </w:rPr>
      </w:pPr>
      <w:r w:rsidRPr="00217865">
        <w:rPr>
          <w:rFonts w:cs="Arial"/>
          <w:color w:val="000000" w:themeColor="text1"/>
        </w:rPr>
        <w:t xml:space="preserve">The largest potential source of non-response bias is in relation to students’ stage of studies, followed by students born in </w:t>
      </w:r>
      <w:r w:rsidR="003A0943">
        <w:rPr>
          <w:rFonts w:cs="Arial"/>
          <w:color w:val="000000" w:themeColor="text1"/>
        </w:rPr>
        <w:t>China (excludes SARs and Taiwan)</w:t>
      </w:r>
      <w:r w:rsidRPr="00217865">
        <w:rPr>
          <w:rFonts w:cs="Arial"/>
          <w:color w:val="000000" w:themeColor="text1"/>
        </w:rPr>
        <w:t xml:space="preserve"> and gender. Later year students were under-represented in the responding undergraduate sample by 6.3 percentage points. Chinese born students were under-represented in the undergraduate sample by 8.7 percentage points. There was good representation across all other source countries – Nepal, Vietnam, and Malaysia. Male students were also under-represented in the undergraduate sample by 7.1 percentage points. The under-representation of Chinese born students, later year students and males in 2023 suggests that this should be considered as an area for renewed response maximisation focus in 2024.</w:t>
      </w:r>
    </w:p>
    <w:p w14:paraId="2AFEAB9A" w14:textId="77777777" w:rsidR="00821227" w:rsidRPr="00217865" w:rsidRDefault="00821227" w:rsidP="00821227">
      <w:pPr>
        <w:pStyle w:val="Body"/>
        <w:rPr>
          <w:rFonts w:cs="Arial"/>
          <w:color w:val="000000" w:themeColor="text1"/>
        </w:rPr>
      </w:pPr>
      <w:r w:rsidRPr="00217865">
        <w:rPr>
          <w:rFonts w:cs="Arial"/>
          <w:color w:val="000000" w:themeColor="text1"/>
        </w:rPr>
        <w:t xml:space="preserve">Younger undergraduate students were also somewhat less likely to respond, with those under 25 years of age under-represented by around 2.9 percentage points in 2023. There is a corresponding over-representation of older students, with those aged 30-39 over-represented by 1.9 percentage points. </w:t>
      </w:r>
    </w:p>
    <w:p w14:paraId="0709FB54" w14:textId="77777777" w:rsidR="00821227" w:rsidRPr="00217865" w:rsidRDefault="00821227" w:rsidP="00821227">
      <w:pPr>
        <w:pStyle w:val="Body"/>
        <w:rPr>
          <w:rFonts w:cs="Arial"/>
          <w:color w:val="000000" w:themeColor="text1"/>
        </w:rPr>
      </w:pPr>
      <w:r w:rsidRPr="00217865">
        <w:rPr>
          <w:rFonts w:cs="Arial"/>
          <w:color w:val="000000" w:themeColor="text1"/>
        </w:rPr>
        <w:t xml:space="preserve">Disability status is highly representative. International undergraduate and postgraduate coursework students with and without a reported disability were both perfectly represented in the sample. </w:t>
      </w:r>
    </w:p>
    <w:p w14:paraId="24FB8AD4" w14:textId="0A571361" w:rsidR="00E06AED" w:rsidRPr="00217865" w:rsidRDefault="00821227" w:rsidP="00821227">
      <w:pPr>
        <w:pStyle w:val="Body"/>
        <w:rPr>
          <w:rFonts w:cs="Arial"/>
          <w:color w:val="000000" w:themeColor="text1"/>
        </w:rPr>
      </w:pPr>
      <w:r w:rsidRPr="00217865">
        <w:rPr>
          <w:rFonts w:cs="Arial"/>
          <w:color w:val="000000" w:themeColor="text1"/>
        </w:rPr>
        <w:t xml:space="preserve">Results for postgraduate coursework students are broadly similar and are presented in the additional tables associated with this report available from the QILT website as listed in Appendix 7. </w:t>
      </w:r>
    </w:p>
    <w:p w14:paraId="498F1660" w14:textId="77777777" w:rsidR="00E06AED" w:rsidRPr="00217865" w:rsidRDefault="00E06AED">
      <w:pPr>
        <w:spacing w:after="160" w:line="259" w:lineRule="auto"/>
        <w:rPr>
          <w:rFonts w:eastAsia="Times New Roman" w:cs="Arial"/>
          <w:color w:val="000000" w:themeColor="text1"/>
          <w:szCs w:val="20"/>
        </w:rPr>
      </w:pPr>
      <w:r w:rsidRPr="00217865">
        <w:rPr>
          <w:rFonts w:cs="Arial"/>
          <w:color w:val="000000" w:themeColor="text1"/>
        </w:rPr>
        <w:br w:type="page"/>
      </w:r>
    </w:p>
    <w:p w14:paraId="61099B2A" w14:textId="4531B39E" w:rsidR="00821227" w:rsidRPr="00217865" w:rsidRDefault="00821227" w:rsidP="0081215D">
      <w:pPr>
        <w:pStyle w:val="Tabletitle"/>
        <w:rPr>
          <w:i/>
          <w:iCs/>
        </w:rPr>
      </w:pPr>
      <w:bookmarkStart w:id="322" w:name="_Ref66261587"/>
      <w:bookmarkStart w:id="323" w:name="_Toc178599379"/>
      <w:r w:rsidRPr="00217865">
        <w:lastRenderedPageBreak/>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14</w:t>
      </w:r>
      <w:r w:rsidRPr="00217865">
        <w:rPr>
          <w:i/>
          <w:iCs/>
        </w:rPr>
        <w:fldChar w:fldCharType="end"/>
      </w:r>
      <w:bookmarkEnd w:id="322"/>
      <w:r w:rsidR="00CF00B5">
        <w:tab/>
      </w:r>
      <w:r w:rsidRPr="00217865">
        <w:t>2023 International undergraduate SES response characteristics and population parameters by subgroup*</w:t>
      </w:r>
      <w:bookmarkEnd w:id="323"/>
    </w:p>
    <w:tbl>
      <w:tblPr>
        <w:tblW w:w="4982" w:type="pct"/>
        <w:tblCellMar>
          <w:top w:w="28" w:type="dxa"/>
          <w:left w:w="57" w:type="dxa"/>
          <w:right w:w="57" w:type="dxa"/>
        </w:tblCellMar>
        <w:tblLook w:val="0000" w:firstRow="0" w:lastRow="0" w:firstColumn="0" w:lastColumn="0" w:noHBand="0" w:noVBand="0"/>
      </w:tblPr>
      <w:tblGrid>
        <w:gridCol w:w="2338"/>
        <w:gridCol w:w="27"/>
        <w:gridCol w:w="2314"/>
        <w:gridCol w:w="1449"/>
        <w:gridCol w:w="1429"/>
        <w:gridCol w:w="1429"/>
        <w:gridCol w:w="1426"/>
      </w:tblGrid>
      <w:tr w:rsidR="00217865" w:rsidRPr="00217865" w14:paraId="56F3D00C" w14:textId="77777777" w:rsidTr="001E4C62">
        <w:trPr>
          <w:trHeight w:val="60"/>
          <w:tblHeader/>
        </w:trPr>
        <w:tc>
          <w:tcPr>
            <w:tcW w:w="1136" w:type="pct"/>
            <w:gridSpan w:val="2"/>
            <w:tcBorders>
              <w:top w:val="single" w:sz="4" w:space="0" w:color="000000"/>
              <w:left w:val="single" w:sz="4" w:space="0" w:color="000000"/>
              <w:bottom w:val="single" w:sz="4" w:space="0" w:color="000000"/>
              <w:right w:val="single" w:sz="4" w:space="0" w:color="000000"/>
            </w:tcBorders>
            <w:vAlign w:val="center"/>
          </w:tcPr>
          <w:p w14:paraId="48928448" w14:textId="29C5644E" w:rsidR="00821227" w:rsidRPr="00217865" w:rsidRDefault="001E4C62" w:rsidP="001E4C62">
            <w:pPr>
              <w:pStyle w:val="zz"/>
              <w:framePr w:wrap="auto"/>
              <w:spacing w:before="60" w:after="60"/>
              <w:jc w:val="left"/>
              <w:rPr>
                <w:rFonts w:ascii="Arial" w:hAnsi="Arial" w:cs="Arial"/>
                <w:color w:val="000000" w:themeColor="text1"/>
              </w:rPr>
            </w:pPr>
            <w:r w:rsidRPr="00217865">
              <w:rPr>
                <w:rFonts w:ascii="Arial" w:hAnsi="Arial" w:cs="Arial"/>
                <w:color w:val="000000" w:themeColor="text1"/>
              </w:rPr>
              <w:t>-</w:t>
            </w:r>
            <w:bookmarkStart w:id="324" w:name="Title_14"/>
            <w:bookmarkEnd w:id="324"/>
          </w:p>
        </w:tc>
        <w:tc>
          <w:tcPr>
            <w:tcW w:w="1111" w:type="pct"/>
            <w:tcBorders>
              <w:top w:val="single" w:sz="4" w:space="0" w:color="000000"/>
              <w:left w:val="single" w:sz="4" w:space="0" w:color="000000"/>
              <w:bottom w:val="single" w:sz="4" w:space="0" w:color="000000"/>
              <w:right w:val="single" w:sz="4" w:space="0" w:color="000000"/>
            </w:tcBorders>
            <w:tcMar>
              <w:top w:w="113" w:type="dxa"/>
              <w:left w:w="80" w:type="dxa"/>
              <w:bottom w:w="113" w:type="dxa"/>
              <w:right w:w="57" w:type="dxa"/>
            </w:tcMar>
            <w:vAlign w:val="center"/>
          </w:tcPr>
          <w:p w14:paraId="37E998D2" w14:textId="77777777" w:rsidR="00821227" w:rsidRPr="00217865" w:rsidRDefault="00821227" w:rsidP="001E4C62">
            <w:pPr>
              <w:pStyle w:val="zz"/>
              <w:framePr w:wrap="auto"/>
              <w:spacing w:before="60" w:after="60"/>
              <w:jc w:val="left"/>
              <w:rPr>
                <w:rFonts w:ascii="Arial" w:hAnsi="Arial" w:cs="Arial"/>
                <w:color w:val="000000" w:themeColor="text1"/>
              </w:rPr>
            </w:pPr>
            <w:r w:rsidRPr="00217865">
              <w:rPr>
                <w:rFonts w:ascii="Arial" w:hAnsi="Arial" w:cs="Arial"/>
                <w:color w:val="000000" w:themeColor="text1"/>
              </w:rPr>
              <w:t>Group/subgroup</w:t>
            </w:r>
          </w:p>
        </w:tc>
        <w:tc>
          <w:tcPr>
            <w:tcW w:w="696" w:type="pct"/>
            <w:tcBorders>
              <w:top w:val="single" w:sz="4" w:space="0" w:color="000000"/>
              <w:left w:val="single" w:sz="4" w:space="0" w:color="000000"/>
              <w:bottom w:val="single" w:sz="4" w:space="0" w:color="000000"/>
              <w:right w:val="single" w:sz="4" w:space="0" w:color="000000"/>
            </w:tcBorders>
            <w:vAlign w:val="bottom"/>
          </w:tcPr>
          <w:p w14:paraId="179881E4"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In-scope population: n</w:t>
            </w:r>
          </w:p>
        </w:tc>
        <w:tc>
          <w:tcPr>
            <w:tcW w:w="686" w:type="pct"/>
            <w:tcBorders>
              <w:top w:val="single" w:sz="4" w:space="0" w:color="000000"/>
              <w:left w:val="single" w:sz="4" w:space="0" w:color="000000"/>
              <w:bottom w:val="single" w:sz="4" w:space="0" w:color="000000"/>
              <w:right w:val="single" w:sz="4" w:space="0" w:color="000000"/>
            </w:tcBorders>
            <w:vAlign w:val="bottom"/>
          </w:tcPr>
          <w:p w14:paraId="50BBB3E3"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In-scope population: %</w:t>
            </w:r>
          </w:p>
        </w:tc>
        <w:tc>
          <w:tcPr>
            <w:tcW w:w="686" w:type="pct"/>
            <w:tcBorders>
              <w:top w:val="single" w:sz="4" w:space="0" w:color="000000"/>
              <w:left w:val="single" w:sz="4" w:space="0" w:color="000000"/>
              <w:bottom w:val="single" w:sz="4" w:space="0" w:color="000000"/>
              <w:right w:val="single" w:sz="4" w:space="0" w:color="000000"/>
            </w:tcBorders>
            <w:vAlign w:val="bottom"/>
          </w:tcPr>
          <w:p w14:paraId="4BF0DDD0"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SES respondents: n</w:t>
            </w:r>
          </w:p>
        </w:tc>
        <w:tc>
          <w:tcPr>
            <w:tcW w:w="685" w:type="pct"/>
            <w:tcBorders>
              <w:top w:val="single" w:sz="4" w:space="0" w:color="000000"/>
              <w:left w:val="single" w:sz="4" w:space="0" w:color="000000"/>
              <w:bottom w:val="single" w:sz="4" w:space="0" w:color="000000"/>
              <w:right w:val="single" w:sz="4" w:space="0" w:color="000000"/>
            </w:tcBorders>
            <w:vAlign w:val="bottom"/>
          </w:tcPr>
          <w:p w14:paraId="727A3FF0" w14:textId="77777777" w:rsidR="00821227" w:rsidRPr="00217865" w:rsidRDefault="00821227" w:rsidP="001E4C62">
            <w:pPr>
              <w:pStyle w:val="zz"/>
              <w:framePr w:wrap="auto"/>
              <w:spacing w:before="60" w:after="60"/>
              <w:rPr>
                <w:rFonts w:ascii="Arial" w:hAnsi="Arial" w:cs="Arial"/>
                <w:color w:val="000000" w:themeColor="text1"/>
              </w:rPr>
            </w:pPr>
            <w:r w:rsidRPr="00217865">
              <w:rPr>
                <w:rFonts w:ascii="Arial" w:hAnsi="Arial" w:cs="Arial"/>
                <w:color w:val="000000" w:themeColor="text1"/>
              </w:rPr>
              <w:t>SES respondents: %</w:t>
            </w:r>
          </w:p>
        </w:tc>
      </w:tr>
      <w:tr w:rsidR="00217865" w:rsidRPr="00217865" w14:paraId="76F77C5F"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628151EC"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Stage of studies</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630A45A"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Commencing</w:t>
            </w:r>
          </w:p>
        </w:tc>
        <w:tc>
          <w:tcPr>
            <w:tcW w:w="696" w:type="pct"/>
            <w:tcBorders>
              <w:top w:val="single" w:sz="4" w:space="0" w:color="000000"/>
              <w:left w:val="single" w:sz="4" w:space="0" w:color="000000"/>
              <w:bottom w:val="single" w:sz="4" w:space="0" w:color="000000"/>
              <w:right w:val="single" w:sz="4" w:space="0" w:color="000000"/>
            </w:tcBorders>
            <w:vAlign w:val="center"/>
          </w:tcPr>
          <w:p w14:paraId="631DCD7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41,910</w:t>
            </w:r>
          </w:p>
        </w:tc>
        <w:tc>
          <w:tcPr>
            <w:tcW w:w="686" w:type="pct"/>
            <w:tcBorders>
              <w:top w:val="single" w:sz="4" w:space="0" w:color="000000"/>
              <w:left w:val="single" w:sz="4" w:space="0" w:color="000000"/>
              <w:bottom w:val="single" w:sz="4" w:space="0" w:color="000000"/>
              <w:right w:val="single" w:sz="4" w:space="0" w:color="000000"/>
            </w:tcBorders>
            <w:vAlign w:val="center"/>
          </w:tcPr>
          <w:p w14:paraId="09600DA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43.7</w:t>
            </w:r>
          </w:p>
        </w:tc>
        <w:tc>
          <w:tcPr>
            <w:tcW w:w="686" w:type="pct"/>
            <w:tcBorders>
              <w:top w:val="single" w:sz="4" w:space="0" w:color="000000"/>
              <w:left w:val="single" w:sz="4" w:space="0" w:color="000000"/>
              <w:bottom w:val="single" w:sz="4" w:space="0" w:color="000000"/>
              <w:right w:val="single" w:sz="4" w:space="0" w:color="000000"/>
            </w:tcBorders>
            <w:vAlign w:val="center"/>
          </w:tcPr>
          <w:p w14:paraId="44F759DD"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14,834</w:t>
            </w:r>
          </w:p>
        </w:tc>
        <w:tc>
          <w:tcPr>
            <w:tcW w:w="685" w:type="pct"/>
            <w:tcBorders>
              <w:top w:val="single" w:sz="4" w:space="0" w:color="000000"/>
              <w:left w:val="single" w:sz="4" w:space="0" w:color="000000"/>
              <w:bottom w:val="single" w:sz="4" w:space="0" w:color="000000"/>
              <w:right w:val="single" w:sz="4" w:space="0" w:color="000000"/>
            </w:tcBorders>
            <w:vAlign w:val="center"/>
          </w:tcPr>
          <w:p w14:paraId="603F499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50.0</w:t>
            </w:r>
          </w:p>
        </w:tc>
      </w:tr>
      <w:tr w:rsidR="00217865" w:rsidRPr="00217865" w14:paraId="26CB9ADE"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0F6B4A24" w14:textId="09ADDE8A"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20803D9"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Later Year**</w:t>
            </w:r>
          </w:p>
        </w:tc>
        <w:tc>
          <w:tcPr>
            <w:tcW w:w="696" w:type="pct"/>
            <w:tcBorders>
              <w:top w:val="single" w:sz="4" w:space="0" w:color="000000"/>
              <w:left w:val="single" w:sz="4" w:space="0" w:color="000000"/>
              <w:bottom w:val="single" w:sz="4" w:space="0" w:color="000000"/>
              <w:right w:val="single" w:sz="4" w:space="0" w:color="000000"/>
            </w:tcBorders>
            <w:vAlign w:val="center"/>
          </w:tcPr>
          <w:p w14:paraId="28885B39"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54,053</w:t>
            </w:r>
          </w:p>
        </w:tc>
        <w:tc>
          <w:tcPr>
            <w:tcW w:w="686" w:type="pct"/>
            <w:tcBorders>
              <w:top w:val="single" w:sz="4" w:space="0" w:color="000000"/>
              <w:left w:val="single" w:sz="4" w:space="0" w:color="000000"/>
              <w:bottom w:val="single" w:sz="4" w:space="0" w:color="000000"/>
              <w:right w:val="single" w:sz="4" w:space="0" w:color="000000"/>
            </w:tcBorders>
            <w:vAlign w:val="center"/>
          </w:tcPr>
          <w:p w14:paraId="122066D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56.3</w:t>
            </w:r>
          </w:p>
        </w:tc>
        <w:tc>
          <w:tcPr>
            <w:tcW w:w="686" w:type="pct"/>
            <w:tcBorders>
              <w:top w:val="single" w:sz="4" w:space="0" w:color="000000"/>
              <w:left w:val="single" w:sz="4" w:space="0" w:color="000000"/>
              <w:bottom w:val="single" w:sz="4" w:space="0" w:color="000000"/>
              <w:right w:val="single" w:sz="4" w:space="0" w:color="000000"/>
            </w:tcBorders>
            <w:vAlign w:val="center"/>
          </w:tcPr>
          <w:p w14:paraId="0014E985"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14,860</w:t>
            </w:r>
          </w:p>
        </w:tc>
        <w:tc>
          <w:tcPr>
            <w:tcW w:w="685" w:type="pct"/>
            <w:tcBorders>
              <w:top w:val="single" w:sz="4" w:space="0" w:color="000000"/>
              <w:left w:val="single" w:sz="4" w:space="0" w:color="000000"/>
              <w:bottom w:val="single" w:sz="4" w:space="0" w:color="000000"/>
              <w:right w:val="single" w:sz="4" w:space="0" w:color="000000"/>
            </w:tcBorders>
            <w:vAlign w:val="center"/>
          </w:tcPr>
          <w:p w14:paraId="3D4F5062"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50.0</w:t>
            </w:r>
          </w:p>
        </w:tc>
      </w:tr>
      <w:tr w:rsidR="00217865" w:rsidRPr="00217865" w14:paraId="51F61344"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6C0100E6"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Gender</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D8C77FA"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Male</w:t>
            </w:r>
          </w:p>
        </w:tc>
        <w:tc>
          <w:tcPr>
            <w:tcW w:w="696" w:type="pct"/>
            <w:tcBorders>
              <w:top w:val="single" w:sz="4" w:space="0" w:color="000000"/>
              <w:left w:val="single" w:sz="4" w:space="0" w:color="000000"/>
              <w:bottom w:val="single" w:sz="4" w:space="0" w:color="000000"/>
              <w:right w:val="single" w:sz="4" w:space="0" w:color="000000"/>
            </w:tcBorders>
            <w:vAlign w:val="center"/>
          </w:tcPr>
          <w:p w14:paraId="10E3BEE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47,342</w:t>
            </w:r>
          </w:p>
        </w:tc>
        <w:tc>
          <w:tcPr>
            <w:tcW w:w="686" w:type="pct"/>
            <w:tcBorders>
              <w:top w:val="single" w:sz="4" w:space="0" w:color="000000"/>
              <w:left w:val="single" w:sz="4" w:space="0" w:color="000000"/>
              <w:bottom w:val="single" w:sz="4" w:space="0" w:color="000000"/>
              <w:right w:val="single" w:sz="4" w:space="0" w:color="000000"/>
            </w:tcBorders>
            <w:vAlign w:val="center"/>
          </w:tcPr>
          <w:p w14:paraId="0C1FCBB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49.4</w:t>
            </w:r>
          </w:p>
        </w:tc>
        <w:tc>
          <w:tcPr>
            <w:tcW w:w="686" w:type="pct"/>
            <w:tcBorders>
              <w:top w:val="single" w:sz="4" w:space="0" w:color="000000"/>
              <w:left w:val="single" w:sz="4" w:space="0" w:color="000000"/>
              <w:bottom w:val="single" w:sz="4" w:space="0" w:color="000000"/>
              <w:right w:val="single" w:sz="4" w:space="0" w:color="000000"/>
            </w:tcBorders>
            <w:vAlign w:val="center"/>
          </w:tcPr>
          <w:p w14:paraId="3AD5C6A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12,551</w:t>
            </w:r>
          </w:p>
        </w:tc>
        <w:tc>
          <w:tcPr>
            <w:tcW w:w="685" w:type="pct"/>
            <w:tcBorders>
              <w:top w:val="single" w:sz="4" w:space="0" w:color="000000"/>
              <w:left w:val="single" w:sz="4" w:space="0" w:color="000000"/>
              <w:bottom w:val="single" w:sz="4" w:space="0" w:color="000000"/>
              <w:right w:val="single" w:sz="4" w:space="0" w:color="000000"/>
            </w:tcBorders>
            <w:vAlign w:val="center"/>
          </w:tcPr>
          <w:p w14:paraId="3632B27C"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42.3</w:t>
            </w:r>
          </w:p>
        </w:tc>
      </w:tr>
      <w:tr w:rsidR="00217865" w:rsidRPr="00217865" w14:paraId="53B97BAA"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684DF7D6" w14:textId="1B44CB30"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229A84F"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Female</w:t>
            </w:r>
          </w:p>
        </w:tc>
        <w:tc>
          <w:tcPr>
            <w:tcW w:w="696" w:type="pct"/>
            <w:tcBorders>
              <w:top w:val="single" w:sz="4" w:space="0" w:color="000000"/>
              <w:left w:val="single" w:sz="4" w:space="0" w:color="000000"/>
              <w:bottom w:val="single" w:sz="4" w:space="0" w:color="000000"/>
              <w:right w:val="single" w:sz="4" w:space="0" w:color="000000"/>
            </w:tcBorders>
            <w:vAlign w:val="center"/>
          </w:tcPr>
          <w:p w14:paraId="632A90D3"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48,514</w:t>
            </w:r>
          </w:p>
        </w:tc>
        <w:tc>
          <w:tcPr>
            <w:tcW w:w="686" w:type="pct"/>
            <w:tcBorders>
              <w:top w:val="single" w:sz="4" w:space="0" w:color="000000"/>
              <w:left w:val="single" w:sz="4" w:space="0" w:color="000000"/>
              <w:bottom w:val="single" w:sz="4" w:space="0" w:color="000000"/>
              <w:right w:val="single" w:sz="4" w:space="0" w:color="000000"/>
            </w:tcBorders>
            <w:vAlign w:val="center"/>
          </w:tcPr>
          <w:p w14:paraId="7302DC5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50.6</w:t>
            </w:r>
          </w:p>
        </w:tc>
        <w:tc>
          <w:tcPr>
            <w:tcW w:w="686" w:type="pct"/>
            <w:tcBorders>
              <w:top w:val="single" w:sz="4" w:space="0" w:color="000000"/>
              <w:left w:val="single" w:sz="4" w:space="0" w:color="000000"/>
              <w:bottom w:val="single" w:sz="4" w:space="0" w:color="000000"/>
              <w:right w:val="single" w:sz="4" w:space="0" w:color="000000"/>
            </w:tcBorders>
            <w:vAlign w:val="center"/>
          </w:tcPr>
          <w:p w14:paraId="4FCC192C"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17,102</w:t>
            </w:r>
          </w:p>
        </w:tc>
        <w:tc>
          <w:tcPr>
            <w:tcW w:w="685" w:type="pct"/>
            <w:tcBorders>
              <w:top w:val="single" w:sz="4" w:space="0" w:color="000000"/>
              <w:left w:val="single" w:sz="4" w:space="0" w:color="000000"/>
              <w:bottom w:val="single" w:sz="4" w:space="0" w:color="000000"/>
              <w:right w:val="single" w:sz="4" w:space="0" w:color="000000"/>
            </w:tcBorders>
            <w:vAlign w:val="center"/>
          </w:tcPr>
          <w:p w14:paraId="63EE9AE7"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57.7</w:t>
            </w:r>
          </w:p>
        </w:tc>
      </w:tr>
      <w:tr w:rsidR="00217865" w:rsidRPr="00217865" w14:paraId="766B28F0"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0DCA0A3E"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Age</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AF7AC11"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Under 25</w:t>
            </w:r>
          </w:p>
        </w:tc>
        <w:tc>
          <w:tcPr>
            <w:tcW w:w="696" w:type="pct"/>
            <w:tcBorders>
              <w:top w:val="single" w:sz="4" w:space="0" w:color="000000"/>
              <w:left w:val="single" w:sz="4" w:space="0" w:color="000000"/>
              <w:bottom w:val="single" w:sz="4" w:space="0" w:color="000000"/>
              <w:right w:val="single" w:sz="4" w:space="0" w:color="000000"/>
            </w:tcBorders>
            <w:vAlign w:val="center"/>
          </w:tcPr>
          <w:p w14:paraId="2A90BCD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83,800</w:t>
            </w:r>
          </w:p>
        </w:tc>
        <w:tc>
          <w:tcPr>
            <w:tcW w:w="686" w:type="pct"/>
            <w:tcBorders>
              <w:top w:val="single" w:sz="4" w:space="0" w:color="000000"/>
              <w:left w:val="single" w:sz="4" w:space="0" w:color="000000"/>
              <w:bottom w:val="single" w:sz="4" w:space="0" w:color="000000"/>
              <w:right w:val="single" w:sz="4" w:space="0" w:color="000000"/>
            </w:tcBorders>
            <w:vAlign w:val="center"/>
          </w:tcPr>
          <w:p w14:paraId="0DA9C54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87.5</w:t>
            </w:r>
          </w:p>
        </w:tc>
        <w:tc>
          <w:tcPr>
            <w:tcW w:w="686" w:type="pct"/>
            <w:tcBorders>
              <w:top w:val="single" w:sz="4" w:space="0" w:color="000000"/>
              <w:left w:val="single" w:sz="4" w:space="0" w:color="000000"/>
              <w:bottom w:val="single" w:sz="4" w:space="0" w:color="000000"/>
              <w:right w:val="single" w:sz="4" w:space="0" w:color="000000"/>
            </w:tcBorders>
            <w:vAlign w:val="center"/>
          </w:tcPr>
          <w:p w14:paraId="4501CC3F"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25,091</w:t>
            </w:r>
          </w:p>
        </w:tc>
        <w:tc>
          <w:tcPr>
            <w:tcW w:w="685" w:type="pct"/>
            <w:tcBorders>
              <w:top w:val="single" w:sz="4" w:space="0" w:color="000000"/>
              <w:left w:val="single" w:sz="4" w:space="0" w:color="000000"/>
              <w:bottom w:val="single" w:sz="4" w:space="0" w:color="000000"/>
              <w:right w:val="single" w:sz="4" w:space="0" w:color="000000"/>
            </w:tcBorders>
            <w:vAlign w:val="center"/>
          </w:tcPr>
          <w:p w14:paraId="7105611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84.6</w:t>
            </w:r>
          </w:p>
        </w:tc>
      </w:tr>
      <w:tr w:rsidR="00217865" w:rsidRPr="00217865" w14:paraId="6E0AFF9F" w14:textId="77777777" w:rsidTr="001E4C62">
        <w:trPr>
          <w:trHeight w:val="60"/>
        </w:trPr>
        <w:tc>
          <w:tcPr>
            <w:tcW w:w="1136" w:type="pct"/>
            <w:gridSpan w:val="2"/>
            <w:tcBorders>
              <w:left w:val="single" w:sz="4" w:space="0" w:color="000000"/>
              <w:right w:val="single" w:sz="4" w:space="0" w:color="000000"/>
            </w:tcBorders>
            <w:tcMar>
              <w:left w:w="57" w:type="dxa"/>
            </w:tcMar>
            <w:vAlign w:val="center"/>
          </w:tcPr>
          <w:p w14:paraId="080E8131" w14:textId="0D9407A4"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F7EEDF9"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25 to 29</w:t>
            </w:r>
          </w:p>
        </w:tc>
        <w:tc>
          <w:tcPr>
            <w:tcW w:w="696" w:type="pct"/>
            <w:tcBorders>
              <w:top w:val="single" w:sz="4" w:space="0" w:color="000000"/>
              <w:left w:val="single" w:sz="4" w:space="0" w:color="000000"/>
              <w:bottom w:val="single" w:sz="4" w:space="0" w:color="000000"/>
              <w:right w:val="single" w:sz="4" w:space="0" w:color="000000"/>
            </w:tcBorders>
            <w:vAlign w:val="center"/>
          </w:tcPr>
          <w:p w14:paraId="337C33A3"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8,256</w:t>
            </w:r>
          </w:p>
        </w:tc>
        <w:tc>
          <w:tcPr>
            <w:tcW w:w="686" w:type="pct"/>
            <w:tcBorders>
              <w:top w:val="single" w:sz="4" w:space="0" w:color="000000"/>
              <w:left w:val="single" w:sz="4" w:space="0" w:color="000000"/>
              <w:bottom w:val="single" w:sz="4" w:space="0" w:color="000000"/>
              <w:right w:val="single" w:sz="4" w:space="0" w:color="000000"/>
            </w:tcBorders>
            <w:vAlign w:val="center"/>
          </w:tcPr>
          <w:p w14:paraId="3ED5C75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8.6</w:t>
            </w:r>
          </w:p>
        </w:tc>
        <w:tc>
          <w:tcPr>
            <w:tcW w:w="686" w:type="pct"/>
            <w:tcBorders>
              <w:top w:val="single" w:sz="4" w:space="0" w:color="000000"/>
              <w:left w:val="single" w:sz="4" w:space="0" w:color="000000"/>
              <w:bottom w:val="single" w:sz="4" w:space="0" w:color="000000"/>
              <w:right w:val="single" w:sz="4" w:space="0" w:color="000000"/>
            </w:tcBorders>
            <w:vAlign w:val="center"/>
          </w:tcPr>
          <w:p w14:paraId="2A4C0C6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2,752</w:t>
            </w:r>
          </w:p>
        </w:tc>
        <w:tc>
          <w:tcPr>
            <w:tcW w:w="685" w:type="pct"/>
            <w:tcBorders>
              <w:top w:val="single" w:sz="4" w:space="0" w:color="000000"/>
              <w:left w:val="single" w:sz="4" w:space="0" w:color="000000"/>
              <w:bottom w:val="single" w:sz="4" w:space="0" w:color="000000"/>
              <w:right w:val="single" w:sz="4" w:space="0" w:color="000000"/>
            </w:tcBorders>
            <w:vAlign w:val="center"/>
          </w:tcPr>
          <w:p w14:paraId="428471B5"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9.3</w:t>
            </w:r>
          </w:p>
        </w:tc>
      </w:tr>
      <w:tr w:rsidR="00217865" w:rsidRPr="00217865" w14:paraId="5DDB7AD2" w14:textId="77777777" w:rsidTr="001E4C62">
        <w:trPr>
          <w:trHeight w:val="60"/>
        </w:trPr>
        <w:tc>
          <w:tcPr>
            <w:tcW w:w="1136" w:type="pct"/>
            <w:gridSpan w:val="2"/>
            <w:tcBorders>
              <w:left w:val="single" w:sz="4" w:space="0" w:color="000000"/>
              <w:right w:val="single" w:sz="4" w:space="0" w:color="000000"/>
            </w:tcBorders>
            <w:tcMar>
              <w:left w:w="57" w:type="dxa"/>
            </w:tcMar>
            <w:vAlign w:val="center"/>
          </w:tcPr>
          <w:p w14:paraId="36FD72EB" w14:textId="02F5DAC0"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42E7A76"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30 to 39</w:t>
            </w:r>
          </w:p>
        </w:tc>
        <w:tc>
          <w:tcPr>
            <w:tcW w:w="696" w:type="pct"/>
            <w:tcBorders>
              <w:top w:val="single" w:sz="4" w:space="0" w:color="000000"/>
              <w:left w:val="single" w:sz="4" w:space="0" w:color="000000"/>
              <w:bottom w:val="single" w:sz="4" w:space="0" w:color="000000"/>
              <w:right w:val="single" w:sz="4" w:space="0" w:color="000000"/>
            </w:tcBorders>
            <w:vAlign w:val="center"/>
          </w:tcPr>
          <w:p w14:paraId="761CD994"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3,373</w:t>
            </w:r>
          </w:p>
        </w:tc>
        <w:tc>
          <w:tcPr>
            <w:tcW w:w="686" w:type="pct"/>
            <w:tcBorders>
              <w:top w:val="single" w:sz="4" w:space="0" w:color="000000"/>
              <w:left w:val="single" w:sz="4" w:space="0" w:color="000000"/>
              <w:bottom w:val="single" w:sz="4" w:space="0" w:color="000000"/>
              <w:right w:val="single" w:sz="4" w:space="0" w:color="000000"/>
            </w:tcBorders>
            <w:vAlign w:val="center"/>
          </w:tcPr>
          <w:p w14:paraId="4BD4055E"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3.5</w:t>
            </w:r>
          </w:p>
        </w:tc>
        <w:tc>
          <w:tcPr>
            <w:tcW w:w="686" w:type="pct"/>
            <w:tcBorders>
              <w:top w:val="single" w:sz="4" w:space="0" w:color="000000"/>
              <w:left w:val="single" w:sz="4" w:space="0" w:color="000000"/>
              <w:bottom w:val="single" w:sz="4" w:space="0" w:color="000000"/>
              <w:right w:val="single" w:sz="4" w:space="0" w:color="000000"/>
            </w:tcBorders>
            <w:vAlign w:val="center"/>
          </w:tcPr>
          <w:p w14:paraId="1FDEB1B4"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1,611</w:t>
            </w:r>
          </w:p>
        </w:tc>
        <w:tc>
          <w:tcPr>
            <w:tcW w:w="685" w:type="pct"/>
            <w:tcBorders>
              <w:top w:val="single" w:sz="4" w:space="0" w:color="000000"/>
              <w:left w:val="single" w:sz="4" w:space="0" w:color="000000"/>
              <w:bottom w:val="single" w:sz="4" w:space="0" w:color="000000"/>
              <w:right w:val="single" w:sz="4" w:space="0" w:color="000000"/>
            </w:tcBorders>
            <w:vAlign w:val="center"/>
          </w:tcPr>
          <w:p w14:paraId="3D5415F7"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5.4</w:t>
            </w:r>
          </w:p>
        </w:tc>
      </w:tr>
      <w:tr w:rsidR="00217865" w:rsidRPr="00217865" w14:paraId="4AF0D73A"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4803BF2D" w14:textId="2CD5A5C2"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2CA08F9"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40 and over</w:t>
            </w:r>
          </w:p>
        </w:tc>
        <w:tc>
          <w:tcPr>
            <w:tcW w:w="696" w:type="pct"/>
            <w:tcBorders>
              <w:top w:val="single" w:sz="4" w:space="0" w:color="000000"/>
              <w:left w:val="single" w:sz="4" w:space="0" w:color="000000"/>
              <w:bottom w:val="single" w:sz="4" w:space="0" w:color="000000"/>
              <w:right w:val="single" w:sz="4" w:space="0" w:color="000000"/>
            </w:tcBorders>
            <w:vAlign w:val="center"/>
          </w:tcPr>
          <w:p w14:paraId="2BC71A51"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365</w:t>
            </w:r>
          </w:p>
        </w:tc>
        <w:tc>
          <w:tcPr>
            <w:tcW w:w="686" w:type="pct"/>
            <w:tcBorders>
              <w:top w:val="single" w:sz="4" w:space="0" w:color="000000"/>
              <w:left w:val="single" w:sz="4" w:space="0" w:color="000000"/>
              <w:bottom w:val="single" w:sz="4" w:space="0" w:color="000000"/>
              <w:right w:val="single" w:sz="4" w:space="0" w:color="000000"/>
            </w:tcBorders>
            <w:vAlign w:val="center"/>
          </w:tcPr>
          <w:p w14:paraId="10495172"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0.4</w:t>
            </w:r>
          </w:p>
        </w:tc>
        <w:tc>
          <w:tcPr>
            <w:tcW w:w="686" w:type="pct"/>
            <w:tcBorders>
              <w:top w:val="single" w:sz="4" w:space="0" w:color="000000"/>
              <w:left w:val="single" w:sz="4" w:space="0" w:color="000000"/>
              <w:bottom w:val="single" w:sz="4" w:space="0" w:color="000000"/>
              <w:right w:val="single" w:sz="4" w:space="0" w:color="000000"/>
            </w:tcBorders>
            <w:vAlign w:val="center"/>
          </w:tcPr>
          <w:p w14:paraId="67C648D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192</w:t>
            </w:r>
          </w:p>
        </w:tc>
        <w:tc>
          <w:tcPr>
            <w:tcW w:w="685" w:type="pct"/>
            <w:tcBorders>
              <w:top w:val="single" w:sz="4" w:space="0" w:color="000000"/>
              <w:left w:val="single" w:sz="4" w:space="0" w:color="000000"/>
              <w:bottom w:val="single" w:sz="4" w:space="0" w:color="000000"/>
              <w:right w:val="single" w:sz="4" w:space="0" w:color="000000"/>
            </w:tcBorders>
            <w:vAlign w:val="center"/>
          </w:tcPr>
          <w:p w14:paraId="3CE57CC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0.6</w:t>
            </w:r>
          </w:p>
        </w:tc>
      </w:tr>
      <w:tr w:rsidR="00217865" w:rsidRPr="00217865" w14:paraId="79EB1948"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147DAC5B"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Country of birth</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449E232" w14:textId="40983804" w:rsidR="00821227" w:rsidRPr="00217865" w:rsidRDefault="003A0943" w:rsidP="001E4C62">
            <w:pPr>
              <w:pStyle w:val="Tabletext"/>
              <w:spacing w:before="60" w:after="60"/>
              <w:rPr>
                <w:rStyle w:val="Body02BOLD"/>
                <w:b w:val="0"/>
                <w:bCs/>
                <w:color w:val="000000" w:themeColor="text1"/>
              </w:rPr>
            </w:pPr>
            <w:r>
              <w:rPr>
                <w:rStyle w:val="Body02BOLD"/>
                <w:bCs/>
                <w:color w:val="000000" w:themeColor="text1"/>
              </w:rPr>
              <w:t>China (excludes SARs and Taiwan)</w:t>
            </w:r>
          </w:p>
        </w:tc>
        <w:tc>
          <w:tcPr>
            <w:tcW w:w="696" w:type="pct"/>
            <w:tcBorders>
              <w:top w:val="single" w:sz="4" w:space="0" w:color="000000"/>
              <w:left w:val="single" w:sz="4" w:space="0" w:color="000000"/>
              <w:bottom w:val="single" w:sz="4" w:space="0" w:color="000000"/>
              <w:right w:val="single" w:sz="4" w:space="0" w:color="000000"/>
            </w:tcBorders>
            <w:vAlign w:val="center"/>
          </w:tcPr>
          <w:p w14:paraId="1177686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26,533</w:t>
            </w:r>
          </w:p>
        </w:tc>
        <w:tc>
          <w:tcPr>
            <w:tcW w:w="686" w:type="pct"/>
            <w:tcBorders>
              <w:top w:val="single" w:sz="4" w:space="0" w:color="000000"/>
              <w:left w:val="single" w:sz="4" w:space="0" w:color="000000"/>
              <w:bottom w:val="single" w:sz="4" w:space="0" w:color="000000"/>
              <w:right w:val="single" w:sz="4" w:space="0" w:color="000000"/>
            </w:tcBorders>
            <w:vAlign w:val="center"/>
          </w:tcPr>
          <w:p w14:paraId="2CED7297"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27.6</w:t>
            </w:r>
          </w:p>
        </w:tc>
        <w:tc>
          <w:tcPr>
            <w:tcW w:w="686" w:type="pct"/>
            <w:tcBorders>
              <w:top w:val="single" w:sz="4" w:space="0" w:color="000000"/>
              <w:left w:val="single" w:sz="4" w:space="0" w:color="000000"/>
              <w:bottom w:val="single" w:sz="4" w:space="0" w:color="000000"/>
              <w:right w:val="single" w:sz="4" w:space="0" w:color="000000"/>
            </w:tcBorders>
            <w:vAlign w:val="center"/>
          </w:tcPr>
          <w:p w14:paraId="2C51DAA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5,606</w:t>
            </w:r>
          </w:p>
        </w:tc>
        <w:tc>
          <w:tcPr>
            <w:tcW w:w="685" w:type="pct"/>
            <w:tcBorders>
              <w:top w:val="single" w:sz="4" w:space="0" w:color="000000"/>
              <w:left w:val="single" w:sz="4" w:space="0" w:color="000000"/>
              <w:bottom w:val="single" w:sz="4" w:space="0" w:color="000000"/>
              <w:right w:val="single" w:sz="4" w:space="0" w:color="000000"/>
            </w:tcBorders>
            <w:vAlign w:val="center"/>
          </w:tcPr>
          <w:p w14:paraId="5B3E23AA"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18.9</w:t>
            </w:r>
          </w:p>
        </w:tc>
      </w:tr>
      <w:tr w:rsidR="00217865" w:rsidRPr="00217865" w14:paraId="38CA2DB3" w14:textId="77777777" w:rsidTr="001E4C62">
        <w:trPr>
          <w:trHeight w:val="60"/>
        </w:trPr>
        <w:tc>
          <w:tcPr>
            <w:tcW w:w="1136" w:type="pct"/>
            <w:gridSpan w:val="2"/>
            <w:tcBorders>
              <w:left w:val="single" w:sz="4" w:space="0" w:color="000000"/>
              <w:right w:val="single" w:sz="4" w:space="0" w:color="000000"/>
            </w:tcBorders>
            <w:tcMar>
              <w:left w:w="57" w:type="dxa"/>
            </w:tcMar>
            <w:vAlign w:val="center"/>
          </w:tcPr>
          <w:p w14:paraId="4B35C7E8" w14:textId="409EC92B"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942E6B8"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India</w:t>
            </w:r>
          </w:p>
        </w:tc>
        <w:tc>
          <w:tcPr>
            <w:tcW w:w="696" w:type="pct"/>
            <w:tcBorders>
              <w:top w:val="single" w:sz="4" w:space="0" w:color="000000"/>
              <w:left w:val="single" w:sz="4" w:space="0" w:color="000000"/>
              <w:bottom w:val="single" w:sz="4" w:space="0" w:color="000000"/>
              <w:right w:val="single" w:sz="4" w:space="0" w:color="000000"/>
            </w:tcBorders>
            <w:vAlign w:val="center"/>
          </w:tcPr>
          <w:p w14:paraId="469A2012"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12,039</w:t>
            </w:r>
          </w:p>
        </w:tc>
        <w:tc>
          <w:tcPr>
            <w:tcW w:w="686" w:type="pct"/>
            <w:tcBorders>
              <w:top w:val="single" w:sz="4" w:space="0" w:color="000000"/>
              <w:left w:val="single" w:sz="4" w:space="0" w:color="000000"/>
              <w:bottom w:val="single" w:sz="4" w:space="0" w:color="000000"/>
              <w:right w:val="single" w:sz="4" w:space="0" w:color="000000"/>
            </w:tcBorders>
            <w:vAlign w:val="center"/>
          </w:tcPr>
          <w:p w14:paraId="21CD3CB7"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12.5</w:t>
            </w:r>
          </w:p>
        </w:tc>
        <w:tc>
          <w:tcPr>
            <w:tcW w:w="686" w:type="pct"/>
            <w:tcBorders>
              <w:top w:val="single" w:sz="4" w:space="0" w:color="000000"/>
              <w:left w:val="single" w:sz="4" w:space="0" w:color="000000"/>
              <w:bottom w:val="single" w:sz="4" w:space="0" w:color="000000"/>
              <w:right w:val="single" w:sz="4" w:space="0" w:color="000000"/>
            </w:tcBorders>
            <w:vAlign w:val="center"/>
          </w:tcPr>
          <w:p w14:paraId="599EFAB7"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3,499</w:t>
            </w:r>
          </w:p>
        </w:tc>
        <w:tc>
          <w:tcPr>
            <w:tcW w:w="685" w:type="pct"/>
            <w:tcBorders>
              <w:top w:val="single" w:sz="4" w:space="0" w:color="000000"/>
              <w:left w:val="single" w:sz="4" w:space="0" w:color="000000"/>
              <w:bottom w:val="single" w:sz="4" w:space="0" w:color="000000"/>
              <w:right w:val="single" w:sz="4" w:space="0" w:color="000000"/>
            </w:tcBorders>
            <w:vAlign w:val="center"/>
          </w:tcPr>
          <w:p w14:paraId="43052E33"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11.8</w:t>
            </w:r>
          </w:p>
        </w:tc>
      </w:tr>
      <w:tr w:rsidR="00217865" w:rsidRPr="00217865" w14:paraId="0D3C5CF7" w14:textId="77777777" w:rsidTr="001E4C62">
        <w:trPr>
          <w:trHeight w:val="60"/>
        </w:trPr>
        <w:tc>
          <w:tcPr>
            <w:tcW w:w="1136" w:type="pct"/>
            <w:gridSpan w:val="2"/>
            <w:tcBorders>
              <w:left w:val="single" w:sz="4" w:space="0" w:color="000000"/>
              <w:right w:val="single" w:sz="4" w:space="0" w:color="000000"/>
            </w:tcBorders>
            <w:tcMar>
              <w:left w:w="57" w:type="dxa"/>
            </w:tcMar>
            <w:vAlign w:val="center"/>
          </w:tcPr>
          <w:p w14:paraId="3F47F755" w14:textId="2698540F"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6E84069"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Nepal</w:t>
            </w:r>
          </w:p>
        </w:tc>
        <w:tc>
          <w:tcPr>
            <w:tcW w:w="696" w:type="pct"/>
            <w:tcBorders>
              <w:top w:val="single" w:sz="4" w:space="0" w:color="000000"/>
              <w:left w:val="single" w:sz="4" w:space="0" w:color="000000"/>
              <w:bottom w:val="single" w:sz="4" w:space="0" w:color="000000"/>
              <w:right w:val="single" w:sz="4" w:space="0" w:color="000000"/>
            </w:tcBorders>
            <w:vAlign w:val="center"/>
          </w:tcPr>
          <w:p w14:paraId="56FBCF64"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12,123</w:t>
            </w:r>
          </w:p>
        </w:tc>
        <w:tc>
          <w:tcPr>
            <w:tcW w:w="686" w:type="pct"/>
            <w:tcBorders>
              <w:top w:val="single" w:sz="4" w:space="0" w:color="000000"/>
              <w:left w:val="single" w:sz="4" w:space="0" w:color="000000"/>
              <w:bottom w:val="single" w:sz="4" w:space="0" w:color="000000"/>
              <w:right w:val="single" w:sz="4" w:space="0" w:color="000000"/>
            </w:tcBorders>
            <w:vAlign w:val="center"/>
          </w:tcPr>
          <w:p w14:paraId="1550019A"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12.6</w:t>
            </w:r>
          </w:p>
        </w:tc>
        <w:tc>
          <w:tcPr>
            <w:tcW w:w="686" w:type="pct"/>
            <w:tcBorders>
              <w:top w:val="single" w:sz="4" w:space="0" w:color="000000"/>
              <w:left w:val="single" w:sz="4" w:space="0" w:color="000000"/>
              <w:bottom w:val="single" w:sz="4" w:space="0" w:color="000000"/>
              <w:right w:val="single" w:sz="4" w:space="0" w:color="000000"/>
            </w:tcBorders>
            <w:vAlign w:val="center"/>
          </w:tcPr>
          <w:p w14:paraId="395A355B"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4,701</w:t>
            </w:r>
          </w:p>
        </w:tc>
        <w:tc>
          <w:tcPr>
            <w:tcW w:w="685" w:type="pct"/>
            <w:tcBorders>
              <w:top w:val="single" w:sz="4" w:space="0" w:color="000000"/>
              <w:left w:val="single" w:sz="4" w:space="0" w:color="000000"/>
              <w:bottom w:val="single" w:sz="4" w:space="0" w:color="000000"/>
              <w:right w:val="single" w:sz="4" w:space="0" w:color="000000"/>
            </w:tcBorders>
            <w:vAlign w:val="center"/>
          </w:tcPr>
          <w:p w14:paraId="54BDB7AD"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15.8</w:t>
            </w:r>
          </w:p>
        </w:tc>
      </w:tr>
      <w:tr w:rsidR="00217865" w:rsidRPr="00217865" w14:paraId="4A70C0DA" w14:textId="77777777" w:rsidTr="001E4C62">
        <w:trPr>
          <w:trHeight w:val="60"/>
        </w:trPr>
        <w:tc>
          <w:tcPr>
            <w:tcW w:w="1136" w:type="pct"/>
            <w:gridSpan w:val="2"/>
            <w:tcBorders>
              <w:left w:val="single" w:sz="4" w:space="0" w:color="000000"/>
              <w:right w:val="single" w:sz="4" w:space="0" w:color="000000"/>
            </w:tcBorders>
            <w:tcMar>
              <w:left w:w="57" w:type="dxa"/>
            </w:tcMar>
            <w:vAlign w:val="center"/>
          </w:tcPr>
          <w:p w14:paraId="5FC71F88" w14:textId="3CDD8A55"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511A043"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Vietnam</w:t>
            </w:r>
          </w:p>
        </w:tc>
        <w:tc>
          <w:tcPr>
            <w:tcW w:w="696" w:type="pct"/>
            <w:tcBorders>
              <w:top w:val="single" w:sz="4" w:space="0" w:color="000000"/>
              <w:left w:val="single" w:sz="4" w:space="0" w:color="000000"/>
              <w:bottom w:val="single" w:sz="4" w:space="0" w:color="000000"/>
              <w:right w:val="single" w:sz="4" w:space="0" w:color="000000"/>
            </w:tcBorders>
            <w:vAlign w:val="center"/>
          </w:tcPr>
          <w:p w14:paraId="403E0DD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6,034</w:t>
            </w:r>
          </w:p>
        </w:tc>
        <w:tc>
          <w:tcPr>
            <w:tcW w:w="686" w:type="pct"/>
            <w:tcBorders>
              <w:top w:val="single" w:sz="4" w:space="0" w:color="000000"/>
              <w:left w:val="single" w:sz="4" w:space="0" w:color="000000"/>
              <w:bottom w:val="single" w:sz="4" w:space="0" w:color="000000"/>
              <w:right w:val="single" w:sz="4" w:space="0" w:color="000000"/>
            </w:tcBorders>
            <w:vAlign w:val="center"/>
          </w:tcPr>
          <w:p w14:paraId="27A5F9B4"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6.3</w:t>
            </w:r>
          </w:p>
        </w:tc>
        <w:tc>
          <w:tcPr>
            <w:tcW w:w="686" w:type="pct"/>
            <w:tcBorders>
              <w:top w:val="single" w:sz="4" w:space="0" w:color="000000"/>
              <w:left w:val="single" w:sz="4" w:space="0" w:color="000000"/>
              <w:bottom w:val="single" w:sz="4" w:space="0" w:color="000000"/>
              <w:right w:val="single" w:sz="4" w:space="0" w:color="000000"/>
            </w:tcBorders>
            <w:vAlign w:val="center"/>
          </w:tcPr>
          <w:p w14:paraId="256926E3"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1,952</w:t>
            </w:r>
          </w:p>
        </w:tc>
        <w:tc>
          <w:tcPr>
            <w:tcW w:w="685" w:type="pct"/>
            <w:tcBorders>
              <w:top w:val="single" w:sz="4" w:space="0" w:color="000000"/>
              <w:left w:val="single" w:sz="4" w:space="0" w:color="000000"/>
              <w:bottom w:val="single" w:sz="4" w:space="0" w:color="000000"/>
              <w:right w:val="single" w:sz="4" w:space="0" w:color="000000"/>
            </w:tcBorders>
            <w:vAlign w:val="center"/>
          </w:tcPr>
          <w:p w14:paraId="4E05AAA8"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6.6</w:t>
            </w:r>
          </w:p>
        </w:tc>
      </w:tr>
      <w:tr w:rsidR="00217865" w:rsidRPr="00217865" w14:paraId="0A2311E0"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62A35285" w14:textId="1A10B247"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EA1A4AA"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Malaysia</w:t>
            </w:r>
          </w:p>
        </w:tc>
        <w:tc>
          <w:tcPr>
            <w:tcW w:w="696" w:type="pct"/>
            <w:tcBorders>
              <w:top w:val="single" w:sz="4" w:space="0" w:color="000000"/>
              <w:left w:val="single" w:sz="4" w:space="0" w:color="000000"/>
              <w:bottom w:val="single" w:sz="4" w:space="0" w:color="000000"/>
              <w:right w:val="single" w:sz="4" w:space="0" w:color="000000"/>
            </w:tcBorders>
            <w:vAlign w:val="center"/>
          </w:tcPr>
          <w:p w14:paraId="0A36DA43"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3,417</w:t>
            </w:r>
          </w:p>
        </w:tc>
        <w:tc>
          <w:tcPr>
            <w:tcW w:w="686" w:type="pct"/>
            <w:tcBorders>
              <w:top w:val="single" w:sz="4" w:space="0" w:color="000000"/>
              <w:left w:val="single" w:sz="4" w:space="0" w:color="000000"/>
              <w:bottom w:val="single" w:sz="4" w:space="0" w:color="000000"/>
              <w:right w:val="single" w:sz="4" w:space="0" w:color="000000"/>
            </w:tcBorders>
            <w:vAlign w:val="center"/>
          </w:tcPr>
          <w:p w14:paraId="75600145"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3.6</w:t>
            </w:r>
          </w:p>
        </w:tc>
        <w:tc>
          <w:tcPr>
            <w:tcW w:w="686" w:type="pct"/>
            <w:tcBorders>
              <w:top w:val="single" w:sz="4" w:space="0" w:color="000000"/>
              <w:left w:val="single" w:sz="4" w:space="0" w:color="000000"/>
              <w:bottom w:val="single" w:sz="4" w:space="0" w:color="000000"/>
              <w:right w:val="single" w:sz="4" w:space="0" w:color="000000"/>
            </w:tcBorders>
            <w:vAlign w:val="center"/>
          </w:tcPr>
          <w:p w14:paraId="7F1DB87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1,252</w:t>
            </w:r>
          </w:p>
        </w:tc>
        <w:tc>
          <w:tcPr>
            <w:tcW w:w="685" w:type="pct"/>
            <w:tcBorders>
              <w:top w:val="single" w:sz="4" w:space="0" w:color="000000"/>
              <w:left w:val="single" w:sz="4" w:space="0" w:color="000000"/>
              <w:bottom w:val="single" w:sz="4" w:space="0" w:color="000000"/>
              <w:right w:val="single" w:sz="4" w:space="0" w:color="000000"/>
            </w:tcBorders>
            <w:vAlign w:val="center"/>
          </w:tcPr>
          <w:p w14:paraId="323A8592"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4.2</w:t>
            </w:r>
          </w:p>
        </w:tc>
      </w:tr>
      <w:tr w:rsidR="00217865" w:rsidRPr="00217865" w14:paraId="74817714"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7E717E10"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Home language</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2FE14C9"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English</w:t>
            </w:r>
          </w:p>
        </w:tc>
        <w:tc>
          <w:tcPr>
            <w:tcW w:w="696" w:type="pct"/>
            <w:tcBorders>
              <w:top w:val="single" w:sz="4" w:space="0" w:color="000000"/>
              <w:left w:val="single" w:sz="4" w:space="0" w:color="000000"/>
              <w:bottom w:val="single" w:sz="4" w:space="0" w:color="000000"/>
              <w:right w:val="single" w:sz="4" w:space="0" w:color="000000"/>
            </w:tcBorders>
            <w:vAlign w:val="center"/>
          </w:tcPr>
          <w:p w14:paraId="48704F4A"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24,230</w:t>
            </w:r>
          </w:p>
        </w:tc>
        <w:tc>
          <w:tcPr>
            <w:tcW w:w="686" w:type="pct"/>
            <w:tcBorders>
              <w:top w:val="single" w:sz="4" w:space="0" w:color="000000"/>
              <w:left w:val="single" w:sz="4" w:space="0" w:color="000000"/>
              <w:bottom w:val="single" w:sz="4" w:space="0" w:color="000000"/>
              <w:right w:val="single" w:sz="4" w:space="0" w:color="000000"/>
            </w:tcBorders>
            <w:vAlign w:val="center"/>
          </w:tcPr>
          <w:p w14:paraId="179EB5C8"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25.2</w:t>
            </w:r>
          </w:p>
        </w:tc>
        <w:tc>
          <w:tcPr>
            <w:tcW w:w="686" w:type="pct"/>
            <w:tcBorders>
              <w:top w:val="single" w:sz="4" w:space="0" w:color="000000"/>
              <w:left w:val="single" w:sz="4" w:space="0" w:color="000000"/>
              <w:bottom w:val="single" w:sz="4" w:space="0" w:color="000000"/>
              <w:right w:val="single" w:sz="4" w:space="0" w:color="000000"/>
            </w:tcBorders>
            <w:vAlign w:val="center"/>
          </w:tcPr>
          <w:p w14:paraId="3EB082B6"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8,410</w:t>
            </w:r>
          </w:p>
        </w:tc>
        <w:tc>
          <w:tcPr>
            <w:tcW w:w="685" w:type="pct"/>
            <w:tcBorders>
              <w:top w:val="single" w:sz="4" w:space="0" w:color="000000"/>
              <w:left w:val="single" w:sz="4" w:space="0" w:color="000000"/>
              <w:bottom w:val="single" w:sz="4" w:space="0" w:color="000000"/>
              <w:right w:val="single" w:sz="4" w:space="0" w:color="000000"/>
            </w:tcBorders>
            <w:vAlign w:val="center"/>
          </w:tcPr>
          <w:p w14:paraId="14935DC8"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28.3</w:t>
            </w:r>
          </w:p>
        </w:tc>
      </w:tr>
      <w:tr w:rsidR="00217865" w:rsidRPr="00217865" w14:paraId="7E4BD731"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25C227AA" w14:textId="6E976230"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4785FBA"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Other</w:t>
            </w:r>
          </w:p>
        </w:tc>
        <w:tc>
          <w:tcPr>
            <w:tcW w:w="696" w:type="pct"/>
            <w:tcBorders>
              <w:top w:val="single" w:sz="4" w:space="0" w:color="000000"/>
              <w:left w:val="single" w:sz="4" w:space="0" w:color="000000"/>
              <w:bottom w:val="single" w:sz="4" w:space="0" w:color="000000"/>
              <w:right w:val="single" w:sz="4" w:space="0" w:color="000000"/>
            </w:tcBorders>
            <w:vAlign w:val="center"/>
          </w:tcPr>
          <w:p w14:paraId="38FD3A89"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71,733</w:t>
            </w:r>
          </w:p>
        </w:tc>
        <w:tc>
          <w:tcPr>
            <w:tcW w:w="686" w:type="pct"/>
            <w:tcBorders>
              <w:top w:val="single" w:sz="4" w:space="0" w:color="000000"/>
              <w:left w:val="single" w:sz="4" w:space="0" w:color="000000"/>
              <w:bottom w:val="single" w:sz="4" w:space="0" w:color="000000"/>
              <w:right w:val="single" w:sz="4" w:space="0" w:color="000000"/>
            </w:tcBorders>
            <w:vAlign w:val="center"/>
          </w:tcPr>
          <w:p w14:paraId="65BB7D0C"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74.8</w:t>
            </w:r>
          </w:p>
        </w:tc>
        <w:tc>
          <w:tcPr>
            <w:tcW w:w="686" w:type="pct"/>
            <w:tcBorders>
              <w:top w:val="single" w:sz="4" w:space="0" w:color="000000"/>
              <w:left w:val="single" w:sz="4" w:space="0" w:color="000000"/>
              <w:bottom w:val="single" w:sz="4" w:space="0" w:color="000000"/>
              <w:right w:val="single" w:sz="4" w:space="0" w:color="000000"/>
            </w:tcBorders>
            <w:vAlign w:val="center"/>
          </w:tcPr>
          <w:p w14:paraId="64B9290C"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21,284</w:t>
            </w:r>
          </w:p>
        </w:tc>
        <w:tc>
          <w:tcPr>
            <w:tcW w:w="685" w:type="pct"/>
            <w:tcBorders>
              <w:top w:val="single" w:sz="4" w:space="0" w:color="000000"/>
              <w:left w:val="single" w:sz="4" w:space="0" w:color="000000"/>
              <w:bottom w:val="single" w:sz="4" w:space="0" w:color="000000"/>
              <w:right w:val="single" w:sz="4" w:space="0" w:color="000000"/>
            </w:tcBorders>
            <w:vAlign w:val="center"/>
          </w:tcPr>
          <w:p w14:paraId="2E689C95"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71.7</w:t>
            </w:r>
          </w:p>
        </w:tc>
      </w:tr>
      <w:tr w:rsidR="00217865" w:rsidRPr="00217865" w14:paraId="418EDB80" w14:textId="77777777" w:rsidTr="001E4C62">
        <w:trPr>
          <w:trHeight w:val="60"/>
        </w:trPr>
        <w:tc>
          <w:tcPr>
            <w:tcW w:w="1136" w:type="pct"/>
            <w:gridSpan w:val="2"/>
            <w:tcBorders>
              <w:top w:val="single" w:sz="4" w:space="0" w:color="000000"/>
              <w:left w:val="single" w:sz="4" w:space="0" w:color="000000"/>
              <w:right w:val="single" w:sz="4" w:space="0" w:color="000000"/>
            </w:tcBorders>
            <w:tcMar>
              <w:left w:w="57" w:type="dxa"/>
            </w:tcMar>
            <w:vAlign w:val="center"/>
          </w:tcPr>
          <w:p w14:paraId="3E8B758D"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Disability</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7297AB7"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Disability reported</w:t>
            </w:r>
          </w:p>
        </w:tc>
        <w:tc>
          <w:tcPr>
            <w:tcW w:w="696" w:type="pct"/>
            <w:tcBorders>
              <w:top w:val="single" w:sz="4" w:space="0" w:color="000000"/>
              <w:left w:val="single" w:sz="4" w:space="0" w:color="000000"/>
              <w:bottom w:val="single" w:sz="4" w:space="0" w:color="000000"/>
              <w:right w:val="single" w:sz="4" w:space="0" w:color="000000"/>
            </w:tcBorders>
            <w:vAlign w:val="center"/>
          </w:tcPr>
          <w:p w14:paraId="5D5585D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6,695</w:t>
            </w:r>
          </w:p>
        </w:tc>
        <w:tc>
          <w:tcPr>
            <w:tcW w:w="686" w:type="pct"/>
            <w:tcBorders>
              <w:top w:val="single" w:sz="4" w:space="0" w:color="000000"/>
              <w:left w:val="single" w:sz="4" w:space="0" w:color="000000"/>
              <w:bottom w:val="single" w:sz="4" w:space="0" w:color="000000"/>
              <w:right w:val="single" w:sz="4" w:space="0" w:color="000000"/>
            </w:tcBorders>
            <w:vAlign w:val="center"/>
          </w:tcPr>
          <w:p w14:paraId="34FB5368"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7.0</w:t>
            </w:r>
          </w:p>
        </w:tc>
        <w:tc>
          <w:tcPr>
            <w:tcW w:w="686" w:type="pct"/>
            <w:tcBorders>
              <w:top w:val="single" w:sz="4" w:space="0" w:color="000000"/>
              <w:left w:val="single" w:sz="4" w:space="0" w:color="000000"/>
              <w:bottom w:val="single" w:sz="4" w:space="0" w:color="000000"/>
              <w:right w:val="single" w:sz="4" w:space="0" w:color="000000"/>
            </w:tcBorders>
            <w:vAlign w:val="center"/>
          </w:tcPr>
          <w:p w14:paraId="28BB8444"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2,557</w:t>
            </w:r>
          </w:p>
        </w:tc>
        <w:tc>
          <w:tcPr>
            <w:tcW w:w="685" w:type="pct"/>
            <w:tcBorders>
              <w:top w:val="single" w:sz="4" w:space="0" w:color="000000"/>
              <w:left w:val="single" w:sz="4" w:space="0" w:color="000000"/>
              <w:bottom w:val="single" w:sz="4" w:space="0" w:color="000000"/>
              <w:right w:val="single" w:sz="4" w:space="0" w:color="000000"/>
            </w:tcBorders>
            <w:vAlign w:val="center"/>
          </w:tcPr>
          <w:p w14:paraId="3CCDE31E"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8.6</w:t>
            </w:r>
          </w:p>
        </w:tc>
      </w:tr>
      <w:tr w:rsidR="00217865" w:rsidRPr="00217865" w14:paraId="78DF97D5" w14:textId="77777777" w:rsidTr="001E4C62">
        <w:trPr>
          <w:trHeight w:val="60"/>
        </w:trPr>
        <w:tc>
          <w:tcPr>
            <w:tcW w:w="1136" w:type="pct"/>
            <w:gridSpan w:val="2"/>
            <w:tcBorders>
              <w:left w:val="single" w:sz="4" w:space="0" w:color="000000"/>
              <w:bottom w:val="single" w:sz="4" w:space="0" w:color="000000"/>
              <w:right w:val="single" w:sz="4" w:space="0" w:color="000000"/>
            </w:tcBorders>
            <w:tcMar>
              <w:left w:w="57" w:type="dxa"/>
            </w:tcMar>
            <w:vAlign w:val="center"/>
          </w:tcPr>
          <w:p w14:paraId="2087A308" w14:textId="00D7B715"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E86221B" w14:textId="77777777"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No disability reported</w:t>
            </w:r>
          </w:p>
        </w:tc>
        <w:tc>
          <w:tcPr>
            <w:tcW w:w="696" w:type="pct"/>
            <w:tcBorders>
              <w:top w:val="single" w:sz="4" w:space="0" w:color="000000"/>
              <w:left w:val="single" w:sz="4" w:space="0" w:color="000000"/>
              <w:bottom w:val="single" w:sz="4" w:space="0" w:color="000000"/>
              <w:right w:val="single" w:sz="4" w:space="0" w:color="000000"/>
            </w:tcBorders>
            <w:vAlign w:val="center"/>
          </w:tcPr>
          <w:p w14:paraId="4AD72220"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89,268</w:t>
            </w:r>
          </w:p>
        </w:tc>
        <w:tc>
          <w:tcPr>
            <w:tcW w:w="686" w:type="pct"/>
            <w:tcBorders>
              <w:top w:val="single" w:sz="4" w:space="0" w:color="000000"/>
              <w:left w:val="single" w:sz="4" w:space="0" w:color="000000"/>
              <w:bottom w:val="single" w:sz="4" w:space="0" w:color="000000"/>
              <w:right w:val="single" w:sz="4" w:space="0" w:color="000000"/>
            </w:tcBorders>
            <w:vAlign w:val="center"/>
          </w:tcPr>
          <w:p w14:paraId="3A4507EE"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93.0</w:t>
            </w:r>
          </w:p>
        </w:tc>
        <w:tc>
          <w:tcPr>
            <w:tcW w:w="686" w:type="pct"/>
            <w:tcBorders>
              <w:top w:val="single" w:sz="4" w:space="0" w:color="000000"/>
              <w:left w:val="single" w:sz="4" w:space="0" w:color="000000"/>
              <w:bottom w:val="single" w:sz="4" w:space="0" w:color="000000"/>
              <w:right w:val="single" w:sz="4" w:space="0" w:color="000000"/>
            </w:tcBorders>
            <w:vAlign w:val="center"/>
          </w:tcPr>
          <w:p w14:paraId="054E1B4B" w14:textId="77777777" w:rsidR="00821227" w:rsidRPr="00217865" w:rsidRDefault="00821227" w:rsidP="001E4C62">
            <w:pPr>
              <w:pStyle w:val="Tabletextcentred"/>
              <w:spacing w:before="60" w:after="60"/>
              <w:rPr>
                <w:rStyle w:val="Body02BOLD"/>
                <w:b w:val="0"/>
                <w:bCs/>
                <w:color w:val="000000" w:themeColor="text1"/>
                <w:szCs w:val="18"/>
                <w:highlight w:val="yellow"/>
              </w:rPr>
            </w:pPr>
            <w:r w:rsidRPr="00217865">
              <w:rPr>
                <w:rFonts w:ascii="Arial" w:hAnsi="Arial" w:cs="Arial"/>
                <w:color w:val="000000" w:themeColor="text1"/>
                <w:szCs w:val="18"/>
              </w:rPr>
              <w:t>27,137</w:t>
            </w:r>
          </w:p>
        </w:tc>
        <w:tc>
          <w:tcPr>
            <w:tcW w:w="685" w:type="pct"/>
            <w:tcBorders>
              <w:top w:val="single" w:sz="4" w:space="0" w:color="000000"/>
              <w:left w:val="single" w:sz="4" w:space="0" w:color="000000"/>
              <w:bottom w:val="single" w:sz="4" w:space="0" w:color="000000"/>
              <w:right w:val="single" w:sz="4" w:space="0" w:color="000000"/>
            </w:tcBorders>
            <w:vAlign w:val="center"/>
          </w:tcPr>
          <w:p w14:paraId="2079B9F4"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91.4</w:t>
            </w:r>
          </w:p>
        </w:tc>
      </w:tr>
      <w:tr w:rsidR="00217865" w:rsidRPr="00217865" w14:paraId="4EC05157" w14:textId="77777777" w:rsidTr="001E4C62">
        <w:trPr>
          <w:trHeight w:val="467"/>
        </w:trPr>
        <w:tc>
          <w:tcPr>
            <w:tcW w:w="1136" w:type="pct"/>
            <w:gridSpan w:val="2"/>
            <w:tcBorders>
              <w:top w:val="single" w:sz="4" w:space="0" w:color="000000"/>
              <w:left w:val="single" w:sz="4" w:space="0" w:color="000000"/>
              <w:right w:val="single" w:sz="4" w:space="0" w:color="000000"/>
            </w:tcBorders>
            <w:vAlign w:val="center"/>
          </w:tcPr>
          <w:p w14:paraId="34D0D08C" w14:textId="429FB096"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Study mode†</w:t>
            </w:r>
          </w:p>
        </w:tc>
        <w:tc>
          <w:tcPr>
            <w:tcW w:w="1111" w:type="pct"/>
            <w:tcBorders>
              <w:top w:val="single" w:sz="4" w:space="0" w:color="000000"/>
              <w:left w:val="single" w:sz="4" w:space="0" w:color="000000"/>
              <w:bottom w:val="single" w:sz="4" w:space="0" w:color="000000"/>
              <w:right w:val="single" w:sz="4" w:space="0" w:color="000000"/>
            </w:tcBorders>
            <w:vAlign w:val="center"/>
          </w:tcPr>
          <w:p w14:paraId="49DD629A" w14:textId="03464A08"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Internal/Mixed study mode</w:t>
            </w:r>
          </w:p>
        </w:tc>
        <w:tc>
          <w:tcPr>
            <w:tcW w:w="696" w:type="pct"/>
            <w:tcBorders>
              <w:top w:val="single" w:sz="4" w:space="0" w:color="000000"/>
              <w:left w:val="single" w:sz="4" w:space="0" w:color="000000"/>
              <w:bottom w:val="single" w:sz="4" w:space="0" w:color="000000"/>
              <w:right w:val="single" w:sz="4" w:space="0" w:color="000000"/>
            </w:tcBorders>
            <w:vAlign w:val="center"/>
          </w:tcPr>
          <w:p w14:paraId="4D1C7C52"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92,778</w:t>
            </w:r>
          </w:p>
        </w:tc>
        <w:tc>
          <w:tcPr>
            <w:tcW w:w="686" w:type="pct"/>
            <w:tcBorders>
              <w:top w:val="single" w:sz="4" w:space="0" w:color="000000"/>
              <w:left w:val="single" w:sz="4" w:space="0" w:color="000000"/>
              <w:bottom w:val="single" w:sz="4" w:space="0" w:color="000000"/>
              <w:right w:val="single" w:sz="4" w:space="0" w:color="000000"/>
            </w:tcBorders>
            <w:vAlign w:val="center"/>
          </w:tcPr>
          <w:p w14:paraId="58DA2F7A"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96.7</w:t>
            </w:r>
          </w:p>
        </w:tc>
        <w:tc>
          <w:tcPr>
            <w:tcW w:w="686" w:type="pct"/>
            <w:tcBorders>
              <w:top w:val="single" w:sz="4" w:space="0" w:color="000000"/>
              <w:left w:val="single" w:sz="4" w:space="0" w:color="000000"/>
              <w:bottom w:val="single" w:sz="4" w:space="0" w:color="000000"/>
              <w:right w:val="single" w:sz="4" w:space="0" w:color="000000"/>
            </w:tcBorders>
            <w:vAlign w:val="center"/>
          </w:tcPr>
          <w:p w14:paraId="455C456B"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28,918</w:t>
            </w:r>
          </w:p>
        </w:tc>
        <w:tc>
          <w:tcPr>
            <w:tcW w:w="685" w:type="pct"/>
            <w:tcBorders>
              <w:top w:val="single" w:sz="4" w:space="0" w:color="000000"/>
              <w:left w:val="single" w:sz="4" w:space="0" w:color="000000"/>
              <w:bottom w:val="single" w:sz="4" w:space="0" w:color="000000"/>
              <w:right w:val="single" w:sz="4" w:space="0" w:color="000000"/>
            </w:tcBorders>
            <w:vAlign w:val="center"/>
          </w:tcPr>
          <w:p w14:paraId="7FDFFB80"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97.4</w:t>
            </w:r>
          </w:p>
        </w:tc>
      </w:tr>
      <w:tr w:rsidR="00217865" w:rsidRPr="00217865" w14:paraId="6FB18C2B" w14:textId="77777777" w:rsidTr="001E4C62">
        <w:trPr>
          <w:trHeight w:val="416"/>
        </w:trPr>
        <w:tc>
          <w:tcPr>
            <w:tcW w:w="1136" w:type="pct"/>
            <w:gridSpan w:val="2"/>
            <w:tcBorders>
              <w:left w:val="single" w:sz="4" w:space="0" w:color="000000"/>
              <w:bottom w:val="single" w:sz="4" w:space="0" w:color="000000"/>
              <w:right w:val="single" w:sz="4" w:space="0" w:color="000000"/>
            </w:tcBorders>
            <w:vAlign w:val="center"/>
          </w:tcPr>
          <w:p w14:paraId="42FD498D" w14:textId="6E3EF8B2" w:rsidR="00821227" w:rsidRPr="00217865" w:rsidRDefault="00CF00B5" w:rsidP="001E4C62">
            <w:pPr>
              <w:pStyle w:val="Tabletext"/>
              <w:spacing w:before="60" w:after="60"/>
              <w:rPr>
                <w:rStyle w:val="Body02BOLD"/>
                <w:b w:val="0"/>
                <w:bCs/>
                <w:color w:val="000000" w:themeColor="text1"/>
              </w:rPr>
            </w:pPr>
            <w:r>
              <w:rPr>
                <w:rStyle w:val="Body02BOLD"/>
                <w:b w:val="0"/>
                <w:bCs/>
                <w:color w:val="000000" w:themeColor="text1"/>
              </w:rPr>
              <w:t>-</w:t>
            </w:r>
          </w:p>
        </w:tc>
        <w:tc>
          <w:tcPr>
            <w:tcW w:w="1111" w:type="pct"/>
            <w:tcBorders>
              <w:top w:val="single" w:sz="4" w:space="0" w:color="000000"/>
              <w:left w:val="single" w:sz="4" w:space="0" w:color="000000"/>
              <w:bottom w:val="single" w:sz="4" w:space="0" w:color="000000"/>
              <w:right w:val="single" w:sz="4" w:space="0" w:color="000000"/>
            </w:tcBorders>
            <w:vAlign w:val="center"/>
          </w:tcPr>
          <w:p w14:paraId="09FB82FD" w14:textId="3A92B8B9" w:rsidR="00821227" w:rsidRPr="00217865" w:rsidRDefault="00821227" w:rsidP="001E4C62">
            <w:pPr>
              <w:pStyle w:val="Tabletext"/>
              <w:spacing w:before="60" w:after="60"/>
              <w:rPr>
                <w:rStyle w:val="Body02BOLD"/>
                <w:b w:val="0"/>
                <w:bCs/>
                <w:color w:val="000000" w:themeColor="text1"/>
              </w:rPr>
            </w:pPr>
            <w:r w:rsidRPr="00217865">
              <w:rPr>
                <w:rStyle w:val="Body02BOLD"/>
                <w:bCs/>
                <w:color w:val="000000" w:themeColor="text1"/>
              </w:rPr>
              <w:t>External study mode</w:t>
            </w:r>
          </w:p>
        </w:tc>
        <w:tc>
          <w:tcPr>
            <w:tcW w:w="696" w:type="pct"/>
            <w:tcBorders>
              <w:top w:val="single" w:sz="4" w:space="0" w:color="000000"/>
              <w:left w:val="single" w:sz="4" w:space="0" w:color="000000"/>
              <w:bottom w:val="single" w:sz="4" w:space="0" w:color="000000"/>
              <w:right w:val="single" w:sz="4" w:space="0" w:color="000000"/>
            </w:tcBorders>
            <w:vAlign w:val="center"/>
          </w:tcPr>
          <w:p w14:paraId="10DCD272"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3,142</w:t>
            </w:r>
          </w:p>
        </w:tc>
        <w:tc>
          <w:tcPr>
            <w:tcW w:w="686" w:type="pct"/>
            <w:tcBorders>
              <w:top w:val="single" w:sz="4" w:space="0" w:color="000000"/>
              <w:left w:val="single" w:sz="4" w:space="0" w:color="000000"/>
              <w:bottom w:val="single" w:sz="4" w:space="0" w:color="000000"/>
              <w:right w:val="single" w:sz="4" w:space="0" w:color="000000"/>
            </w:tcBorders>
            <w:vAlign w:val="center"/>
          </w:tcPr>
          <w:p w14:paraId="02820B2D"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3.3</w:t>
            </w:r>
          </w:p>
        </w:tc>
        <w:tc>
          <w:tcPr>
            <w:tcW w:w="686" w:type="pct"/>
            <w:tcBorders>
              <w:top w:val="single" w:sz="4" w:space="0" w:color="000000"/>
              <w:left w:val="single" w:sz="4" w:space="0" w:color="000000"/>
              <w:bottom w:val="single" w:sz="4" w:space="0" w:color="000000"/>
              <w:right w:val="single" w:sz="4" w:space="0" w:color="000000"/>
            </w:tcBorders>
            <w:vAlign w:val="center"/>
          </w:tcPr>
          <w:p w14:paraId="51F373D2" w14:textId="77777777" w:rsidR="00821227" w:rsidRPr="00217865" w:rsidRDefault="00821227" w:rsidP="001E4C62">
            <w:pPr>
              <w:pStyle w:val="Z"/>
              <w:spacing w:before="60" w:after="60"/>
              <w:jc w:val="center"/>
              <w:rPr>
                <w:rStyle w:val="Body02BOLD"/>
                <w:b w:val="0"/>
                <w:color w:val="000000" w:themeColor="text1"/>
                <w:szCs w:val="18"/>
                <w:highlight w:val="yellow"/>
              </w:rPr>
            </w:pPr>
            <w:r w:rsidRPr="00217865">
              <w:rPr>
                <w:color w:val="000000" w:themeColor="text1"/>
                <w:szCs w:val="18"/>
              </w:rPr>
              <w:t>764</w:t>
            </w:r>
          </w:p>
        </w:tc>
        <w:tc>
          <w:tcPr>
            <w:tcW w:w="685" w:type="pct"/>
            <w:tcBorders>
              <w:top w:val="single" w:sz="4" w:space="0" w:color="000000"/>
              <w:left w:val="single" w:sz="4" w:space="0" w:color="000000"/>
              <w:bottom w:val="single" w:sz="4" w:space="0" w:color="000000"/>
              <w:right w:val="single" w:sz="4" w:space="0" w:color="000000"/>
            </w:tcBorders>
            <w:vAlign w:val="center"/>
          </w:tcPr>
          <w:p w14:paraId="03AF1B28" w14:textId="77777777" w:rsidR="00821227" w:rsidRPr="00217865" w:rsidRDefault="00821227" w:rsidP="001E4C62">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2.6</w:t>
            </w:r>
          </w:p>
        </w:tc>
      </w:tr>
      <w:tr w:rsidR="00217865" w:rsidRPr="00217865" w14:paraId="14B8EFD4" w14:textId="77777777" w:rsidTr="001E4C62">
        <w:trPr>
          <w:trHeight w:val="552"/>
        </w:trPr>
        <w:tc>
          <w:tcPr>
            <w:tcW w:w="1123" w:type="pct"/>
            <w:tcBorders>
              <w:top w:val="single" w:sz="4" w:space="0" w:color="000000"/>
              <w:left w:val="single" w:sz="4" w:space="0" w:color="000000"/>
              <w:bottom w:val="single" w:sz="4" w:space="0" w:color="000000"/>
              <w:right w:val="single" w:sz="4" w:space="0" w:color="000000"/>
            </w:tcBorders>
            <w:vAlign w:val="center"/>
          </w:tcPr>
          <w:p w14:paraId="5B8A4DBA" w14:textId="77777777" w:rsidR="001E4C62" w:rsidRPr="00217865" w:rsidRDefault="001E4C62" w:rsidP="001E4C62">
            <w:pPr>
              <w:pStyle w:val="Tabletext"/>
              <w:spacing w:before="60" w:after="60"/>
              <w:rPr>
                <w:rStyle w:val="Body02BOLD"/>
                <w:color w:val="000000" w:themeColor="text1"/>
              </w:rPr>
            </w:pPr>
            <w:r w:rsidRPr="00217865">
              <w:rPr>
                <w:rStyle w:val="Body02BOLD"/>
                <w:color w:val="000000" w:themeColor="text1"/>
              </w:rPr>
              <w:t>Total</w:t>
            </w:r>
          </w:p>
        </w:tc>
        <w:tc>
          <w:tcPr>
            <w:tcW w:w="1124" w:type="pct"/>
            <w:gridSpan w:val="2"/>
            <w:tcBorders>
              <w:top w:val="single" w:sz="4" w:space="0" w:color="000000"/>
              <w:left w:val="single" w:sz="4" w:space="0" w:color="000000"/>
              <w:bottom w:val="single" w:sz="4" w:space="0" w:color="000000"/>
              <w:right w:val="single" w:sz="4" w:space="0" w:color="000000"/>
            </w:tcBorders>
            <w:vAlign w:val="center"/>
          </w:tcPr>
          <w:p w14:paraId="095B4822" w14:textId="63D4CC8F" w:rsidR="001E4C62" w:rsidRPr="00217865" w:rsidRDefault="001E4C62" w:rsidP="001E4C62">
            <w:pPr>
              <w:pStyle w:val="Tabletext"/>
              <w:spacing w:before="60" w:after="60"/>
              <w:rPr>
                <w:rStyle w:val="Body02BOLD"/>
                <w:color w:val="000000" w:themeColor="text1"/>
              </w:rPr>
            </w:pPr>
            <w:r w:rsidRPr="00217865">
              <w:rPr>
                <w:rStyle w:val="Body02BOLD"/>
                <w:color w:val="000000" w:themeColor="text1"/>
              </w:rPr>
              <w:t>-</w:t>
            </w:r>
          </w:p>
        </w:tc>
        <w:tc>
          <w:tcPr>
            <w:tcW w:w="696" w:type="pct"/>
            <w:tcBorders>
              <w:top w:val="single" w:sz="4" w:space="0" w:color="000000"/>
              <w:left w:val="single" w:sz="4" w:space="0" w:color="000000"/>
              <w:bottom w:val="single" w:sz="4" w:space="0" w:color="000000"/>
              <w:right w:val="single" w:sz="4" w:space="0" w:color="000000"/>
            </w:tcBorders>
            <w:vAlign w:val="center"/>
          </w:tcPr>
          <w:p w14:paraId="0DEAF33B" w14:textId="77777777" w:rsidR="001E4C62" w:rsidRPr="00217865" w:rsidRDefault="001E4C62" w:rsidP="001E4C62">
            <w:pPr>
              <w:pStyle w:val="Z"/>
              <w:spacing w:before="60" w:after="60"/>
              <w:jc w:val="center"/>
              <w:rPr>
                <w:rStyle w:val="Body02BOLD"/>
                <w:b w:val="0"/>
                <w:bCs/>
                <w:color w:val="000000" w:themeColor="text1"/>
                <w:szCs w:val="18"/>
                <w:highlight w:val="yellow"/>
              </w:rPr>
            </w:pPr>
            <w:r w:rsidRPr="00217865">
              <w:rPr>
                <w:color w:val="000000" w:themeColor="text1"/>
                <w:szCs w:val="18"/>
              </w:rPr>
              <w:t>95,963</w:t>
            </w:r>
          </w:p>
        </w:tc>
        <w:tc>
          <w:tcPr>
            <w:tcW w:w="686" w:type="pct"/>
            <w:tcBorders>
              <w:top w:val="single" w:sz="4" w:space="0" w:color="000000"/>
              <w:left w:val="single" w:sz="4" w:space="0" w:color="000000"/>
              <w:bottom w:val="single" w:sz="4" w:space="0" w:color="000000"/>
              <w:right w:val="single" w:sz="4" w:space="0" w:color="000000"/>
            </w:tcBorders>
            <w:vAlign w:val="center"/>
          </w:tcPr>
          <w:p w14:paraId="0981DEBA" w14:textId="77777777" w:rsidR="001E4C62" w:rsidRPr="00217865" w:rsidRDefault="001E4C62" w:rsidP="001E4C62">
            <w:pPr>
              <w:pStyle w:val="Z"/>
              <w:spacing w:before="60" w:after="60"/>
              <w:jc w:val="center"/>
              <w:rPr>
                <w:rStyle w:val="Body02BOLD"/>
                <w:b w:val="0"/>
                <w:bCs/>
                <w:color w:val="000000" w:themeColor="text1"/>
                <w:szCs w:val="18"/>
                <w:highlight w:val="yellow"/>
              </w:rPr>
            </w:pPr>
            <w:r w:rsidRPr="00217865">
              <w:rPr>
                <w:color w:val="000000" w:themeColor="text1"/>
                <w:szCs w:val="18"/>
              </w:rPr>
              <w:t>100.0</w:t>
            </w:r>
          </w:p>
        </w:tc>
        <w:tc>
          <w:tcPr>
            <w:tcW w:w="686" w:type="pct"/>
            <w:tcBorders>
              <w:top w:val="single" w:sz="4" w:space="0" w:color="000000"/>
              <w:left w:val="single" w:sz="4" w:space="0" w:color="000000"/>
              <w:bottom w:val="single" w:sz="4" w:space="0" w:color="000000"/>
              <w:right w:val="single" w:sz="4" w:space="0" w:color="000000"/>
            </w:tcBorders>
            <w:vAlign w:val="center"/>
          </w:tcPr>
          <w:p w14:paraId="564A3333" w14:textId="77777777" w:rsidR="001E4C62" w:rsidRPr="00217865" w:rsidRDefault="001E4C62" w:rsidP="001E4C62">
            <w:pPr>
              <w:pStyle w:val="Z"/>
              <w:spacing w:before="60" w:after="60"/>
              <w:jc w:val="center"/>
              <w:rPr>
                <w:rStyle w:val="Body02BOLD"/>
                <w:b w:val="0"/>
                <w:bCs/>
                <w:color w:val="000000" w:themeColor="text1"/>
                <w:szCs w:val="18"/>
                <w:highlight w:val="yellow"/>
              </w:rPr>
            </w:pPr>
            <w:r w:rsidRPr="00217865">
              <w:rPr>
                <w:color w:val="000000" w:themeColor="text1"/>
                <w:szCs w:val="18"/>
              </w:rPr>
              <w:t>29,694</w:t>
            </w:r>
          </w:p>
        </w:tc>
        <w:tc>
          <w:tcPr>
            <w:tcW w:w="685" w:type="pct"/>
            <w:tcBorders>
              <w:top w:val="single" w:sz="4" w:space="0" w:color="000000"/>
              <w:left w:val="single" w:sz="4" w:space="0" w:color="000000"/>
              <w:bottom w:val="single" w:sz="4" w:space="0" w:color="000000"/>
              <w:right w:val="single" w:sz="4" w:space="0" w:color="000000"/>
            </w:tcBorders>
            <w:vAlign w:val="center"/>
          </w:tcPr>
          <w:p w14:paraId="779B1D1E" w14:textId="77777777" w:rsidR="001E4C62" w:rsidRPr="00217865" w:rsidRDefault="001E4C62" w:rsidP="001E4C62">
            <w:pPr>
              <w:pStyle w:val="Z"/>
              <w:spacing w:before="60" w:after="60"/>
              <w:jc w:val="center"/>
              <w:rPr>
                <w:rStyle w:val="Body02BOLD"/>
                <w:b w:val="0"/>
                <w:bCs/>
                <w:color w:val="000000" w:themeColor="text1"/>
                <w:szCs w:val="18"/>
                <w:highlight w:val="yellow"/>
              </w:rPr>
            </w:pPr>
            <w:r w:rsidRPr="00217865">
              <w:rPr>
                <w:color w:val="000000" w:themeColor="text1"/>
                <w:szCs w:val="18"/>
              </w:rPr>
              <w:t>100.0</w:t>
            </w:r>
          </w:p>
        </w:tc>
      </w:tr>
    </w:tbl>
    <w:p w14:paraId="15D54919" w14:textId="77777777" w:rsidR="00821227" w:rsidRPr="00CF00B5" w:rsidRDefault="00821227" w:rsidP="001E4C62">
      <w:pPr>
        <w:pStyle w:val="Noteupdate"/>
        <w:spacing w:before="120"/>
        <w:rPr>
          <w:color w:val="000000" w:themeColor="text1"/>
          <w:sz w:val="18"/>
          <w:szCs w:val="18"/>
        </w:rPr>
      </w:pPr>
      <w:r w:rsidRPr="00CF00B5">
        <w:rPr>
          <w:color w:val="000000" w:themeColor="text1"/>
          <w:sz w:val="18"/>
          <w:szCs w:val="18"/>
        </w:rPr>
        <w:t xml:space="preserve">*Some subgroups many </w:t>
      </w:r>
      <w:proofErr w:type="gramStart"/>
      <w:r w:rsidRPr="00CF00B5">
        <w:rPr>
          <w:color w:val="000000" w:themeColor="text1"/>
          <w:sz w:val="18"/>
          <w:szCs w:val="18"/>
        </w:rPr>
        <w:t>not add</w:t>
      </w:r>
      <w:proofErr w:type="gramEnd"/>
      <w:r w:rsidRPr="00CF00B5">
        <w:rPr>
          <w:color w:val="000000" w:themeColor="text1"/>
          <w:sz w:val="18"/>
          <w:szCs w:val="18"/>
        </w:rPr>
        <w:t xml:space="preserve"> to 100 per cent due to missing data.</w:t>
      </w:r>
    </w:p>
    <w:p w14:paraId="3261F696" w14:textId="77777777" w:rsidR="00821227" w:rsidRPr="00CF00B5" w:rsidRDefault="00821227" w:rsidP="00821227">
      <w:pPr>
        <w:pStyle w:val="Noteupdate"/>
        <w:rPr>
          <w:color w:val="000000" w:themeColor="text1"/>
          <w:sz w:val="18"/>
          <w:szCs w:val="18"/>
        </w:rPr>
      </w:pPr>
      <w:r w:rsidRPr="00CF00B5">
        <w:rPr>
          <w:color w:val="000000" w:themeColor="text1"/>
          <w:sz w:val="18"/>
          <w:szCs w:val="18"/>
        </w:rPr>
        <w:t>**Later year includes Middle year students where for NUHEIs, a census was conducted (refer to 2023 SES Methodological Report for more details).</w:t>
      </w:r>
    </w:p>
    <w:p w14:paraId="733D9C4D" w14:textId="77777777" w:rsidR="00821227" w:rsidRPr="00CF00B5" w:rsidRDefault="00821227" w:rsidP="00821227">
      <w:pPr>
        <w:pStyle w:val="Noteupdate"/>
        <w:rPr>
          <w:color w:val="000000" w:themeColor="text1"/>
          <w:sz w:val="18"/>
          <w:szCs w:val="18"/>
        </w:rPr>
      </w:pPr>
      <w:r w:rsidRPr="00CF00B5">
        <w:rPr>
          <w:color w:val="000000" w:themeColor="text1"/>
          <w:sz w:val="18"/>
          <w:szCs w:val="18"/>
        </w:rPr>
        <w:t>† Institutions appear to have taken different approaches to reporting students’ mode of study in 2023, with inconsistencies in the reporting of internal/mixed mode and external study modes. Therefore, these figures should be treated with caution.</w:t>
      </w:r>
    </w:p>
    <w:p w14:paraId="1DA21E93" w14:textId="77777777" w:rsidR="00821227" w:rsidRPr="00217865" w:rsidRDefault="00821227" w:rsidP="00821227">
      <w:pPr>
        <w:pStyle w:val="Note"/>
        <w:rPr>
          <w:rFonts w:ascii="Arial" w:hAnsi="Arial" w:cs="Arial"/>
          <w:color w:val="000000" w:themeColor="text1"/>
          <w:highlight w:val="yellow"/>
        </w:rPr>
      </w:pPr>
    </w:p>
    <w:p w14:paraId="6F7BB6C1" w14:textId="52A1CD56" w:rsidR="00821227" w:rsidRPr="00217865" w:rsidRDefault="00821227" w:rsidP="00821227">
      <w:pPr>
        <w:pStyle w:val="Body"/>
        <w:rPr>
          <w:rFonts w:cs="Arial"/>
          <w:color w:val="000000" w:themeColor="text1"/>
        </w:rPr>
      </w:pPr>
      <w:r w:rsidRPr="00217865">
        <w:rPr>
          <w:rFonts w:cs="Arial"/>
          <w:color w:val="000000" w:themeColor="text1"/>
        </w:rPr>
        <w:lastRenderedPageBreak/>
        <w:t>The sample also closely matched the in-scope population in terms of study area (see</w:t>
      </w:r>
      <w:r w:rsidR="001E2723">
        <w:rPr>
          <w:rFonts w:cs="Arial"/>
          <w:color w:val="000000" w:themeColor="text1"/>
        </w:rPr>
        <w:t xml:space="preserve"> </w:t>
      </w:r>
      <w:r w:rsidRPr="001E2723">
        <w:rPr>
          <w:rFonts w:cs="Arial"/>
          <w:b/>
          <w:color w:val="000000" w:themeColor="text1"/>
        </w:rPr>
        <w:fldChar w:fldCharType="begin"/>
      </w:r>
      <w:r w:rsidRPr="001E2723">
        <w:rPr>
          <w:rFonts w:cs="Arial"/>
          <w:b/>
          <w:color w:val="000000" w:themeColor="text1"/>
        </w:rPr>
        <w:instrText xml:space="preserve"> REF _Ref66261560 \h  \* MERGEFORMAT </w:instrText>
      </w:r>
      <w:r w:rsidRPr="001E2723">
        <w:rPr>
          <w:rFonts w:cs="Arial"/>
          <w:b/>
          <w:color w:val="000000" w:themeColor="text1"/>
        </w:rPr>
      </w:r>
      <w:r w:rsidRPr="001E2723">
        <w:rPr>
          <w:rFonts w:cs="Arial"/>
          <w:b/>
          <w:color w:val="000000" w:themeColor="text1"/>
        </w:rPr>
        <w:fldChar w:fldCharType="separate"/>
      </w:r>
      <w:r w:rsidR="005D5678" w:rsidRPr="001E2723">
        <w:rPr>
          <w:b/>
        </w:rPr>
        <w:t xml:space="preserve">Table </w:t>
      </w:r>
      <w:r w:rsidR="005D5678" w:rsidRPr="001E2723">
        <w:rPr>
          <w:b/>
          <w:noProof/>
        </w:rPr>
        <w:t>15</w:t>
      </w:r>
      <w:r w:rsidRPr="001E2723">
        <w:rPr>
          <w:rFonts w:cs="Arial"/>
          <w:b/>
          <w:color w:val="000000" w:themeColor="text1"/>
        </w:rPr>
        <w:fldChar w:fldCharType="end"/>
      </w:r>
      <w:r w:rsidRPr="00217865">
        <w:rPr>
          <w:rFonts w:cs="Arial"/>
          <w:color w:val="000000" w:themeColor="text1"/>
        </w:rPr>
        <w:t xml:space="preserve">). Again, consistent with previous surveys in the series, the largest difference between achieved sample and the population parameters was observed in relation to the Business and management study area for international undergraduate students by 5.6 percentage points. Much smaller differences between the responding sample and population parameters were observed in other study areas. </w:t>
      </w:r>
    </w:p>
    <w:p w14:paraId="781F03A5" w14:textId="77777777" w:rsidR="00821227" w:rsidRPr="00217865" w:rsidRDefault="00821227" w:rsidP="00821227">
      <w:pPr>
        <w:pStyle w:val="Body"/>
        <w:rPr>
          <w:rFonts w:cs="Arial"/>
          <w:color w:val="000000" w:themeColor="text1"/>
        </w:rPr>
      </w:pPr>
      <w:r w:rsidRPr="00217865">
        <w:rPr>
          <w:rFonts w:cs="Arial"/>
          <w:color w:val="000000" w:themeColor="text1"/>
        </w:rPr>
        <w:t>In 2023, the largest study area in the international undergraduate population was Business and management with 30.0 per cent. Computing and information systems with 16.1 per cent was the second highest overall, followed by Nursing, 8.3 per cent, and Engineering with 7.4 per cent. In total, these four study areas constitute 61.8 per cent of the international undergraduate SES higher education population.</w:t>
      </w:r>
    </w:p>
    <w:p w14:paraId="58DBC2C2" w14:textId="77777777" w:rsidR="00821227" w:rsidRPr="00217865" w:rsidRDefault="00821227" w:rsidP="00821227">
      <w:pPr>
        <w:pStyle w:val="Body"/>
        <w:rPr>
          <w:rFonts w:cs="Arial"/>
          <w:color w:val="000000" w:themeColor="text1"/>
        </w:rPr>
      </w:pPr>
      <w:r w:rsidRPr="00217865">
        <w:rPr>
          <w:rFonts w:cs="Arial"/>
          <w:color w:val="000000" w:themeColor="text1"/>
        </w:rPr>
        <w:t>Further to the under-representation of males, and other groups identified above, in the achieved SES sample, the impact of post stratification weighting based on stratum variables has been reviewed each year since 2014.</w:t>
      </w:r>
    </w:p>
    <w:p w14:paraId="01CB6306" w14:textId="77777777" w:rsidR="00821227" w:rsidRPr="00217865" w:rsidRDefault="00821227" w:rsidP="00821227">
      <w:pPr>
        <w:pStyle w:val="Body"/>
        <w:rPr>
          <w:rFonts w:cs="Arial"/>
          <w:color w:val="000000" w:themeColor="text1"/>
        </w:rPr>
      </w:pPr>
      <w:r w:rsidRPr="00217865">
        <w:rPr>
          <w:rFonts w:cs="Arial"/>
          <w:color w:val="000000" w:themeColor="text1"/>
        </w:rPr>
        <w:t xml:space="preserve">Post stratification weighting </w:t>
      </w:r>
      <w:bookmarkStart w:id="325" w:name="_Hlk532557980"/>
      <w:r w:rsidRPr="00217865">
        <w:rPr>
          <w:rFonts w:cs="Arial"/>
          <w:color w:val="000000" w:themeColor="text1"/>
        </w:rPr>
        <w:t>has consistently been found to not significantly affect the results at a national level</w:t>
      </w:r>
      <w:bookmarkEnd w:id="325"/>
      <w:r w:rsidRPr="00217865">
        <w:rPr>
          <w:rFonts w:cs="Arial"/>
          <w:color w:val="000000" w:themeColor="text1"/>
        </w:rPr>
        <w:t xml:space="preserve">. To minimise complexity for the reader and maintain consistency with previous National Reports, SES data is presented without applying weights. </w:t>
      </w:r>
    </w:p>
    <w:p w14:paraId="72A288C9" w14:textId="0D19A551" w:rsidR="00821227" w:rsidRPr="00217865" w:rsidRDefault="00821227" w:rsidP="0081215D">
      <w:pPr>
        <w:pStyle w:val="Tabletitle"/>
        <w:rPr>
          <w:i/>
          <w:iCs/>
        </w:rPr>
      </w:pPr>
      <w:bookmarkStart w:id="326" w:name="_Ref66261560"/>
      <w:bookmarkStart w:id="327" w:name="_Toc178599380"/>
      <w:r w:rsidRPr="00217865">
        <w:t xml:space="preserve">Table </w:t>
      </w:r>
      <w:r w:rsidRPr="00217865">
        <w:rPr>
          <w:i/>
          <w:iCs/>
        </w:rPr>
        <w:fldChar w:fldCharType="begin"/>
      </w:r>
      <w:r w:rsidRPr="00217865">
        <w:instrText xml:space="preserve"> SEQ Table \* ARABIC </w:instrText>
      </w:r>
      <w:r w:rsidRPr="00217865">
        <w:rPr>
          <w:i/>
          <w:iCs/>
        </w:rPr>
        <w:fldChar w:fldCharType="separate"/>
      </w:r>
      <w:r w:rsidR="005D5678">
        <w:rPr>
          <w:noProof/>
        </w:rPr>
        <w:t>15</w:t>
      </w:r>
      <w:r w:rsidRPr="00217865">
        <w:rPr>
          <w:i/>
          <w:iCs/>
        </w:rPr>
        <w:fldChar w:fldCharType="end"/>
      </w:r>
      <w:bookmarkStart w:id="328" w:name="_Hlk70412755"/>
      <w:bookmarkEnd w:id="326"/>
      <w:r w:rsidR="00CF00B5">
        <w:rPr>
          <w:i/>
          <w:iCs/>
        </w:rPr>
        <w:tab/>
      </w:r>
      <w:r w:rsidRPr="00217865">
        <w:t>2023 International undergraduate SES student response characteristics and population parameters by study area</w:t>
      </w:r>
      <w:bookmarkEnd w:id="327"/>
      <w:bookmarkEnd w:id="328"/>
    </w:p>
    <w:tbl>
      <w:tblPr>
        <w:tblW w:w="5000" w:type="pct"/>
        <w:tblCellMar>
          <w:left w:w="0" w:type="dxa"/>
          <w:right w:w="0" w:type="dxa"/>
        </w:tblCellMar>
        <w:tblLook w:val="0000" w:firstRow="0" w:lastRow="0" w:firstColumn="0" w:lastColumn="0" w:noHBand="0" w:noVBand="0"/>
      </w:tblPr>
      <w:tblGrid>
        <w:gridCol w:w="4306"/>
        <w:gridCol w:w="1536"/>
        <w:gridCol w:w="1536"/>
        <w:gridCol w:w="1536"/>
        <w:gridCol w:w="1536"/>
      </w:tblGrid>
      <w:tr w:rsidR="00217865" w:rsidRPr="00217865" w14:paraId="71E31EB6" w14:textId="77777777" w:rsidTr="001E4C62">
        <w:trPr>
          <w:trHeight w:val="180"/>
          <w:tblHeader/>
        </w:trPr>
        <w:tc>
          <w:tcPr>
            <w:tcW w:w="2060" w:type="pct"/>
            <w:tcBorders>
              <w:top w:val="single" w:sz="4" w:space="0" w:color="000000"/>
              <w:left w:val="single" w:sz="4" w:space="0" w:color="000000"/>
              <w:bottom w:val="single" w:sz="4" w:space="0" w:color="000000"/>
              <w:right w:val="single" w:sz="4" w:space="0" w:color="000000"/>
            </w:tcBorders>
            <w:tcMar>
              <w:top w:w="113" w:type="dxa"/>
              <w:left w:w="80" w:type="dxa"/>
              <w:bottom w:w="113" w:type="dxa"/>
              <w:right w:w="57" w:type="dxa"/>
            </w:tcMar>
            <w:vAlign w:val="bottom"/>
          </w:tcPr>
          <w:p w14:paraId="60667C48" w14:textId="332C8B66" w:rsidR="00821227" w:rsidRPr="00217865" w:rsidRDefault="00E13525" w:rsidP="001E4C62">
            <w:pPr>
              <w:pStyle w:val="zz"/>
              <w:framePr w:wrap="auto"/>
              <w:spacing w:before="60" w:after="60"/>
              <w:jc w:val="left"/>
              <w:rPr>
                <w:rFonts w:ascii="Arial" w:hAnsi="Arial" w:cs="Arial"/>
                <w:color w:val="000000" w:themeColor="text1"/>
                <w:lang w:val="en-US"/>
              </w:rPr>
            </w:pPr>
            <w:r>
              <w:rPr>
                <w:rFonts w:ascii="Arial" w:hAnsi="Arial" w:cs="Arial"/>
                <w:color w:val="000000" w:themeColor="text1"/>
              </w:rPr>
              <w:t>S</w:t>
            </w:r>
            <w:r w:rsidR="00821227" w:rsidRPr="00217865">
              <w:rPr>
                <w:rFonts w:ascii="Arial" w:hAnsi="Arial" w:cs="Arial"/>
                <w:color w:val="000000" w:themeColor="text1"/>
              </w:rPr>
              <w:t>tudy area</w:t>
            </w:r>
            <w:bookmarkStart w:id="329" w:name="Title_15"/>
            <w:bookmarkEnd w:id="329"/>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56BAD143" w14:textId="77777777" w:rsidR="00821227" w:rsidRPr="00217865" w:rsidRDefault="00821227" w:rsidP="001E4C62">
            <w:pPr>
              <w:pStyle w:val="zz"/>
              <w:framePr w:wrap="auto"/>
              <w:spacing w:before="60" w:after="60"/>
              <w:rPr>
                <w:rFonts w:ascii="Arial" w:hAnsi="Arial" w:cs="Arial"/>
                <w:color w:val="000000" w:themeColor="text1"/>
                <w:lang w:val="en-US"/>
              </w:rPr>
            </w:pPr>
            <w:r w:rsidRPr="00217865">
              <w:rPr>
                <w:rFonts w:ascii="Arial" w:hAnsi="Arial" w:cs="Arial"/>
                <w:color w:val="000000" w:themeColor="text1"/>
              </w:rPr>
              <w:t>In-scope population: n</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57FAE1E3" w14:textId="77777777" w:rsidR="00821227" w:rsidRPr="00217865" w:rsidRDefault="00821227" w:rsidP="001E4C62">
            <w:pPr>
              <w:pStyle w:val="zz"/>
              <w:framePr w:wrap="auto"/>
              <w:spacing w:before="60" w:after="60"/>
              <w:rPr>
                <w:rFonts w:ascii="Arial" w:hAnsi="Arial" w:cs="Arial"/>
                <w:color w:val="000000" w:themeColor="text1"/>
                <w:lang w:val="en-US"/>
              </w:rPr>
            </w:pPr>
            <w:r w:rsidRPr="00217865">
              <w:rPr>
                <w:rFonts w:ascii="Arial" w:hAnsi="Arial" w:cs="Arial"/>
                <w:color w:val="000000" w:themeColor="text1"/>
              </w:rPr>
              <w:t>In-scope population: %</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4EB8A68B" w14:textId="77777777" w:rsidR="00821227" w:rsidRPr="00217865" w:rsidRDefault="00821227" w:rsidP="001E4C62">
            <w:pPr>
              <w:pStyle w:val="zz"/>
              <w:framePr w:wrap="auto"/>
              <w:spacing w:before="60" w:after="60"/>
              <w:rPr>
                <w:rFonts w:ascii="Arial" w:hAnsi="Arial" w:cs="Arial"/>
                <w:color w:val="000000" w:themeColor="text1"/>
                <w:lang w:val="en-US"/>
              </w:rPr>
            </w:pPr>
            <w:r w:rsidRPr="00217865">
              <w:rPr>
                <w:rFonts w:ascii="Arial" w:hAnsi="Arial" w:cs="Arial"/>
                <w:color w:val="000000" w:themeColor="text1"/>
              </w:rPr>
              <w:t>SES respondents: n</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1CD9FD9D" w14:textId="77777777" w:rsidR="00821227" w:rsidRPr="00217865" w:rsidRDefault="00821227" w:rsidP="001E4C62">
            <w:pPr>
              <w:pStyle w:val="zz"/>
              <w:framePr w:wrap="auto"/>
              <w:spacing w:before="60" w:after="60"/>
              <w:rPr>
                <w:rFonts w:ascii="Arial" w:hAnsi="Arial" w:cs="Arial"/>
                <w:color w:val="000000" w:themeColor="text1"/>
                <w:lang w:val="en-US"/>
              </w:rPr>
            </w:pPr>
            <w:r w:rsidRPr="00217865">
              <w:rPr>
                <w:rFonts w:ascii="Arial" w:hAnsi="Arial" w:cs="Arial"/>
                <w:color w:val="000000" w:themeColor="text1"/>
              </w:rPr>
              <w:t>SES respondents: %</w:t>
            </w:r>
          </w:p>
        </w:tc>
      </w:tr>
      <w:tr w:rsidR="00217865" w:rsidRPr="00217865" w14:paraId="538968AC"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11E328A" w14:textId="1223326A" w:rsidR="00821227" w:rsidRPr="00217865" w:rsidRDefault="00075230" w:rsidP="001E4C62">
            <w:pPr>
              <w:pStyle w:val="Z"/>
              <w:spacing w:before="60" w:after="60"/>
              <w:rPr>
                <w:color w:val="000000" w:themeColor="text1"/>
                <w:szCs w:val="18"/>
              </w:rPr>
            </w:pPr>
            <w:r w:rsidRPr="00217865">
              <w:rPr>
                <w:color w:val="000000" w:themeColor="text1"/>
                <w:szCs w:val="18"/>
              </w:rPr>
              <w:t>Agriculture and environmental studies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E85ACE0" w14:textId="6B51D55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468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945F7ED" w14:textId="3D72335D"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C44FDF7" w14:textId="612938A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168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DCFAF6A" w14:textId="056F052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0.6</w:t>
            </w:r>
          </w:p>
        </w:tc>
      </w:tr>
      <w:tr w:rsidR="00217865" w:rsidRPr="00217865" w14:paraId="53BD0F0D"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59816F5E" w14:textId="0F269D7D" w:rsidR="00821227" w:rsidRPr="00217865" w:rsidRDefault="00075230" w:rsidP="001E4C62">
            <w:pPr>
              <w:pStyle w:val="Z"/>
              <w:spacing w:before="60" w:after="60"/>
              <w:rPr>
                <w:color w:val="000000" w:themeColor="text1"/>
                <w:szCs w:val="18"/>
              </w:rPr>
            </w:pPr>
            <w:r w:rsidRPr="00217865">
              <w:rPr>
                <w:color w:val="000000" w:themeColor="text1"/>
                <w:szCs w:val="18"/>
              </w:rPr>
              <w:t>Architecture and built environment</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59A3DAB" w14:textId="57748DD7"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2,948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93C9EC4" w14:textId="2D724B3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5A39048" w14:textId="14BD7712"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868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EE2F426" w14:textId="438DB672"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2.9</w:t>
            </w:r>
          </w:p>
        </w:tc>
      </w:tr>
      <w:tr w:rsidR="00217865" w:rsidRPr="00217865" w14:paraId="28793C2C"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16F736DF" w14:textId="2E9D0324" w:rsidR="00821227" w:rsidRPr="00217865" w:rsidRDefault="00075230" w:rsidP="001E4C62">
            <w:pPr>
              <w:pStyle w:val="Z"/>
              <w:spacing w:before="60" w:after="60"/>
              <w:rPr>
                <w:color w:val="000000" w:themeColor="text1"/>
                <w:szCs w:val="18"/>
              </w:rPr>
            </w:pPr>
            <w:r w:rsidRPr="00217865">
              <w:rPr>
                <w:color w:val="000000" w:themeColor="text1"/>
                <w:szCs w:val="18"/>
              </w:rPr>
              <w:t>Business and management</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500D7FD" w14:textId="588E39B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29,299</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C6AC99F" w14:textId="634A1AAB"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30.0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7C5A1E5" w14:textId="2CEDFA7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7,364</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3E08C76" w14:textId="40AFB4F3"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24.4</w:t>
            </w:r>
          </w:p>
        </w:tc>
      </w:tr>
      <w:tr w:rsidR="00217865" w:rsidRPr="00217865" w14:paraId="34B59A1A"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4E062B64" w14:textId="2FBDADD0" w:rsidR="00821227" w:rsidRPr="00217865" w:rsidRDefault="00075230" w:rsidP="001E4C62">
            <w:pPr>
              <w:pStyle w:val="Z"/>
              <w:spacing w:before="60" w:after="60"/>
              <w:rPr>
                <w:color w:val="000000" w:themeColor="text1"/>
                <w:szCs w:val="18"/>
              </w:rPr>
            </w:pPr>
            <w:r w:rsidRPr="00217865">
              <w:rPr>
                <w:color w:val="000000" w:themeColor="text1"/>
                <w:szCs w:val="18"/>
              </w:rPr>
              <w:t>Communications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DBB7923" w14:textId="1AC1CEB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3,128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C231D6F" w14:textId="1825221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A2D36D7" w14:textId="639AC39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805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39DB856" w14:textId="434E913C"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2.7</w:t>
            </w:r>
          </w:p>
        </w:tc>
      </w:tr>
      <w:tr w:rsidR="00217865" w:rsidRPr="00217865" w14:paraId="410CB163"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5E5AFA3" w14:textId="38267DAB" w:rsidR="00821227" w:rsidRPr="00217865" w:rsidRDefault="00075230" w:rsidP="001E4C62">
            <w:pPr>
              <w:pStyle w:val="Z"/>
              <w:spacing w:before="60" w:after="60"/>
              <w:rPr>
                <w:color w:val="000000" w:themeColor="text1"/>
                <w:szCs w:val="18"/>
              </w:rPr>
            </w:pPr>
            <w:r w:rsidRPr="00217865">
              <w:rPr>
                <w:color w:val="000000" w:themeColor="text1"/>
                <w:szCs w:val="18"/>
              </w:rPr>
              <w:t>Computing and information systems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78FD209" w14:textId="37AFDEE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15,735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3798A98" w14:textId="7107900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16.1</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8C6D591" w14:textId="4A2D07ED"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4,692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EFBE854" w14:textId="3C95EF8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15.5</w:t>
            </w:r>
          </w:p>
        </w:tc>
      </w:tr>
      <w:tr w:rsidR="00217865" w:rsidRPr="00217865" w14:paraId="70982AC4"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1EFDF8C3" w14:textId="77C607B0" w:rsidR="00821227" w:rsidRPr="00217865" w:rsidRDefault="00075230" w:rsidP="001E4C62">
            <w:pPr>
              <w:pStyle w:val="Z"/>
              <w:spacing w:before="60" w:after="60"/>
              <w:rPr>
                <w:color w:val="000000" w:themeColor="text1"/>
                <w:szCs w:val="18"/>
              </w:rPr>
            </w:pPr>
            <w:r w:rsidRPr="00217865">
              <w:rPr>
                <w:color w:val="000000" w:themeColor="text1"/>
                <w:szCs w:val="18"/>
              </w:rPr>
              <w:t>Creative arts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03D037F" w14:textId="0321DA23"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3,518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FBBCA86" w14:textId="44BA131B"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25530AD" w14:textId="317BDAF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1,020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93926F5" w14:textId="778BEC4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3.4</w:t>
            </w:r>
          </w:p>
        </w:tc>
      </w:tr>
      <w:tr w:rsidR="00217865" w:rsidRPr="00217865" w14:paraId="3F49D73B"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18AD9006" w14:textId="4DF4429F" w:rsidR="00821227" w:rsidRPr="00217865" w:rsidRDefault="00075230" w:rsidP="001E4C62">
            <w:pPr>
              <w:pStyle w:val="Z"/>
              <w:spacing w:before="60" w:after="60"/>
              <w:rPr>
                <w:color w:val="000000" w:themeColor="text1"/>
                <w:szCs w:val="18"/>
              </w:rPr>
            </w:pPr>
            <w:r w:rsidRPr="00217865">
              <w:rPr>
                <w:color w:val="000000" w:themeColor="text1"/>
                <w:szCs w:val="18"/>
              </w:rPr>
              <w:t>Dentistry</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57B0288" w14:textId="2EACBE1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338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B1CF8C4" w14:textId="3404E9D2"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0.3</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1805D7B" w14:textId="3B8AEDFD"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117</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48F0F46" w14:textId="5BD8CE70"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0.4</w:t>
            </w:r>
          </w:p>
        </w:tc>
      </w:tr>
      <w:tr w:rsidR="00217865" w:rsidRPr="00217865" w14:paraId="0D3EB3B5"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0ED2D45E" w14:textId="6DE4D910" w:rsidR="00821227" w:rsidRPr="00217865" w:rsidRDefault="00075230" w:rsidP="001E4C62">
            <w:pPr>
              <w:pStyle w:val="Z"/>
              <w:spacing w:before="60" w:after="60"/>
              <w:rPr>
                <w:color w:val="000000" w:themeColor="text1"/>
                <w:szCs w:val="18"/>
              </w:rPr>
            </w:pPr>
            <w:r w:rsidRPr="00217865">
              <w:rPr>
                <w:color w:val="000000" w:themeColor="text1"/>
                <w:szCs w:val="18"/>
              </w:rPr>
              <w:t>Engineering</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929DD22" w14:textId="7F68326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7,260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6154A06" w14:textId="5B6248F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7.4</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9C5BEDD" w14:textId="649745A9"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2,061</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23819B3" w14:textId="1A585B3C"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6.8</w:t>
            </w:r>
          </w:p>
        </w:tc>
      </w:tr>
      <w:tr w:rsidR="00217865" w:rsidRPr="00217865" w14:paraId="367C79BC"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980EBC3" w14:textId="4AB0C36B" w:rsidR="00821227" w:rsidRPr="00217865" w:rsidRDefault="00075230" w:rsidP="001E4C62">
            <w:pPr>
              <w:pStyle w:val="Z"/>
              <w:spacing w:before="60" w:after="60"/>
              <w:rPr>
                <w:color w:val="000000" w:themeColor="text1"/>
                <w:szCs w:val="18"/>
              </w:rPr>
            </w:pPr>
            <w:r w:rsidRPr="00217865">
              <w:rPr>
                <w:color w:val="000000" w:themeColor="text1"/>
                <w:szCs w:val="18"/>
              </w:rPr>
              <w:t>Health services and support</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1E17CD8" w14:textId="7A45C9AB"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3,225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27F3E9D" w14:textId="6256913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3.3</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691E633" w14:textId="2E0ED58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1,232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6391235" w14:textId="0A23A73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4.1</w:t>
            </w:r>
          </w:p>
        </w:tc>
      </w:tr>
      <w:tr w:rsidR="00217865" w:rsidRPr="00217865" w14:paraId="76A85B6A"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6056EC26" w14:textId="14D2C1C6" w:rsidR="00821227" w:rsidRPr="00217865" w:rsidRDefault="00075230" w:rsidP="001E4C62">
            <w:pPr>
              <w:pStyle w:val="Z"/>
              <w:spacing w:before="60" w:after="60"/>
              <w:rPr>
                <w:color w:val="000000" w:themeColor="text1"/>
                <w:szCs w:val="18"/>
              </w:rPr>
            </w:pPr>
            <w:r w:rsidRPr="00217865">
              <w:rPr>
                <w:color w:val="000000" w:themeColor="text1"/>
                <w:szCs w:val="18"/>
              </w:rPr>
              <w:t>Humanities, culture and social sciences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1AE5942" w14:textId="746085C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5,383</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8A2D839" w14:textId="35F8C34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5.5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A4DD2BC" w14:textId="2368B6F1"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1,454</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69A407A" w14:textId="033EF2D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4.8</w:t>
            </w:r>
          </w:p>
        </w:tc>
      </w:tr>
      <w:tr w:rsidR="00217865" w:rsidRPr="00217865" w14:paraId="78076058"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3C7DC35" w14:textId="20F74A9F" w:rsidR="00821227" w:rsidRPr="00217865" w:rsidRDefault="00075230" w:rsidP="001E4C62">
            <w:pPr>
              <w:pStyle w:val="Z"/>
              <w:spacing w:before="60" w:after="60"/>
              <w:rPr>
                <w:color w:val="000000" w:themeColor="text1"/>
                <w:szCs w:val="18"/>
              </w:rPr>
            </w:pPr>
            <w:r w:rsidRPr="00217865">
              <w:rPr>
                <w:color w:val="000000" w:themeColor="text1"/>
                <w:szCs w:val="18"/>
              </w:rPr>
              <w:t>Law and paralegal studies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557A9E9" w14:textId="49F67CCC"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572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F1DFC26" w14:textId="101E701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C5F39F7" w14:textId="7ABEA48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181</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C3F6B63" w14:textId="7EBAB32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0.6</w:t>
            </w:r>
          </w:p>
        </w:tc>
      </w:tr>
      <w:tr w:rsidR="00217865" w:rsidRPr="00217865" w14:paraId="58A08935"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4E0816B0" w14:textId="5B77860E" w:rsidR="00821227" w:rsidRPr="00217865" w:rsidRDefault="00075230" w:rsidP="001E4C62">
            <w:pPr>
              <w:pStyle w:val="Z"/>
              <w:spacing w:before="60" w:after="60"/>
              <w:rPr>
                <w:color w:val="000000" w:themeColor="text1"/>
                <w:szCs w:val="18"/>
              </w:rPr>
            </w:pPr>
            <w:r w:rsidRPr="00217865">
              <w:rPr>
                <w:color w:val="000000" w:themeColor="text1"/>
                <w:szCs w:val="18"/>
              </w:rPr>
              <w:t>Medicine</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75B4E8E" w14:textId="135EAB6B"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850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4E177A6" w14:textId="31E2E3A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0.9</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8B801E3" w14:textId="6844C8A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300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62D0835" w14:textId="31D2649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1.0</w:t>
            </w:r>
          </w:p>
        </w:tc>
      </w:tr>
      <w:tr w:rsidR="00217865" w:rsidRPr="00217865" w14:paraId="4E306F3F"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21BC99B0" w14:textId="6F6AD2D8" w:rsidR="00821227" w:rsidRPr="00217865" w:rsidRDefault="00075230" w:rsidP="001E4C62">
            <w:pPr>
              <w:pStyle w:val="Z"/>
              <w:spacing w:before="60" w:after="60"/>
              <w:rPr>
                <w:color w:val="000000" w:themeColor="text1"/>
                <w:szCs w:val="18"/>
              </w:rPr>
            </w:pPr>
            <w:r w:rsidRPr="00217865">
              <w:rPr>
                <w:color w:val="000000" w:themeColor="text1"/>
                <w:szCs w:val="18"/>
              </w:rPr>
              <w:t>Nursing</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B60A9D6" w14:textId="70279350"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8,151</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66059B9" w14:textId="394B652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8.3</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95EE606" w14:textId="1C74D4E7"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3,504</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8AB4986" w14:textId="491850D3"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11.6</w:t>
            </w:r>
          </w:p>
        </w:tc>
      </w:tr>
      <w:tr w:rsidR="00217865" w:rsidRPr="00217865" w14:paraId="44EA572C"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328AE5C" w14:textId="44E17D41" w:rsidR="00821227" w:rsidRPr="00217865" w:rsidRDefault="00075230" w:rsidP="001E4C62">
            <w:pPr>
              <w:pStyle w:val="Z"/>
              <w:spacing w:before="60" w:after="60"/>
              <w:rPr>
                <w:color w:val="000000" w:themeColor="text1"/>
                <w:szCs w:val="18"/>
              </w:rPr>
            </w:pPr>
            <w:r w:rsidRPr="00217865">
              <w:rPr>
                <w:color w:val="000000" w:themeColor="text1"/>
                <w:szCs w:val="18"/>
              </w:rPr>
              <w:t>Pharmacy</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AB5DD88" w14:textId="198EEED9"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822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E0089A3" w14:textId="1B6DB23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5AD2D40" w14:textId="5A5A57A5"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296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FADAD9D" w14:textId="56E13E37"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1.0</w:t>
            </w:r>
          </w:p>
        </w:tc>
      </w:tr>
      <w:tr w:rsidR="00217865" w:rsidRPr="00217865" w14:paraId="5B2F51CE"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6D1F05A1" w14:textId="1A1CA5B1" w:rsidR="00821227" w:rsidRPr="00217865" w:rsidRDefault="00075230" w:rsidP="001E4C62">
            <w:pPr>
              <w:pStyle w:val="Z"/>
              <w:spacing w:before="60" w:after="60"/>
              <w:rPr>
                <w:color w:val="000000" w:themeColor="text1"/>
                <w:szCs w:val="18"/>
              </w:rPr>
            </w:pPr>
            <w:r w:rsidRPr="00217865">
              <w:rPr>
                <w:color w:val="000000" w:themeColor="text1"/>
                <w:szCs w:val="18"/>
              </w:rPr>
              <w:t>Psychology</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A27D8BD" w14:textId="580D2561"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1,336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5B2B030" w14:textId="0B5FEF4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1.4</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31DFFFF" w14:textId="7A6B45FD"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547</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0F2BC51" w14:textId="0068FAE4"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w:t>
            </w:r>
            <w:r w:rsidR="00821227" w:rsidRPr="00217865">
              <w:rPr>
                <w:color w:val="000000" w:themeColor="text1"/>
                <w:szCs w:val="18"/>
              </w:rPr>
              <w:t>8</w:t>
            </w:r>
          </w:p>
        </w:tc>
      </w:tr>
      <w:tr w:rsidR="00217865" w:rsidRPr="00217865" w14:paraId="6B16D546"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416238A2" w14:textId="566DB998" w:rsidR="00821227" w:rsidRPr="00217865" w:rsidRDefault="00075230" w:rsidP="001E4C62">
            <w:pPr>
              <w:pStyle w:val="Z"/>
              <w:spacing w:before="60" w:after="60"/>
              <w:rPr>
                <w:color w:val="000000" w:themeColor="text1"/>
                <w:szCs w:val="18"/>
              </w:rPr>
            </w:pPr>
            <w:r w:rsidRPr="00217865">
              <w:rPr>
                <w:color w:val="000000" w:themeColor="text1"/>
                <w:szCs w:val="18"/>
              </w:rPr>
              <w:t>Rehabilitation</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0236ECC" w14:textId="4A75E1F9"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776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A5E810C" w14:textId="276AE8F2"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w:t>
            </w:r>
            <w:r w:rsidR="00821227" w:rsidRPr="00217865">
              <w:rPr>
                <w:color w:val="000000" w:themeColor="text1"/>
                <w:szCs w:val="18"/>
              </w:rPr>
              <w:t>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689636E" w14:textId="4B775D70"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285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FB84408" w14:textId="3D485D24"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0.9</w:t>
            </w:r>
          </w:p>
        </w:tc>
      </w:tr>
      <w:tr w:rsidR="00217865" w:rsidRPr="00217865" w14:paraId="3117B538"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6600CD9F" w14:textId="1C2A048C" w:rsidR="00821227" w:rsidRPr="00217865" w:rsidRDefault="00075230" w:rsidP="001E4C62">
            <w:pPr>
              <w:pStyle w:val="Z"/>
              <w:spacing w:before="60" w:after="60"/>
              <w:rPr>
                <w:color w:val="000000" w:themeColor="text1"/>
                <w:szCs w:val="18"/>
              </w:rPr>
            </w:pPr>
            <w:r w:rsidRPr="00217865">
              <w:rPr>
                <w:color w:val="000000" w:themeColor="text1"/>
                <w:szCs w:val="18"/>
              </w:rPr>
              <w:lastRenderedPageBreak/>
              <w:t>Science and mathematics</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7DD3BE1" w14:textId="12FD39D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6,761</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D4F0EE4" w14:textId="17A1A64F"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6.9</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CFB06BD" w14:textId="2F75E211"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2,342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53E4632" w14:textId="586E76F3"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7.</w:t>
            </w:r>
            <w:r w:rsidR="00821227" w:rsidRPr="00217865">
              <w:rPr>
                <w:color w:val="000000" w:themeColor="text1"/>
                <w:szCs w:val="18"/>
              </w:rPr>
              <w:t>8</w:t>
            </w:r>
          </w:p>
        </w:tc>
      </w:tr>
      <w:tr w:rsidR="00217865" w:rsidRPr="00217865" w14:paraId="43AF5BF3"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75900300" w14:textId="20D61AC7" w:rsidR="00821227" w:rsidRPr="00217865" w:rsidRDefault="00075230" w:rsidP="001E4C62">
            <w:pPr>
              <w:pStyle w:val="Z"/>
              <w:spacing w:before="60" w:after="60"/>
              <w:rPr>
                <w:color w:val="000000" w:themeColor="text1"/>
                <w:szCs w:val="18"/>
              </w:rPr>
            </w:pPr>
            <w:r w:rsidRPr="00217865">
              <w:rPr>
                <w:color w:val="000000" w:themeColor="text1"/>
                <w:szCs w:val="18"/>
              </w:rPr>
              <w:t>Social work</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0D01927" w14:textId="50CDF73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3,679</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A61B447" w14:textId="0892F326"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14DC9BB" w14:textId="0886A252"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1,582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040DEC8" w14:textId="300DC90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5.2</w:t>
            </w:r>
          </w:p>
        </w:tc>
      </w:tr>
      <w:tr w:rsidR="00217865" w:rsidRPr="00217865" w14:paraId="79F601CC"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9674315" w14:textId="1BE5F5F3" w:rsidR="00821227" w:rsidRPr="00217865" w:rsidRDefault="00075230" w:rsidP="001E4C62">
            <w:pPr>
              <w:pStyle w:val="Z"/>
              <w:spacing w:before="60" w:after="60"/>
              <w:rPr>
                <w:color w:val="000000" w:themeColor="text1"/>
                <w:szCs w:val="18"/>
              </w:rPr>
            </w:pPr>
            <w:r w:rsidRPr="00217865">
              <w:rPr>
                <w:color w:val="000000" w:themeColor="text1"/>
                <w:szCs w:val="18"/>
              </w:rPr>
              <w:t>Teacher education</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985533F" w14:textId="60192E09"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2,716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AD770D4" w14:textId="41080967"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6103FCB" w14:textId="6C5D911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1,138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86C333A" w14:textId="5C9486BC"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3.8</w:t>
            </w:r>
          </w:p>
        </w:tc>
      </w:tr>
      <w:tr w:rsidR="00217865" w:rsidRPr="00217865" w14:paraId="28F4DE5D"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6DAFE51E" w14:textId="4901B08A" w:rsidR="00821227" w:rsidRPr="00217865" w:rsidRDefault="00075230" w:rsidP="001E4C62">
            <w:pPr>
              <w:pStyle w:val="Z"/>
              <w:spacing w:before="60" w:after="60"/>
              <w:rPr>
                <w:color w:val="000000" w:themeColor="text1"/>
                <w:szCs w:val="18"/>
              </w:rPr>
            </w:pPr>
            <w:r w:rsidRPr="00217865">
              <w:rPr>
                <w:color w:val="000000" w:themeColor="text1"/>
                <w:szCs w:val="18"/>
              </w:rPr>
              <w:t>Tourism, hospitality, personal services, sport and recreation</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FF5B367" w14:textId="60DE7A98"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473</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FF02180" w14:textId="5211F89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0.5</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A42165A" w14:textId="167B0E8E"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148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4602EEB" w14:textId="09EA1290"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0.5</w:t>
            </w:r>
          </w:p>
        </w:tc>
      </w:tr>
      <w:tr w:rsidR="00217865" w:rsidRPr="00217865" w14:paraId="12F6B624"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55036C54" w14:textId="73D6E1E5" w:rsidR="00821227" w:rsidRPr="00217865" w:rsidRDefault="00075230" w:rsidP="001E4C62">
            <w:pPr>
              <w:pStyle w:val="Z"/>
              <w:spacing w:before="60" w:after="60"/>
              <w:rPr>
                <w:color w:val="000000" w:themeColor="text1"/>
                <w:szCs w:val="18"/>
              </w:rPr>
            </w:pPr>
            <w:r w:rsidRPr="00217865">
              <w:rPr>
                <w:color w:val="000000" w:themeColor="text1"/>
                <w:szCs w:val="18"/>
              </w:rPr>
              <w:t>Veterinary science</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F5FA47C" w14:textId="15A50841"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238</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3361E50" w14:textId="773A550A"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0.2</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E35A0E1" w14:textId="13DD6004"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106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A69ABF6" w14:textId="2EB924D7" w:rsidR="00821227" w:rsidRPr="00217865" w:rsidRDefault="00075230" w:rsidP="001E4C62">
            <w:pPr>
              <w:pStyle w:val="Z"/>
              <w:spacing w:before="60" w:after="60"/>
              <w:jc w:val="center"/>
              <w:rPr>
                <w:color w:val="000000" w:themeColor="text1"/>
                <w:szCs w:val="18"/>
                <w:highlight w:val="yellow"/>
              </w:rPr>
            </w:pPr>
            <w:r w:rsidRPr="00217865">
              <w:rPr>
                <w:color w:val="000000" w:themeColor="text1"/>
                <w:szCs w:val="18"/>
              </w:rPr>
              <w:t>0.4</w:t>
            </w:r>
          </w:p>
        </w:tc>
      </w:tr>
      <w:tr w:rsidR="00821227" w:rsidRPr="00217865" w14:paraId="52D0C150" w14:textId="77777777" w:rsidTr="001E4C62">
        <w:trPr>
          <w:trHeight w:val="60"/>
        </w:trPr>
        <w:tc>
          <w:tcPr>
            <w:tcW w:w="2060"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1DB63848" w14:textId="0FC7061A" w:rsidR="00821227" w:rsidRPr="00217865" w:rsidRDefault="00821227" w:rsidP="001E4C62">
            <w:pPr>
              <w:pStyle w:val="Z"/>
              <w:spacing w:before="60" w:after="60"/>
              <w:rPr>
                <w:b/>
                <w:color w:val="000000" w:themeColor="text1"/>
                <w:szCs w:val="18"/>
                <w:lang w:val="en-US"/>
              </w:rPr>
            </w:pPr>
            <w:r w:rsidRPr="00217865">
              <w:rPr>
                <w:b/>
                <w:color w:val="000000" w:themeColor="text1"/>
                <w:szCs w:val="18"/>
              </w:rPr>
              <w:t>Total</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299D448" w14:textId="6141DD8C" w:rsidR="00821227" w:rsidRPr="00217865" w:rsidRDefault="00821227" w:rsidP="001E4C62">
            <w:pPr>
              <w:pStyle w:val="Z"/>
              <w:spacing w:before="60" w:after="60"/>
              <w:jc w:val="center"/>
              <w:rPr>
                <w:b/>
                <w:color w:val="000000" w:themeColor="text1"/>
                <w:szCs w:val="18"/>
                <w:highlight w:val="yellow"/>
              </w:rPr>
            </w:pPr>
            <w:r w:rsidRPr="00217865">
              <w:rPr>
                <w:b/>
                <w:color w:val="000000" w:themeColor="text1"/>
                <w:szCs w:val="18"/>
              </w:rPr>
              <w:t>97,676</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271BBDB" w14:textId="36DD365A" w:rsidR="00821227" w:rsidRPr="00217865" w:rsidRDefault="00821227" w:rsidP="001E4C62">
            <w:pPr>
              <w:pStyle w:val="Z"/>
              <w:spacing w:before="60" w:after="60"/>
              <w:jc w:val="center"/>
              <w:rPr>
                <w:b/>
                <w:color w:val="000000" w:themeColor="text1"/>
                <w:szCs w:val="18"/>
                <w:highlight w:val="yellow"/>
              </w:rPr>
            </w:pPr>
            <w:r w:rsidRPr="00217865">
              <w:rPr>
                <w:b/>
                <w:color w:val="000000" w:themeColor="text1"/>
                <w:szCs w:val="18"/>
              </w:rPr>
              <w:t>100.0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040710A" w14:textId="5F7AE326" w:rsidR="00821227" w:rsidRPr="00217865" w:rsidRDefault="00821227" w:rsidP="001E4C62">
            <w:pPr>
              <w:pStyle w:val="Z"/>
              <w:spacing w:before="60" w:after="60"/>
              <w:jc w:val="center"/>
              <w:rPr>
                <w:b/>
                <w:color w:val="000000" w:themeColor="text1"/>
                <w:szCs w:val="18"/>
                <w:highlight w:val="yellow"/>
              </w:rPr>
            </w:pPr>
            <w:r w:rsidRPr="00217865">
              <w:rPr>
                <w:b/>
                <w:color w:val="000000" w:themeColor="text1"/>
                <w:szCs w:val="18"/>
              </w:rPr>
              <w:t>30,210</w:t>
            </w:r>
          </w:p>
        </w:tc>
        <w:tc>
          <w:tcPr>
            <w:tcW w:w="735"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33D541E" w14:textId="08691B73" w:rsidR="00821227" w:rsidRPr="00217865" w:rsidRDefault="00821227" w:rsidP="001E4C62">
            <w:pPr>
              <w:pStyle w:val="Z"/>
              <w:spacing w:before="60" w:after="60"/>
              <w:jc w:val="center"/>
              <w:rPr>
                <w:b/>
                <w:color w:val="000000" w:themeColor="text1"/>
                <w:szCs w:val="18"/>
                <w:highlight w:val="yellow"/>
              </w:rPr>
            </w:pPr>
            <w:r w:rsidRPr="00217865">
              <w:rPr>
                <w:b/>
                <w:color w:val="000000" w:themeColor="text1"/>
                <w:szCs w:val="18"/>
              </w:rPr>
              <w:t>100.0</w:t>
            </w:r>
          </w:p>
        </w:tc>
      </w:tr>
    </w:tbl>
    <w:p w14:paraId="48210249" w14:textId="77777777" w:rsidR="00821227" w:rsidRPr="00217865" w:rsidRDefault="00821227" w:rsidP="00821227">
      <w:pPr>
        <w:pStyle w:val="Body"/>
        <w:rPr>
          <w:rFonts w:cs="Arial"/>
          <w:b/>
          <w:iCs/>
          <w:color w:val="000000" w:themeColor="text1"/>
          <w:highlight w:val="yellow"/>
          <w:lang w:val="en-GB"/>
        </w:rPr>
      </w:pPr>
      <w:bookmarkStart w:id="330" w:name="_Ref66271239"/>
    </w:p>
    <w:p w14:paraId="6A116900" w14:textId="140B7460" w:rsidR="00821227" w:rsidRPr="00217865" w:rsidRDefault="00821227" w:rsidP="00535E2A">
      <w:pPr>
        <w:pStyle w:val="Caption"/>
        <w:ind w:left="0" w:firstLine="0"/>
        <w:rPr>
          <w:b w:val="0"/>
          <w:iCs/>
          <w:color w:val="000000" w:themeColor="text1"/>
          <w:szCs w:val="20"/>
          <w:lang w:val="en-GB"/>
        </w:rPr>
      </w:pPr>
      <w:bookmarkStart w:id="331" w:name="_Toc178599381"/>
      <w:bookmarkEnd w:id="330"/>
      <w:r w:rsidRPr="00217865">
        <w:rPr>
          <w:color w:val="000000" w:themeColor="text1"/>
          <w:szCs w:val="20"/>
          <w:lang w:val="en-GB"/>
        </w:rPr>
        <w:t xml:space="preserve">Table </w:t>
      </w:r>
      <w:r w:rsidRPr="00217865">
        <w:rPr>
          <w:b w:val="0"/>
          <w:iCs/>
          <w:color w:val="000000" w:themeColor="text1"/>
          <w:szCs w:val="20"/>
          <w:lang w:val="en-GB"/>
        </w:rPr>
        <w:fldChar w:fldCharType="begin"/>
      </w:r>
      <w:r w:rsidRPr="00217865">
        <w:rPr>
          <w:color w:val="000000" w:themeColor="text1"/>
          <w:szCs w:val="20"/>
          <w:lang w:val="en-GB"/>
        </w:rPr>
        <w:instrText xml:space="preserve"> SEQ Table \* ARABIC </w:instrText>
      </w:r>
      <w:r w:rsidRPr="00217865">
        <w:rPr>
          <w:b w:val="0"/>
          <w:iCs/>
          <w:color w:val="000000" w:themeColor="text1"/>
          <w:szCs w:val="20"/>
          <w:lang w:val="en-GB"/>
        </w:rPr>
        <w:fldChar w:fldCharType="separate"/>
      </w:r>
      <w:r w:rsidR="005D5678">
        <w:rPr>
          <w:noProof/>
          <w:color w:val="000000" w:themeColor="text1"/>
          <w:szCs w:val="20"/>
          <w:lang w:val="en-GB"/>
        </w:rPr>
        <w:t>16</w:t>
      </w:r>
      <w:r w:rsidRPr="00217865">
        <w:rPr>
          <w:b w:val="0"/>
          <w:iCs/>
          <w:color w:val="000000" w:themeColor="text1"/>
          <w:szCs w:val="20"/>
          <w:lang w:val="en-GB"/>
        </w:rPr>
        <w:fldChar w:fldCharType="end"/>
      </w:r>
      <w:r w:rsidR="00CF00B5">
        <w:rPr>
          <w:b w:val="0"/>
          <w:iCs/>
          <w:color w:val="000000" w:themeColor="text1"/>
          <w:szCs w:val="20"/>
          <w:lang w:val="en-GB"/>
        </w:rPr>
        <w:tab/>
      </w:r>
      <w:r w:rsidRPr="00217865">
        <w:rPr>
          <w:color w:val="000000" w:themeColor="text1"/>
          <w:szCs w:val="20"/>
          <w:lang w:val="en-GB"/>
        </w:rPr>
        <w:t>International undergraduate student population parameters and response characteristics by university, 2023</w:t>
      </w:r>
      <w:bookmarkEnd w:id="331"/>
    </w:p>
    <w:tbl>
      <w:tblPr>
        <w:tblW w:w="5000" w:type="pct"/>
        <w:tblLayout w:type="fixed"/>
        <w:tblCellMar>
          <w:left w:w="0" w:type="dxa"/>
          <w:right w:w="0" w:type="dxa"/>
        </w:tblCellMar>
        <w:tblLook w:val="0000" w:firstRow="0" w:lastRow="0" w:firstColumn="0" w:lastColumn="0" w:noHBand="0" w:noVBand="0"/>
      </w:tblPr>
      <w:tblGrid>
        <w:gridCol w:w="3727"/>
        <w:gridCol w:w="1681"/>
        <w:gridCol w:w="1681"/>
        <w:gridCol w:w="1681"/>
        <w:gridCol w:w="1680"/>
      </w:tblGrid>
      <w:tr w:rsidR="00217865" w:rsidRPr="00217865" w14:paraId="267D5FCD" w14:textId="77777777" w:rsidTr="001E4C62">
        <w:trPr>
          <w:trHeight w:val="71"/>
          <w:tblHeader/>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8F60B0E" w14:textId="0A811360" w:rsidR="00821227" w:rsidRPr="00217865" w:rsidRDefault="001E4C62" w:rsidP="001E4C62">
            <w:pPr>
              <w:pStyle w:val="Z"/>
              <w:spacing w:before="60" w:after="60"/>
              <w:rPr>
                <w:color w:val="000000" w:themeColor="text1"/>
                <w:szCs w:val="18"/>
              </w:rPr>
            </w:pPr>
            <w:r w:rsidRPr="00217865">
              <w:rPr>
                <w:color w:val="000000" w:themeColor="text1"/>
                <w:szCs w:val="18"/>
              </w:rPr>
              <w:t>-</w:t>
            </w:r>
            <w:bookmarkStart w:id="332" w:name="Title_16"/>
            <w:bookmarkEnd w:id="332"/>
          </w:p>
        </w:tc>
        <w:tc>
          <w:tcPr>
            <w:tcW w:w="804" w:type="pct"/>
            <w:tcBorders>
              <w:top w:val="single" w:sz="4" w:space="0" w:color="auto"/>
              <w:left w:val="single" w:sz="4" w:space="0" w:color="auto"/>
              <w:bottom w:val="single" w:sz="4" w:space="0" w:color="auto"/>
              <w:right w:val="single" w:sz="4" w:space="0" w:color="auto"/>
            </w:tcBorders>
            <w:vAlign w:val="bottom"/>
          </w:tcPr>
          <w:p w14:paraId="5212DAB2" w14:textId="77777777" w:rsidR="00821227" w:rsidRPr="00217865" w:rsidRDefault="00821227" w:rsidP="001E4C62">
            <w:pPr>
              <w:pStyle w:val="Z"/>
              <w:spacing w:before="60" w:after="60"/>
              <w:jc w:val="center"/>
              <w:rPr>
                <w:b/>
                <w:bCs/>
                <w:color w:val="000000" w:themeColor="text1"/>
                <w:szCs w:val="18"/>
              </w:rPr>
            </w:pPr>
            <w:r w:rsidRPr="00217865">
              <w:rPr>
                <w:b/>
                <w:bCs/>
                <w:color w:val="000000" w:themeColor="text1"/>
              </w:rPr>
              <w:t>In-scope population: n</w:t>
            </w:r>
          </w:p>
        </w:tc>
        <w:tc>
          <w:tcPr>
            <w:tcW w:w="804" w:type="pct"/>
            <w:tcBorders>
              <w:top w:val="single" w:sz="4" w:space="0" w:color="auto"/>
              <w:left w:val="single" w:sz="4" w:space="0" w:color="auto"/>
              <w:bottom w:val="single" w:sz="4" w:space="0" w:color="auto"/>
              <w:right w:val="single" w:sz="4" w:space="0" w:color="auto"/>
            </w:tcBorders>
            <w:vAlign w:val="bottom"/>
          </w:tcPr>
          <w:p w14:paraId="385CCADC" w14:textId="77777777" w:rsidR="00821227" w:rsidRPr="00217865" w:rsidRDefault="00821227" w:rsidP="001E4C62">
            <w:pPr>
              <w:pStyle w:val="Z"/>
              <w:spacing w:before="60" w:after="60"/>
              <w:jc w:val="center"/>
              <w:rPr>
                <w:b/>
                <w:bCs/>
                <w:color w:val="000000" w:themeColor="text1"/>
                <w:szCs w:val="18"/>
              </w:rPr>
            </w:pPr>
            <w:r w:rsidRPr="00217865">
              <w:rPr>
                <w:b/>
                <w:bCs/>
                <w:color w:val="000000" w:themeColor="text1"/>
              </w:rPr>
              <w:t>In-scope population: %</w:t>
            </w:r>
          </w:p>
        </w:tc>
        <w:tc>
          <w:tcPr>
            <w:tcW w:w="804" w:type="pct"/>
            <w:tcBorders>
              <w:top w:val="single" w:sz="4" w:space="0" w:color="auto"/>
              <w:left w:val="single" w:sz="4" w:space="0" w:color="auto"/>
              <w:bottom w:val="single" w:sz="4" w:space="0" w:color="auto"/>
              <w:right w:val="single" w:sz="4" w:space="0" w:color="auto"/>
            </w:tcBorders>
            <w:vAlign w:val="bottom"/>
          </w:tcPr>
          <w:p w14:paraId="5ADF3ED9" w14:textId="77777777" w:rsidR="00821227" w:rsidRPr="00217865" w:rsidRDefault="00821227" w:rsidP="001E4C62">
            <w:pPr>
              <w:pStyle w:val="Z"/>
              <w:spacing w:before="60" w:after="60"/>
              <w:jc w:val="center"/>
              <w:rPr>
                <w:b/>
                <w:bCs/>
                <w:color w:val="000000" w:themeColor="text1"/>
                <w:szCs w:val="18"/>
              </w:rPr>
            </w:pPr>
            <w:r w:rsidRPr="00217865">
              <w:rPr>
                <w:b/>
                <w:bCs/>
                <w:color w:val="000000" w:themeColor="text1"/>
              </w:rPr>
              <w:t>SES respondents: n</w:t>
            </w:r>
          </w:p>
        </w:tc>
        <w:tc>
          <w:tcPr>
            <w:tcW w:w="804" w:type="pct"/>
            <w:tcBorders>
              <w:top w:val="single" w:sz="4" w:space="0" w:color="auto"/>
              <w:left w:val="single" w:sz="4" w:space="0" w:color="auto"/>
              <w:bottom w:val="single" w:sz="4" w:space="0" w:color="auto"/>
              <w:right w:val="single" w:sz="4" w:space="0" w:color="auto"/>
            </w:tcBorders>
            <w:vAlign w:val="bottom"/>
          </w:tcPr>
          <w:p w14:paraId="417AFE5F" w14:textId="77777777" w:rsidR="00821227" w:rsidRPr="00217865" w:rsidRDefault="00821227" w:rsidP="001E4C62">
            <w:pPr>
              <w:pStyle w:val="Z"/>
              <w:spacing w:before="60" w:after="60"/>
              <w:jc w:val="center"/>
              <w:rPr>
                <w:b/>
                <w:bCs/>
                <w:color w:val="000000" w:themeColor="text1"/>
                <w:szCs w:val="18"/>
              </w:rPr>
            </w:pPr>
            <w:r w:rsidRPr="00217865">
              <w:rPr>
                <w:b/>
                <w:bCs/>
                <w:color w:val="000000" w:themeColor="text1"/>
              </w:rPr>
              <w:t>SES respondents: %</w:t>
            </w:r>
          </w:p>
        </w:tc>
      </w:tr>
      <w:tr w:rsidR="00217865" w:rsidRPr="00217865" w14:paraId="19999403"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2D0F46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Australian Catholic University</w:t>
            </w:r>
          </w:p>
        </w:tc>
        <w:tc>
          <w:tcPr>
            <w:tcW w:w="804" w:type="pct"/>
            <w:tcBorders>
              <w:top w:val="single" w:sz="4" w:space="0" w:color="auto"/>
              <w:left w:val="single" w:sz="4" w:space="0" w:color="auto"/>
              <w:bottom w:val="single" w:sz="4" w:space="0" w:color="auto"/>
              <w:right w:val="single" w:sz="4" w:space="0" w:color="auto"/>
            </w:tcBorders>
            <w:vAlign w:val="center"/>
          </w:tcPr>
          <w:p w14:paraId="153D888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1,775</w:t>
            </w:r>
          </w:p>
        </w:tc>
        <w:tc>
          <w:tcPr>
            <w:tcW w:w="804" w:type="pct"/>
            <w:tcBorders>
              <w:top w:val="single" w:sz="4" w:space="0" w:color="auto"/>
              <w:left w:val="single" w:sz="4" w:space="0" w:color="auto"/>
              <w:bottom w:val="single" w:sz="4" w:space="0" w:color="auto"/>
              <w:right w:val="single" w:sz="4" w:space="0" w:color="auto"/>
            </w:tcBorders>
            <w:vAlign w:val="center"/>
          </w:tcPr>
          <w:p w14:paraId="74AAC2A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c>
          <w:tcPr>
            <w:tcW w:w="804" w:type="pct"/>
            <w:tcBorders>
              <w:top w:val="single" w:sz="4" w:space="0" w:color="auto"/>
              <w:left w:val="single" w:sz="4" w:space="0" w:color="auto"/>
              <w:bottom w:val="single" w:sz="4" w:space="0" w:color="auto"/>
              <w:right w:val="single" w:sz="4" w:space="0" w:color="auto"/>
            </w:tcBorders>
            <w:vAlign w:val="center"/>
          </w:tcPr>
          <w:p w14:paraId="55FB9D2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761</w:t>
            </w:r>
          </w:p>
        </w:tc>
        <w:tc>
          <w:tcPr>
            <w:tcW w:w="804" w:type="pct"/>
            <w:tcBorders>
              <w:top w:val="single" w:sz="4" w:space="0" w:color="auto"/>
              <w:left w:val="single" w:sz="4" w:space="0" w:color="auto"/>
              <w:bottom w:val="single" w:sz="4" w:space="0" w:color="auto"/>
              <w:right w:val="single" w:sz="4" w:space="0" w:color="auto"/>
            </w:tcBorders>
            <w:vAlign w:val="center"/>
          </w:tcPr>
          <w:p w14:paraId="30C8921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2.6</w:t>
            </w:r>
          </w:p>
        </w:tc>
      </w:tr>
      <w:tr w:rsidR="00217865" w:rsidRPr="00217865" w14:paraId="07AE528F"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3D00325"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Avondale University</w:t>
            </w:r>
          </w:p>
        </w:tc>
        <w:tc>
          <w:tcPr>
            <w:tcW w:w="804" w:type="pct"/>
            <w:tcBorders>
              <w:top w:val="single" w:sz="4" w:space="0" w:color="auto"/>
              <w:left w:val="single" w:sz="4" w:space="0" w:color="auto"/>
              <w:bottom w:val="single" w:sz="4" w:space="0" w:color="auto"/>
              <w:right w:val="single" w:sz="4" w:space="0" w:color="auto"/>
            </w:tcBorders>
            <w:vAlign w:val="center"/>
          </w:tcPr>
          <w:p w14:paraId="4E1563E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26</w:t>
            </w:r>
          </w:p>
        </w:tc>
        <w:tc>
          <w:tcPr>
            <w:tcW w:w="804" w:type="pct"/>
            <w:tcBorders>
              <w:top w:val="single" w:sz="4" w:space="0" w:color="auto"/>
              <w:left w:val="single" w:sz="4" w:space="0" w:color="auto"/>
              <w:bottom w:val="single" w:sz="4" w:space="0" w:color="auto"/>
              <w:right w:val="single" w:sz="4" w:space="0" w:color="auto"/>
            </w:tcBorders>
            <w:vAlign w:val="center"/>
          </w:tcPr>
          <w:p w14:paraId="25A771D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0.0</w:t>
            </w:r>
          </w:p>
        </w:tc>
        <w:tc>
          <w:tcPr>
            <w:tcW w:w="804" w:type="pct"/>
            <w:tcBorders>
              <w:top w:val="single" w:sz="4" w:space="0" w:color="auto"/>
              <w:left w:val="single" w:sz="4" w:space="0" w:color="auto"/>
              <w:bottom w:val="single" w:sz="4" w:space="0" w:color="auto"/>
              <w:right w:val="single" w:sz="4" w:space="0" w:color="auto"/>
            </w:tcBorders>
            <w:vAlign w:val="center"/>
          </w:tcPr>
          <w:p w14:paraId="23C7DAF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w:t>
            </w:r>
          </w:p>
        </w:tc>
        <w:tc>
          <w:tcPr>
            <w:tcW w:w="804" w:type="pct"/>
            <w:tcBorders>
              <w:top w:val="single" w:sz="4" w:space="0" w:color="auto"/>
              <w:left w:val="single" w:sz="4" w:space="0" w:color="auto"/>
              <w:bottom w:val="single" w:sz="4" w:space="0" w:color="auto"/>
              <w:right w:val="single" w:sz="4" w:space="0" w:color="auto"/>
            </w:tcBorders>
            <w:vAlign w:val="center"/>
          </w:tcPr>
          <w:p w14:paraId="4527171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35420743"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5A1F311"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Bond University</w:t>
            </w:r>
          </w:p>
        </w:tc>
        <w:tc>
          <w:tcPr>
            <w:tcW w:w="804" w:type="pct"/>
            <w:tcBorders>
              <w:top w:val="single" w:sz="4" w:space="0" w:color="auto"/>
              <w:left w:val="single" w:sz="4" w:space="0" w:color="auto"/>
              <w:bottom w:val="single" w:sz="4" w:space="0" w:color="auto"/>
              <w:right w:val="single" w:sz="4" w:space="0" w:color="auto"/>
            </w:tcBorders>
            <w:vAlign w:val="center"/>
          </w:tcPr>
          <w:p w14:paraId="70F6B91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298</w:t>
            </w:r>
          </w:p>
        </w:tc>
        <w:tc>
          <w:tcPr>
            <w:tcW w:w="804" w:type="pct"/>
            <w:tcBorders>
              <w:top w:val="single" w:sz="4" w:space="0" w:color="auto"/>
              <w:left w:val="single" w:sz="4" w:space="0" w:color="auto"/>
              <w:bottom w:val="single" w:sz="4" w:space="0" w:color="auto"/>
              <w:right w:val="single" w:sz="4" w:space="0" w:color="auto"/>
            </w:tcBorders>
            <w:vAlign w:val="center"/>
          </w:tcPr>
          <w:p w14:paraId="44270F4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0.3</w:t>
            </w:r>
          </w:p>
        </w:tc>
        <w:tc>
          <w:tcPr>
            <w:tcW w:w="804" w:type="pct"/>
            <w:tcBorders>
              <w:top w:val="single" w:sz="4" w:space="0" w:color="auto"/>
              <w:left w:val="single" w:sz="4" w:space="0" w:color="auto"/>
              <w:bottom w:val="single" w:sz="4" w:space="0" w:color="auto"/>
              <w:right w:val="single" w:sz="4" w:space="0" w:color="auto"/>
            </w:tcBorders>
            <w:vAlign w:val="center"/>
          </w:tcPr>
          <w:p w14:paraId="2982F17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95</w:t>
            </w:r>
          </w:p>
        </w:tc>
        <w:tc>
          <w:tcPr>
            <w:tcW w:w="804" w:type="pct"/>
            <w:tcBorders>
              <w:top w:val="single" w:sz="4" w:space="0" w:color="auto"/>
              <w:left w:val="single" w:sz="4" w:space="0" w:color="auto"/>
              <w:bottom w:val="single" w:sz="4" w:space="0" w:color="auto"/>
              <w:right w:val="single" w:sz="4" w:space="0" w:color="auto"/>
            </w:tcBorders>
            <w:vAlign w:val="center"/>
          </w:tcPr>
          <w:p w14:paraId="1F770D3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0.3</w:t>
            </w:r>
          </w:p>
        </w:tc>
      </w:tr>
      <w:tr w:rsidR="00217865" w:rsidRPr="00217865" w14:paraId="2E12ED44"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11D75D9"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Central Queensland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23EDDE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443</w:t>
            </w:r>
          </w:p>
        </w:tc>
        <w:tc>
          <w:tcPr>
            <w:tcW w:w="804" w:type="pct"/>
            <w:tcBorders>
              <w:top w:val="single" w:sz="4" w:space="0" w:color="auto"/>
              <w:left w:val="single" w:sz="4" w:space="0" w:color="auto"/>
              <w:bottom w:val="single" w:sz="4" w:space="0" w:color="auto"/>
              <w:right w:val="single" w:sz="4" w:space="0" w:color="auto"/>
            </w:tcBorders>
            <w:vAlign w:val="center"/>
          </w:tcPr>
          <w:p w14:paraId="60D29E4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0.5</w:t>
            </w:r>
          </w:p>
        </w:tc>
        <w:tc>
          <w:tcPr>
            <w:tcW w:w="804" w:type="pct"/>
            <w:tcBorders>
              <w:top w:val="single" w:sz="4" w:space="0" w:color="auto"/>
              <w:left w:val="single" w:sz="4" w:space="0" w:color="auto"/>
              <w:bottom w:val="single" w:sz="4" w:space="0" w:color="auto"/>
              <w:right w:val="single" w:sz="4" w:space="0" w:color="auto"/>
            </w:tcBorders>
            <w:vAlign w:val="center"/>
          </w:tcPr>
          <w:p w14:paraId="0B0E398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126</w:t>
            </w:r>
          </w:p>
        </w:tc>
        <w:tc>
          <w:tcPr>
            <w:tcW w:w="804" w:type="pct"/>
            <w:tcBorders>
              <w:top w:val="single" w:sz="4" w:space="0" w:color="auto"/>
              <w:left w:val="single" w:sz="4" w:space="0" w:color="auto"/>
              <w:bottom w:val="single" w:sz="4" w:space="0" w:color="auto"/>
              <w:right w:val="single" w:sz="4" w:space="0" w:color="auto"/>
            </w:tcBorders>
            <w:vAlign w:val="center"/>
          </w:tcPr>
          <w:p w14:paraId="3BC2751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0.4</w:t>
            </w:r>
          </w:p>
        </w:tc>
      </w:tr>
      <w:tr w:rsidR="00217865" w:rsidRPr="00217865" w14:paraId="2C0CF43D"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725117C"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Charles Darwin University</w:t>
            </w:r>
          </w:p>
        </w:tc>
        <w:tc>
          <w:tcPr>
            <w:tcW w:w="804" w:type="pct"/>
            <w:tcBorders>
              <w:top w:val="single" w:sz="4" w:space="0" w:color="auto"/>
              <w:left w:val="single" w:sz="4" w:space="0" w:color="auto"/>
              <w:bottom w:val="single" w:sz="4" w:space="0" w:color="auto"/>
              <w:right w:val="single" w:sz="4" w:space="0" w:color="auto"/>
            </w:tcBorders>
            <w:vAlign w:val="center"/>
          </w:tcPr>
          <w:p w14:paraId="541C9C5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567</w:t>
            </w:r>
          </w:p>
        </w:tc>
        <w:tc>
          <w:tcPr>
            <w:tcW w:w="804" w:type="pct"/>
            <w:tcBorders>
              <w:top w:val="single" w:sz="4" w:space="0" w:color="auto"/>
              <w:left w:val="single" w:sz="4" w:space="0" w:color="auto"/>
              <w:bottom w:val="single" w:sz="4" w:space="0" w:color="auto"/>
              <w:right w:val="single" w:sz="4" w:space="0" w:color="auto"/>
            </w:tcBorders>
            <w:vAlign w:val="center"/>
          </w:tcPr>
          <w:p w14:paraId="68A6645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0.6</w:t>
            </w:r>
          </w:p>
        </w:tc>
        <w:tc>
          <w:tcPr>
            <w:tcW w:w="804" w:type="pct"/>
            <w:tcBorders>
              <w:top w:val="single" w:sz="4" w:space="0" w:color="auto"/>
              <w:left w:val="single" w:sz="4" w:space="0" w:color="auto"/>
              <w:bottom w:val="single" w:sz="4" w:space="0" w:color="auto"/>
              <w:right w:val="single" w:sz="4" w:space="0" w:color="auto"/>
            </w:tcBorders>
            <w:vAlign w:val="center"/>
          </w:tcPr>
          <w:p w14:paraId="5265047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189</w:t>
            </w:r>
          </w:p>
        </w:tc>
        <w:tc>
          <w:tcPr>
            <w:tcW w:w="804" w:type="pct"/>
            <w:tcBorders>
              <w:top w:val="single" w:sz="4" w:space="0" w:color="auto"/>
              <w:left w:val="single" w:sz="4" w:space="0" w:color="auto"/>
              <w:bottom w:val="single" w:sz="4" w:space="0" w:color="auto"/>
              <w:right w:val="single" w:sz="4" w:space="0" w:color="auto"/>
            </w:tcBorders>
            <w:vAlign w:val="center"/>
          </w:tcPr>
          <w:p w14:paraId="0868804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0.6</w:t>
            </w:r>
          </w:p>
        </w:tc>
      </w:tr>
      <w:tr w:rsidR="00217865" w:rsidRPr="00217865" w14:paraId="4353C9FB"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8028B99"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Charles Sturt University</w:t>
            </w:r>
          </w:p>
        </w:tc>
        <w:tc>
          <w:tcPr>
            <w:tcW w:w="804" w:type="pct"/>
            <w:tcBorders>
              <w:top w:val="single" w:sz="4" w:space="0" w:color="auto"/>
              <w:left w:val="single" w:sz="4" w:space="0" w:color="auto"/>
              <w:bottom w:val="single" w:sz="4" w:space="0" w:color="auto"/>
              <w:right w:val="single" w:sz="4" w:space="0" w:color="auto"/>
            </w:tcBorders>
            <w:vAlign w:val="center"/>
          </w:tcPr>
          <w:p w14:paraId="64B2325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185</w:t>
            </w:r>
          </w:p>
        </w:tc>
        <w:tc>
          <w:tcPr>
            <w:tcW w:w="804" w:type="pct"/>
            <w:tcBorders>
              <w:top w:val="single" w:sz="4" w:space="0" w:color="auto"/>
              <w:left w:val="single" w:sz="4" w:space="0" w:color="auto"/>
              <w:bottom w:val="single" w:sz="4" w:space="0" w:color="auto"/>
              <w:right w:val="single" w:sz="4" w:space="0" w:color="auto"/>
            </w:tcBorders>
            <w:vAlign w:val="center"/>
          </w:tcPr>
          <w:p w14:paraId="2342119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0.2</w:t>
            </w:r>
          </w:p>
        </w:tc>
        <w:tc>
          <w:tcPr>
            <w:tcW w:w="804" w:type="pct"/>
            <w:tcBorders>
              <w:top w:val="single" w:sz="4" w:space="0" w:color="auto"/>
              <w:left w:val="single" w:sz="4" w:space="0" w:color="auto"/>
              <w:bottom w:val="single" w:sz="4" w:space="0" w:color="auto"/>
              <w:right w:val="single" w:sz="4" w:space="0" w:color="auto"/>
            </w:tcBorders>
            <w:vAlign w:val="center"/>
          </w:tcPr>
          <w:p w14:paraId="38A8B8F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69</w:t>
            </w:r>
          </w:p>
        </w:tc>
        <w:tc>
          <w:tcPr>
            <w:tcW w:w="804" w:type="pct"/>
            <w:tcBorders>
              <w:top w:val="single" w:sz="4" w:space="0" w:color="auto"/>
              <w:left w:val="single" w:sz="4" w:space="0" w:color="auto"/>
              <w:bottom w:val="single" w:sz="4" w:space="0" w:color="auto"/>
              <w:right w:val="single" w:sz="4" w:space="0" w:color="auto"/>
            </w:tcBorders>
            <w:vAlign w:val="center"/>
          </w:tcPr>
          <w:p w14:paraId="3BCD055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0.2</w:t>
            </w:r>
          </w:p>
        </w:tc>
      </w:tr>
      <w:tr w:rsidR="00217865" w:rsidRPr="00217865" w14:paraId="7C3201AA"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0786C11"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Curtin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6D67F6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1,741</w:t>
            </w:r>
          </w:p>
        </w:tc>
        <w:tc>
          <w:tcPr>
            <w:tcW w:w="804" w:type="pct"/>
            <w:tcBorders>
              <w:top w:val="single" w:sz="4" w:space="0" w:color="auto"/>
              <w:left w:val="single" w:sz="4" w:space="0" w:color="auto"/>
              <w:bottom w:val="single" w:sz="4" w:space="0" w:color="auto"/>
              <w:right w:val="single" w:sz="4" w:space="0" w:color="auto"/>
            </w:tcBorders>
            <w:vAlign w:val="center"/>
          </w:tcPr>
          <w:p w14:paraId="0DE240E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c>
          <w:tcPr>
            <w:tcW w:w="804" w:type="pct"/>
            <w:tcBorders>
              <w:top w:val="single" w:sz="4" w:space="0" w:color="auto"/>
              <w:left w:val="single" w:sz="4" w:space="0" w:color="auto"/>
              <w:bottom w:val="single" w:sz="4" w:space="0" w:color="auto"/>
              <w:right w:val="single" w:sz="4" w:space="0" w:color="auto"/>
            </w:tcBorders>
            <w:vAlign w:val="center"/>
          </w:tcPr>
          <w:p w14:paraId="3BDFA80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597</w:t>
            </w:r>
          </w:p>
        </w:tc>
        <w:tc>
          <w:tcPr>
            <w:tcW w:w="804" w:type="pct"/>
            <w:tcBorders>
              <w:top w:val="single" w:sz="4" w:space="0" w:color="auto"/>
              <w:left w:val="single" w:sz="4" w:space="0" w:color="auto"/>
              <w:bottom w:val="single" w:sz="4" w:space="0" w:color="auto"/>
              <w:right w:val="single" w:sz="4" w:space="0" w:color="auto"/>
            </w:tcBorders>
            <w:vAlign w:val="center"/>
          </w:tcPr>
          <w:p w14:paraId="0E3E042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2.0</w:t>
            </w:r>
          </w:p>
        </w:tc>
      </w:tr>
      <w:tr w:rsidR="00217865" w:rsidRPr="00217865" w14:paraId="3AF52AE6"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576CB20"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Deakin University</w:t>
            </w:r>
          </w:p>
        </w:tc>
        <w:tc>
          <w:tcPr>
            <w:tcW w:w="804" w:type="pct"/>
            <w:tcBorders>
              <w:top w:val="single" w:sz="4" w:space="0" w:color="auto"/>
              <w:left w:val="single" w:sz="4" w:space="0" w:color="auto"/>
              <w:bottom w:val="single" w:sz="4" w:space="0" w:color="auto"/>
              <w:right w:val="single" w:sz="4" w:space="0" w:color="auto"/>
            </w:tcBorders>
            <w:vAlign w:val="center"/>
          </w:tcPr>
          <w:p w14:paraId="595B418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1,747</w:t>
            </w:r>
          </w:p>
        </w:tc>
        <w:tc>
          <w:tcPr>
            <w:tcW w:w="804" w:type="pct"/>
            <w:tcBorders>
              <w:top w:val="single" w:sz="4" w:space="0" w:color="auto"/>
              <w:left w:val="single" w:sz="4" w:space="0" w:color="auto"/>
              <w:bottom w:val="single" w:sz="4" w:space="0" w:color="auto"/>
              <w:right w:val="single" w:sz="4" w:space="0" w:color="auto"/>
            </w:tcBorders>
            <w:vAlign w:val="center"/>
          </w:tcPr>
          <w:p w14:paraId="1CEE772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c>
          <w:tcPr>
            <w:tcW w:w="804" w:type="pct"/>
            <w:tcBorders>
              <w:top w:val="single" w:sz="4" w:space="0" w:color="auto"/>
              <w:left w:val="single" w:sz="4" w:space="0" w:color="auto"/>
              <w:bottom w:val="single" w:sz="4" w:space="0" w:color="auto"/>
              <w:right w:val="single" w:sz="4" w:space="0" w:color="auto"/>
            </w:tcBorders>
            <w:vAlign w:val="center"/>
          </w:tcPr>
          <w:p w14:paraId="035E884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534</w:t>
            </w:r>
          </w:p>
        </w:tc>
        <w:tc>
          <w:tcPr>
            <w:tcW w:w="804" w:type="pct"/>
            <w:tcBorders>
              <w:top w:val="single" w:sz="4" w:space="0" w:color="auto"/>
              <w:left w:val="single" w:sz="4" w:space="0" w:color="auto"/>
              <w:bottom w:val="single" w:sz="4" w:space="0" w:color="auto"/>
              <w:right w:val="single" w:sz="4" w:space="0" w:color="auto"/>
            </w:tcBorders>
            <w:vAlign w:val="center"/>
          </w:tcPr>
          <w:p w14:paraId="5C9E2B6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r>
      <w:tr w:rsidR="00217865" w:rsidRPr="00217865" w14:paraId="1FAC6FC9"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A7B90C5"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Edith Cowan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16DBFE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1,418</w:t>
            </w:r>
          </w:p>
        </w:tc>
        <w:tc>
          <w:tcPr>
            <w:tcW w:w="804" w:type="pct"/>
            <w:tcBorders>
              <w:top w:val="single" w:sz="4" w:space="0" w:color="auto"/>
              <w:left w:val="single" w:sz="4" w:space="0" w:color="auto"/>
              <w:bottom w:val="single" w:sz="4" w:space="0" w:color="auto"/>
              <w:right w:val="single" w:sz="4" w:space="0" w:color="auto"/>
            </w:tcBorders>
            <w:vAlign w:val="center"/>
          </w:tcPr>
          <w:p w14:paraId="0A675E0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1.5</w:t>
            </w:r>
          </w:p>
        </w:tc>
        <w:tc>
          <w:tcPr>
            <w:tcW w:w="804" w:type="pct"/>
            <w:tcBorders>
              <w:top w:val="single" w:sz="4" w:space="0" w:color="auto"/>
              <w:left w:val="single" w:sz="4" w:space="0" w:color="auto"/>
              <w:bottom w:val="single" w:sz="4" w:space="0" w:color="auto"/>
              <w:right w:val="single" w:sz="4" w:space="0" w:color="auto"/>
            </w:tcBorders>
            <w:vAlign w:val="center"/>
          </w:tcPr>
          <w:p w14:paraId="3A8E0D7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558</w:t>
            </w:r>
          </w:p>
        </w:tc>
        <w:tc>
          <w:tcPr>
            <w:tcW w:w="804" w:type="pct"/>
            <w:tcBorders>
              <w:top w:val="single" w:sz="4" w:space="0" w:color="auto"/>
              <w:left w:val="single" w:sz="4" w:space="0" w:color="auto"/>
              <w:bottom w:val="single" w:sz="4" w:space="0" w:color="auto"/>
              <w:right w:val="single" w:sz="4" w:space="0" w:color="auto"/>
            </w:tcBorders>
            <w:vAlign w:val="center"/>
          </w:tcPr>
          <w:p w14:paraId="76A7D53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1.9</w:t>
            </w:r>
          </w:p>
        </w:tc>
      </w:tr>
      <w:tr w:rsidR="00217865" w:rsidRPr="00217865" w14:paraId="2666B4C1"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54937C7"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Federation University Australia</w:t>
            </w:r>
          </w:p>
        </w:tc>
        <w:tc>
          <w:tcPr>
            <w:tcW w:w="804" w:type="pct"/>
            <w:tcBorders>
              <w:top w:val="single" w:sz="4" w:space="0" w:color="auto"/>
              <w:left w:val="single" w:sz="4" w:space="0" w:color="auto"/>
              <w:bottom w:val="single" w:sz="4" w:space="0" w:color="auto"/>
              <w:right w:val="single" w:sz="4" w:space="0" w:color="auto"/>
            </w:tcBorders>
            <w:vAlign w:val="center"/>
          </w:tcPr>
          <w:p w14:paraId="54EDAB4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1,131</w:t>
            </w:r>
          </w:p>
        </w:tc>
        <w:tc>
          <w:tcPr>
            <w:tcW w:w="804" w:type="pct"/>
            <w:tcBorders>
              <w:top w:val="single" w:sz="4" w:space="0" w:color="auto"/>
              <w:left w:val="single" w:sz="4" w:space="0" w:color="auto"/>
              <w:bottom w:val="single" w:sz="4" w:space="0" w:color="auto"/>
              <w:right w:val="single" w:sz="4" w:space="0" w:color="auto"/>
            </w:tcBorders>
            <w:vAlign w:val="center"/>
          </w:tcPr>
          <w:p w14:paraId="3CCFADE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w:t>
            </w:r>
          </w:p>
        </w:tc>
        <w:tc>
          <w:tcPr>
            <w:tcW w:w="804" w:type="pct"/>
            <w:tcBorders>
              <w:top w:val="single" w:sz="4" w:space="0" w:color="auto"/>
              <w:left w:val="single" w:sz="4" w:space="0" w:color="auto"/>
              <w:bottom w:val="single" w:sz="4" w:space="0" w:color="auto"/>
              <w:right w:val="single" w:sz="4" w:space="0" w:color="auto"/>
            </w:tcBorders>
            <w:vAlign w:val="center"/>
          </w:tcPr>
          <w:p w14:paraId="064FA08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313</w:t>
            </w:r>
          </w:p>
        </w:tc>
        <w:tc>
          <w:tcPr>
            <w:tcW w:w="804" w:type="pct"/>
            <w:tcBorders>
              <w:top w:val="single" w:sz="4" w:space="0" w:color="auto"/>
              <w:left w:val="single" w:sz="4" w:space="0" w:color="auto"/>
              <w:bottom w:val="single" w:sz="4" w:space="0" w:color="auto"/>
              <w:right w:val="single" w:sz="4" w:space="0" w:color="auto"/>
            </w:tcBorders>
            <w:vAlign w:val="center"/>
          </w:tcPr>
          <w:p w14:paraId="37CF4A6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w:t>
            </w:r>
          </w:p>
        </w:tc>
      </w:tr>
      <w:tr w:rsidR="00217865" w:rsidRPr="00217865" w14:paraId="2C40A703"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D310756"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Flinders University</w:t>
            </w:r>
          </w:p>
        </w:tc>
        <w:tc>
          <w:tcPr>
            <w:tcW w:w="804" w:type="pct"/>
            <w:tcBorders>
              <w:top w:val="single" w:sz="4" w:space="0" w:color="auto"/>
              <w:left w:val="single" w:sz="4" w:space="0" w:color="auto"/>
              <w:bottom w:val="single" w:sz="4" w:space="0" w:color="auto"/>
              <w:right w:val="single" w:sz="4" w:space="0" w:color="auto"/>
            </w:tcBorders>
            <w:vAlign w:val="center"/>
          </w:tcPr>
          <w:p w14:paraId="6CF3430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1,213</w:t>
            </w:r>
          </w:p>
        </w:tc>
        <w:tc>
          <w:tcPr>
            <w:tcW w:w="804" w:type="pct"/>
            <w:tcBorders>
              <w:top w:val="single" w:sz="4" w:space="0" w:color="auto"/>
              <w:left w:val="single" w:sz="4" w:space="0" w:color="auto"/>
              <w:bottom w:val="single" w:sz="4" w:space="0" w:color="auto"/>
              <w:right w:val="single" w:sz="4" w:space="0" w:color="auto"/>
            </w:tcBorders>
            <w:vAlign w:val="center"/>
          </w:tcPr>
          <w:p w14:paraId="4B6087F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1.3</w:t>
            </w:r>
          </w:p>
        </w:tc>
        <w:tc>
          <w:tcPr>
            <w:tcW w:w="804" w:type="pct"/>
            <w:tcBorders>
              <w:top w:val="single" w:sz="4" w:space="0" w:color="auto"/>
              <w:left w:val="single" w:sz="4" w:space="0" w:color="auto"/>
              <w:bottom w:val="single" w:sz="4" w:space="0" w:color="auto"/>
              <w:right w:val="single" w:sz="4" w:space="0" w:color="auto"/>
            </w:tcBorders>
            <w:vAlign w:val="center"/>
          </w:tcPr>
          <w:p w14:paraId="514CEFC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368</w:t>
            </w:r>
          </w:p>
        </w:tc>
        <w:tc>
          <w:tcPr>
            <w:tcW w:w="804" w:type="pct"/>
            <w:tcBorders>
              <w:top w:val="single" w:sz="4" w:space="0" w:color="auto"/>
              <w:left w:val="single" w:sz="4" w:space="0" w:color="auto"/>
              <w:bottom w:val="single" w:sz="4" w:space="0" w:color="auto"/>
              <w:right w:val="single" w:sz="4" w:space="0" w:color="auto"/>
            </w:tcBorders>
            <w:vAlign w:val="center"/>
          </w:tcPr>
          <w:p w14:paraId="0F96EE4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w:t>
            </w:r>
          </w:p>
        </w:tc>
      </w:tr>
      <w:tr w:rsidR="00217865" w:rsidRPr="00217865" w14:paraId="7BC938C4"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753E9E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Griffith University</w:t>
            </w:r>
          </w:p>
        </w:tc>
        <w:tc>
          <w:tcPr>
            <w:tcW w:w="804" w:type="pct"/>
            <w:tcBorders>
              <w:top w:val="single" w:sz="4" w:space="0" w:color="auto"/>
              <w:left w:val="single" w:sz="4" w:space="0" w:color="auto"/>
              <w:bottom w:val="single" w:sz="4" w:space="0" w:color="auto"/>
              <w:right w:val="single" w:sz="4" w:space="0" w:color="auto"/>
            </w:tcBorders>
            <w:vAlign w:val="center"/>
          </w:tcPr>
          <w:p w14:paraId="7941AF5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2,571</w:t>
            </w:r>
          </w:p>
        </w:tc>
        <w:tc>
          <w:tcPr>
            <w:tcW w:w="804" w:type="pct"/>
            <w:tcBorders>
              <w:top w:val="single" w:sz="4" w:space="0" w:color="auto"/>
              <w:left w:val="single" w:sz="4" w:space="0" w:color="auto"/>
              <w:bottom w:val="single" w:sz="4" w:space="0" w:color="auto"/>
              <w:right w:val="single" w:sz="4" w:space="0" w:color="auto"/>
            </w:tcBorders>
            <w:vAlign w:val="center"/>
          </w:tcPr>
          <w:p w14:paraId="67EF932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2.7</w:t>
            </w:r>
          </w:p>
        </w:tc>
        <w:tc>
          <w:tcPr>
            <w:tcW w:w="804" w:type="pct"/>
            <w:tcBorders>
              <w:top w:val="single" w:sz="4" w:space="0" w:color="auto"/>
              <w:left w:val="single" w:sz="4" w:space="0" w:color="auto"/>
              <w:bottom w:val="single" w:sz="4" w:space="0" w:color="auto"/>
              <w:right w:val="single" w:sz="4" w:space="0" w:color="auto"/>
            </w:tcBorders>
            <w:vAlign w:val="center"/>
          </w:tcPr>
          <w:p w14:paraId="6CEE6D7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827</w:t>
            </w:r>
          </w:p>
        </w:tc>
        <w:tc>
          <w:tcPr>
            <w:tcW w:w="804" w:type="pct"/>
            <w:tcBorders>
              <w:top w:val="single" w:sz="4" w:space="0" w:color="auto"/>
              <w:left w:val="single" w:sz="4" w:space="0" w:color="auto"/>
              <w:bottom w:val="single" w:sz="4" w:space="0" w:color="auto"/>
              <w:right w:val="single" w:sz="4" w:space="0" w:color="auto"/>
            </w:tcBorders>
            <w:vAlign w:val="center"/>
          </w:tcPr>
          <w:p w14:paraId="11EAE7B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2.8</w:t>
            </w:r>
          </w:p>
        </w:tc>
      </w:tr>
      <w:tr w:rsidR="00217865" w:rsidRPr="00217865" w14:paraId="639F5701"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193A1C0"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James Cook University</w:t>
            </w:r>
          </w:p>
        </w:tc>
        <w:tc>
          <w:tcPr>
            <w:tcW w:w="804" w:type="pct"/>
            <w:tcBorders>
              <w:top w:val="single" w:sz="4" w:space="0" w:color="auto"/>
              <w:left w:val="single" w:sz="4" w:space="0" w:color="auto"/>
              <w:bottom w:val="single" w:sz="4" w:space="0" w:color="auto"/>
              <w:right w:val="single" w:sz="4" w:space="0" w:color="auto"/>
            </w:tcBorders>
            <w:vAlign w:val="center"/>
          </w:tcPr>
          <w:p w14:paraId="47B127F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628</w:t>
            </w:r>
          </w:p>
        </w:tc>
        <w:tc>
          <w:tcPr>
            <w:tcW w:w="804" w:type="pct"/>
            <w:tcBorders>
              <w:top w:val="single" w:sz="4" w:space="0" w:color="auto"/>
              <w:left w:val="single" w:sz="4" w:space="0" w:color="auto"/>
              <w:bottom w:val="single" w:sz="4" w:space="0" w:color="auto"/>
              <w:right w:val="single" w:sz="4" w:space="0" w:color="auto"/>
            </w:tcBorders>
            <w:vAlign w:val="center"/>
          </w:tcPr>
          <w:p w14:paraId="72578AF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0.7</w:t>
            </w:r>
          </w:p>
        </w:tc>
        <w:tc>
          <w:tcPr>
            <w:tcW w:w="804" w:type="pct"/>
            <w:tcBorders>
              <w:top w:val="single" w:sz="4" w:space="0" w:color="auto"/>
              <w:left w:val="single" w:sz="4" w:space="0" w:color="auto"/>
              <w:bottom w:val="single" w:sz="4" w:space="0" w:color="auto"/>
              <w:right w:val="single" w:sz="4" w:space="0" w:color="auto"/>
            </w:tcBorders>
            <w:vAlign w:val="center"/>
          </w:tcPr>
          <w:p w14:paraId="237A39B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255</w:t>
            </w:r>
          </w:p>
        </w:tc>
        <w:tc>
          <w:tcPr>
            <w:tcW w:w="804" w:type="pct"/>
            <w:tcBorders>
              <w:top w:val="single" w:sz="4" w:space="0" w:color="auto"/>
              <w:left w:val="single" w:sz="4" w:space="0" w:color="auto"/>
              <w:bottom w:val="single" w:sz="4" w:space="0" w:color="auto"/>
              <w:right w:val="single" w:sz="4" w:space="0" w:color="auto"/>
            </w:tcBorders>
            <w:vAlign w:val="center"/>
          </w:tcPr>
          <w:p w14:paraId="2303CB6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0.9</w:t>
            </w:r>
          </w:p>
        </w:tc>
      </w:tr>
      <w:tr w:rsidR="00217865" w:rsidRPr="00217865" w14:paraId="4D9118C4"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2D9B5B9"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La Trobe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51D7DC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1,608</w:t>
            </w:r>
          </w:p>
        </w:tc>
        <w:tc>
          <w:tcPr>
            <w:tcW w:w="804" w:type="pct"/>
            <w:tcBorders>
              <w:top w:val="single" w:sz="4" w:space="0" w:color="auto"/>
              <w:left w:val="single" w:sz="4" w:space="0" w:color="auto"/>
              <w:bottom w:val="single" w:sz="4" w:space="0" w:color="auto"/>
              <w:right w:val="single" w:sz="4" w:space="0" w:color="auto"/>
            </w:tcBorders>
            <w:vAlign w:val="center"/>
          </w:tcPr>
          <w:p w14:paraId="776F39F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w:t>
            </w:r>
          </w:p>
        </w:tc>
        <w:tc>
          <w:tcPr>
            <w:tcW w:w="804" w:type="pct"/>
            <w:tcBorders>
              <w:top w:val="single" w:sz="4" w:space="0" w:color="auto"/>
              <w:left w:val="single" w:sz="4" w:space="0" w:color="auto"/>
              <w:bottom w:val="single" w:sz="4" w:space="0" w:color="auto"/>
              <w:right w:val="single" w:sz="4" w:space="0" w:color="auto"/>
            </w:tcBorders>
            <w:vAlign w:val="center"/>
          </w:tcPr>
          <w:p w14:paraId="0110CB6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434</w:t>
            </w:r>
          </w:p>
        </w:tc>
        <w:tc>
          <w:tcPr>
            <w:tcW w:w="804" w:type="pct"/>
            <w:tcBorders>
              <w:top w:val="single" w:sz="4" w:space="0" w:color="auto"/>
              <w:left w:val="single" w:sz="4" w:space="0" w:color="auto"/>
              <w:bottom w:val="single" w:sz="4" w:space="0" w:color="auto"/>
              <w:right w:val="single" w:sz="4" w:space="0" w:color="auto"/>
            </w:tcBorders>
            <w:vAlign w:val="center"/>
          </w:tcPr>
          <w:p w14:paraId="7C57C0E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1.5</w:t>
            </w:r>
          </w:p>
        </w:tc>
      </w:tr>
      <w:tr w:rsidR="00217865" w:rsidRPr="00217865" w14:paraId="55EE699E"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2700652"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Macquarie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EAF5FF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2,579</w:t>
            </w:r>
          </w:p>
        </w:tc>
        <w:tc>
          <w:tcPr>
            <w:tcW w:w="804" w:type="pct"/>
            <w:tcBorders>
              <w:top w:val="single" w:sz="4" w:space="0" w:color="auto"/>
              <w:left w:val="single" w:sz="4" w:space="0" w:color="auto"/>
              <w:bottom w:val="single" w:sz="4" w:space="0" w:color="auto"/>
              <w:right w:val="single" w:sz="4" w:space="0" w:color="auto"/>
            </w:tcBorders>
            <w:vAlign w:val="center"/>
          </w:tcPr>
          <w:p w14:paraId="1900667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2.7</w:t>
            </w:r>
          </w:p>
        </w:tc>
        <w:tc>
          <w:tcPr>
            <w:tcW w:w="804" w:type="pct"/>
            <w:tcBorders>
              <w:top w:val="single" w:sz="4" w:space="0" w:color="auto"/>
              <w:left w:val="single" w:sz="4" w:space="0" w:color="auto"/>
              <w:bottom w:val="single" w:sz="4" w:space="0" w:color="auto"/>
              <w:right w:val="single" w:sz="4" w:space="0" w:color="auto"/>
            </w:tcBorders>
            <w:vAlign w:val="center"/>
          </w:tcPr>
          <w:p w14:paraId="3F67826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944</w:t>
            </w:r>
          </w:p>
        </w:tc>
        <w:tc>
          <w:tcPr>
            <w:tcW w:w="804" w:type="pct"/>
            <w:tcBorders>
              <w:top w:val="single" w:sz="4" w:space="0" w:color="auto"/>
              <w:left w:val="single" w:sz="4" w:space="0" w:color="auto"/>
              <w:bottom w:val="single" w:sz="4" w:space="0" w:color="auto"/>
              <w:right w:val="single" w:sz="4" w:space="0" w:color="auto"/>
            </w:tcBorders>
            <w:vAlign w:val="center"/>
          </w:tcPr>
          <w:p w14:paraId="0102727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3.2</w:t>
            </w:r>
          </w:p>
        </w:tc>
      </w:tr>
      <w:tr w:rsidR="00217865" w:rsidRPr="00217865" w14:paraId="310FB881"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656AE30"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Monash University</w:t>
            </w:r>
          </w:p>
        </w:tc>
        <w:tc>
          <w:tcPr>
            <w:tcW w:w="804" w:type="pct"/>
            <w:tcBorders>
              <w:top w:val="single" w:sz="4" w:space="0" w:color="auto"/>
              <w:left w:val="single" w:sz="4" w:space="0" w:color="auto"/>
              <w:bottom w:val="single" w:sz="4" w:space="0" w:color="auto"/>
              <w:right w:val="single" w:sz="4" w:space="0" w:color="auto"/>
            </w:tcBorders>
            <w:vAlign w:val="center"/>
          </w:tcPr>
          <w:p w14:paraId="366539E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8,869</w:t>
            </w:r>
          </w:p>
        </w:tc>
        <w:tc>
          <w:tcPr>
            <w:tcW w:w="804" w:type="pct"/>
            <w:tcBorders>
              <w:top w:val="single" w:sz="4" w:space="0" w:color="auto"/>
              <w:left w:val="single" w:sz="4" w:space="0" w:color="auto"/>
              <w:bottom w:val="single" w:sz="4" w:space="0" w:color="auto"/>
              <w:right w:val="single" w:sz="4" w:space="0" w:color="auto"/>
            </w:tcBorders>
            <w:vAlign w:val="center"/>
          </w:tcPr>
          <w:p w14:paraId="646C5F2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9.2</w:t>
            </w:r>
          </w:p>
        </w:tc>
        <w:tc>
          <w:tcPr>
            <w:tcW w:w="804" w:type="pct"/>
            <w:tcBorders>
              <w:top w:val="single" w:sz="4" w:space="0" w:color="auto"/>
              <w:left w:val="single" w:sz="4" w:space="0" w:color="auto"/>
              <w:bottom w:val="single" w:sz="4" w:space="0" w:color="auto"/>
              <w:right w:val="single" w:sz="4" w:space="0" w:color="auto"/>
            </w:tcBorders>
            <w:vAlign w:val="center"/>
          </w:tcPr>
          <w:p w14:paraId="2C8AAF5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2,454</w:t>
            </w:r>
          </w:p>
        </w:tc>
        <w:tc>
          <w:tcPr>
            <w:tcW w:w="804" w:type="pct"/>
            <w:tcBorders>
              <w:top w:val="single" w:sz="4" w:space="0" w:color="auto"/>
              <w:left w:val="single" w:sz="4" w:space="0" w:color="auto"/>
              <w:bottom w:val="single" w:sz="4" w:space="0" w:color="auto"/>
              <w:right w:val="single" w:sz="4" w:space="0" w:color="auto"/>
            </w:tcBorders>
            <w:vAlign w:val="center"/>
          </w:tcPr>
          <w:p w14:paraId="5F75461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8.3</w:t>
            </w:r>
          </w:p>
        </w:tc>
      </w:tr>
      <w:tr w:rsidR="00217865" w:rsidRPr="00217865" w14:paraId="4AA1635B"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325EAE7"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lastRenderedPageBreak/>
              <w:t>Murdoch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0B1890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754</w:t>
            </w:r>
          </w:p>
        </w:tc>
        <w:tc>
          <w:tcPr>
            <w:tcW w:w="804" w:type="pct"/>
            <w:tcBorders>
              <w:top w:val="single" w:sz="4" w:space="0" w:color="auto"/>
              <w:left w:val="single" w:sz="4" w:space="0" w:color="auto"/>
              <w:bottom w:val="single" w:sz="4" w:space="0" w:color="auto"/>
              <w:right w:val="single" w:sz="4" w:space="0" w:color="auto"/>
            </w:tcBorders>
            <w:vAlign w:val="center"/>
          </w:tcPr>
          <w:p w14:paraId="55E33EC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0.8</w:t>
            </w:r>
          </w:p>
        </w:tc>
        <w:tc>
          <w:tcPr>
            <w:tcW w:w="804" w:type="pct"/>
            <w:tcBorders>
              <w:top w:val="single" w:sz="4" w:space="0" w:color="auto"/>
              <w:left w:val="single" w:sz="4" w:space="0" w:color="auto"/>
              <w:bottom w:val="single" w:sz="4" w:space="0" w:color="auto"/>
              <w:right w:val="single" w:sz="4" w:space="0" w:color="auto"/>
            </w:tcBorders>
            <w:vAlign w:val="center"/>
          </w:tcPr>
          <w:p w14:paraId="09EBC1E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288</w:t>
            </w:r>
          </w:p>
        </w:tc>
        <w:tc>
          <w:tcPr>
            <w:tcW w:w="804" w:type="pct"/>
            <w:tcBorders>
              <w:top w:val="single" w:sz="4" w:space="0" w:color="auto"/>
              <w:left w:val="single" w:sz="4" w:space="0" w:color="auto"/>
              <w:bottom w:val="single" w:sz="4" w:space="0" w:color="auto"/>
              <w:right w:val="single" w:sz="4" w:space="0" w:color="auto"/>
            </w:tcBorders>
            <w:vAlign w:val="center"/>
          </w:tcPr>
          <w:p w14:paraId="347A15C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1.0</w:t>
            </w:r>
          </w:p>
        </w:tc>
      </w:tr>
      <w:tr w:rsidR="00217865" w:rsidRPr="00217865" w14:paraId="721C4ECF"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C6D7686"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Queensland University of Technology</w:t>
            </w:r>
          </w:p>
        </w:tc>
        <w:tc>
          <w:tcPr>
            <w:tcW w:w="804" w:type="pct"/>
            <w:tcBorders>
              <w:top w:val="single" w:sz="4" w:space="0" w:color="auto"/>
              <w:left w:val="single" w:sz="4" w:space="0" w:color="auto"/>
              <w:bottom w:val="single" w:sz="4" w:space="0" w:color="auto"/>
              <w:right w:val="single" w:sz="4" w:space="0" w:color="auto"/>
            </w:tcBorders>
            <w:vAlign w:val="center"/>
          </w:tcPr>
          <w:p w14:paraId="7E68ABB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2,008</w:t>
            </w:r>
          </w:p>
        </w:tc>
        <w:tc>
          <w:tcPr>
            <w:tcW w:w="804" w:type="pct"/>
            <w:tcBorders>
              <w:top w:val="single" w:sz="4" w:space="0" w:color="auto"/>
              <w:left w:val="single" w:sz="4" w:space="0" w:color="auto"/>
              <w:bottom w:val="single" w:sz="4" w:space="0" w:color="auto"/>
              <w:right w:val="single" w:sz="4" w:space="0" w:color="auto"/>
            </w:tcBorders>
            <w:vAlign w:val="center"/>
          </w:tcPr>
          <w:p w14:paraId="108FD4A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2.1</w:t>
            </w:r>
          </w:p>
        </w:tc>
        <w:tc>
          <w:tcPr>
            <w:tcW w:w="804" w:type="pct"/>
            <w:tcBorders>
              <w:top w:val="single" w:sz="4" w:space="0" w:color="auto"/>
              <w:left w:val="single" w:sz="4" w:space="0" w:color="auto"/>
              <w:bottom w:val="single" w:sz="4" w:space="0" w:color="auto"/>
              <w:right w:val="single" w:sz="4" w:space="0" w:color="auto"/>
            </w:tcBorders>
            <w:vAlign w:val="center"/>
          </w:tcPr>
          <w:p w14:paraId="78DD263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661</w:t>
            </w:r>
          </w:p>
        </w:tc>
        <w:tc>
          <w:tcPr>
            <w:tcW w:w="804" w:type="pct"/>
            <w:tcBorders>
              <w:top w:val="single" w:sz="4" w:space="0" w:color="auto"/>
              <w:left w:val="single" w:sz="4" w:space="0" w:color="auto"/>
              <w:bottom w:val="single" w:sz="4" w:space="0" w:color="auto"/>
              <w:right w:val="single" w:sz="4" w:space="0" w:color="auto"/>
            </w:tcBorders>
            <w:vAlign w:val="center"/>
          </w:tcPr>
          <w:p w14:paraId="570EE96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2.2</w:t>
            </w:r>
          </w:p>
        </w:tc>
      </w:tr>
      <w:tr w:rsidR="00217865" w:rsidRPr="00217865" w14:paraId="234A52BF"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3083ED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RMIT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E60218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5,690</w:t>
            </w:r>
          </w:p>
        </w:tc>
        <w:tc>
          <w:tcPr>
            <w:tcW w:w="804" w:type="pct"/>
            <w:tcBorders>
              <w:top w:val="single" w:sz="4" w:space="0" w:color="auto"/>
              <w:left w:val="single" w:sz="4" w:space="0" w:color="auto"/>
              <w:bottom w:val="single" w:sz="4" w:space="0" w:color="auto"/>
              <w:right w:val="single" w:sz="4" w:space="0" w:color="auto"/>
            </w:tcBorders>
            <w:vAlign w:val="center"/>
          </w:tcPr>
          <w:p w14:paraId="38F2832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5.9</w:t>
            </w:r>
          </w:p>
        </w:tc>
        <w:tc>
          <w:tcPr>
            <w:tcW w:w="804" w:type="pct"/>
            <w:tcBorders>
              <w:top w:val="single" w:sz="4" w:space="0" w:color="auto"/>
              <w:left w:val="single" w:sz="4" w:space="0" w:color="auto"/>
              <w:bottom w:val="single" w:sz="4" w:space="0" w:color="auto"/>
              <w:right w:val="single" w:sz="4" w:space="0" w:color="auto"/>
            </w:tcBorders>
            <w:vAlign w:val="center"/>
          </w:tcPr>
          <w:p w14:paraId="4A9DF32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990</w:t>
            </w:r>
          </w:p>
        </w:tc>
        <w:tc>
          <w:tcPr>
            <w:tcW w:w="804" w:type="pct"/>
            <w:tcBorders>
              <w:top w:val="single" w:sz="4" w:space="0" w:color="auto"/>
              <w:left w:val="single" w:sz="4" w:space="0" w:color="auto"/>
              <w:bottom w:val="single" w:sz="4" w:space="0" w:color="auto"/>
              <w:right w:val="single" w:sz="4" w:space="0" w:color="auto"/>
            </w:tcBorders>
            <w:vAlign w:val="center"/>
          </w:tcPr>
          <w:p w14:paraId="2885779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3.3</w:t>
            </w:r>
          </w:p>
        </w:tc>
      </w:tr>
      <w:tr w:rsidR="00217865" w:rsidRPr="00217865" w14:paraId="7C51FA92"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5553044"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Southern Cross University</w:t>
            </w:r>
          </w:p>
        </w:tc>
        <w:tc>
          <w:tcPr>
            <w:tcW w:w="804" w:type="pct"/>
            <w:tcBorders>
              <w:top w:val="single" w:sz="4" w:space="0" w:color="auto"/>
              <w:left w:val="single" w:sz="4" w:space="0" w:color="auto"/>
              <w:bottom w:val="single" w:sz="4" w:space="0" w:color="auto"/>
              <w:right w:val="single" w:sz="4" w:space="0" w:color="auto"/>
            </w:tcBorders>
            <w:vAlign w:val="center"/>
          </w:tcPr>
          <w:p w14:paraId="60299A7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498</w:t>
            </w:r>
          </w:p>
        </w:tc>
        <w:tc>
          <w:tcPr>
            <w:tcW w:w="804" w:type="pct"/>
            <w:tcBorders>
              <w:top w:val="single" w:sz="4" w:space="0" w:color="auto"/>
              <w:left w:val="single" w:sz="4" w:space="0" w:color="auto"/>
              <w:bottom w:val="single" w:sz="4" w:space="0" w:color="auto"/>
              <w:right w:val="single" w:sz="4" w:space="0" w:color="auto"/>
            </w:tcBorders>
            <w:vAlign w:val="center"/>
          </w:tcPr>
          <w:p w14:paraId="3717812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0.5</w:t>
            </w:r>
          </w:p>
        </w:tc>
        <w:tc>
          <w:tcPr>
            <w:tcW w:w="804" w:type="pct"/>
            <w:tcBorders>
              <w:top w:val="single" w:sz="4" w:space="0" w:color="auto"/>
              <w:left w:val="single" w:sz="4" w:space="0" w:color="auto"/>
              <w:bottom w:val="single" w:sz="4" w:space="0" w:color="auto"/>
              <w:right w:val="single" w:sz="4" w:space="0" w:color="auto"/>
            </w:tcBorders>
            <w:vAlign w:val="center"/>
          </w:tcPr>
          <w:p w14:paraId="1BC2784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149</w:t>
            </w:r>
          </w:p>
        </w:tc>
        <w:tc>
          <w:tcPr>
            <w:tcW w:w="804" w:type="pct"/>
            <w:tcBorders>
              <w:top w:val="single" w:sz="4" w:space="0" w:color="auto"/>
              <w:left w:val="single" w:sz="4" w:space="0" w:color="auto"/>
              <w:bottom w:val="single" w:sz="4" w:space="0" w:color="auto"/>
              <w:right w:val="single" w:sz="4" w:space="0" w:color="auto"/>
            </w:tcBorders>
            <w:vAlign w:val="center"/>
          </w:tcPr>
          <w:p w14:paraId="0E8E189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0.5</w:t>
            </w:r>
          </w:p>
        </w:tc>
      </w:tr>
      <w:tr w:rsidR="00217865" w:rsidRPr="00217865" w14:paraId="35BB8F83"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006A933"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Swinburne University of Technology</w:t>
            </w:r>
          </w:p>
        </w:tc>
        <w:tc>
          <w:tcPr>
            <w:tcW w:w="804" w:type="pct"/>
            <w:tcBorders>
              <w:top w:val="single" w:sz="4" w:space="0" w:color="auto"/>
              <w:left w:val="single" w:sz="4" w:space="0" w:color="auto"/>
              <w:bottom w:val="single" w:sz="4" w:space="0" w:color="auto"/>
              <w:right w:val="single" w:sz="4" w:space="0" w:color="auto"/>
            </w:tcBorders>
            <w:vAlign w:val="center"/>
          </w:tcPr>
          <w:p w14:paraId="4A95F49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2,325</w:t>
            </w:r>
          </w:p>
        </w:tc>
        <w:tc>
          <w:tcPr>
            <w:tcW w:w="804" w:type="pct"/>
            <w:tcBorders>
              <w:top w:val="single" w:sz="4" w:space="0" w:color="auto"/>
              <w:left w:val="single" w:sz="4" w:space="0" w:color="auto"/>
              <w:bottom w:val="single" w:sz="4" w:space="0" w:color="auto"/>
              <w:right w:val="single" w:sz="4" w:space="0" w:color="auto"/>
            </w:tcBorders>
            <w:vAlign w:val="center"/>
          </w:tcPr>
          <w:p w14:paraId="75D5812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2.4</w:t>
            </w:r>
          </w:p>
        </w:tc>
        <w:tc>
          <w:tcPr>
            <w:tcW w:w="804" w:type="pct"/>
            <w:tcBorders>
              <w:top w:val="single" w:sz="4" w:space="0" w:color="auto"/>
              <w:left w:val="single" w:sz="4" w:space="0" w:color="auto"/>
              <w:bottom w:val="single" w:sz="4" w:space="0" w:color="auto"/>
              <w:right w:val="single" w:sz="4" w:space="0" w:color="auto"/>
            </w:tcBorders>
            <w:vAlign w:val="center"/>
          </w:tcPr>
          <w:p w14:paraId="1AC87A6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775</w:t>
            </w:r>
          </w:p>
        </w:tc>
        <w:tc>
          <w:tcPr>
            <w:tcW w:w="804" w:type="pct"/>
            <w:tcBorders>
              <w:top w:val="single" w:sz="4" w:space="0" w:color="auto"/>
              <w:left w:val="single" w:sz="4" w:space="0" w:color="auto"/>
              <w:bottom w:val="single" w:sz="4" w:space="0" w:color="auto"/>
              <w:right w:val="single" w:sz="4" w:space="0" w:color="auto"/>
            </w:tcBorders>
            <w:vAlign w:val="center"/>
          </w:tcPr>
          <w:p w14:paraId="180C94F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2.6</w:t>
            </w:r>
          </w:p>
        </w:tc>
      </w:tr>
      <w:tr w:rsidR="00217865" w:rsidRPr="00217865" w14:paraId="48BD8A47"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77D6EE0"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Australian National University</w:t>
            </w:r>
          </w:p>
        </w:tc>
        <w:tc>
          <w:tcPr>
            <w:tcW w:w="804" w:type="pct"/>
            <w:tcBorders>
              <w:top w:val="single" w:sz="4" w:space="0" w:color="auto"/>
              <w:left w:val="single" w:sz="4" w:space="0" w:color="auto"/>
              <w:bottom w:val="single" w:sz="4" w:space="0" w:color="auto"/>
              <w:right w:val="single" w:sz="4" w:space="0" w:color="auto"/>
            </w:tcBorders>
            <w:vAlign w:val="center"/>
          </w:tcPr>
          <w:p w14:paraId="221382D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926</w:t>
            </w:r>
          </w:p>
        </w:tc>
        <w:tc>
          <w:tcPr>
            <w:tcW w:w="804" w:type="pct"/>
            <w:tcBorders>
              <w:top w:val="single" w:sz="4" w:space="0" w:color="auto"/>
              <w:left w:val="single" w:sz="4" w:space="0" w:color="auto"/>
              <w:bottom w:val="single" w:sz="4" w:space="0" w:color="auto"/>
              <w:right w:val="single" w:sz="4" w:space="0" w:color="auto"/>
            </w:tcBorders>
            <w:vAlign w:val="center"/>
          </w:tcPr>
          <w:p w14:paraId="618FF29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1.0</w:t>
            </w:r>
          </w:p>
        </w:tc>
        <w:tc>
          <w:tcPr>
            <w:tcW w:w="804" w:type="pct"/>
            <w:tcBorders>
              <w:top w:val="single" w:sz="4" w:space="0" w:color="auto"/>
              <w:left w:val="single" w:sz="4" w:space="0" w:color="auto"/>
              <w:bottom w:val="single" w:sz="4" w:space="0" w:color="auto"/>
              <w:right w:val="single" w:sz="4" w:space="0" w:color="auto"/>
            </w:tcBorders>
            <w:vAlign w:val="center"/>
          </w:tcPr>
          <w:p w14:paraId="6A5A34F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274</w:t>
            </w:r>
          </w:p>
        </w:tc>
        <w:tc>
          <w:tcPr>
            <w:tcW w:w="804" w:type="pct"/>
            <w:tcBorders>
              <w:top w:val="single" w:sz="4" w:space="0" w:color="auto"/>
              <w:left w:val="single" w:sz="4" w:space="0" w:color="auto"/>
              <w:bottom w:val="single" w:sz="4" w:space="0" w:color="auto"/>
              <w:right w:val="single" w:sz="4" w:space="0" w:color="auto"/>
            </w:tcBorders>
            <w:vAlign w:val="center"/>
          </w:tcPr>
          <w:p w14:paraId="21AEC4B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0.9</w:t>
            </w:r>
          </w:p>
        </w:tc>
      </w:tr>
      <w:tr w:rsidR="00217865" w:rsidRPr="00217865" w14:paraId="74DAE50A"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A6EB1E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Adelaide</w:t>
            </w:r>
          </w:p>
        </w:tc>
        <w:tc>
          <w:tcPr>
            <w:tcW w:w="804" w:type="pct"/>
            <w:tcBorders>
              <w:top w:val="single" w:sz="4" w:space="0" w:color="auto"/>
              <w:left w:val="single" w:sz="4" w:space="0" w:color="auto"/>
              <w:bottom w:val="single" w:sz="4" w:space="0" w:color="auto"/>
              <w:right w:val="single" w:sz="4" w:space="0" w:color="auto"/>
            </w:tcBorders>
            <w:vAlign w:val="center"/>
          </w:tcPr>
          <w:p w14:paraId="73AC3BF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1,281</w:t>
            </w:r>
          </w:p>
        </w:tc>
        <w:tc>
          <w:tcPr>
            <w:tcW w:w="804" w:type="pct"/>
            <w:tcBorders>
              <w:top w:val="single" w:sz="4" w:space="0" w:color="auto"/>
              <w:left w:val="single" w:sz="4" w:space="0" w:color="auto"/>
              <w:bottom w:val="single" w:sz="4" w:space="0" w:color="auto"/>
              <w:right w:val="single" w:sz="4" w:space="0" w:color="auto"/>
            </w:tcBorders>
            <w:vAlign w:val="center"/>
          </w:tcPr>
          <w:p w14:paraId="31856A6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1.3</w:t>
            </w:r>
          </w:p>
        </w:tc>
        <w:tc>
          <w:tcPr>
            <w:tcW w:w="804" w:type="pct"/>
            <w:tcBorders>
              <w:top w:val="single" w:sz="4" w:space="0" w:color="auto"/>
              <w:left w:val="single" w:sz="4" w:space="0" w:color="auto"/>
              <w:bottom w:val="single" w:sz="4" w:space="0" w:color="auto"/>
              <w:right w:val="single" w:sz="4" w:space="0" w:color="auto"/>
            </w:tcBorders>
            <w:vAlign w:val="center"/>
          </w:tcPr>
          <w:p w14:paraId="664F5B5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417</w:t>
            </w:r>
          </w:p>
        </w:tc>
        <w:tc>
          <w:tcPr>
            <w:tcW w:w="804" w:type="pct"/>
            <w:tcBorders>
              <w:top w:val="single" w:sz="4" w:space="0" w:color="auto"/>
              <w:left w:val="single" w:sz="4" w:space="0" w:color="auto"/>
              <w:bottom w:val="single" w:sz="4" w:space="0" w:color="auto"/>
              <w:right w:val="single" w:sz="4" w:space="0" w:color="auto"/>
            </w:tcBorders>
            <w:vAlign w:val="center"/>
          </w:tcPr>
          <w:p w14:paraId="0D6EF5D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1.4</w:t>
            </w:r>
          </w:p>
        </w:tc>
      </w:tr>
      <w:tr w:rsidR="00217865" w:rsidRPr="00217865" w14:paraId="20C7E1B7"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C91B4F6"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Melbourne</w:t>
            </w:r>
          </w:p>
        </w:tc>
        <w:tc>
          <w:tcPr>
            <w:tcW w:w="804" w:type="pct"/>
            <w:tcBorders>
              <w:top w:val="single" w:sz="4" w:space="0" w:color="auto"/>
              <w:left w:val="single" w:sz="4" w:space="0" w:color="auto"/>
              <w:bottom w:val="single" w:sz="4" w:space="0" w:color="auto"/>
              <w:right w:val="single" w:sz="4" w:space="0" w:color="auto"/>
            </w:tcBorders>
            <w:vAlign w:val="center"/>
          </w:tcPr>
          <w:p w14:paraId="4CD7EC7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2,625</w:t>
            </w:r>
          </w:p>
        </w:tc>
        <w:tc>
          <w:tcPr>
            <w:tcW w:w="804" w:type="pct"/>
            <w:tcBorders>
              <w:top w:val="single" w:sz="4" w:space="0" w:color="auto"/>
              <w:left w:val="single" w:sz="4" w:space="0" w:color="auto"/>
              <w:bottom w:val="single" w:sz="4" w:space="0" w:color="auto"/>
              <w:right w:val="single" w:sz="4" w:space="0" w:color="auto"/>
            </w:tcBorders>
            <w:vAlign w:val="center"/>
          </w:tcPr>
          <w:p w14:paraId="1296E2A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2.7</w:t>
            </w:r>
          </w:p>
        </w:tc>
        <w:tc>
          <w:tcPr>
            <w:tcW w:w="804" w:type="pct"/>
            <w:tcBorders>
              <w:top w:val="single" w:sz="4" w:space="0" w:color="auto"/>
              <w:left w:val="single" w:sz="4" w:space="0" w:color="auto"/>
              <w:bottom w:val="single" w:sz="4" w:space="0" w:color="auto"/>
              <w:right w:val="single" w:sz="4" w:space="0" w:color="auto"/>
            </w:tcBorders>
            <w:vAlign w:val="center"/>
          </w:tcPr>
          <w:p w14:paraId="4180EEB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934</w:t>
            </w:r>
          </w:p>
        </w:tc>
        <w:tc>
          <w:tcPr>
            <w:tcW w:w="804" w:type="pct"/>
            <w:tcBorders>
              <w:top w:val="single" w:sz="4" w:space="0" w:color="auto"/>
              <w:left w:val="single" w:sz="4" w:space="0" w:color="auto"/>
              <w:bottom w:val="single" w:sz="4" w:space="0" w:color="auto"/>
              <w:right w:val="single" w:sz="4" w:space="0" w:color="auto"/>
            </w:tcBorders>
            <w:vAlign w:val="center"/>
          </w:tcPr>
          <w:p w14:paraId="0A52AD1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3.1</w:t>
            </w:r>
          </w:p>
        </w:tc>
      </w:tr>
      <w:tr w:rsidR="00217865" w:rsidRPr="00217865" w14:paraId="006BAE9E"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F2AFB74"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Notre Dame Australia</w:t>
            </w:r>
          </w:p>
        </w:tc>
        <w:tc>
          <w:tcPr>
            <w:tcW w:w="804" w:type="pct"/>
            <w:tcBorders>
              <w:top w:val="single" w:sz="4" w:space="0" w:color="auto"/>
              <w:left w:val="single" w:sz="4" w:space="0" w:color="auto"/>
              <w:bottom w:val="single" w:sz="4" w:space="0" w:color="auto"/>
              <w:right w:val="single" w:sz="4" w:space="0" w:color="auto"/>
            </w:tcBorders>
            <w:vAlign w:val="center"/>
          </w:tcPr>
          <w:p w14:paraId="1EFD600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176</w:t>
            </w:r>
          </w:p>
        </w:tc>
        <w:tc>
          <w:tcPr>
            <w:tcW w:w="804" w:type="pct"/>
            <w:tcBorders>
              <w:top w:val="single" w:sz="4" w:space="0" w:color="auto"/>
              <w:left w:val="single" w:sz="4" w:space="0" w:color="auto"/>
              <w:bottom w:val="single" w:sz="4" w:space="0" w:color="auto"/>
              <w:right w:val="single" w:sz="4" w:space="0" w:color="auto"/>
            </w:tcBorders>
            <w:vAlign w:val="center"/>
          </w:tcPr>
          <w:p w14:paraId="795A43B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0.2</w:t>
            </w:r>
          </w:p>
        </w:tc>
        <w:tc>
          <w:tcPr>
            <w:tcW w:w="804" w:type="pct"/>
            <w:tcBorders>
              <w:top w:val="single" w:sz="4" w:space="0" w:color="auto"/>
              <w:left w:val="single" w:sz="4" w:space="0" w:color="auto"/>
              <w:bottom w:val="single" w:sz="4" w:space="0" w:color="auto"/>
              <w:right w:val="single" w:sz="4" w:space="0" w:color="auto"/>
            </w:tcBorders>
            <w:vAlign w:val="center"/>
          </w:tcPr>
          <w:p w14:paraId="16E576E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77</w:t>
            </w:r>
          </w:p>
        </w:tc>
        <w:tc>
          <w:tcPr>
            <w:tcW w:w="804" w:type="pct"/>
            <w:tcBorders>
              <w:top w:val="single" w:sz="4" w:space="0" w:color="auto"/>
              <w:left w:val="single" w:sz="4" w:space="0" w:color="auto"/>
              <w:bottom w:val="single" w:sz="4" w:space="0" w:color="auto"/>
              <w:right w:val="single" w:sz="4" w:space="0" w:color="auto"/>
            </w:tcBorders>
            <w:vAlign w:val="center"/>
          </w:tcPr>
          <w:p w14:paraId="7C0FACF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0.3</w:t>
            </w:r>
          </w:p>
        </w:tc>
      </w:tr>
      <w:tr w:rsidR="00217865" w:rsidRPr="00217865" w14:paraId="0A57CBA7"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E169514"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Queensland</w:t>
            </w:r>
          </w:p>
        </w:tc>
        <w:tc>
          <w:tcPr>
            <w:tcW w:w="804" w:type="pct"/>
            <w:tcBorders>
              <w:top w:val="single" w:sz="4" w:space="0" w:color="auto"/>
              <w:left w:val="single" w:sz="4" w:space="0" w:color="auto"/>
              <w:bottom w:val="single" w:sz="4" w:space="0" w:color="auto"/>
              <w:right w:val="single" w:sz="4" w:space="0" w:color="auto"/>
            </w:tcBorders>
            <w:vAlign w:val="center"/>
          </w:tcPr>
          <w:p w14:paraId="0361E42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4,605</w:t>
            </w:r>
          </w:p>
        </w:tc>
        <w:tc>
          <w:tcPr>
            <w:tcW w:w="804" w:type="pct"/>
            <w:tcBorders>
              <w:top w:val="single" w:sz="4" w:space="0" w:color="auto"/>
              <w:left w:val="single" w:sz="4" w:space="0" w:color="auto"/>
              <w:bottom w:val="single" w:sz="4" w:space="0" w:color="auto"/>
              <w:right w:val="single" w:sz="4" w:space="0" w:color="auto"/>
            </w:tcBorders>
            <w:vAlign w:val="center"/>
          </w:tcPr>
          <w:p w14:paraId="5D7A80D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4.8</w:t>
            </w:r>
          </w:p>
        </w:tc>
        <w:tc>
          <w:tcPr>
            <w:tcW w:w="804" w:type="pct"/>
            <w:tcBorders>
              <w:top w:val="single" w:sz="4" w:space="0" w:color="auto"/>
              <w:left w:val="single" w:sz="4" w:space="0" w:color="auto"/>
              <w:bottom w:val="single" w:sz="4" w:space="0" w:color="auto"/>
              <w:right w:val="single" w:sz="4" w:space="0" w:color="auto"/>
            </w:tcBorders>
            <w:vAlign w:val="center"/>
          </w:tcPr>
          <w:p w14:paraId="3FAD755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1,054</w:t>
            </w:r>
          </w:p>
        </w:tc>
        <w:tc>
          <w:tcPr>
            <w:tcW w:w="804" w:type="pct"/>
            <w:tcBorders>
              <w:top w:val="single" w:sz="4" w:space="0" w:color="auto"/>
              <w:left w:val="single" w:sz="4" w:space="0" w:color="auto"/>
              <w:bottom w:val="single" w:sz="4" w:space="0" w:color="auto"/>
              <w:right w:val="single" w:sz="4" w:space="0" w:color="auto"/>
            </w:tcBorders>
            <w:vAlign w:val="center"/>
          </w:tcPr>
          <w:p w14:paraId="7C7AB3F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3.5</w:t>
            </w:r>
          </w:p>
        </w:tc>
      </w:tr>
      <w:tr w:rsidR="00217865" w:rsidRPr="00217865" w14:paraId="548783A5"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52C77F1"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South Australia</w:t>
            </w:r>
          </w:p>
        </w:tc>
        <w:tc>
          <w:tcPr>
            <w:tcW w:w="804" w:type="pct"/>
            <w:tcBorders>
              <w:top w:val="single" w:sz="4" w:space="0" w:color="auto"/>
              <w:left w:val="single" w:sz="4" w:space="0" w:color="auto"/>
              <w:bottom w:val="single" w:sz="4" w:space="0" w:color="auto"/>
              <w:right w:val="single" w:sz="4" w:space="0" w:color="auto"/>
            </w:tcBorders>
            <w:vAlign w:val="center"/>
          </w:tcPr>
          <w:p w14:paraId="7602542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1,994</w:t>
            </w:r>
          </w:p>
        </w:tc>
        <w:tc>
          <w:tcPr>
            <w:tcW w:w="804" w:type="pct"/>
            <w:tcBorders>
              <w:top w:val="single" w:sz="4" w:space="0" w:color="auto"/>
              <w:left w:val="single" w:sz="4" w:space="0" w:color="auto"/>
              <w:bottom w:val="single" w:sz="4" w:space="0" w:color="auto"/>
              <w:right w:val="single" w:sz="4" w:space="0" w:color="auto"/>
            </w:tcBorders>
            <w:vAlign w:val="center"/>
          </w:tcPr>
          <w:p w14:paraId="52645DA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2.1</w:t>
            </w:r>
          </w:p>
        </w:tc>
        <w:tc>
          <w:tcPr>
            <w:tcW w:w="804" w:type="pct"/>
            <w:tcBorders>
              <w:top w:val="single" w:sz="4" w:space="0" w:color="auto"/>
              <w:left w:val="single" w:sz="4" w:space="0" w:color="auto"/>
              <w:bottom w:val="single" w:sz="4" w:space="0" w:color="auto"/>
              <w:right w:val="single" w:sz="4" w:space="0" w:color="auto"/>
            </w:tcBorders>
            <w:vAlign w:val="center"/>
          </w:tcPr>
          <w:p w14:paraId="6F6A7E2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665</w:t>
            </w:r>
          </w:p>
        </w:tc>
        <w:tc>
          <w:tcPr>
            <w:tcW w:w="804" w:type="pct"/>
            <w:tcBorders>
              <w:top w:val="single" w:sz="4" w:space="0" w:color="auto"/>
              <w:left w:val="single" w:sz="4" w:space="0" w:color="auto"/>
              <w:bottom w:val="single" w:sz="4" w:space="0" w:color="auto"/>
              <w:right w:val="single" w:sz="4" w:space="0" w:color="auto"/>
            </w:tcBorders>
            <w:vAlign w:val="center"/>
          </w:tcPr>
          <w:p w14:paraId="637682D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2.2</w:t>
            </w:r>
          </w:p>
        </w:tc>
      </w:tr>
      <w:tr w:rsidR="00217865" w:rsidRPr="00217865" w14:paraId="6BDDE59F"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DD23A96"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Sydney</w:t>
            </w:r>
          </w:p>
        </w:tc>
        <w:tc>
          <w:tcPr>
            <w:tcW w:w="804" w:type="pct"/>
            <w:tcBorders>
              <w:top w:val="single" w:sz="4" w:space="0" w:color="auto"/>
              <w:left w:val="single" w:sz="4" w:space="0" w:color="auto"/>
              <w:bottom w:val="single" w:sz="4" w:space="0" w:color="auto"/>
              <w:right w:val="single" w:sz="4" w:space="0" w:color="auto"/>
            </w:tcBorders>
            <w:vAlign w:val="center"/>
          </w:tcPr>
          <w:p w14:paraId="351E910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6,154</w:t>
            </w:r>
          </w:p>
        </w:tc>
        <w:tc>
          <w:tcPr>
            <w:tcW w:w="804" w:type="pct"/>
            <w:tcBorders>
              <w:top w:val="single" w:sz="4" w:space="0" w:color="auto"/>
              <w:left w:val="single" w:sz="4" w:space="0" w:color="auto"/>
              <w:bottom w:val="single" w:sz="4" w:space="0" w:color="auto"/>
              <w:right w:val="single" w:sz="4" w:space="0" w:color="auto"/>
            </w:tcBorders>
            <w:vAlign w:val="center"/>
          </w:tcPr>
          <w:p w14:paraId="70AF12E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6.4</w:t>
            </w:r>
          </w:p>
        </w:tc>
        <w:tc>
          <w:tcPr>
            <w:tcW w:w="804" w:type="pct"/>
            <w:tcBorders>
              <w:top w:val="single" w:sz="4" w:space="0" w:color="auto"/>
              <w:left w:val="single" w:sz="4" w:space="0" w:color="auto"/>
              <w:bottom w:val="single" w:sz="4" w:space="0" w:color="auto"/>
              <w:right w:val="single" w:sz="4" w:space="0" w:color="auto"/>
            </w:tcBorders>
            <w:vAlign w:val="center"/>
          </w:tcPr>
          <w:p w14:paraId="07754C2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1,157</w:t>
            </w:r>
          </w:p>
        </w:tc>
        <w:tc>
          <w:tcPr>
            <w:tcW w:w="804" w:type="pct"/>
            <w:tcBorders>
              <w:top w:val="single" w:sz="4" w:space="0" w:color="auto"/>
              <w:left w:val="single" w:sz="4" w:space="0" w:color="auto"/>
              <w:bottom w:val="single" w:sz="4" w:space="0" w:color="auto"/>
              <w:right w:val="single" w:sz="4" w:space="0" w:color="auto"/>
            </w:tcBorders>
            <w:vAlign w:val="center"/>
          </w:tcPr>
          <w:p w14:paraId="39F7A0B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3.9</w:t>
            </w:r>
          </w:p>
        </w:tc>
      </w:tr>
      <w:tr w:rsidR="00217865" w:rsidRPr="00217865" w14:paraId="7989A3EA"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ABEEDBD"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The University of Western Australia</w:t>
            </w:r>
          </w:p>
        </w:tc>
        <w:tc>
          <w:tcPr>
            <w:tcW w:w="804" w:type="pct"/>
            <w:tcBorders>
              <w:top w:val="single" w:sz="4" w:space="0" w:color="auto"/>
              <w:left w:val="single" w:sz="4" w:space="0" w:color="auto"/>
              <w:bottom w:val="single" w:sz="4" w:space="0" w:color="auto"/>
              <w:right w:val="single" w:sz="4" w:space="0" w:color="auto"/>
            </w:tcBorders>
            <w:vAlign w:val="center"/>
          </w:tcPr>
          <w:p w14:paraId="49B3319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1,512</w:t>
            </w:r>
          </w:p>
        </w:tc>
        <w:tc>
          <w:tcPr>
            <w:tcW w:w="804" w:type="pct"/>
            <w:tcBorders>
              <w:top w:val="single" w:sz="4" w:space="0" w:color="auto"/>
              <w:left w:val="single" w:sz="4" w:space="0" w:color="auto"/>
              <w:bottom w:val="single" w:sz="4" w:space="0" w:color="auto"/>
              <w:right w:val="single" w:sz="4" w:space="0" w:color="auto"/>
            </w:tcBorders>
            <w:vAlign w:val="center"/>
          </w:tcPr>
          <w:p w14:paraId="7A81739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1.6</w:t>
            </w:r>
          </w:p>
        </w:tc>
        <w:tc>
          <w:tcPr>
            <w:tcW w:w="804" w:type="pct"/>
            <w:tcBorders>
              <w:top w:val="single" w:sz="4" w:space="0" w:color="auto"/>
              <w:left w:val="single" w:sz="4" w:space="0" w:color="auto"/>
              <w:bottom w:val="single" w:sz="4" w:space="0" w:color="auto"/>
              <w:right w:val="single" w:sz="4" w:space="0" w:color="auto"/>
            </w:tcBorders>
            <w:vAlign w:val="center"/>
          </w:tcPr>
          <w:p w14:paraId="533B977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655</w:t>
            </w:r>
          </w:p>
        </w:tc>
        <w:tc>
          <w:tcPr>
            <w:tcW w:w="804" w:type="pct"/>
            <w:tcBorders>
              <w:top w:val="single" w:sz="4" w:space="0" w:color="auto"/>
              <w:left w:val="single" w:sz="4" w:space="0" w:color="auto"/>
              <w:bottom w:val="single" w:sz="4" w:space="0" w:color="auto"/>
              <w:right w:val="single" w:sz="4" w:space="0" w:color="auto"/>
            </w:tcBorders>
            <w:vAlign w:val="center"/>
          </w:tcPr>
          <w:p w14:paraId="302E413E"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2.2</w:t>
            </w:r>
          </w:p>
        </w:tc>
      </w:tr>
      <w:tr w:rsidR="00217865" w:rsidRPr="00217865" w14:paraId="1C796080"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0623149"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Torrens University</w:t>
            </w:r>
          </w:p>
        </w:tc>
        <w:tc>
          <w:tcPr>
            <w:tcW w:w="804" w:type="pct"/>
            <w:tcBorders>
              <w:top w:val="single" w:sz="4" w:space="0" w:color="auto"/>
              <w:left w:val="single" w:sz="4" w:space="0" w:color="auto"/>
              <w:bottom w:val="single" w:sz="4" w:space="0" w:color="auto"/>
              <w:right w:val="single" w:sz="4" w:space="0" w:color="auto"/>
            </w:tcBorders>
            <w:vAlign w:val="center"/>
          </w:tcPr>
          <w:p w14:paraId="420978F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900</w:t>
            </w:r>
          </w:p>
        </w:tc>
        <w:tc>
          <w:tcPr>
            <w:tcW w:w="804" w:type="pct"/>
            <w:tcBorders>
              <w:top w:val="single" w:sz="4" w:space="0" w:color="auto"/>
              <w:left w:val="single" w:sz="4" w:space="0" w:color="auto"/>
              <w:bottom w:val="single" w:sz="4" w:space="0" w:color="auto"/>
              <w:right w:val="single" w:sz="4" w:space="0" w:color="auto"/>
            </w:tcBorders>
            <w:vAlign w:val="center"/>
          </w:tcPr>
          <w:p w14:paraId="00716A9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0.9</w:t>
            </w:r>
          </w:p>
        </w:tc>
        <w:tc>
          <w:tcPr>
            <w:tcW w:w="804" w:type="pct"/>
            <w:tcBorders>
              <w:top w:val="single" w:sz="4" w:space="0" w:color="auto"/>
              <w:left w:val="single" w:sz="4" w:space="0" w:color="auto"/>
              <w:bottom w:val="single" w:sz="4" w:space="0" w:color="auto"/>
              <w:right w:val="single" w:sz="4" w:space="0" w:color="auto"/>
            </w:tcBorders>
            <w:vAlign w:val="center"/>
          </w:tcPr>
          <w:p w14:paraId="1A13608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471</w:t>
            </w:r>
          </w:p>
        </w:tc>
        <w:tc>
          <w:tcPr>
            <w:tcW w:w="804" w:type="pct"/>
            <w:tcBorders>
              <w:top w:val="single" w:sz="4" w:space="0" w:color="auto"/>
              <w:left w:val="single" w:sz="4" w:space="0" w:color="auto"/>
              <w:bottom w:val="single" w:sz="4" w:space="0" w:color="auto"/>
              <w:right w:val="single" w:sz="4" w:space="0" w:color="auto"/>
            </w:tcBorders>
            <w:vAlign w:val="center"/>
          </w:tcPr>
          <w:p w14:paraId="7469DE1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1.6</w:t>
            </w:r>
          </w:p>
        </w:tc>
      </w:tr>
      <w:tr w:rsidR="00217865" w:rsidRPr="00217865" w14:paraId="3DFFE6F7"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777C56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Canberra</w:t>
            </w:r>
          </w:p>
        </w:tc>
        <w:tc>
          <w:tcPr>
            <w:tcW w:w="804" w:type="pct"/>
            <w:tcBorders>
              <w:top w:val="single" w:sz="4" w:space="0" w:color="auto"/>
              <w:left w:val="single" w:sz="4" w:space="0" w:color="auto"/>
              <w:bottom w:val="single" w:sz="4" w:space="0" w:color="auto"/>
              <w:right w:val="single" w:sz="4" w:space="0" w:color="auto"/>
            </w:tcBorders>
            <w:vAlign w:val="center"/>
          </w:tcPr>
          <w:p w14:paraId="48DD9F8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1,089</w:t>
            </w:r>
          </w:p>
        </w:tc>
        <w:tc>
          <w:tcPr>
            <w:tcW w:w="804" w:type="pct"/>
            <w:tcBorders>
              <w:top w:val="single" w:sz="4" w:space="0" w:color="auto"/>
              <w:left w:val="single" w:sz="4" w:space="0" w:color="auto"/>
              <w:bottom w:val="single" w:sz="4" w:space="0" w:color="auto"/>
              <w:right w:val="single" w:sz="4" w:space="0" w:color="auto"/>
            </w:tcBorders>
            <w:vAlign w:val="center"/>
          </w:tcPr>
          <w:p w14:paraId="793E732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w:t>
            </w:r>
          </w:p>
        </w:tc>
        <w:tc>
          <w:tcPr>
            <w:tcW w:w="804" w:type="pct"/>
            <w:tcBorders>
              <w:top w:val="single" w:sz="4" w:space="0" w:color="auto"/>
              <w:left w:val="single" w:sz="4" w:space="0" w:color="auto"/>
              <w:bottom w:val="single" w:sz="4" w:space="0" w:color="auto"/>
              <w:right w:val="single" w:sz="4" w:space="0" w:color="auto"/>
            </w:tcBorders>
            <w:vAlign w:val="center"/>
          </w:tcPr>
          <w:p w14:paraId="6BD3BEC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355</w:t>
            </w:r>
          </w:p>
        </w:tc>
        <w:tc>
          <w:tcPr>
            <w:tcW w:w="804" w:type="pct"/>
            <w:tcBorders>
              <w:top w:val="single" w:sz="4" w:space="0" w:color="auto"/>
              <w:left w:val="single" w:sz="4" w:space="0" w:color="auto"/>
              <w:bottom w:val="single" w:sz="4" w:space="0" w:color="auto"/>
              <w:right w:val="single" w:sz="4" w:space="0" w:color="auto"/>
            </w:tcBorders>
            <w:vAlign w:val="center"/>
          </w:tcPr>
          <w:p w14:paraId="354BF4E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w:t>
            </w:r>
          </w:p>
        </w:tc>
      </w:tr>
      <w:tr w:rsidR="00217865" w:rsidRPr="00217865" w14:paraId="67E80114"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D4C546B"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Divinity</w:t>
            </w:r>
          </w:p>
        </w:tc>
        <w:tc>
          <w:tcPr>
            <w:tcW w:w="804" w:type="pct"/>
            <w:tcBorders>
              <w:top w:val="single" w:sz="4" w:space="0" w:color="auto"/>
              <w:left w:val="single" w:sz="4" w:space="0" w:color="auto"/>
              <w:bottom w:val="single" w:sz="4" w:space="0" w:color="auto"/>
              <w:right w:val="single" w:sz="4" w:space="0" w:color="auto"/>
            </w:tcBorders>
            <w:vAlign w:val="center"/>
          </w:tcPr>
          <w:p w14:paraId="144F59A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30</w:t>
            </w:r>
          </w:p>
        </w:tc>
        <w:tc>
          <w:tcPr>
            <w:tcW w:w="804" w:type="pct"/>
            <w:tcBorders>
              <w:top w:val="single" w:sz="4" w:space="0" w:color="auto"/>
              <w:left w:val="single" w:sz="4" w:space="0" w:color="auto"/>
              <w:bottom w:val="single" w:sz="4" w:space="0" w:color="auto"/>
              <w:right w:val="single" w:sz="4" w:space="0" w:color="auto"/>
            </w:tcBorders>
            <w:vAlign w:val="center"/>
          </w:tcPr>
          <w:p w14:paraId="432FFC4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0.0</w:t>
            </w:r>
          </w:p>
        </w:tc>
        <w:tc>
          <w:tcPr>
            <w:tcW w:w="804" w:type="pct"/>
            <w:tcBorders>
              <w:top w:val="single" w:sz="4" w:space="0" w:color="auto"/>
              <w:left w:val="single" w:sz="4" w:space="0" w:color="auto"/>
              <w:bottom w:val="single" w:sz="4" w:space="0" w:color="auto"/>
              <w:right w:val="single" w:sz="4" w:space="0" w:color="auto"/>
            </w:tcBorders>
            <w:vAlign w:val="center"/>
          </w:tcPr>
          <w:p w14:paraId="22EE96C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20</w:t>
            </w:r>
          </w:p>
        </w:tc>
        <w:tc>
          <w:tcPr>
            <w:tcW w:w="804" w:type="pct"/>
            <w:tcBorders>
              <w:top w:val="single" w:sz="4" w:space="0" w:color="auto"/>
              <w:left w:val="single" w:sz="4" w:space="0" w:color="auto"/>
              <w:bottom w:val="single" w:sz="4" w:space="0" w:color="auto"/>
              <w:right w:val="single" w:sz="4" w:space="0" w:color="auto"/>
            </w:tcBorders>
            <w:vAlign w:val="center"/>
          </w:tcPr>
          <w:p w14:paraId="361BE9E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0.1</w:t>
            </w:r>
          </w:p>
        </w:tc>
      </w:tr>
      <w:tr w:rsidR="00217865" w:rsidRPr="00217865" w14:paraId="00DCB9E2"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A7E39C7"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New England</w:t>
            </w:r>
          </w:p>
        </w:tc>
        <w:tc>
          <w:tcPr>
            <w:tcW w:w="804" w:type="pct"/>
            <w:tcBorders>
              <w:top w:val="single" w:sz="4" w:space="0" w:color="auto"/>
              <w:left w:val="single" w:sz="4" w:space="0" w:color="auto"/>
              <w:bottom w:val="single" w:sz="4" w:space="0" w:color="auto"/>
              <w:right w:val="single" w:sz="4" w:space="0" w:color="auto"/>
            </w:tcBorders>
            <w:vAlign w:val="center"/>
          </w:tcPr>
          <w:p w14:paraId="677B552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136</w:t>
            </w:r>
          </w:p>
        </w:tc>
        <w:tc>
          <w:tcPr>
            <w:tcW w:w="804" w:type="pct"/>
            <w:tcBorders>
              <w:top w:val="single" w:sz="4" w:space="0" w:color="auto"/>
              <w:left w:val="single" w:sz="4" w:space="0" w:color="auto"/>
              <w:bottom w:val="single" w:sz="4" w:space="0" w:color="auto"/>
              <w:right w:val="single" w:sz="4" w:space="0" w:color="auto"/>
            </w:tcBorders>
            <w:vAlign w:val="center"/>
          </w:tcPr>
          <w:p w14:paraId="017E3BB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0.1</w:t>
            </w:r>
          </w:p>
        </w:tc>
        <w:tc>
          <w:tcPr>
            <w:tcW w:w="804" w:type="pct"/>
            <w:tcBorders>
              <w:top w:val="single" w:sz="4" w:space="0" w:color="auto"/>
              <w:left w:val="single" w:sz="4" w:space="0" w:color="auto"/>
              <w:bottom w:val="single" w:sz="4" w:space="0" w:color="auto"/>
              <w:right w:val="single" w:sz="4" w:space="0" w:color="auto"/>
            </w:tcBorders>
            <w:vAlign w:val="center"/>
          </w:tcPr>
          <w:p w14:paraId="62C5BC1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62</w:t>
            </w:r>
          </w:p>
        </w:tc>
        <w:tc>
          <w:tcPr>
            <w:tcW w:w="804" w:type="pct"/>
            <w:tcBorders>
              <w:top w:val="single" w:sz="4" w:space="0" w:color="auto"/>
              <w:left w:val="single" w:sz="4" w:space="0" w:color="auto"/>
              <w:bottom w:val="single" w:sz="4" w:space="0" w:color="auto"/>
              <w:right w:val="single" w:sz="4" w:space="0" w:color="auto"/>
            </w:tcBorders>
            <w:vAlign w:val="center"/>
          </w:tcPr>
          <w:p w14:paraId="56CC90D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0.2</w:t>
            </w:r>
          </w:p>
        </w:tc>
      </w:tr>
      <w:tr w:rsidR="00217865" w:rsidRPr="00217865" w14:paraId="2F34257E"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ED3D4AA"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New South Wales</w:t>
            </w:r>
          </w:p>
        </w:tc>
        <w:tc>
          <w:tcPr>
            <w:tcW w:w="804" w:type="pct"/>
            <w:tcBorders>
              <w:top w:val="single" w:sz="4" w:space="0" w:color="auto"/>
              <w:left w:val="single" w:sz="4" w:space="0" w:color="auto"/>
              <w:bottom w:val="single" w:sz="4" w:space="0" w:color="auto"/>
              <w:right w:val="single" w:sz="4" w:space="0" w:color="auto"/>
            </w:tcBorders>
            <w:vAlign w:val="center"/>
          </w:tcPr>
          <w:p w14:paraId="0F92552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6,166</w:t>
            </w:r>
          </w:p>
        </w:tc>
        <w:tc>
          <w:tcPr>
            <w:tcW w:w="804" w:type="pct"/>
            <w:tcBorders>
              <w:top w:val="single" w:sz="4" w:space="0" w:color="auto"/>
              <w:left w:val="single" w:sz="4" w:space="0" w:color="auto"/>
              <w:bottom w:val="single" w:sz="4" w:space="0" w:color="auto"/>
              <w:right w:val="single" w:sz="4" w:space="0" w:color="auto"/>
            </w:tcBorders>
            <w:vAlign w:val="center"/>
          </w:tcPr>
          <w:p w14:paraId="7BD88A0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6.4</w:t>
            </w:r>
          </w:p>
        </w:tc>
        <w:tc>
          <w:tcPr>
            <w:tcW w:w="804" w:type="pct"/>
            <w:tcBorders>
              <w:top w:val="single" w:sz="4" w:space="0" w:color="auto"/>
              <w:left w:val="single" w:sz="4" w:space="0" w:color="auto"/>
              <w:bottom w:val="single" w:sz="4" w:space="0" w:color="auto"/>
              <w:right w:val="single" w:sz="4" w:space="0" w:color="auto"/>
            </w:tcBorders>
            <w:vAlign w:val="center"/>
          </w:tcPr>
          <w:p w14:paraId="3D33DEC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1,917</w:t>
            </w:r>
          </w:p>
        </w:tc>
        <w:tc>
          <w:tcPr>
            <w:tcW w:w="804" w:type="pct"/>
            <w:tcBorders>
              <w:top w:val="single" w:sz="4" w:space="0" w:color="auto"/>
              <w:left w:val="single" w:sz="4" w:space="0" w:color="auto"/>
              <w:bottom w:val="single" w:sz="4" w:space="0" w:color="auto"/>
              <w:right w:val="single" w:sz="4" w:space="0" w:color="auto"/>
            </w:tcBorders>
            <w:vAlign w:val="center"/>
          </w:tcPr>
          <w:p w14:paraId="09F5A128"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6.5</w:t>
            </w:r>
          </w:p>
        </w:tc>
      </w:tr>
      <w:tr w:rsidR="00217865" w:rsidRPr="00217865" w14:paraId="29748C4F"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8F21D2"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Newcastle</w:t>
            </w:r>
          </w:p>
        </w:tc>
        <w:tc>
          <w:tcPr>
            <w:tcW w:w="804" w:type="pct"/>
            <w:tcBorders>
              <w:top w:val="single" w:sz="4" w:space="0" w:color="auto"/>
              <w:left w:val="single" w:sz="4" w:space="0" w:color="auto"/>
              <w:bottom w:val="single" w:sz="4" w:space="0" w:color="auto"/>
              <w:right w:val="single" w:sz="4" w:space="0" w:color="auto"/>
            </w:tcBorders>
            <w:vAlign w:val="center"/>
          </w:tcPr>
          <w:p w14:paraId="5411675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1,088</w:t>
            </w:r>
          </w:p>
        </w:tc>
        <w:tc>
          <w:tcPr>
            <w:tcW w:w="804" w:type="pct"/>
            <w:tcBorders>
              <w:top w:val="single" w:sz="4" w:space="0" w:color="auto"/>
              <w:left w:val="single" w:sz="4" w:space="0" w:color="auto"/>
              <w:bottom w:val="single" w:sz="4" w:space="0" w:color="auto"/>
              <w:right w:val="single" w:sz="4" w:space="0" w:color="auto"/>
            </w:tcBorders>
            <w:vAlign w:val="center"/>
          </w:tcPr>
          <w:p w14:paraId="3AB5ED0A"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w:t>
            </w:r>
          </w:p>
        </w:tc>
        <w:tc>
          <w:tcPr>
            <w:tcW w:w="804" w:type="pct"/>
            <w:tcBorders>
              <w:top w:val="single" w:sz="4" w:space="0" w:color="auto"/>
              <w:left w:val="single" w:sz="4" w:space="0" w:color="auto"/>
              <w:bottom w:val="single" w:sz="4" w:space="0" w:color="auto"/>
              <w:right w:val="single" w:sz="4" w:space="0" w:color="auto"/>
            </w:tcBorders>
            <w:vAlign w:val="center"/>
          </w:tcPr>
          <w:p w14:paraId="7053653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265</w:t>
            </w:r>
          </w:p>
        </w:tc>
        <w:tc>
          <w:tcPr>
            <w:tcW w:w="804" w:type="pct"/>
            <w:tcBorders>
              <w:top w:val="single" w:sz="4" w:space="0" w:color="auto"/>
              <w:left w:val="single" w:sz="4" w:space="0" w:color="auto"/>
              <w:bottom w:val="single" w:sz="4" w:space="0" w:color="auto"/>
              <w:right w:val="single" w:sz="4" w:space="0" w:color="auto"/>
            </w:tcBorders>
            <w:vAlign w:val="center"/>
          </w:tcPr>
          <w:p w14:paraId="4A5E948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0.9</w:t>
            </w:r>
          </w:p>
        </w:tc>
      </w:tr>
      <w:tr w:rsidR="00217865" w:rsidRPr="00217865" w14:paraId="145308AB"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7376BF1"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Southern Queensland</w:t>
            </w:r>
          </w:p>
        </w:tc>
        <w:tc>
          <w:tcPr>
            <w:tcW w:w="804" w:type="pct"/>
            <w:tcBorders>
              <w:top w:val="single" w:sz="4" w:space="0" w:color="auto"/>
              <w:left w:val="single" w:sz="4" w:space="0" w:color="auto"/>
              <w:bottom w:val="single" w:sz="4" w:space="0" w:color="auto"/>
              <w:right w:val="single" w:sz="4" w:space="0" w:color="auto"/>
            </w:tcBorders>
            <w:vAlign w:val="center"/>
          </w:tcPr>
          <w:p w14:paraId="2434F41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494</w:t>
            </w:r>
          </w:p>
        </w:tc>
        <w:tc>
          <w:tcPr>
            <w:tcW w:w="804" w:type="pct"/>
            <w:tcBorders>
              <w:top w:val="single" w:sz="4" w:space="0" w:color="auto"/>
              <w:left w:val="single" w:sz="4" w:space="0" w:color="auto"/>
              <w:bottom w:val="single" w:sz="4" w:space="0" w:color="auto"/>
              <w:right w:val="single" w:sz="4" w:space="0" w:color="auto"/>
            </w:tcBorders>
            <w:vAlign w:val="center"/>
          </w:tcPr>
          <w:p w14:paraId="1E83D8D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0.5</w:t>
            </w:r>
          </w:p>
        </w:tc>
        <w:tc>
          <w:tcPr>
            <w:tcW w:w="804" w:type="pct"/>
            <w:tcBorders>
              <w:top w:val="single" w:sz="4" w:space="0" w:color="auto"/>
              <w:left w:val="single" w:sz="4" w:space="0" w:color="auto"/>
              <w:bottom w:val="single" w:sz="4" w:space="0" w:color="auto"/>
              <w:right w:val="single" w:sz="4" w:space="0" w:color="auto"/>
            </w:tcBorders>
            <w:vAlign w:val="center"/>
          </w:tcPr>
          <w:p w14:paraId="432361F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179</w:t>
            </w:r>
          </w:p>
        </w:tc>
        <w:tc>
          <w:tcPr>
            <w:tcW w:w="804" w:type="pct"/>
            <w:tcBorders>
              <w:top w:val="single" w:sz="4" w:space="0" w:color="auto"/>
              <w:left w:val="single" w:sz="4" w:space="0" w:color="auto"/>
              <w:bottom w:val="single" w:sz="4" w:space="0" w:color="auto"/>
              <w:right w:val="single" w:sz="4" w:space="0" w:color="auto"/>
            </w:tcBorders>
            <w:vAlign w:val="center"/>
          </w:tcPr>
          <w:p w14:paraId="3F7205B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0.6</w:t>
            </w:r>
          </w:p>
        </w:tc>
      </w:tr>
      <w:tr w:rsidR="00217865" w:rsidRPr="00217865" w14:paraId="6C79A0C2"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08035E7"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Tasmania</w:t>
            </w:r>
          </w:p>
        </w:tc>
        <w:tc>
          <w:tcPr>
            <w:tcW w:w="804" w:type="pct"/>
            <w:tcBorders>
              <w:top w:val="single" w:sz="4" w:space="0" w:color="auto"/>
              <w:left w:val="single" w:sz="4" w:space="0" w:color="auto"/>
              <w:bottom w:val="single" w:sz="4" w:space="0" w:color="auto"/>
              <w:right w:val="single" w:sz="4" w:space="0" w:color="auto"/>
            </w:tcBorders>
            <w:vAlign w:val="center"/>
          </w:tcPr>
          <w:p w14:paraId="61A0B81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680</w:t>
            </w:r>
          </w:p>
        </w:tc>
        <w:tc>
          <w:tcPr>
            <w:tcW w:w="804" w:type="pct"/>
            <w:tcBorders>
              <w:top w:val="single" w:sz="4" w:space="0" w:color="auto"/>
              <w:left w:val="single" w:sz="4" w:space="0" w:color="auto"/>
              <w:bottom w:val="single" w:sz="4" w:space="0" w:color="auto"/>
              <w:right w:val="single" w:sz="4" w:space="0" w:color="auto"/>
            </w:tcBorders>
            <w:vAlign w:val="center"/>
          </w:tcPr>
          <w:p w14:paraId="6DC2DD4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0.7</w:t>
            </w:r>
          </w:p>
        </w:tc>
        <w:tc>
          <w:tcPr>
            <w:tcW w:w="804" w:type="pct"/>
            <w:tcBorders>
              <w:top w:val="single" w:sz="4" w:space="0" w:color="auto"/>
              <w:left w:val="single" w:sz="4" w:space="0" w:color="auto"/>
              <w:bottom w:val="single" w:sz="4" w:space="0" w:color="auto"/>
              <w:right w:val="single" w:sz="4" w:space="0" w:color="auto"/>
            </w:tcBorders>
            <w:vAlign w:val="center"/>
          </w:tcPr>
          <w:p w14:paraId="67B11E2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226</w:t>
            </w:r>
          </w:p>
        </w:tc>
        <w:tc>
          <w:tcPr>
            <w:tcW w:w="804" w:type="pct"/>
            <w:tcBorders>
              <w:top w:val="single" w:sz="4" w:space="0" w:color="auto"/>
              <w:left w:val="single" w:sz="4" w:space="0" w:color="auto"/>
              <w:bottom w:val="single" w:sz="4" w:space="0" w:color="auto"/>
              <w:right w:val="single" w:sz="4" w:space="0" w:color="auto"/>
            </w:tcBorders>
            <w:vAlign w:val="center"/>
          </w:tcPr>
          <w:p w14:paraId="10DF959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0.8</w:t>
            </w:r>
          </w:p>
        </w:tc>
      </w:tr>
      <w:tr w:rsidR="00217865" w:rsidRPr="00217865" w14:paraId="7DF1EEB8"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1191E74"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Technology Sydney</w:t>
            </w:r>
          </w:p>
        </w:tc>
        <w:tc>
          <w:tcPr>
            <w:tcW w:w="804" w:type="pct"/>
            <w:tcBorders>
              <w:top w:val="single" w:sz="4" w:space="0" w:color="auto"/>
              <w:left w:val="single" w:sz="4" w:space="0" w:color="auto"/>
              <w:bottom w:val="single" w:sz="4" w:space="0" w:color="auto"/>
              <w:right w:val="single" w:sz="4" w:space="0" w:color="auto"/>
            </w:tcBorders>
            <w:vAlign w:val="center"/>
          </w:tcPr>
          <w:p w14:paraId="0BB1F1E1"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2,883</w:t>
            </w:r>
          </w:p>
        </w:tc>
        <w:tc>
          <w:tcPr>
            <w:tcW w:w="804" w:type="pct"/>
            <w:tcBorders>
              <w:top w:val="single" w:sz="4" w:space="0" w:color="auto"/>
              <w:left w:val="single" w:sz="4" w:space="0" w:color="auto"/>
              <w:bottom w:val="single" w:sz="4" w:space="0" w:color="auto"/>
              <w:right w:val="single" w:sz="4" w:space="0" w:color="auto"/>
            </w:tcBorders>
            <w:vAlign w:val="center"/>
          </w:tcPr>
          <w:p w14:paraId="4498FEE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3.0</w:t>
            </w:r>
          </w:p>
        </w:tc>
        <w:tc>
          <w:tcPr>
            <w:tcW w:w="804" w:type="pct"/>
            <w:tcBorders>
              <w:top w:val="single" w:sz="4" w:space="0" w:color="auto"/>
              <w:left w:val="single" w:sz="4" w:space="0" w:color="auto"/>
              <w:bottom w:val="single" w:sz="4" w:space="0" w:color="auto"/>
              <w:right w:val="single" w:sz="4" w:space="0" w:color="auto"/>
            </w:tcBorders>
            <w:vAlign w:val="center"/>
          </w:tcPr>
          <w:p w14:paraId="3C76FC25"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633</w:t>
            </w:r>
          </w:p>
        </w:tc>
        <w:tc>
          <w:tcPr>
            <w:tcW w:w="804" w:type="pct"/>
            <w:tcBorders>
              <w:top w:val="single" w:sz="4" w:space="0" w:color="auto"/>
              <w:left w:val="single" w:sz="4" w:space="0" w:color="auto"/>
              <w:bottom w:val="single" w:sz="4" w:space="0" w:color="auto"/>
              <w:right w:val="single" w:sz="4" w:space="0" w:color="auto"/>
            </w:tcBorders>
            <w:vAlign w:val="center"/>
          </w:tcPr>
          <w:p w14:paraId="3BB3DB5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2.1</w:t>
            </w:r>
          </w:p>
        </w:tc>
      </w:tr>
      <w:tr w:rsidR="00217865" w:rsidRPr="00217865" w14:paraId="0A3745D9"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55FF471"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the Sunshine Coast</w:t>
            </w:r>
          </w:p>
        </w:tc>
        <w:tc>
          <w:tcPr>
            <w:tcW w:w="804" w:type="pct"/>
            <w:tcBorders>
              <w:top w:val="single" w:sz="4" w:space="0" w:color="auto"/>
              <w:left w:val="single" w:sz="4" w:space="0" w:color="auto"/>
              <w:bottom w:val="single" w:sz="4" w:space="0" w:color="auto"/>
              <w:right w:val="single" w:sz="4" w:space="0" w:color="auto"/>
            </w:tcBorders>
            <w:vAlign w:val="center"/>
          </w:tcPr>
          <w:p w14:paraId="0D31669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360</w:t>
            </w:r>
          </w:p>
        </w:tc>
        <w:tc>
          <w:tcPr>
            <w:tcW w:w="804" w:type="pct"/>
            <w:tcBorders>
              <w:top w:val="single" w:sz="4" w:space="0" w:color="auto"/>
              <w:left w:val="single" w:sz="4" w:space="0" w:color="auto"/>
              <w:bottom w:val="single" w:sz="4" w:space="0" w:color="auto"/>
              <w:right w:val="single" w:sz="4" w:space="0" w:color="auto"/>
            </w:tcBorders>
            <w:vAlign w:val="center"/>
          </w:tcPr>
          <w:p w14:paraId="3B39C35D"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0.4</w:t>
            </w:r>
          </w:p>
        </w:tc>
        <w:tc>
          <w:tcPr>
            <w:tcW w:w="804" w:type="pct"/>
            <w:tcBorders>
              <w:top w:val="single" w:sz="4" w:space="0" w:color="auto"/>
              <w:left w:val="single" w:sz="4" w:space="0" w:color="auto"/>
              <w:bottom w:val="single" w:sz="4" w:space="0" w:color="auto"/>
              <w:right w:val="single" w:sz="4" w:space="0" w:color="auto"/>
            </w:tcBorders>
            <w:vAlign w:val="center"/>
          </w:tcPr>
          <w:p w14:paraId="3208A11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179</w:t>
            </w:r>
          </w:p>
        </w:tc>
        <w:tc>
          <w:tcPr>
            <w:tcW w:w="804" w:type="pct"/>
            <w:tcBorders>
              <w:top w:val="single" w:sz="4" w:space="0" w:color="auto"/>
              <w:left w:val="single" w:sz="4" w:space="0" w:color="auto"/>
              <w:bottom w:val="single" w:sz="4" w:space="0" w:color="auto"/>
              <w:right w:val="single" w:sz="4" w:space="0" w:color="auto"/>
            </w:tcBorders>
            <w:vAlign w:val="center"/>
          </w:tcPr>
          <w:p w14:paraId="10182B06"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0.6</w:t>
            </w:r>
          </w:p>
        </w:tc>
      </w:tr>
      <w:tr w:rsidR="00217865" w:rsidRPr="00217865" w14:paraId="76CC2BD5"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57F3FF2"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University of Wollongong</w:t>
            </w:r>
          </w:p>
        </w:tc>
        <w:tc>
          <w:tcPr>
            <w:tcW w:w="804" w:type="pct"/>
            <w:tcBorders>
              <w:top w:val="single" w:sz="4" w:space="0" w:color="auto"/>
              <w:left w:val="single" w:sz="4" w:space="0" w:color="auto"/>
              <w:bottom w:val="single" w:sz="4" w:space="0" w:color="auto"/>
              <w:right w:val="single" w:sz="4" w:space="0" w:color="auto"/>
            </w:tcBorders>
            <w:vAlign w:val="center"/>
          </w:tcPr>
          <w:p w14:paraId="7DC4DD89"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1,134</w:t>
            </w:r>
          </w:p>
        </w:tc>
        <w:tc>
          <w:tcPr>
            <w:tcW w:w="804" w:type="pct"/>
            <w:tcBorders>
              <w:top w:val="single" w:sz="4" w:space="0" w:color="auto"/>
              <w:left w:val="single" w:sz="4" w:space="0" w:color="auto"/>
              <w:bottom w:val="single" w:sz="4" w:space="0" w:color="auto"/>
              <w:right w:val="single" w:sz="4" w:space="0" w:color="auto"/>
            </w:tcBorders>
            <w:vAlign w:val="center"/>
          </w:tcPr>
          <w:p w14:paraId="0473BA9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1.2</w:t>
            </w:r>
          </w:p>
        </w:tc>
        <w:tc>
          <w:tcPr>
            <w:tcW w:w="804" w:type="pct"/>
            <w:tcBorders>
              <w:top w:val="single" w:sz="4" w:space="0" w:color="auto"/>
              <w:left w:val="single" w:sz="4" w:space="0" w:color="auto"/>
              <w:bottom w:val="single" w:sz="4" w:space="0" w:color="auto"/>
              <w:right w:val="single" w:sz="4" w:space="0" w:color="auto"/>
            </w:tcBorders>
            <w:vAlign w:val="center"/>
          </w:tcPr>
          <w:p w14:paraId="66C938C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329</w:t>
            </w:r>
          </w:p>
        </w:tc>
        <w:tc>
          <w:tcPr>
            <w:tcW w:w="804" w:type="pct"/>
            <w:tcBorders>
              <w:top w:val="single" w:sz="4" w:space="0" w:color="auto"/>
              <w:left w:val="single" w:sz="4" w:space="0" w:color="auto"/>
              <w:bottom w:val="single" w:sz="4" w:space="0" w:color="auto"/>
              <w:right w:val="single" w:sz="4" w:space="0" w:color="auto"/>
            </w:tcBorders>
            <w:vAlign w:val="center"/>
          </w:tcPr>
          <w:p w14:paraId="5094C812"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1.1</w:t>
            </w:r>
          </w:p>
        </w:tc>
      </w:tr>
      <w:tr w:rsidR="00217865" w:rsidRPr="00217865" w14:paraId="637D43FB"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1BA8DA8"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t>Victoria University</w:t>
            </w:r>
          </w:p>
        </w:tc>
        <w:tc>
          <w:tcPr>
            <w:tcW w:w="804" w:type="pct"/>
            <w:tcBorders>
              <w:top w:val="single" w:sz="4" w:space="0" w:color="auto"/>
              <w:left w:val="single" w:sz="4" w:space="0" w:color="auto"/>
              <w:bottom w:val="single" w:sz="4" w:space="0" w:color="auto"/>
              <w:right w:val="single" w:sz="4" w:space="0" w:color="auto"/>
            </w:tcBorders>
            <w:vAlign w:val="center"/>
          </w:tcPr>
          <w:p w14:paraId="3CD9228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1,404</w:t>
            </w:r>
          </w:p>
        </w:tc>
        <w:tc>
          <w:tcPr>
            <w:tcW w:w="804" w:type="pct"/>
            <w:tcBorders>
              <w:top w:val="single" w:sz="4" w:space="0" w:color="auto"/>
              <w:left w:val="single" w:sz="4" w:space="0" w:color="auto"/>
              <w:bottom w:val="single" w:sz="4" w:space="0" w:color="auto"/>
              <w:right w:val="single" w:sz="4" w:space="0" w:color="auto"/>
            </w:tcBorders>
            <w:vAlign w:val="center"/>
          </w:tcPr>
          <w:p w14:paraId="710D5260"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1.5</w:t>
            </w:r>
          </w:p>
        </w:tc>
        <w:tc>
          <w:tcPr>
            <w:tcW w:w="804" w:type="pct"/>
            <w:tcBorders>
              <w:top w:val="single" w:sz="4" w:space="0" w:color="auto"/>
              <w:left w:val="single" w:sz="4" w:space="0" w:color="auto"/>
              <w:bottom w:val="single" w:sz="4" w:space="0" w:color="auto"/>
              <w:right w:val="single" w:sz="4" w:space="0" w:color="auto"/>
            </w:tcBorders>
            <w:vAlign w:val="center"/>
          </w:tcPr>
          <w:p w14:paraId="271E30D3"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545</w:t>
            </w:r>
          </w:p>
        </w:tc>
        <w:tc>
          <w:tcPr>
            <w:tcW w:w="804" w:type="pct"/>
            <w:tcBorders>
              <w:top w:val="single" w:sz="4" w:space="0" w:color="auto"/>
              <w:left w:val="single" w:sz="4" w:space="0" w:color="auto"/>
              <w:bottom w:val="single" w:sz="4" w:space="0" w:color="auto"/>
              <w:right w:val="single" w:sz="4" w:space="0" w:color="auto"/>
            </w:tcBorders>
            <w:vAlign w:val="center"/>
          </w:tcPr>
          <w:p w14:paraId="4C43E38C"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r>
      <w:tr w:rsidR="00217865" w:rsidRPr="00217865" w14:paraId="23368CD2" w14:textId="77777777" w:rsidTr="001E4C62">
        <w:trPr>
          <w:trHeight w:val="71"/>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7A5D105" w14:textId="77777777" w:rsidR="00821227" w:rsidRPr="00217865" w:rsidRDefault="00821227" w:rsidP="001E4C62">
            <w:pPr>
              <w:pStyle w:val="Z"/>
              <w:spacing w:before="60" w:after="60"/>
              <w:rPr>
                <w:color w:val="000000" w:themeColor="text1"/>
                <w:szCs w:val="18"/>
                <w:highlight w:val="yellow"/>
              </w:rPr>
            </w:pPr>
            <w:r w:rsidRPr="00217865">
              <w:rPr>
                <w:color w:val="000000" w:themeColor="text1"/>
                <w:szCs w:val="18"/>
              </w:rPr>
              <w:lastRenderedPageBreak/>
              <w:t>Western Sydney University</w:t>
            </w:r>
          </w:p>
        </w:tc>
        <w:tc>
          <w:tcPr>
            <w:tcW w:w="804" w:type="pct"/>
            <w:tcBorders>
              <w:top w:val="single" w:sz="4" w:space="0" w:color="auto"/>
              <w:left w:val="single" w:sz="4" w:space="0" w:color="auto"/>
              <w:bottom w:val="single" w:sz="4" w:space="0" w:color="auto"/>
              <w:right w:val="single" w:sz="4" w:space="0" w:color="auto"/>
            </w:tcBorders>
            <w:vAlign w:val="center"/>
          </w:tcPr>
          <w:p w14:paraId="0F5088AF"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1,737</w:t>
            </w:r>
          </w:p>
        </w:tc>
        <w:tc>
          <w:tcPr>
            <w:tcW w:w="804" w:type="pct"/>
            <w:tcBorders>
              <w:top w:val="single" w:sz="4" w:space="0" w:color="auto"/>
              <w:left w:val="single" w:sz="4" w:space="0" w:color="auto"/>
              <w:bottom w:val="single" w:sz="4" w:space="0" w:color="auto"/>
              <w:right w:val="single" w:sz="4" w:space="0" w:color="auto"/>
            </w:tcBorders>
            <w:vAlign w:val="center"/>
          </w:tcPr>
          <w:p w14:paraId="1F984937"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1.8</w:t>
            </w:r>
          </w:p>
        </w:tc>
        <w:tc>
          <w:tcPr>
            <w:tcW w:w="804" w:type="pct"/>
            <w:tcBorders>
              <w:top w:val="single" w:sz="4" w:space="0" w:color="auto"/>
              <w:left w:val="single" w:sz="4" w:space="0" w:color="auto"/>
              <w:bottom w:val="single" w:sz="4" w:space="0" w:color="auto"/>
              <w:right w:val="single" w:sz="4" w:space="0" w:color="auto"/>
            </w:tcBorders>
            <w:vAlign w:val="center"/>
          </w:tcPr>
          <w:p w14:paraId="303D79D4"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396</w:t>
            </w:r>
          </w:p>
        </w:tc>
        <w:tc>
          <w:tcPr>
            <w:tcW w:w="804" w:type="pct"/>
            <w:tcBorders>
              <w:top w:val="single" w:sz="4" w:space="0" w:color="auto"/>
              <w:left w:val="single" w:sz="4" w:space="0" w:color="auto"/>
              <w:bottom w:val="single" w:sz="4" w:space="0" w:color="auto"/>
              <w:right w:val="single" w:sz="4" w:space="0" w:color="auto"/>
            </w:tcBorders>
            <w:vAlign w:val="center"/>
          </w:tcPr>
          <w:p w14:paraId="4177925B" w14:textId="77777777" w:rsidR="00821227" w:rsidRPr="00217865" w:rsidRDefault="00821227" w:rsidP="001E4C62">
            <w:pPr>
              <w:pStyle w:val="Z"/>
              <w:spacing w:before="60" w:after="60"/>
              <w:jc w:val="center"/>
              <w:rPr>
                <w:color w:val="000000" w:themeColor="text1"/>
                <w:szCs w:val="18"/>
                <w:highlight w:val="yellow"/>
              </w:rPr>
            </w:pPr>
            <w:r w:rsidRPr="00217865">
              <w:rPr>
                <w:color w:val="000000" w:themeColor="text1"/>
                <w:szCs w:val="18"/>
              </w:rPr>
              <w:t>1.3</w:t>
            </w:r>
          </w:p>
        </w:tc>
      </w:tr>
      <w:tr w:rsidR="00821227" w:rsidRPr="00217865" w14:paraId="42A660E9" w14:textId="77777777" w:rsidTr="001E4C62">
        <w:trPr>
          <w:trHeight w:val="74"/>
        </w:trPr>
        <w:tc>
          <w:tcPr>
            <w:tcW w:w="1783"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C50D02" w14:textId="77777777" w:rsidR="00821227" w:rsidRPr="00217865" w:rsidRDefault="00821227" w:rsidP="001E4C62">
            <w:pPr>
              <w:pStyle w:val="Z"/>
              <w:spacing w:before="60" w:after="60"/>
              <w:rPr>
                <w:b/>
                <w:bCs/>
                <w:color w:val="000000" w:themeColor="text1"/>
                <w:szCs w:val="18"/>
                <w:highlight w:val="yellow"/>
              </w:rPr>
            </w:pPr>
            <w:r w:rsidRPr="00217865">
              <w:rPr>
                <w:b/>
                <w:bCs/>
                <w:color w:val="000000" w:themeColor="text1"/>
                <w:szCs w:val="18"/>
              </w:rPr>
              <w:t>All Universities</w:t>
            </w:r>
          </w:p>
        </w:tc>
        <w:tc>
          <w:tcPr>
            <w:tcW w:w="804" w:type="pct"/>
            <w:tcBorders>
              <w:top w:val="single" w:sz="4" w:space="0" w:color="auto"/>
              <w:left w:val="single" w:sz="4" w:space="0" w:color="auto"/>
              <w:bottom w:val="single" w:sz="4" w:space="0" w:color="auto"/>
              <w:right w:val="single" w:sz="4" w:space="0" w:color="auto"/>
            </w:tcBorders>
            <w:vAlign w:val="center"/>
          </w:tcPr>
          <w:p w14:paraId="6890F2D2" w14:textId="77777777" w:rsidR="00821227" w:rsidRPr="00217865" w:rsidRDefault="00821227" w:rsidP="001E4C62">
            <w:pPr>
              <w:pStyle w:val="Z"/>
              <w:spacing w:before="60" w:after="60"/>
              <w:jc w:val="center"/>
              <w:rPr>
                <w:b/>
                <w:bCs/>
                <w:color w:val="000000" w:themeColor="text1"/>
                <w:szCs w:val="18"/>
                <w:highlight w:val="yellow"/>
              </w:rPr>
            </w:pPr>
            <w:r w:rsidRPr="00217865">
              <w:rPr>
                <w:b/>
                <w:bCs/>
                <w:color w:val="000000" w:themeColor="text1"/>
                <w:szCs w:val="18"/>
              </w:rPr>
              <w:t>75,448</w:t>
            </w:r>
          </w:p>
        </w:tc>
        <w:tc>
          <w:tcPr>
            <w:tcW w:w="804" w:type="pct"/>
            <w:tcBorders>
              <w:top w:val="single" w:sz="4" w:space="0" w:color="auto"/>
              <w:left w:val="single" w:sz="4" w:space="0" w:color="auto"/>
              <w:bottom w:val="single" w:sz="4" w:space="0" w:color="auto"/>
              <w:right w:val="single" w:sz="4" w:space="0" w:color="auto"/>
            </w:tcBorders>
            <w:vAlign w:val="center"/>
          </w:tcPr>
          <w:p w14:paraId="1BC04E1D" w14:textId="77777777" w:rsidR="00821227" w:rsidRPr="00217865" w:rsidRDefault="00821227" w:rsidP="001E4C62">
            <w:pPr>
              <w:pStyle w:val="Z"/>
              <w:spacing w:before="60" w:after="60"/>
              <w:jc w:val="center"/>
              <w:rPr>
                <w:b/>
                <w:bCs/>
                <w:color w:val="000000" w:themeColor="text1"/>
                <w:szCs w:val="18"/>
                <w:highlight w:val="yellow"/>
              </w:rPr>
            </w:pPr>
            <w:r w:rsidRPr="00217865">
              <w:rPr>
                <w:b/>
                <w:bCs/>
                <w:color w:val="000000" w:themeColor="text1"/>
                <w:szCs w:val="18"/>
              </w:rPr>
              <w:t>78.6</w:t>
            </w:r>
          </w:p>
        </w:tc>
        <w:tc>
          <w:tcPr>
            <w:tcW w:w="804" w:type="pct"/>
            <w:tcBorders>
              <w:top w:val="single" w:sz="4" w:space="0" w:color="auto"/>
              <w:left w:val="single" w:sz="4" w:space="0" w:color="auto"/>
              <w:bottom w:val="single" w:sz="4" w:space="0" w:color="auto"/>
              <w:right w:val="single" w:sz="4" w:space="0" w:color="auto"/>
            </w:tcBorders>
            <w:vAlign w:val="center"/>
          </w:tcPr>
          <w:p w14:paraId="3B81709F" w14:textId="77777777" w:rsidR="00821227" w:rsidRPr="00217865" w:rsidRDefault="00821227" w:rsidP="001E4C62">
            <w:pPr>
              <w:pStyle w:val="Z"/>
              <w:spacing w:before="60" w:after="60"/>
              <w:jc w:val="center"/>
              <w:rPr>
                <w:b/>
                <w:bCs/>
                <w:color w:val="000000" w:themeColor="text1"/>
                <w:szCs w:val="18"/>
                <w:highlight w:val="yellow"/>
              </w:rPr>
            </w:pPr>
            <w:r w:rsidRPr="00217865">
              <w:rPr>
                <w:b/>
                <w:bCs/>
                <w:color w:val="000000" w:themeColor="text1"/>
                <w:szCs w:val="18"/>
              </w:rPr>
              <w:t>22,208</w:t>
            </w:r>
          </w:p>
        </w:tc>
        <w:tc>
          <w:tcPr>
            <w:tcW w:w="804" w:type="pct"/>
            <w:tcBorders>
              <w:top w:val="single" w:sz="4" w:space="0" w:color="auto"/>
              <w:left w:val="single" w:sz="4" w:space="0" w:color="auto"/>
              <w:bottom w:val="single" w:sz="4" w:space="0" w:color="auto"/>
              <w:right w:val="single" w:sz="4" w:space="0" w:color="auto"/>
            </w:tcBorders>
            <w:vAlign w:val="center"/>
          </w:tcPr>
          <w:p w14:paraId="6FCA658A" w14:textId="77777777" w:rsidR="00821227" w:rsidRPr="00217865" w:rsidRDefault="00821227" w:rsidP="001E4C62">
            <w:pPr>
              <w:pStyle w:val="Z"/>
              <w:spacing w:before="60" w:after="60"/>
              <w:jc w:val="center"/>
              <w:rPr>
                <w:b/>
                <w:bCs/>
                <w:color w:val="000000" w:themeColor="text1"/>
                <w:szCs w:val="18"/>
                <w:highlight w:val="yellow"/>
              </w:rPr>
            </w:pPr>
            <w:r w:rsidRPr="00217865">
              <w:rPr>
                <w:b/>
                <w:bCs/>
                <w:color w:val="000000" w:themeColor="text1"/>
                <w:szCs w:val="18"/>
              </w:rPr>
              <w:t>74.8</w:t>
            </w:r>
          </w:p>
        </w:tc>
      </w:tr>
    </w:tbl>
    <w:p w14:paraId="03E09534" w14:textId="77777777" w:rsidR="00821227" w:rsidRPr="00217865" w:rsidRDefault="00821227" w:rsidP="00821227">
      <w:pPr>
        <w:pStyle w:val="BodyText"/>
        <w:rPr>
          <w:rFonts w:cs="Arial"/>
          <w:color w:val="000000" w:themeColor="text1"/>
          <w:highlight w:val="yellow"/>
        </w:rPr>
      </w:pPr>
    </w:p>
    <w:p w14:paraId="59C8951A" w14:textId="1BBA2E91" w:rsidR="00821227" w:rsidRPr="00217865" w:rsidRDefault="00821227" w:rsidP="00821227">
      <w:pPr>
        <w:pStyle w:val="Caption"/>
        <w:rPr>
          <w:b w:val="0"/>
          <w:iCs/>
          <w:color w:val="000000" w:themeColor="text1"/>
          <w:szCs w:val="20"/>
          <w:lang w:val="en-GB"/>
        </w:rPr>
      </w:pPr>
      <w:bookmarkStart w:id="333" w:name="_Toc178599382"/>
      <w:r w:rsidRPr="00217865">
        <w:rPr>
          <w:color w:val="000000" w:themeColor="text1"/>
          <w:szCs w:val="20"/>
          <w:lang w:val="en-GB"/>
        </w:rPr>
        <w:t xml:space="preserve">Table </w:t>
      </w:r>
      <w:r w:rsidRPr="00217865">
        <w:rPr>
          <w:b w:val="0"/>
          <w:iCs/>
          <w:color w:val="000000" w:themeColor="text1"/>
          <w:szCs w:val="20"/>
          <w:lang w:val="en-GB"/>
        </w:rPr>
        <w:fldChar w:fldCharType="begin"/>
      </w:r>
      <w:r w:rsidRPr="00217865">
        <w:rPr>
          <w:color w:val="000000" w:themeColor="text1"/>
          <w:szCs w:val="20"/>
          <w:lang w:val="en-GB"/>
        </w:rPr>
        <w:instrText xml:space="preserve"> SEQ Table \* ARABIC </w:instrText>
      </w:r>
      <w:r w:rsidRPr="00217865">
        <w:rPr>
          <w:b w:val="0"/>
          <w:iCs/>
          <w:color w:val="000000" w:themeColor="text1"/>
          <w:szCs w:val="20"/>
          <w:lang w:val="en-GB"/>
        </w:rPr>
        <w:fldChar w:fldCharType="separate"/>
      </w:r>
      <w:r w:rsidR="005D5678">
        <w:rPr>
          <w:noProof/>
          <w:color w:val="000000" w:themeColor="text1"/>
          <w:szCs w:val="20"/>
          <w:lang w:val="en-GB"/>
        </w:rPr>
        <w:t>17</w:t>
      </w:r>
      <w:r w:rsidRPr="00217865">
        <w:rPr>
          <w:b w:val="0"/>
          <w:iCs/>
          <w:color w:val="000000" w:themeColor="text1"/>
          <w:szCs w:val="20"/>
          <w:lang w:val="en-GB"/>
        </w:rPr>
        <w:fldChar w:fldCharType="end"/>
      </w:r>
      <w:r w:rsidR="00CF00B5">
        <w:rPr>
          <w:color w:val="000000" w:themeColor="text1"/>
          <w:szCs w:val="20"/>
          <w:lang w:val="en-GB"/>
        </w:rPr>
        <w:tab/>
      </w:r>
      <w:r w:rsidRPr="00217865">
        <w:rPr>
          <w:color w:val="000000" w:themeColor="text1"/>
          <w:szCs w:val="20"/>
          <w:lang w:val="en-GB"/>
        </w:rPr>
        <w:t>International undergraduate student population parameters and response characteristics by non-university higher education institution (NUHEI), 2023</w:t>
      </w:r>
      <w:bookmarkEnd w:id="333"/>
    </w:p>
    <w:tbl>
      <w:tblPr>
        <w:tblW w:w="4900" w:type="pct"/>
        <w:tblLayout w:type="fixed"/>
        <w:tblCellMar>
          <w:left w:w="0" w:type="dxa"/>
          <w:right w:w="0" w:type="dxa"/>
        </w:tblCellMar>
        <w:tblLook w:val="0020" w:firstRow="1" w:lastRow="0" w:firstColumn="0" w:lastColumn="0" w:noHBand="0" w:noVBand="0"/>
      </w:tblPr>
      <w:tblGrid>
        <w:gridCol w:w="3901"/>
        <w:gridCol w:w="1585"/>
        <w:gridCol w:w="1585"/>
        <w:gridCol w:w="1585"/>
        <w:gridCol w:w="1585"/>
      </w:tblGrid>
      <w:tr w:rsidR="00217865" w:rsidRPr="00217865" w14:paraId="47A22344" w14:textId="77777777" w:rsidTr="00A43B35">
        <w:trPr>
          <w:trHeight w:val="71"/>
          <w:tblHeader/>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F0CDC89" w14:textId="1F2C883A" w:rsidR="00821227" w:rsidRPr="00217865" w:rsidRDefault="00A43B35" w:rsidP="00A43B35">
            <w:pPr>
              <w:pStyle w:val="Z"/>
              <w:rPr>
                <w:color w:val="000000" w:themeColor="text1"/>
                <w:szCs w:val="18"/>
              </w:rPr>
            </w:pPr>
            <w:r w:rsidRPr="00217865">
              <w:rPr>
                <w:color w:val="000000" w:themeColor="text1"/>
                <w:szCs w:val="18"/>
              </w:rPr>
              <w:t>-</w:t>
            </w:r>
            <w:bookmarkStart w:id="334" w:name="Title_17"/>
            <w:bookmarkEnd w:id="334"/>
          </w:p>
        </w:tc>
        <w:tc>
          <w:tcPr>
            <w:tcW w:w="774" w:type="pct"/>
            <w:tcBorders>
              <w:top w:val="single" w:sz="4" w:space="0" w:color="auto"/>
              <w:left w:val="single" w:sz="4" w:space="0" w:color="auto"/>
              <w:bottom w:val="single" w:sz="4" w:space="0" w:color="auto"/>
              <w:right w:val="single" w:sz="4" w:space="0" w:color="auto"/>
            </w:tcBorders>
            <w:vAlign w:val="center"/>
          </w:tcPr>
          <w:p w14:paraId="2B7568A9" w14:textId="77777777" w:rsidR="00821227" w:rsidRPr="00217865" w:rsidRDefault="00821227" w:rsidP="00A43B35">
            <w:pPr>
              <w:pStyle w:val="Z"/>
              <w:jc w:val="center"/>
              <w:rPr>
                <w:b/>
                <w:bCs/>
                <w:color w:val="000000" w:themeColor="text1"/>
                <w:szCs w:val="18"/>
              </w:rPr>
            </w:pPr>
            <w:r w:rsidRPr="00217865">
              <w:rPr>
                <w:b/>
                <w:bCs/>
                <w:color w:val="000000" w:themeColor="text1"/>
              </w:rPr>
              <w:t>In-scope population: n</w:t>
            </w:r>
          </w:p>
        </w:tc>
        <w:tc>
          <w:tcPr>
            <w:tcW w:w="774" w:type="pct"/>
            <w:tcBorders>
              <w:top w:val="single" w:sz="4" w:space="0" w:color="auto"/>
              <w:left w:val="single" w:sz="4" w:space="0" w:color="auto"/>
              <w:bottom w:val="single" w:sz="4" w:space="0" w:color="auto"/>
              <w:right w:val="single" w:sz="4" w:space="0" w:color="auto"/>
            </w:tcBorders>
            <w:vAlign w:val="center"/>
          </w:tcPr>
          <w:p w14:paraId="523CDCA8" w14:textId="77777777" w:rsidR="00821227" w:rsidRPr="00217865" w:rsidRDefault="00821227" w:rsidP="00A43B35">
            <w:pPr>
              <w:pStyle w:val="Z"/>
              <w:jc w:val="center"/>
              <w:rPr>
                <w:b/>
                <w:bCs/>
                <w:color w:val="000000" w:themeColor="text1"/>
                <w:szCs w:val="18"/>
              </w:rPr>
            </w:pPr>
            <w:r w:rsidRPr="00217865">
              <w:rPr>
                <w:b/>
                <w:bCs/>
                <w:color w:val="000000" w:themeColor="text1"/>
              </w:rPr>
              <w:t>In-scope population: %</w:t>
            </w:r>
          </w:p>
        </w:tc>
        <w:tc>
          <w:tcPr>
            <w:tcW w:w="774" w:type="pct"/>
            <w:tcBorders>
              <w:top w:val="single" w:sz="4" w:space="0" w:color="auto"/>
              <w:left w:val="single" w:sz="4" w:space="0" w:color="auto"/>
              <w:bottom w:val="single" w:sz="4" w:space="0" w:color="auto"/>
              <w:right w:val="single" w:sz="4" w:space="0" w:color="auto"/>
            </w:tcBorders>
            <w:vAlign w:val="center"/>
          </w:tcPr>
          <w:p w14:paraId="03E9FAE4" w14:textId="77777777" w:rsidR="00821227" w:rsidRPr="00217865" w:rsidRDefault="00821227" w:rsidP="00A43B35">
            <w:pPr>
              <w:pStyle w:val="Z"/>
              <w:jc w:val="center"/>
              <w:rPr>
                <w:b/>
                <w:bCs/>
                <w:color w:val="000000" w:themeColor="text1"/>
                <w:szCs w:val="18"/>
              </w:rPr>
            </w:pPr>
            <w:r w:rsidRPr="00217865">
              <w:rPr>
                <w:b/>
                <w:bCs/>
                <w:color w:val="000000" w:themeColor="text1"/>
              </w:rPr>
              <w:t>SES respondents: n</w:t>
            </w:r>
          </w:p>
        </w:tc>
        <w:tc>
          <w:tcPr>
            <w:tcW w:w="774" w:type="pct"/>
            <w:tcBorders>
              <w:top w:val="single" w:sz="4" w:space="0" w:color="auto"/>
              <w:left w:val="single" w:sz="4" w:space="0" w:color="auto"/>
              <w:bottom w:val="single" w:sz="4" w:space="0" w:color="auto"/>
              <w:right w:val="single" w:sz="4" w:space="0" w:color="auto"/>
            </w:tcBorders>
            <w:vAlign w:val="center"/>
          </w:tcPr>
          <w:p w14:paraId="424AB8D9" w14:textId="77777777" w:rsidR="00821227" w:rsidRPr="00217865" w:rsidRDefault="00821227" w:rsidP="00A43B35">
            <w:pPr>
              <w:pStyle w:val="Z"/>
              <w:jc w:val="center"/>
              <w:rPr>
                <w:b/>
                <w:bCs/>
                <w:color w:val="000000" w:themeColor="text1"/>
                <w:szCs w:val="18"/>
              </w:rPr>
            </w:pPr>
            <w:r w:rsidRPr="00217865">
              <w:rPr>
                <w:b/>
                <w:bCs/>
                <w:color w:val="000000" w:themeColor="text1"/>
              </w:rPr>
              <w:t>SES respondents: %</w:t>
            </w:r>
          </w:p>
        </w:tc>
      </w:tr>
      <w:tr w:rsidR="00217865" w:rsidRPr="00217865" w14:paraId="56BA20ED"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22FB7A7" w14:textId="77777777" w:rsidR="00821227" w:rsidRPr="00217865" w:rsidRDefault="00821227" w:rsidP="00A43B35">
            <w:pPr>
              <w:pStyle w:val="Z"/>
              <w:rPr>
                <w:color w:val="000000" w:themeColor="text1"/>
                <w:szCs w:val="18"/>
                <w:highlight w:val="yellow"/>
              </w:rPr>
            </w:pPr>
            <w:r w:rsidRPr="00217865">
              <w:rPr>
                <w:color w:val="000000" w:themeColor="text1"/>
                <w:szCs w:val="18"/>
              </w:rPr>
              <w:t>Academies Australasia Polytechnic Pty Limited</w:t>
            </w:r>
          </w:p>
        </w:tc>
        <w:tc>
          <w:tcPr>
            <w:tcW w:w="774" w:type="pct"/>
            <w:tcBorders>
              <w:top w:val="single" w:sz="4" w:space="0" w:color="auto"/>
              <w:left w:val="single" w:sz="4" w:space="0" w:color="auto"/>
              <w:bottom w:val="single" w:sz="4" w:space="0" w:color="auto"/>
              <w:right w:val="single" w:sz="4" w:space="0" w:color="auto"/>
            </w:tcBorders>
            <w:vAlign w:val="center"/>
          </w:tcPr>
          <w:p w14:paraId="6BA5543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284</w:t>
            </w:r>
          </w:p>
        </w:tc>
        <w:tc>
          <w:tcPr>
            <w:tcW w:w="774" w:type="pct"/>
            <w:tcBorders>
              <w:top w:val="single" w:sz="4" w:space="0" w:color="auto"/>
              <w:left w:val="single" w:sz="4" w:space="0" w:color="auto"/>
              <w:bottom w:val="single" w:sz="4" w:space="0" w:color="auto"/>
              <w:right w:val="single" w:sz="4" w:space="0" w:color="auto"/>
            </w:tcBorders>
            <w:vAlign w:val="center"/>
          </w:tcPr>
          <w:p w14:paraId="409D887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7688409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136</w:t>
            </w:r>
          </w:p>
        </w:tc>
        <w:tc>
          <w:tcPr>
            <w:tcW w:w="774" w:type="pct"/>
            <w:tcBorders>
              <w:top w:val="single" w:sz="4" w:space="0" w:color="auto"/>
              <w:left w:val="single" w:sz="4" w:space="0" w:color="auto"/>
              <w:bottom w:val="single" w:sz="4" w:space="0" w:color="auto"/>
              <w:right w:val="single" w:sz="4" w:space="0" w:color="auto"/>
            </w:tcBorders>
            <w:vAlign w:val="center"/>
          </w:tcPr>
          <w:p w14:paraId="6424115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0.5</w:t>
            </w:r>
          </w:p>
        </w:tc>
      </w:tr>
      <w:tr w:rsidR="00217865" w:rsidRPr="00217865" w14:paraId="7A6A6581"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D8E1AA2" w14:textId="77777777" w:rsidR="00821227" w:rsidRPr="00217865" w:rsidRDefault="00821227" w:rsidP="00A43B35">
            <w:pPr>
              <w:pStyle w:val="Z"/>
              <w:rPr>
                <w:color w:val="000000" w:themeColor="text1"/>
                <w:szCs w:val="18"/>
                <w:highlight w:val="yellow"/>
              </w:rPr>
            </w:pPr>
            <w:r w:rsidRPr="00217865">
              <w:rPr>
                <w:color w:val="000000" w:themeColor="text1"/>
                <w:szCs w:val="18"/>
              </w:rPr>
              <w:t>Academy of Information Technology</w:t>
            </w:r>
          </w:p>
        </w:tc>
        <w:tc>
          <w:tcPr>
            <w:tcW w:w="774" w:type="pct"/>
            <w:tcBorders>
              <w:top w:val="single" w:sz="4" w:space="0" w:color="auto"/>
              <w:left w:val="single" w:sz="4" w:space="0" w:color="auto"/>
              <w:bottom w:val="single" w:sz="4" w:space="0" w:color="auto"/>
              <w:right w:val="single" w:sz="4" w:space="0" w:color="auto"/>
            </w:tcBorders>
            <w:vAlign w:val="center"/>
          </w:tcPr>
          <w:p w14:paraId="0FA0A05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208</w:t>
            </w:r>
          </w:p>
        </w:tc>
        <w:tc>
          <w:tcPr>
            <w:tcW w:w="774" w:type="pct"/>
            <w:tcBorders>
              <w:top w:val="single" w:sz="4" w:space="0" w:color="auto"/>
              <w:left w:val="single" w:sz="4" w:space="0" w:color="auto"/>
              <w:bottom w:val="single" w:sz="4" w:space="0" w:color="auto"/>
              <w:right w:val="single" w:sz="4" w:space="0" w:color="auto"/>
            </w:tcBorders>
            <w:vAlign w:val="center"/>
          </w:tcPr>
          <w:p w14:paraId="20338A7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7452AEF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90</w:t>
            </w:r>
          </w:p>
        </w:tc>
        <w:tc>
          <w:tcPr>
            <w:tcW w:w="774" w:type="pct"/>
            <w:tcBorders>
              <w:top w:val="single" w:sz="4" w:space="0" w:color="auto"/>
              <w:left w:val="single" w:sz="4" w:space="0" w:color="auto"/>
              <w:bottom w:val="single" w:sz="4" w:space="0" w:color="auto"/>
              <w:right w:val="single" w:sz="4" w:space="0" w:color="auto"/>
            </w:tcBorders>
            <w:vAlign w:val="center"/>
          </w:tcPr>
          <w:p w14:paraId="230E65F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r>
      <w:tr w:rsidR="00217865" w:rsidRPr="00217865" w14:paraId="32C1EE9A" w14:textId="77777777" w:rsidTr="00A43B35">
        <w:trPr>
          <w:trHeight w:val="306"/>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EC50F94"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College of Applied Professions</w:t>
            </w:r>
          </w:p>
        </w:tc>
        <w:tc>
          <w:tcPr>
            <w:tcW w:w="774" w:type="pct"/>
            <w:tcBorders>
              <w:top w:val="single" w:sz="4" w:space="0" w:color="auto"/>
              <w:left w:val="single" w:sz="4" w:space="0" w:color="auto"/>
              <w:bottom w:val="single" w:sz="4" w:space="0" w:color="auto"/>
              <w:right w:val="single" w:sz="4" w:space="0" w:color="auto"/>
            </w:tcBorders>
            <w:vAlign w:val="center"/>
          </w:tcPr>
          <w:p w14:paraId="48F39B9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154</w:t>
            </w:r>
          </w:p>
        </w:tc>
        <w:tc>
          <w:tcPr>
            <w:tcW w:w="774" w:type="pct"/>
            <w:tcBorders>
              <w:top w:val="single" w:sz="4" w:space="0" w:color="auto"/>
              <w:left w:val="single" w:sz="4" w:space="0" w:color="auto"/>
              <w:bottom w:val="single" w:sz="4" w:space="0" w:color="auto"/>
              <w:right w:val="single" w:sz="4" w:space="0" w:color="auto"/>
            </w:tcBorders>
            <w:vAlign w:val="center"/>
          </w:tcPr>
          <w:p w14:paraId="44A4251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682F3F7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83</w:t>
            </w:r>
          </w:p>
        </w:tc>
        <w:tc>
          <w:tcPr>
            <w:tcW w:w="774" w:type="pct"/>
            <w:tcBorders>
              <w:top w:val="single" w:sz="4" w:space="0" w:color="auto"/>
              <w:left w:val="single" w:sz="4" w:space="0" w:color="auto"/>
              <w:bottom w:val="single" w:sz="4" w:space="0" w:color="auto"/>
              <w:right w:val="single" w:sz="4" w:space="0" w:color="auto"/>
            </w:tcBorders>
            <w:vAlign w:val="center"/>
          </w:tcPr>
          <w:p w14:paraId="77A291D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r>
      <w:tr w:rsidR="00217865" w:rsidRPr="00217865" w14:paraId="2790F305"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4EB4969" w14:textId="77777777" w:rsidR="00821227" w:rsidRPr="00217865" w:rsidRDefault="00821227" w:rsidP="00A43B35">
            <w:pPr>
              <w:pStyle w:val="Z"/>
              <w:rPr>
                <w:color w:val="000000" w:themeColor="text1"/>
                <w:szCs w:val="18"/>
                <w:highlight w:val="yellow"/>
              </w:rPr>
            </w:pPr>
            <w:r w:rsidRPr="00217865">
              <w:rPr>
                <w:color w:val="000000" w:themeColor="text1"/>
                <w:szCs w:val="18"/>
              </w:rPr>
              <w:t>Adelaide Institute of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616C153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19</w:t>
            </w:r>
          </w:p>
        </w:tc>
        <w:tc>
          <w:tcPr>
            <w:tcW w:w="774" w:type="pct"/>
            <w:tcBorders>
              <w:top w:val="single" w:sz="4" w:space="0" w:color="auto"/>
              <w:left w:val="single" w:sz="4" w:space="0" w:color="auto"/>
              <w:bottom w:val="single" w:sz="4" w:space="0" w:color="auto"/>
              <w:right w:val="single" w:sz="4" w:space="0" w:color="auto"/>
            </w:tcBorders>
            <w:vAlign w:val="center"/>
          </w:tcPr>
          <w:p w14:paraId="0A76B12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0677EF2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w:t>
            </w:r>
          </w:p>
        </w:tc>
        <w:tc>
          <w:tcPr>
            <w:tcW w:w="774" w:type="pct"/>
            <w:tcBorders>
              <w:top w:val="single" w:sz="4" w:space="0" w:color="auto"/>
              <w:left w:val="single" w:sz="4" w:space="0" w:color="auto"/>
              <w:bottom w:val="single" w:sz="4" w:space="0" w:color="auto"/>
              <w:right w:val="single" w:sz="4" w:space="0" w:color="auto"/>
            </w:tcBorders>
            <w:vAlign w:val="center"/>
          </w:tcPr>
          <w:p w14:paraId="421E82E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4ECB8A8A"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C7E081" w14:textId="77777777" w:rsidR="00821227" w:rsidRPr="00217865" w:rsidRDefault="00821227" w:rsidP="00A43B35">
            <w:pPr>
              <w:pStyle w:val="Z"/>
              <w:rPr>
                <w:color w:val="000000" w:themeColor="text1"/>
                <w:szCs w:val="18"/>
                <w:highlight w:val="yellow"/>
              </w:rPr>
            </w:pPr>
            <w:proofErr w:type="spellStart"/>
            <w:r w:rsidRPr="00217865">
              <w:rPr>
                <w:color w:val="000000" w:themeColor="text1"/>
                <w:szCs w:val="18"/>
              </w:rPr>
              <w:t>Alphacrucis</w:t>
            </w:r>
            <w:proofErr w:type="spellEnd"/>
            <w:r w:rsidRPr="00217865">
              <w:rPr>
                <w:color w:val="000000" w:themeColor="text1"/>
                <w:szCs w:val="18"/>
              </w:rPr>
              <w:t xml:space="preserve"> University College</w:t>
            </w:r>
          </w:p>
        </w:tc>
        <w:tc>
          <w:tcPr>
            <w:tcW w:w="774" w:type="pct"/>
            <w:tcBorders>
              <w:top w:val="single" w:sz="4" w:space="0" w:color="auto"/>
              <w:left w:val="single" w:sz="4" w:space="0" w:color="auto"/>
              <w:bottom w:val="single" w:sz="4" w:space="0" w:color="auto"/>
              <w:right w:val="single" w:sz="4" w:space="0" w:color="auto"/>
            </w:tcBorders>
            <w:vAlign w:val="center"/>
          </w:tcPr>
          <w:p w14:paraId="54FC9EF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126</w:t>
            </w:r>
          </w:p>
        </w:tc>
        <w:tc>
          <w:tcPr>
            <w:tcW w:w="774" w:type="pct"/>
            <w:tcBorders>
              <w:top w:val="single" w:sz="4" w:space="0" w:color="auto"/>
              <w:left w:val="single" w:sz="4" w:space="0" w:color="auto"/>
              <w:bottom w:val="single" w:sz="4" w:space="0" w:color="auto"/>
              <w:right w:val="single" w:sz="4" w:space="0" w:color="auto"/>
            </w:tcBorders>
            <w:vAlign w:val="center"/>
          </w:tcPr>
          <w:p w14:paraId="7A6B24F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7B773E7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24</w:t>
            </w:r>
          </w:p>
        </w:tc>
        <w:tc>
          <w:tcPr>
            <w:tcW w:w="774" w:type="pct"/>
            <w:tcBorders>
              <w:top w:val="single" w:sz="4" w:space="0" w:color="auto"/>
              <w:left w:val="single" w:sz="4" w:space="0" w:color="auto"/>
              <w:bottom w:val="single" w:sz="4" w:space="0" w:color="auto"/>
              <w:right w:val="single" w:sz="4" w:space="0" w:color="auto"/>
            </w:tcBorders>
            <w:vAlign w:val="center"/>
          </w:tcPr>
          <w:p w14:paraId="28A4A14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29958B34"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18EABFE" w14:textId="77777777" w:rsidR="00821227" w:rsidRPr="00217865" w:rsidRDefault="00821227" w:rsidP="00A43B35">
            <w:pPr>
              <w:pStyle w:val="Z"/>
              <w:rPr>
                <w:color w:val="000000" w:themeColor="text1"/>
                <w:szCs w:val="18"/>
                <w:highlight w:val="yellow"/>
              </w:rPr>
            </w:pPr>
            <w:r w:rsidRPr="00217865">
              <w:rPr>
                <w:color w:val="000000" w:themeColor="text1"/>
                <w:szCs w:val="18"/>
              </w:rPr>
              <w:t>Asia Pacific International College</w:t>
            </w:r>
          </w:p>
        </w:tc>
        <w:tc>
          <w:tcPr>
            <w:tcW w:w="774" w:type="pct"/>
            <w:tcBorders>
              <w:top w:val="single" w:sz="4" w:space="0" w:color="auto"/>
              <w:left w:val="single" w:sz="4" w:space="0" w:color="auto"/>
              <w:bottom w:val="single" w:sz="4" w:space="0" w:color="auto"/>
              <w:right w:val="single" w:sz="4" w:space="0" w:color="auto"/>
            </w:tcBorders>
            <w:vAlign w:val="center"/>
          </w:tcPr>
          <w:p w14:paraId="096923A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357</w:t>
            </w:r>
          </w:p>
        </w:tc>
        <w:tc>
          <w:tcPr>
            <w:tcW w:w="774" w:type="pct"/>
            <w:tcBorders>
              <w:top w:val="single" w:sz="4" w:space="0" w:color="auto"/>
              <w:left w:val="single" w:sz="4" w:space="0" w:color="auto"/>
              <w:bottom w:val="single" w:sz="4" w:space="0" w:color="auto"/>
              <w:right w:val="single" w:sz="4" w:space="0" w:color="auto"/>
            </w:tcBorders>
            <w:vAlign w:val="center"/>
          </w:tcPr>
          <w:p w14:paraId="2189018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c>
          <w:tcPr>
            <w:tcW w:w="774" w:type="pct"/>
            <w:tcBorders>
              <w:top w:val="single" w:sz="4" w:space="0" w:color="auto"/>
              <w:left w:val="single" w:sz="4" w:space="0" w:color="auto"/>
              <w:bottom w:val="single" w:sz="4" w:space="0" w:color="auto"/>
              <w:right w:val="single" w:sz="4" w:space="0" w:color="auto"/>
            </w:tcBorders>
            <w:vAlign w:val="center"/>
          </w:tcPr>
          <w:p w14:paraId="200B6AD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116</w:t>
            </w:r>
          </w:p>
        </w:tc>
        <w:tc>
          <w:tcPr>
            <w:tcW w:w="774" w:type="pct"/>
            <w:tcBorders>
              <w:top w:val="single" w:sz="4" w:space="0" w:color="auto"/>
              <w:left w:val="single" w:sz="4" w:space="0" w:color="auto"/>
              <w:bottom w:val="single" w:sz="4" w:space="0" w:color="auto"/>
              <w:right w:val="single" w:sz="4" w:space="0" w:color="auto"/>
            </w:tcBorders>
            <w:vAlign w:val="center"/>
          </w:tcPr>
          <w:p w14:paraId="710D62D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r>
      <w:tr w:rsidR="00217865" w:rsidRPr="00217865" w14:paraId="7A3FF531"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90A0D40" w14:textId="77777777" w:rsidR="00821227" w:rsidRPr="00217865" w:rsidRDefault="00821227" w:rsidP="00A43B35">
            <w:pPr>
              <w:pStyle w:val="Z"/>
              <w:rPr>
                <w:color w:val="000000" w:themeColor="text1"/>
                <w:szCs w:val="18"/>
                <w:highlight w:val="yellow"/>
              </w:rPr>
            </w:pPr>
            <w:r w:rsidRPr="00217865">
              <w:rPr>
                <w:color w:val="000000" w:themeColor="text1"/>
                <w:szCs w:val="18"/>
              </w:rPr>
              <w:t>Australasian College of Health and Wellness</w:t>
            </w:r>
          </w:p>
        </w:tc>
        <w:tc>
          <w:tcPr>
            <w:tcW w:w="774" w:type="pct"/>
            <w:tcBorders>
              <w:top w:val="single" w:sz="4" w:space="0" w:color="auto"/>
              <w:left w:val="single" w:sz="4" w:space="0" w:color="auto"/>
              <w:bottom w:val="single" w:sz="4" w:space="0" w:color="auto"/>
              <w:right w:val="single" w:sz="4" w:space="0" w:color="auto"/>
            </w:tcBorders>
            <w:vAlign w:val="center"/>
          </w:tcPr>
          <w:p w14:paraId="41AB356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602C927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28FD096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14:paraId="0E5F54A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061520E5"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2AE472D"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 Advance Education Group Pty Ltd</w:t>
            </w:r>
          </w:p>
        </w:tc>
        <w:tc>
          <w:tcPr>
            <w:tcW w:w="774" w:type="pct"/>
            <w:tcBorders>
              <w:top w:val="single" w:sz="4" w:space="0" w:color="auto"/>
              <w:left w:val="single" w:sz="4" w:space="0" w:color="auto"/>
              <w:bottom w:val="single" w:sz="4" w:space="0" w:color="auto"/>
              <w:right w:val="single" w:sz="4" w:space="0" w:color="auto"/>
            </w:tcBorders>
            <w:vAlign w:val="center"/>
          </w:tcPr>
          <w:p w14:paraId="72ED2BE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124</w:t>
            </w:r>
          </w:p>
        </w:tc>
        <w:tc>
          <w:tcPr>
            <w:tcW w:w="774" w:type="pct"/>
            <w:tcBorders>
              <w:top w:val="single" w:sz="4" w:space="0" w:color="auto"/>
              <w:left w:val="single" w:sz="4" w:space="0" w:color="auto"/>
              <w:bottom w:val="single" w:sz="4" w:space="0" w:color="auto"/>
              <w:right w:val="single" w:sz="4" w:space="0" w:color="auto"/>
            </w:tcBorders>
            <w:vAlign w:val="center"/>
          </w:tcPr>
          <w:p w14:paraId="0FB9998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5E44B15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28</w:t>
            </w:r>
          </w:p>
        </w:tc>
        <w:tc>
          <w:tcPr>
            <w:tcW w:w="774" w:type="pct"/>
            <w:tcBorders>
              <w:top w:val="single" w:sz="4" w:space="0" w:color="auto"/>
              <w:left w:val="single" w:sz="4" w:space="0" w:color="auto"/>
              <w:bottom w:val="single" w:sz="4" w:space="0" w:color="auto"/>
              <w:right w:val="single" w:sz="4" w:space="0" w:color="auto"/>
            </w:tcBorders>
            <w:vAlign w:val="center"/>
          </w:tcPr>
          <w:p w14:paraId="0C53CE1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5AB1BCED"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39BA5F0"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Academy of Music and Performing Arts</w:t>
            </w:r>
          </w:p>
        </w:tc>
        <w:tc>
          <w:tcPr>
            <w:tcW w:w="774" w:type="pct"/>
            <w:tcBorders>
              <w:top w:val="single" w:sz="4" w:space="0" w:color="auto"/>
              <w:left w:val="single" w:sz="4" w:space="0" w:color="auto"/>
              <w:bottom w:val="single" w:sz="4" w:space="0" w:color="auto"/>
              <w:right w:val="single" w:sz="4" w:space="0" w:color="auto"/>
            </w:tcBorders>
            <w:vAlign w:val="center"/>
          </w:tcPr>
          <w:p w14:paraId="3539E39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w:t>
            </w:r>
          </w:p>
        </w:tc>
        <w:tc>
          <w:tcPr>
            <w:tcW w:w="774" w:type="pct"/>
            <w:tcBorders>
              <w:top w:val="single" w:sz="4" w:space="0" w:color="auto"/>
              <w:left w:val="single" w:sz="4" w:space="0" w:color="auto"/>
              <w:bottom w:val="single" w:sz="4" w:space="0" w:color="auto"/>
              <w:right w:val="single" w:sz="4" w:space="0" w:color="auto"/>
            </w:tcBorders>
            <w:vAlign w:val="center"/>
          </w:tcPr>
          <w:p w14:paraId="08DD1E5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25E23E4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w:t>
            </w:r>
          </w:p>
        </w:tc>
        <w:tc>
          <w:tcPr>
            <w:tcW w:w="774" w:type="pct"/>
            <w:tcBorders>
              <w:top w:val="single" w:sz="4" w:space="0" w:color="auto"/>
              <w:left w:val="single" w:sz="4" w:space="0" w:color="auto"/>
              <w:bottom w:val="single" w:sz="4" w:space="0" w:color="auto"/>
              <w:right w:val="single" w:sz="4" w:space="0" w:color="auto"/>
            </w:tcBorders>
            <w:vAlign w:val="center"/>
          </w:tcPr>
          <w:p w14:paraId="737B427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7DF8B456"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FA9A6F0"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Chiropractic College Limited</w:t>
            </w:r>
          </w:p>
        </w:tc>
        <w:tc>
          <w:tcPr>
            <w:tcW w:w="774" w:type="pct"/>
            <w:tcBorders>
              <w:top w:val="single" w:sz="4" w:space="0" w:color="auto"/>
              <w:left w:val="single" w:sz="4" w:space="0" w:color="auto"/>
              <w:bottom w:val="single" w:sz="4" w:space="0" w:color="auto"/>
              <w:right w:val="single" w:sz="4" w:space="0" w:color="auto"/>
            </w:tcBorders>
            <w:vAlign w:val="center"/>
          </w:tcPr>
          <w:p w14:paraId="5A76330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03909ED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5E2A44E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16A2C8A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3497EEAB"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92B493E"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College of Christian Studies</w:t>
            </w:r>
          </w:p>
        </w:tc>
        <w:tc>
          <w:tcPr>
            <w:tcW w:w="774" w:type="pct"/>
            <w:tcBorders>
              <w:top w:val="single" w:sz="4" w:space="0" w:color="auto"/>
              <w:left w:val="single" w:sz="4" w:space="0" w:color="auto"/>
              <w:bottom w:val="single" w:sz="4" w:space="0" w:color="auto"/>
              <w:right w:val="single" w:sz="4" w:space="0" w:color="auto"/>
            </w:tcBorders>
            <w:vAlign w:val="center"/>
          </w:tcPr>
          <w:p w14:paraId="1CA5AF0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9</w:t>
            </w:r>
          </w:p>
        </w:tc>
        <w:tc>
          <w:tcPr>
            <w:tcW w:w="774" w:type="pct"/>
            <w:tcBorders>
              <w:top w:val="single" w:sz="4" w:space="0" w:color="auto"/>
              <w:left w:val="single" w:sz="4" w:space="0" w:color="auto"/>
              <w:bottom w:val="single" w:sz="4" w:space="0" w:color="auto"/>
              <w:right w:val="single" w:sz="4" w:space="0" w:color="auto"/>
            </w:tcBorders>
            <w:vAlign w:val="center"/>
          </w:tcPr>
          <w:p w14:paraId="1B399CA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0C3A9F9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w:t>
            </w:r>
          </w:p>
        </w:tc>
        <w:tc>
          <w:tcPr>
            <w:tcW w:w="774" w:type="pct"/>
            <w:tcBorders>
              <w:top w:val="single" w:sz="4" w:space="0" w:color="auto"/>
              <w:left w:val="single" w:sz="4" w:space="0" w:color="auto"/>
              <w:bottom w:val="single" w:sz="4" w:space="0" w:color="auto"/>
              <w:right w:val="single" w:sz="4" w:space="0" w:color="auto"/>
            </w:tcBorders>
            <w:vAlign w:val="center"/>
          </w:tcPr>
          <w:p w14:paraId="400901D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09CF7574"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3ABE8FE"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College of Theology Limited</w:t>
            </w:r>
          </w:p>
        </w:tc>
        <w:tc>
          <w:tcPr>
            <w:tcW w:w="774" w:type="pct"/>
            <w:tcBorders>
              <w:top w:val="single" w:sz="4" w:space="0" w:color="auto"/>
              <w:left w:val="single" w:sz="4" w:space="0" w:color="auto"/>
              <w:bottom w:val="single" w:sz="4" w:space="0" w:color="auto"/>
              <w:right w:val="single" w:sz="4" w:space="0" w:color="auto"/>
            </w:tcBorders>
            <w:vAlign w:val="center"/>
          </w:tcPr>
          <w:p w14:paraId="35162E1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20</w:t>
            </w:r>
          </w:p>
        </w:tc>
        <w:tc>
          <w:tcPr>
            <w:tcW w:w="774" w:type="pct"/>
            <w:tcBorders>
              <w:top w:val="single" w:sz="4" w:space="0" w:color="auto"/>
              <w:left w:val="single" w:sz="4" w:space="0" w:color="auto"/>
              <w:bottom w:val="single" w:sz="4" w:space="0" w:color="auto"/>
              <w:right w:val="single" w:sz="4" w:space="0" w:color="auto"/>
            </w:tcBorders>
            <w:vAlign w:val="center"/>
          </w:tcPr>
          <w:p w14:paraId="2EF21B3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1909F88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w:t>
            </w:r>
          </w:p>
        </w:tc>
        <w:tc>
          <w:tcPr>
            <w:tcW w:w="774" w:type="pct"/>
            <w:tcBorders>
              <w:top w:val="single" w:sz="4" w:space="0" w:color="auto"/>
              <w:left w:val="single" w:sz="4" w:space="0" w:color="auto"/>
              <w:bottom w:val="single" w:sz="4" w:space="0" w:color="auto"/>
              <w:right w:val="single" w:sz="4" w:space="0" w:color="auto"/>
            </w:tcBorders>
            <w:vAlign w:val="center"/>
          </w:tcPr>
          <w:p w14:paraId="2E90F33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6F04A957"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6D988E7"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Institute of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1265F4B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622</w:t>
            </w:r>
          </w:p>
        </w:tc>
        <w:tc>
          <w:tcPr>
            <w:tcW w:w="774" w:type="pct"/>
            <w:tcBorders>
              <w:top w:val="single" w:sz="4" w:space="0" w:color="auto"/>
              <w:left w:val="single" w:sz="4" w:space="0" w:color="auto"/>
              <w:bottom w:val="single" w:sz="4" w:space="0" w:color="auto"/>
              <w:right w:val="single" w:sz="4" w:space="0" w:color="auto"/>
            </w:tcBorders>
            <w:vAlign w:val="center"/>
          </w:tcPr>
          <w:p w14:paraId="6C6AC30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0.6</w:t>
            </w:r>
          </w:p>
        </w:tc>
        <w:tc>
          <w:tcPr>
            <w:tcW w:w="774" w:type="pct"/>
            <w:tcBorders>
              <w:top w:val="single" w:sz="4" w:space="0" w:color="auto"/>
              <w:left w:val="single" w:sz="4" w:space="0" w:color="auto"/>
              <w:bottom w:val="single" w:sz="4" w:space="0" w:color="auto"/>
              <w:right w:val="single" w:sz="4" w:space="0" w:color="auto"/>
            </w:tcBorders>
            <w:vAlign w:val="center"/>
          </w:tcPr>
          <w:p w14:paraId="56C8277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201</w:t>
            </w:r>
          </w:p>
        </w:tc>
        <w:tc>
          <w:tcPr>
            <w:tcW w:w="774" w:type="pct"/>
            <w:tcBorders>
              <w:top w:val="single" w:sz="4" w:space="0" w:color="auto"/>
              <w:left w:val="single" w:sz="4" w:space="0" w:color="auto"/>
              <w:bottom w:val="single" w:sz="4" w:space="0" w:color="auto"/>
              <w:right w:val="single" w:sz="4" w:space="0" w:color="auto"/>
            </w:tcBorders>
            <w:vAlign w:val="center"/>
          </w:tcPr>
          <w:p w14:paraId="579E4D3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0.7</w:t>
            </w:r>
          </w:p>
        </w:tc>
      </w:tr>
      <w:tr w:rsidR="00217865" w:rsidRPr="00217865" w14:paraId="4939071D"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0E16C90"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Institute of Professional Counsellors</w:t>
            </w:r>
          </w:p>
        </w:tc>
        <w:tc>
          <w:tcPr>
            <w:tcW w:w="774" w:type="pct"/>
            <w:tcBorders>
              <w:top w:val="single" w:sz="4" w:space="0" w:color="auto"/>
              <w:left w:val="single" w:sz="4" w:space="0" w:color="auto"/>
              <w:bottom w:val="single" w:sz="4" w:space="0" w:color="auto"/>
              <w:right w:val="single" w:sz="4" w:space="0" w:color="auto"/>
            </w:tcBorders>
            <w:vAlign w:val="center"/>
          </w:tcPr>
          <w:p w14:paraId="030E90D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60D6D78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2D18217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14:paraId="11C838D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3352F527"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BD2C52B" w14:textId="77777777" w:rsidR="00821227" w:rsidRPr="00217865" w:rsidRDefault="00821227" w:rsidP="00A43B35">
            <w:pPr>
              <w:pStyle w:val="Z"/>
              <w:rPr>
                <w:color w:val="000000" w:themeColor="text1"/>
                <w:szCs w:val="18"/>
                <w:highlight w:val="yellow"/>
              </w:rPr>
            </w:pPr>
            <w:r w:rsidRPr="00217865">
              <w:rPr>
                <w:color w:val="000000" w:themeColor="text1"/>
                <w:szCs w:val="18"/>
              </w:rPr>
              <w:t>Australian School of Accounting</w:t>
            </w:r>
          </w:p>
        </w:tc>
        <w:tc>
          <w:tcPr>
            <w:tcW w:w="774" w:type="pct"/>
            <w:tcBorders>
              <w:top w:val="single" w:sz="4" w:space="0" w:color="auto"/>
              <w:left w:val="single" w:sz="4" w:space="0" w:color="auto"/>
              <w:bottom w:val="single" w:sz="4" w:space="0" w:color="auto"/>
              <w:right w:val="single" w:sz="4" w:space="0" w:color="auto"/>
            </w:tcBorders>
            <w:vAlign w:val="center"/>
          </w:tcPr>
          <w:p w14:paraId="4FE2D01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135</w:t>
            </w:r>
          </w:p>
        </w:tc>
        <w:tc>
          <w:tcPr>
            <w:tcW w:w="774" w:type="pct"/>
            <w:tcBorders>
              <w:top w:val="single" w:sz="4" w:space="0" w:color="auto"/>
              <w:left w:val="single" w:sz="4" w:space="0" w:color="auto"/>
              <w:bottom w:val="single" w:sz="4" w:space="0" w:color="auto"/>
              <w:right w:val="single" w:sz="4" w:space="0" w:color="auto"/>
            </w:tcBorders>
            <w:vAlign w:val="center"/>
          </w:tcPr>
          <w:p w14:paraId="4B5621E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425E839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55</w:t>
            </w:r>
          </w:p>
        </w:tc>
        <w:tc>
          <w:tcPr>
            <w:tcW w:w="774" w:type="pct"/>
            <w:tcBorders>
              <w:top w:val="single" w:sz="4" w:space="0" w:color="auto"/>
              <w:left w:val="single" w:sz="4" w:space="0" w:color="auto"/>
              <w:bottom w:val="single" w:sz="4" w:space="0" w:color="auto"/>
              <w:right w:val="single" w:sz="4" w:space="0" w:color="auto"/>
            </w:tcBorders>
            <w:vAlign w:val="center"/>
          </w:tcPr>
          <w:p w14:paraId="3EEA087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73EB5B38"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09396B0" w14:textId="77777777" w:rsidR="00821227" w:rsidRPr="00217865" w:rsidRDefault="00821227" w:rsidP="00A43B35">
            <w:pPr>
              <w:pStyle w:val="Z"/>
              <w:rPr>
                <w:color w:val="000000" w:themeColor="text1"/>
                <w:szCs w:val="18"/>
                <w:highlight w:val="yellow"/>
              </w:rPr>
            </w:pPr>
            <w:r w:rsidRPr="00217865">
              <w:rPr>
                <w:color w:val="000000" w:themeColor="text1"/>
                <w:szCs w:val="18"/>
              </w:rPr>
              <w:t>Box Hill Institute</w:t>
            </w:r>
          </w:p>
        </w:tc>
        <w:tc>
          <w:tcPr>
            <w:tcW w:w="774" w:type="pct"/>
            <w:tcBorders>
              <w:top w:val="single" w:sz="4" w:space="0" w:color="auto"/>
              <w:left w:val="single" w:sz="4" w:space="0" w:color="auto"/>
              <w:bottom w:val="single" w:sz="4" w:space="0" w:color="auto"/>
              <w:right w:val="single" w:sz="4" w:space="0" w:color="auto"/>
            </w:tcBorders>
            <w:vAlign w:val="center"/>
          </w:tcPr>
          <w:p w14:paraId="0908964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113</w:t>
            </w:r>
          </w:p>
        </w:tc>
        <w:tc>
          <w:tcPr>
            <w:tcW w:w="774" w:type="pct"/>
            <w:tcBorders>
              <w:top w:val="single" w:sz="4" w:space="0" w:color="auto"/>
              <w:left w:val="single" w:sz="4" w:space="0" w:color="auto"/>
              <w:bottom w:val="single" w:sz="4" w:space="0" w:color="auto"/>
              <w:right w:val="single" w:sz="4" w:space="0" w:color="auto"/>
            </w:tcBorders>
            <w:vAlign w:val="center"/>
          </w:tcPr>
          <w:p w14:paraId="297A38C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50E0DDF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40</w:t>
            </w:r>
          </w:p>
        </w:tc>
        <w:tc>
          <w:tcPr>
            <w:tcW w:w="774" w:type="pct"/>
            <w:tcBorders>
              <w:top w:val="single" w:sz="4" w:space="0" w:color="auto"/>
              <w:left w:val="single" w:sz="4" w:space="0" w:color="auto"/>
              <w:bottom w:val="single" w:sz="4" w:space="0" w:color="auto"/>
              <w:right w:val="single" w:sz="4" w:space="0" w:color="auto"/>
            </w:tcBorders>
            <w:vAlign w:val="center"/>
          </w:tcPr>
          <w:p w14:paraId="5DB13FD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4ACBDDF4"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717690F" w14:textId="77777777" w:rsidR="00821227" w:rsidRPr="00217865" w:rsidRDefault="00821227" w:rsidP="00A43B35">
            <w:pPr>
              <w:pStyle w:val="Z"/>
              <w:rPr>
                <w:color w:val="000000" w:themeColor="text1"/>
                <w:szCs w:val="18"/>
                <w:highlight w:val="yellow"/>
              </w:rPr>
            </w:pPr>
            <w:r w:rsidRPr="00217865">
              <w:rPr>
                <w:color w:val="000000" w:themeColor="text1"/>
                <w:szCs w:val="18"/>
              </w:rPr>
              <w:t>Chisholm Institute</w:t>
            </w:r>
          </w:p>
        </w:tc>
        <w:tc>
          <w:tcPr>
            <w:tcW w:w="774" w:type="pct"/>
            <w:tcBorders>
              <w:top w:val="single" w:sz="4" w:space="0" w:color="auto"/>
              <w:left w:val="single" w:sz="4" w:space="0" w:color="auto"/>
              <w:bottom w:val="single" w:sz="4" w:space="0" w:color="auto"/>
              <w:right w:val="single" w:sz="4" w:space="0" w:color="auto"/>
            </w:tcBorders>
            <w:vAlign w:val="center"/>
          </w:tcPr>
          <w:p w14:paraId="482625B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81</w:t>
            </w:r>
          </w:p>
        </w:tc>
        <w:tc>
          <w:tcPr>
            <w:tcW w:w="774" w:type="pct"/>
            <w:tcBorders>
              <w:top w:val="single" w:sz="4" w:space="0" w:color="auto"/>
              <w:left w:val="single" w:sz="4" w:space="0" w:color="auto"/>
              <w:bottom w:val="single" w:sz="4" w:space="0" w:color="auto"/>
              <w:right w:val="single" w:sz="4" w:space="0" w:color="auto"/>
            </w:tcBorders>
            <w:vAlign w:val="center"/>
          </w:tcPr>
          <w:p w14:paraId="7A8198F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58D66AD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29</w:t>
            </w:r>
          </w:p>
        </w:tc>
        <w:tc>
          <w:tcPr>
            <w:tcW w:w="774" w:type="pct"/>
            <w:tcBorders>
              <w:top w:val="single" w:sz="4" w:space="0" w:color="auto"/>
              <w:left w:val="single" w:sz="4" w:space="0" w:color="auto"/>
              <w:bottom w:val="single" w:sz="4" w:space="0" w:color="auto"/>
              <w:right w:val="single" w:sz="4" w:space="0" w:color="auto"/>
            </w:tcBorders>
            <w:vAlign w:val="center"/>
          </w:tcPr>
          <w:p w14:paraId="34CD809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22F201DC"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A0EA818" w14:textId="77777777" w:rsidR="00821227" w:rsidRPr="00217865" w:rsidRDefault="00821227" w:rsidP="00A43B35">
            <w:pPr>
              <w:pStyle w:val="Z"/>
              <w:rPr>
                <w:color w:val="000000" w:themeColor="text1"/>
                <w:szCs w:val="18"/>
                <w:highlight w:val="yellow"/>
              </w:rPr>
            </w:pPr>
            <w:r w:rsidRPr="00217865">
              <w:rPr>
                <w:color w:val="000000" w:themeColor="text1"/>
                <w:szCs w:val="18"/>
              </w:rPr>
              <w:t>Christian Heritage College</w:t>
            </w:r>
          </w:p>
        </w:tc>
        <w:tc>
          <w:tcPr>
            <w:tcW w:w="774" w:type="pct"/>
            <w:tcBorders>
              <w:top w:val="single" w:sz="4" w:space="0" w:color="auto"/>
              <w:left w:val="single" w:sz="4" w:space="0" w:color="auto"/>
              <w:bottom w:val="single" w:sz="4" w:space="0" w:color="auto"/>
              <w:right w:val="single" w:sz="4" w:space="0" w:color="auto"/>
            </w:tcBorders>
            <w:vAlign w:val="center"/>
          </w:tcPr>
          <w:p w14:paraId="6F535B0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w:t>
            </w:r>
          </w:p>
        </w:tc>
        <w:tc>
          <w:tcPr>
            <w:tcW w:w="774" w:type="pct"/>
            <w:tcBorders>
              <w:top w:val="single" w:sz="4" w:space="0" w:color="auto"/>
              <w:left w:val="single" w:sz="4" w:space="0" w:color="auto"/>
              <w:bottom w:val="single" w:sz="4" w:space="0" w:color="auto"/>
              <w:right w:val="single" w:sz="4" w:space="0" w:color="auto"/>
            </w:tcBorders>
            <w:vAlign w:val="center"/>
          </w:tcPr>
          <w:p w14:paraId="6BD7681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41C0364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05EE52F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2D197FA1"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93E21E0" w14:textId="77777777" w:rsidR="00821227" w:rsidRPr="00217865" w:rsidRDefault="00821227" w:rsidP="00A43B35">
            <w:pPr>
              <w:pStyle w:val="Z"/>
              <w:rPr>
                <w:color w:val="000000" w:themeColor="text1"/>
                <w:szCs w:val="18"/>
                <w:highlight w:val="yellow"/>
              </w:rPr>
            </w:pPr>
            <w:r w:rsidRPr="00217865">
              <w:rPr>
                <w:color w:val="000000" w:themeColor="text1"/>
                <w:szCs w:val="18"/>
              </w:rPr>
              <w:t>CIC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1FA656C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90</w:t>
            </w:r>
          </w:p>
        </w:tc>
        <w:tc>
          <w:tcPr>
            <w:tcW w:w="774" w:type="pct"/>
            <w:tcBorders>
              <w:top w:val="single" w:sz="4" w:space="0" w:color="auto"/>
              <w:left w:val="single" w:sz="4" w:space="0" w:color="auto"/>
              <w:bottom w:val="single" w:sz="4" w:space="0" w:color="auto"/>
              <w:right w:val="single" w:sz="4" w:space="0" w:color="auto"/>
            </w:tcBorders>
            <w:vAlign w:val="center"/>
          </w:tcPr>
          <w:p w14:paraId="4B5B15C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005F9A8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27</w:t>
            </w:r>
          </w:p>
        </w:tc>
        <w:tc>
          <w:tcPr>
            <w:tcW w:w="774" w:type="pct"/>
            <w:tcBorders>
              <w:top w:val="single" w:sz="4" w:space="0" w:color="auto"/>
              <w:left w:val="single" w:sz="4" w:space="0" w:color="auto"/>
              <w:bottom w:val="single" w:sz="4" w:space="0" w:color="auto"/>
              <w:right w:val="single" w:sz="4" w:space="0" w:color="auto"/>
            </w:tcBorders>
            <w:vAlign w:val="center"/>
          </w:tcPr>
          <w:p w14:paraId="6EB83D6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0BB4D40B"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641FD1C" w14:textId="77777777" w:rsidR="00821227" w:rsidRPr="00217865" w:rsidRDefault="00821227" w:rsidP="00A43B35">
            <w:pPr>
              <w:pStyle w:val="Z"/>
              <w:rPr>
                <w:color w:val="000000" w:themeColor="text1"/>
                <w:szCs w:val="18"/>
                <w:highlight w:val="yellow"/>
              </w:rPr>
            </w:pPr>
            <w:proofErr w:type="spellStart"/>
            <w:r w:rsidRPr="00217865">
              <w:rPr>
                <w:color w:val="000000" w:themeColor="text1"/>
                <w:szCs w:val="18"/>
              </w:rPr>
              <w:t>Collarts</w:t>
            </w:r>
            <w:proofErr w:type="spellEnd"/>
            <w:r w:rsidRPr="00217865">
              <w:rPr>
                <w:color w:val="000000" w:themeColor="text1"/>
                <w:szCs w:val="18"/>
              </w:rPr>
              <w:t xml:space="preserve"> (Australian College of the Arts)</w:t>
            </w:r>
          </w:p>
        </w:tc>
        <w:tc>
          <w:tcPr>
            <w:tcW w:w="774" w:type="pct"/>
            <w:tcBorders>
              <w:top w:val="single" w:sz="4" w:space="0" w:color="auto"/>
              <w:left w:val="single" w:sz="4" w:space="0" w:color="auto"/>
              <w:bottom w:val="single" w:sz="4" w:space="0" w:color="auto"/>
              <w:right w:val="single" w:sz="4" w:space="0" w:color="auto"/>
            </w:tcBorders>
            <w:vAlign w:val="center"/>
          </w:tcPr>
          <w:p w14:paraId="6C97E8C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30</w:t>
            </w:r>
          </w:p>
        </w:tc>
        <w:tc>
          <w:tcPr>
            <w:tcW w:w="774" w:type="pct"/>
            <w:tcBorders>
              <w:top w:val="single" w:sz="4" w:space="0" w:color="auto"/>
              <w:left w:val="single" w:sz="4" w:space="0" w:color="auto"/>
              <w:bottom w:val="single" w:sz="4" w:space="0" w:color="auto"/>
              <w:right w:val="single" w:sz="4" w:space="0" w:color="auto"/>
            </w:tcBorders>
            <w:vAlign w:val="center"/>
          </w:tcPr>
          <w:p w14:paraId="1ACABAD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6E6EB72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w:t>
            </w:r>
          </w:p>
        </w:tc>
        <w:tc>
          <w:tcPr>
            <w:tcW w:w="774" w:type="pct"/>
            <w:tcBorders>
              <w:top w:val="single" w:sz="4" w:space="0" w:color="auto"/>
              <w:left w:val="single" w:sz="4" w:space="0" w:color="auto"/>
              <w:bottom w:val="single" w:sz="4" w:space="0" w:color="auto"/>
              <w:right w:val="single" w:sz="4" w:space="0" w:color="auto"/>
            </w:tcBorders>
            <w:vAlign w:val="center"/>
          </w:tcPr>
          <w:p w14:paraId="28742B7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5C255C2C"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33772FA" w14:textId="77777777" w:rsidR="00821227" w:rsidRPr="00217865" w:rsidRDefault="00821227" w:rsidP="00A43B35">
            <w:pPr>
              <w:pStyle w:val="Z"/>
              <w:rPr>
                <w:color w:val="000000" w:themeColor="text1"/>
                <w:szCs w:val="18"/>
                <w:highlight w:val="yellow"/>
              </w:rPr>
            </w:pPr>
            <w:r w:rsidRPr="00217865">
              <w:rPr>
                <w:color w:val="000000" w:themeColor="text1"/>
                <w:szCs w:val="18"/>
              </w:rPr>
              <w:t>Curtin College</w:t>
            </w:r>
          </w:p>
        </w:tc>
        <w:tc>
          <w:tcPr>
            <w:tcW w:w="774" w:type="pct"/>
            <w:tcBorders>
              <w:top w:val="single" w:sz="4" w:space="0" w:color="auto"/>
              <w:left w:val="single" w:sz="4" w:space="0" w:color="auto"/>
              <w:bottom w:val="single" w:sz="4" w:space="0" w:color="auto"/>
              <w:right w:val="single" w:sz="4" w:space="0" w:color="auto"/>
            </w:tcBorders>
            <w:vAlign w:val="center"/>
          </w:tcPr>
          <w:p w14:paraId="7142B78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448</w:t>
            </w:r>
          </w:p>
        </w:tc>
        <w:tc>
          <w:tcPr>
            <w:tcW w:w="774" w:type="pct"/>
            <w:tcBorders>
              <w:top w:val="single" w:sz="4" w:space="0" w:color="auto"/>
              <w:left w:val="single" w:sz="4" w:space="0" w:color="auto"/>
              <w:bottom w:val="single" w:sz="4" w:space="0" w:color="auto"/>
              <w:right w:val="single" w:sz="4" w:space="0" w:color="auto"/>
            </w:tcBorders>
            <w:vAlign w:val="center"/>
          </w:tcPr>
          <w:p w14:paraId="2786FC8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0.5</w:t>
            </w:r>
          </w:p>
        </w:tc>
        <w:tc>
          <w:tcPr>
            <w:tcW w:w="774" w:type="pct"/>
            <w:tcBorders>
              <w:top w:val="single" w:sz="4" w:space="0" w:color="auto"/>
              <w:left w:val="single" w:sz="4" w:space="0" w:color="auto"/>
              <w:bottom w:val="single" w:sz="4" w:space="0" w:color="auto"/>
              <w:right w:val="single" w:sz="4" w:space="0" w:color="auto"/>
            </w:tcBorders>
            <w:vAlign w:val="center"/>
          </w:tcPr>
          <w:p w14:paraId="0091812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156</w:t>
            </w:r>
          </w:p>
        </w:tc>
        <w:tc>
          <w:tcPr>
            <w:tcW w:w="774" w:type="pct"/>
            <w:tcBorders>
              <w:top w:val="single" w:sz="4" w:space="0" w:color="auto"/>
              <w:left w:val="single" w:sz="4" w:space="0" w:color="auto"/>
              <w:bottom w:val="single" w:sz="4" w:space="0" w:color="auto"/>
              <w:right w:val="single" w:sz="4" w:space="0" w:color="auto"/>
            </w:tcBorders>
            <w:vAlign w:val="center"/>
          </w:tcPr>
          <w:p w14:paraId="6914C06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0.5</w:t>
            </w:r>
          </w:p>
        </w:tc>
      </w:tr>
      <w:tr w:rsidR="00217865" w:rsidRPr="00217865" w14:paraId="2239A795"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04DF0DC" w14:textId="77777777" w:rsidR="00821227" w:rsidRPr="00217865" w:rsidRDefault="00821227" w:rsidP="00A43B35">
            <w:pPr>
              <w:pStyle w:val="Z"/>
              <w:rPr>
                <w:color w:val="000000" w:themeColor="text1"/>
                <w:szCs w:val="18"/>
                <w:highlight w:val="yellow"/>
              </w:rPr>
            </w:pPr>
            <w:r w:rsidRPr="00217865">
              <w:rPr>
                <w:color w:val="000000" w:themeColor="text1"/>
                <w:szCs w:val="18"/>
              </w:rPr>
              <w:t>Crown Institute of Higher Education Pty Ltd</w:t>
            </w:r>
          </w:p>
        </w:tc>
        <w:tc>
          <w:tcPr>
            <w:tcW w:w="774" w:type="pct"/>
            <w:tcBorders>
              <w:top w:val="single" w:sz="4" w:space="0" w:color="auto"/>
              <w:left w:val="single" w:sz="4" w:space="0" w:color="auto"/>
              <w:bottom w:val="single" w:sz="4" w:space="0" w:color="auto"/>
              <w:right w:val="single" w:sz="4" w:space="0" w:color="auto"/>
            </w:tcBorders>
            <w:vAlign w:val="center"/>
          </w:tcPr>
          <w:p w14:paraId="691DD87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1,222</w:t>
            </w:r>
          </w:p>
        </w:tc>
        <w:tc>
          <w:tcPr>
            <w:tcW w:w="774" w:type="pct"/>
            <w:tcBorders>
              <w:top w:val="single" w:sz="4" w:space="0" w:color="auto"/>
              <w:left w:val="single" w:sz="4" w:space="0" w:color="auto"/>
              <w:bottom w:val="single" w:sz="4" w:space="0" w:color="auto"/>
              <w:right w:val="single" w:sz="4" w:space="0" w:color="auto"/>
            </w:tcBorders>
            <w:vAlign w:val="center"/>
          </w:tcPr>
          <w:p w14:paraId="39068EC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w:t>
            </w:r>
          </w:p>
        </w:tc>
        <w:tc>
          <w:tcPr>
            <w:tcW w:w="774" w:type="pct"/>
            <w:tcBorders>
              <w:top w:val="single" w:sz="4" w:space="0" w:color="auto"/>
              <w:left w:val="single" w:sz="4" w:space="0" w:color="auto"/>
              <w:bottom w:val="single" w:sz="4" w:space="0" w:color="auto"/>
              <w:right w:val="single" w:sz="4" w:space="0" w:color="auto"/>
            </w:tcBorders>
            <w:vAlign w:val="center"/>
          </w:tcPr>
          <w:p w14:paraId="4B9FFC3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310</w:t>
            </w:r>
          </w:p>
        </w:tc>
        <w:tc>
          <w:tcPr>
            <w:tcW w:w="774" w:type="pct"/>
            <w:tcBorders>
              <w:top w:val="single" w:sz="4" w:space="0" w:color="auto"/>
              <w:left w:val="single" w:sz="4" w:space="0" w:color="auto"/>
              <w:bottom w:val="single" w:sz="4" w:space="0" w:color="auto"/>
              <w:right w:val="single" w:sz="4" w:space="0" w:color="auto"/>
            </w:tcBorders>
            <w:vAlign w:val="center"/>
          </w:tcPr>
          <w:p w14:paraId="539BFCA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w:t>
            </w:r>
          </w:p>
        </w:tc>
      </w:tr>
      <w:tr w:rsidR="00217865" w:rsidRPr="00217865" w14:paraId="06E18A70"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8DEC916" w14:textId="77777777" w:rsidR="00821227" w:rsidRPr="00217865" w:rsidRDefault="00821227" w:rsidP="00A43B35">
            <w:pPr>
              <w:pStyle w:val="Z"/>
              <w:rPr>
                <w:color w:val="000000" w:themeColor="text1"/>
                <w:szCs w:val="18"/>
                <w:highlight w:val="yellow"/>
              </w:rPr>
            </w:pPr>
            <w:r w:rsidRPr="00217865">
              <w:rPr>
                <w:color w:val="000000" w:themeColor="text1"/>
                <w:szCs w:val="18"/>
              </w:rPr>
              <w:t>Deakin College</w:t>
            </w:r>
          </w:p>
        </w:tc>
        <w:tc>
          <w:tcPr>
            <w:tcW w:w="774" w:type="pct"/>
            <w:tcBorders>
              <w:top w:val="single" w:sz="4" w:space="0" w:color="auto"/>
              <w:left w:val="single" w:sz="4" w:space="0" w:color="auto"/>
              <w:bottom w:val="single" w:sz="4" w:space="0" w:color="auto"/>
              <w:right w:val="single" w:sz="4" w:space="0" w:color="auto"/>
            </w:tcBorders>
            <w:vAlign w:val="center"/>
          </w:tcPr>
          <w:p w14:paraId="35D50F2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319</w:t>
            </w:r>
          </w:p>
        </w:tc>
        <w:tc>
          <w:tcPr>
            <w:tcW w:w="774" w:type="pct"/>
            <w:tcBorders>
              <w:top w:val="single" w:sz="4" w:space="0" w:color="auto"/>
              <w:left w:val="single" w:sz="4" w:space="0" w:color="auto"/>
              <w:bottom w:val="single" w:sz="4" w:space="0" w:color="auto"/>
              <w:right w:val="single" w:sz="4" w:space="0" w:color="auto"/>
            </w:tcBorders>
            <w:vAlign w:val="center"/>
          </w:tcPr>
          <w:p w14:paraId="49B44EC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253ECD7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104</w:t>
            </w:r>
          </w:p>
        </w:tc>
        <w:tc>
          <w:tcPr>
            <w:tcW w:w="774" w:type="pct"/>
            <w:tcBorders>
              <w:top w:val="single" w:sz="4" w:space="0" w:color="auto"/>
              <w:left w:val="single" w:sz="4" w:space="0" w:color="auto"/>
              <w:bottom w:val="single" w:sz="4" w:space="0" w:color="auto"/>
              <w:right w:val="single" w:sz="4" w:space="0" w:color="auto"/>
            </w:tcBorders>
            <w:vAlign w:val="center"/>
          </w:tcPr>
          <w:p w14:paraId="755CDEF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r>
      <w:tr w:rsidR="00217865" w:rsidRPr="00217865" w14:paraId="09FB45C0"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58897DF" w14:textId="77777777" w:rsidR="00821227" w:rsidRPr="00217865" w:rsidRDefault="00821227" w:rsidP="00A43B35">
            <w:pPr>
              <w:pStyle w:val="Z"/>
              <w:rPr>
                <w:color w:val="000000" w:themeColor="text1"/>
                <w:szCs w:val="18"/>
                <w:highlight w:val="yellow"/>
              </w:rPr>
            </w:pPr>
            <w:r w:rsidRPr="00217865">
              <w:rPr>
                <w:color w:val="000000" w:themeColor="text1"/>
                <w:szCs w:val="18"/>
              </w:rPr>
              <w:t>Edith Cowan College</w:t>
            </w:r>
          </w:p>
        </w:tc>
        <w:tc>
          <w:tcPr>
            <w:tcW w:w="774" w:type="pct"/>
            <w:tcBorders>
              <w:top w:val="single" w:sz="4" w:space="0" w:color="auto"/>
              <w:left w:val="single" w:sz="4" w:space="0" w:color="auto"/>
              <w:bottom w:val="single" w:sz="4" w:space="0" w:color="auto"/>
              <w:right w:val="single" w:sz="4" w:space="0" w:color="auto"/>
            </w:tcBorders>
            <w:vAlign w:val="center"/>
          </w:tcPr>
          <w:p w14:paraId="34370DC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643</w:t>
            </w:r>
          </w:p>
        </w:tc>
        <w:tc>
          <w:tcPr>
            <w:tcW w:w="774" w:type="pct"/>
            <w:tcBorders>
              <w:top w:val="single" w:sz="4" w:space="0" w:color="auto"/>
              <w:left w:val="single" w:sz="4" w:space="0" w:color="auto"/>
              <w:bottom w:val="single" w:sz="4" w:space="0" w:color="auto"/>
              <w:right w:val="single" w:sz="4" w:space="0" w:color="auto"/>
            </w:tcBorders>
            <w:vAlign w:val="center"/>
          </w:tcPr>
          <w:p w14:paraId="3F18FF0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0.7</w:t>
            </w:r>
          </w:p>
        </w:tc>
        <w:tc>
          <w:tcPr>
            <w:tcW w:w="774" w:type="pct"/>
            <w:tcBorders>
              <w:top w:val="single" w:sz="4" w:space="0" w:color="auto"/>
              <w:left w:val="single" w:sz="4" w:space="0" w:color="auto"/>
              <w:bottom w:val="single" w:sz="4" w:space="0" w:color="auto"/>
              <w:right w:val="single" w:sz="4" w:space="0" w:color="auto"/>
            </w:tcBorders>
            <w:vAlign w:val="center"/>
          </w:tcPr>
          <w:p w14:paraId="3CFCD16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258</w:t>
            </w:r>
          </w:p>
        </w:tc>
        <w:tc>
          <w:tcPr>
            <w:tcW w:w="774" w:type="pct"/>
            <w:tcBorders>
              <w:top w:val="single" w:sz="4" w:space="0" w:color="auto"/>
              <w:left w:val="single" w:sz="4" w:space="0" w:color="auto"/>
              <w:bottom w:val="single" w:sz="4" w:space="0" w:color="auto"/>
              <w:right w:val="single" w:sz="4" w:space="0" w:color="auto"/>
            </w:tcBorders>
            <w:vAlign w:val="center"/>
          </w:tcPr>
          <w:p w14:paraId="49F9A9F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0.9</w:t>
            </w:r>
          </w:p>
        </w:tc>
      </w:tr>
      <w:tr w:rsidR="00217865" w:rsidRPr="00217865" w14:paraId="60DAE8A9"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7AF8D60" w14:textId="77777777" w:rsidR="00821227" w:rsidRPr="00217865" w:rsidRDefault="00821227" w:rsidP="00A43B35">
            <w:pPr>
              <w:pStyle w:val="Z"/>
              <w:rPr>
                <w:color w:val="000000" w:themeColor="text1"/>
                <w:szCs w:val="18"/>
                <w:highlight w:val="yellow"/>
              </w:rPr>
            </w:pPr>
            <w:r w:rsidRPr="00217865">
              <w:rPr>
                <w:color w:val="000000" w:themeColor="text1"/>
                <w:szCs w:val="18"/>
              </w:rPr>
              <w:t>Endeavour College of Natural Health</w:t>
            </w:r>
          </w:p>
        </w:tc>
        <w:tc>
          <w:tcPr>
            <w:tcW w:w="774" w:type="pct"/>
            <w:tcBorders>
              <w:top w:val="single" w:sz="4" w:space="0" w:color="auto"/>
              <w:left w:val="single" w:sz="4" w:space="0" w:color="auto"/>
              <w:bottom w:val="single" w:sz="4" w:space="0" w:color="auto"/>
              <w:right w:val="single" w:sz="4" w:space="0" w:color="auto"/>
            </w:tcBorders>
            <w:vAlign w:val="center"/>
          </w:tcPr>
          <w:p w14:paraId="74CF5F4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47</w:t>
            </w:r>
          </w:p>
        </w:tc>
        <w:tc>
          <w:tcPr>
            <w:tcW w:w="774" w:type="pct"/>
            <w:tcBorders>
              <w:top w:val="single" w:sz="4" w:space="0" w:color="auto"/>
              <w:left w:val="single" w:sz="4" w:space="0" w:color="auto"/>
              <w:bottom w:val="single" w:sz="4" w:space="0" w:color="auto"/>
              <w:right w:val="single" w:sz="4" w:space="0" w:color="auto"/>
            </w:tcBorders>
            <w:vAlign w:val="center"/>
          </w:tcPr>
          <w:p w14:paraId="528845D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50EB675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25</w:t>
            </w:r>
          </w:p>
        </w:tc>
        <w:tc>
          <w:tcPr>
            <w:tcW w:w="774" w:type="pct"/>
            <w:tcBorders>
              <w:top w:val="single" w:sz="4" w:space="0" w:color="auto"/>
              <w:left w:val="single" w:sz="4" w:space="0" w:color="auto"/>
              <w:bottom w:val="single" w:sz="4" w:space="0" w:color="auto"/>
              <w:right w:val="single" w:sz="4" w:space="0" w:color="auto"/>
            </w:tcBorders>
            <w:vAlign w:val="center"/>
          </w:tcPr>
          <w:p w14:paraId="71E7B36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7FE97BC2"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91C7EAD" w14:textId="77777777" w:rsidR="00821227" w:rsidRPr="00217865" w:rsidRDefault="00821227" w:rsidP="00A43B35">
            <w:pPr>
              <w:pStyle w:val="Z"/>
              <w:rPr>
                <w:color w:val="000000" w:themeColor="text1"/>
                <w:szCs w:val="18"/>
                <w:highlight w:val="yellow"/>
              </w:rPr>
            </w:pPr>
            <w:r w:rsidRPr="00217865">
              <w:rPr>
                <w:color w:val="000000" w:themeColor="text1"/>
                <w:szCs w:val="18"/>
              </w:rPr>
              <w:lastRenderedPageBreak/>
              <w:t>Engineering Institute of Technology</w:t>
            </w:r>
          </w:p>
        </w:tc>
        <w:tc>
          <w:tcPr>
            <w:tcW w:w="774" w:type="pct"/>
            <w:tcBorders>
              <w:top w:val="single" w:sz="4" w:space="0" w:color="auto"/>
              <w:left w:val="single" w:sz="4" w:space="0" w:color="auto"/>
              <w:bottom w:val="single" w:sz="4" w:space="0" w:color="auto"/>
              <w:right w:val="single" w:sz="4" w:space="0" w:color="auto"/>
            </w:tcBorders>
            <w:vAlign w:val="center"/>
          </w:tcPr>
          <w:p w14:paraId="6534802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68</w:t>
            </w:r>
          </w:p>
        </w:tc>
        <w:tc>
          <w:tcPr>
            <w:tcW w:w="774" w:type="pct"/>
            <w:tcBorders>
              <w:top w:val="single" w:sz="4" w:space="0" w:color="auto"/>
              <w:left w:val="single" w:sz="4" w:space="0" w:color="auto"/>
              <w:bottom w:val="single" w:sz="4" w:space="0" w:color="auto"/>
              <w:right w:val="single" w:sz="4" w:space="0" w:color="auto"/>
            </w:tcBorders>
            <w:vAlign w:val="center"/>
          </w:tcPr>
          <w:p w14:paraId="2A26033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0F55DF5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39</w:t>
            </w:r>
          </w:p>
        </w:tc>
        <w:tc>
          <w:tcPr>
            <w:tcW w:w="774" w:type="pct"/>
            <w:tcBorders>
              <w:top w:val="single" w:sz="4" w:space="0" w:color="auto"/>
              <w:left w:val="single" w:sz="4" w:space="0" w:color="auto"/>
              <w:bottom w:val="single" w:sz="4" w:space="0" w:color="auto"/>
              <w:right w:val="single" w:sz="4" w:space="0" w:color="auto"/>
            </w:tcBorders>
            <w:vAlign w:val="center"/>
          </w:tcPr>
          <w:p w14:paraId="6C65292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0D60B63E"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B3DCE91" w14:textId="77777777" w:rsidR="00821227" w:rsidRPr="00217865" w:rsidRDefault="00821227" w:rsidP="00A43B35">
            <w:pPr>
              <w:pStyle w:val="Z"/>
              <w:rPr>
                <w:color w:val="000000" w:themeColor="text1"/>
                <w:szCs w:val="18"/>
                <w:highlight w:val="yellow"/>
              </w:rPr>
            </w:pPr>
            <w:r w:rsidRPr="00217865">
              <w:rPr>
                <w:color w:val="000000" w:themeColor="text1"/>
                <w:szCs w:val="18"/>
              </w:rPr>
              <w:t>Equals International</w:t>
            </w:r>
          </w:p>
        </w:tc>
        <w:tc>
          <w:tcPr>
            <w:tcW w:w="774" w:type="pct"/>
            <w:tcBorders>
              <w:top w:val="single" w:sz="4" w:space="0" w:color="auto"/>
              <w:left w:val="single" w:sz="4" w:space="0" w:color="auto"/>
              <w:bottom w:val="single" w:sz="4" w:space="0" w:color="auto"/>
              <w:right w:val="single" w:sz="4" w:space="0" w:color="auto"/>
            </w:tcBorders>
            <w:vAlign w:val="center"/>
          </w:tcPr>
          <w:p w14:paraId="4D2A6BB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121</w:t>
            </w:r>
          </w:p>
        </w:tc>
        <w:tc>
          <w:tcPr>
            <w:tcW w:w="774" w:type="pct"/>
            <w:tcBorders>
              <w:top w:val="single" w:sz="4" w:space="0" w:color="auto"/>
              <w:left w:val="single" w:sz="4" w:space="0" w:color="auto"/>
              <w:bottom w:val="single" w:sz="4" w:space="0" w:color="auto"/>
              <w:right w:val="single" w:sz="4" w:space="0" w:color="auto"/>
            </w:tcBorders>
            <w:vAlign w:val="center"/>
          </w:tcPr>
          <w:p w14:paraId="6F73198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2DA840C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36</w:t>
            </w:r>
          </w:p>
        </w:tc>
        <w:tc>
          <w:tcPr>
            <w:tcW w:w="774" w:type="pct"/>
            <w:tcBorders>
              <w:top w:val="single" w:sz="4" w:space="0" w:color="auto"/>
              <w:left w:val="single" w:sz="4" w:space="0" w:color="auto"/>
              <w:bottom w:val="single" w:sz="4" w:space="0" w:color="auto"/>
              <w:right w:val="single" w:sz="4" w:space="0" w:color="auto"/>
            </w:tcBorders>
            <w:vAlign w:val="center"/>
          </w:tcPr>
          <w:p w14:paraId="2AC9738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1EC98400"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23C199A" w14:textId="77777777" w:rsidR="00821227" w:rsidRPr="00217865" w:rsidRDefault="00821227" w:rsidP="00A43B35">
            <w:pPr>
              <w:pStyle w:val="Z"/>
              <w:rPr>
                <w:color w:val="000000" w:themeColor="text1"/>
                <w:szCs w:val="18"/>
                <w:highlight w:val="yellow"/>
              </w:rPr>
            </w:pPr>
            <w:proofErr w:type="spellStart"/>
            <w:r w:rsidRPr="00217865">
              <w:rPr>
                <w:color w:val="000000" w:themeColor="text1"/>
                <w:szCs w:val="18"/>
              </w:rPr>
              <w:t>Excelsia</w:t>
            </w:r>
            <w:proofErr w:type="spellEnd"/>
            <w:r w:rsidRPr="00217865">
              <w:rPr>
                <w:color w:val="000000" w:themeColor="text1"/>
                <w:szCs w:val="18"/>
              </w:rPr>
              <w:t xml:space="preserve"> College</w:t>
            </w:r>
          </w:p>
        </w:tc>
        <w:tc>
          <w:tcPr>
            <w:tcW w:w="774" w:type="pct"/>
            <w:tcBorders>
              <w:top w:val="single" w:sz="4" w:space="0" w:color="auto"/>
              <w:left w:val="single" w:sz="4" w:space="0" w:color="auto"/>
              <w:bottom w:val="single" w:sz="4" w:space="0" w:color="auto"/>
              <w:right w:val="single" w:sz="4" w:space="0" w:color="auto"/>
            </w:tcBorders>
            <w:vAlign w:val="center"/>
          </w:tcPr>
          <w:p w14:paraId="66AF01C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760</w:t>
            </w:r>
          </w:p>
        </w:tc>
        <w:tc>
          <w:tcPr>
            <w:tcW w:w="774" w:type="pct"/>
            <w:tcBorders>
              <w:top w:val="single" w:sz="4" w:space="0" w:color="auto"/>
              <w:left w:val="single" w:sz="4" w:space="0" w:color="auto"/>
              <w:bottom w:val="single" w:sz="4" w:space="0" w:color="auto"/>
              <w:right w:val="single" w:sz="4" w:space="0" w:color="auto"/>
            </w:tcBorders>
            <w:vAlign w:val="center"/>
          </w:tcPr>
          <w:p w14:paraId="62E54C5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0.8</w:t>
            </w:r>
          </w:p>
        </w:tc>
        <w:tc>
          <w:tcPr>
            <w:tcW w:w="774" w:type="pct"/>
            <w:tcBorders>
              <w:top w:val="single" w:sz="4" w:space="0" w:color="auto"/>
              <w:left w:val="single" w:sz="4" w:space="0" w:color="auto"/>
              <w:bottom w:val="single" w:sz="4" w:space="0" w:color="auto"/>
              <w:right w:val="single" w:sz="4" w:space="0" w:color="auto"/>
            </w:tcBorders>
            <w:vAlign w:val="center"/>
          </w:tcPr>
          <w:p w14:paraId="11AFC11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260</w:t>
            </w:r>
          </w:p>
        </w:tc>
        <w:tc>
          <w:tcPr>
            <w:tcW w:w="774" w:type="pct"/>
            <w:tcBorders>
              <w:top w:val="single" w:sz="4" w:space="0" w:color="auto"/>
              <w:left w:val="single" w:sz="4" w:space="0" w:color="auto"/>
              <w:bottom w:val="single" w:sz="4" w:space="0" w:color="auto"/>
              <w:right w:val="single" w:sz="4" w:space="0" w:color="auto"/>
            </w:tcBorders>
            <w:vAlign w:val="center"/>
          </w:tcPr>
          <w:p w14:paraId="1E903EE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0.9</w:t>
            </w:r>
          </w:p>
        </w:tc>
      </w:tr>
      <w:tr w:rsidR="00217865" w:rsidRPr="00217865" w14:paraId="72CCB532"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3D9BF4E" w14:textId="77777777" w:rsidR="00821227" w:rsidRPr="00217865" w:rsidRDefault="00821227" w:rsidP="00A43B35">
            <w:pPr>
              <w:pStyle w:val="Z"/>
              <w:rPr>
                <w:color w:val="000000" w:themeColor="text1"/>
                <w:szCs w:val="18"/>
                <w:highlight w:val="yellow"/>
              </w:rPr>
            </w:pPr>
            <w:r w:rsidRPr="00217865">
              <w:rPr>
                <w:color w:val="000000" w:themeColor="text1"/>
                <w:szCs w:val="18"/>
              </w:rPr>
              <w:t>Eynesbury College</w:t>
            </w:r>
          </w:p>
        </w:tc>
        <w:tc>
          <w:tcPr>
            <w:tcW w:w="774" w:type="pct"/>
            <w:tcBorders>
              <w:top w:val="single" w:sz="4" w:space="0" w:color="auto"/>
              <w:left w:val="single" w:sz="4" w:space="0" w:color="auto"/>
              <w:bottom w:val="single" w:sz="4" w:space="0" w:color="auto"/>
              <w:right w:val="single" w:sz="4" w:space="0" w:color="auto"/>
            </w:tcBorders>
            <w:vAlign w:val="center"/>
          </w:tcPr>
          <w:p w14:paraId="438CDBD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86</w:t>
            </w:r>
          </w:p>
        </w:tc>
        <w:tc>
          <w:tcPr>
            <w:tcW w:w="774" w:type="pct"/>
            <w:tcBorders>
              <w:top w:val="single" w:sz="4" w:space="0" w:color="auto"/>
              <w:left w:val="single" w:sz="4" w:space="0" w:color="auto"/>
              <w:bottom w:val="single" w:sz="4" w:space="0" w:color="auto"/>
              <w:right w:val="single" w:sz="4" w:space="0" w:color="auto"/>
            </w:tcBorders>
            <w:vAlign w:val="center"/>
          </w:tcPr>
          <w:p w14:paraId="0DDBA6E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3E9E717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32</w:t>
            </w:r>
          </w:p>
        </w:tc>
        <w:tc>
          <w:tcPr>
            <w:tcW w:w="774" w:type="pct"/>
            <w:tcBorders>
              <w:top w:val="single" w:sz="4" w:space="0" w:color="auto"/>
              <w:left w:val="single" w:sz="4" w:space="0" w:color="auto"/>
              <w:bottom w:val="single" w:sz="4" w:space="0" w:color="auto"/>
              <w:right w:val="single" w:sz="4" w:space="0" w:color="auto"/>
            </w:tcBorders>
            <w:vAlign w:val="center"/>
          </w:tcPr>
          <w:p w14:paraId="5F73A6A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7B98B01C"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2503447" w14:textId="77777777" w:rsidR="00821227" w:rsidRPr="00217865" w:rsidRDefault="00821227" w:rsidP="00A43B35">
            <w:pPr>
              <w:pStyle w:val="Z"/>
              <w:rPr>
                <w:color w:val="000000" w:themeColor="text1"/>
                <w:szCs w:val="18"/>
                <w:highlight w:val="yellow"/>
              </w:rPr>
            </w:pPr>
            <w:r w:rsidRPr="00217865">
              <w:rPr>
                <w:color w:val="000000" w:themeColor="text1"/>
                <w:szCs w:val="18"/>
              </w:rPr>
              <w:t>Griffith College</w:t>
            </w:r>
          </w:p>
        </w:tc>
        <w:tc>
          <w:tcPr>
            <w:tcW w:w="774" w:type="pct"/>
            <w:tcBorders>
              <w:top w:val="single" w:sz="4" w:space="0" w:color="auto"/>
              <w:left w:val="single" w:sz="4" w:space="0" w:color="auto"/>
              <w:bottom w:val="single" w:sz="4" w:space="0" w:color="auto"/>
              <w:right w:val="single" w:sz="4" w:space="0" w:color="auto"/>
            </w:tcBorders>
            <w:vAlign w:val="center"/>
          </w:tcPr>
          <w:p w14:paraId="49F25E0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399</w:t>
            </w:r>
          </w:p>
        </w:tc>
        <w:tc>
          <w:tcPr>
            <w:tcW w:w="774" w:type="pct"/>
            <w:tcBorders>
              <w:top w:val="single" w:sz="4" w:space="0" w:color="auto"/>
              <w:left w:val="single" w:sz="4" w:space="0" w:color="auto"/>
              <w:bottom w:val="single" w:sz="4" w:space="0" w:color="auto"/>
              <w:right w:val="single" w:sz="4" w:space="0" w:color="auto"/>
            </w:tcBorders>
            <w:vAlign w:val="center"/>
          </w:tcPr>
          <w:p w14:paraId="720E5BB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c>
          <w:tcPr>
            <w:tcW w:w="774" w:type="pct"/>
            <w:tcBorders>
              <w:top w:val="single" w:sz="4" w:space="0" w:color="auto"/>
              <w:left w:val="single" w:sz="4" w:space="0" w:color="auto"/>
              <w:bottom w:val="single" w:sz="4" w:space="0" w:color="auto"/>
              <w:right w:val="single" w:sz="4" w:space="0" w:color="auto"/>
            </w:tcBorders>
            <w:vAlign w:val="center"/>
          </w:tcPr>
          <w:p w14:paraId="2BE1F45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124</w:t>
            </w:r>
          </w:p>
        </w:tc>
        <w:tc>
          <w:tcPr>
            <w:tcW w:w="774" w:type="pct"/>
            <w:tcBorders>
              <w:top w:val="single" w:sz="4" w:space="0" w:color="auto"/>
              <w:left w:val="single" w:sz="4" w:space="0" w:color="auto"/>
              <w:bottom w:val="single" w:sz="4" w:space="0" w:color="auto"/>
              <w:right w:val="single" w:sz="4" w:space="0" w:color="auto"/>
            </w:tcBorders>
            <w:vAlign w:val="center"/>
          </w:tcPr>
          <w:p w14:paraId="1666AA1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r>
      <w:tr w:rsidR="00217865" w:rsidRPr="00217865" w14:paraId="01FCD027"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BA92E5D" w14:textId="77777777" w:rsidR="00821227" w:rsidRPr="00217865" w:rsidRDefault="00821227" w:rsidP="00A43B35">
            <w:pPr>
              <w:pStyle w:val="Z"/>
              <w:rPr>
                <w:color w:val="000000" w:themeColor="text1"/>
                <w:szCs w:val="18"/>
                <w:highlight w:val="yellow"/>
              </w:rPr>
            </w:pPr>
            <w:r w:rsidRPr="00217865">
              <w:rPr>
                <w:color w:val="000000" w:themeColor="text1"/>
                <w:szCs w:val="18"/>
              </w:rPr>
              <w:t>Holmes Institute</w:t>
            </w:r>
          </w:p>
        </w:tc>
        <w:tc>
          <w:tcPr>
            <w:tcW w:w="774" w:type="pct"/>
            <w:tcBorders>
              <w:top w:val="single" w:sz="4" w:space="0" w:color="auto"/>
              <w:left w:val="single" w:sz="4" w:space="0" w:color="auto"/>
              <w:bottom w:val="single" w:sz="4" w:space="0" w:color="auto"/>
              <w:right w:val="single" w:sz="4" w:space="0" w:color="auto"/>
            </w:tcBorders>
            <w:vAlign w:val="center"/>
          </w:tcPr>
          <w:p w14:paraId="146479E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250</w:t>
            </w:r>
          </w:p>
        </w:tc>
        <w:tc>
          <w:tcPr>
            <w:tcW w:w="774" w:type="pct"/>
            <w:tcBorders>
              <w:top w:val="single" w:sz="4" w:space="0" w:color="auto"/>
              <w:left w:val="single" w:sz="4" w:space="0" w:color="auto"/>
              <w:bottom w:val="single" w:sz="4" w:space="0" w:color="auto"/>
              <w:right w:val="single" w:sz="4" w:space="0" w:color="auto"/>
            </w:tcBorders>
            <w:vAlign w:val="center"/>
          </w:tcPr>
          <w:p w14:paraId="6DA678A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266E71C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60</w:t>
            </w:r>
          </w:p>
        </w:tc>
        <w:tc>
          <w:tcPr>
            <w:tcW w:w="774" w:type="pct"/>
            <w:tcBorders>
              <w:top w:val="single" w:sz="4" w:space="0" w:color="auto"/>
              <w:left w:val="single" w:sz="4" w:space="0" w:color="auto"/>
              <w:bottom w:val="single" w:sz="4" w:space="0" w:color="auto"/>
              <w:right w:val="single" w:sz="4" w:space="0" w:color="auto"/>
            </w:tcBorders>
            <w:vAlign w:val="center"/>
          </w:tcPr>
          <w:p w14:paraId="7610EA6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6255F22A"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ACA2921" w14:textId="77777777" w:rsidR="00821227" w:rsidRPr="00217865" w:rsidRDefault="00821227" w:rsidP="00A43B35">
            <w:pPr>
              <w:pStyle w:val="Z"/>
              <w:rPr>
                <w:color w:val="000000" w:themeColor="text1"/>
                <w:szCs w:val="18"/>
                <w:highlight w:val="yellow"/>
              </w:rPr>
            </w:pPr>
            <w:proofErr w:type="spellStart"/>
            <w:r w:rsidRPr="00217865">
              <w:rPr>
                <w:color w:val="000000" w:themeColor="text1"/>
                <w:szCs w:val="18"/>
              </w:rPr>
              <w:t>Holmesglen</w:t>
            </w:r>
            <w:proofErr w:type="spellEnd"/>
            <w:r w:rsidRPr="00217865">
              <w:rPr>
                <w:color w:val="000000" w:themeColor="text1"/>
                <w:szCs w:val="18"/>
              </w:rPr>
              <w:t xml:space="preserve"> Institute</w:t>
            </w:r>
          </w:p>
        </w:tc>
        <w:tc>
          <w:tcPr>
            <w:tcW w:w="774" w:type="pct"/>
            <w:tcBorders>
              <w:top w:val="single" w:sz="4" w:space="0" w:color="auto"/>
              <w:left w:val="single" w:sz="4" w:space="0" w:color="auto"/>
              <w:bottom w:val="single" w:sz="4" w:space="0" w:color="auto"/>
              <w:right w:val="single" w:sz="4" w:space="0" w:color="auto"/>
            </w:tcBorders>
            <w:vAlign w:val="center"/>
          </w:tcPr>
          <w:p w14:paraId="1898C35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381</w:t>
            </w:r>
          </w:p>
        </w:tc>
        <w:tc>
          <w:tcPr>
            <w:tcW w:w="774" w:type="pct"/>
            <w:tcBorders>
              <w:top w:val="single" w:sz="4" w:space="0" w:color="auto"/>
              <w:left w:val="single" w:sz="4" w:space="0" w:color="auto"/>
              <w:bottom w:val="single" w:sz="4" w:space="0" w:color="auto"/>
              <w:right w:val="single" w:sz="4" w:space="0" w:color="auto"/>
            </w:tcBorders>
            <w:vAlign w:val="center"/>
          </w:tcPr>
          <w:p w14:paraId="378A9DB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c>
          <w:tcPr>
            <w:tcW w:w="774" w:type="pct"/>
            <w:tcBorders>
              <w:top w:val="single" w:sz="4" w:space="0" w:color="auto"/>
              <w:left w:val="single" w:sz="4" w:space="0" w:color="auto"/>
              <w:bottom w:val="single" w:sz="4" w:space="0" w:color="auto"/>
              <w:right w:val="single" w:sz="4" w:space="0" w:color="auto"/>
            </w:tcBorders>
            <w:vAlign w:val="center"/>
          </w:tcPr>
          <w:p w14:paraId="5BD28A9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109</w:t>
            </w:r>
          </w:p>
        </w:tc>
        <w:tc>
          <w:tcPr>
            <w:tcW w:w="774" w:type="pct"/>
            <w:tcBorders>
              <w:top w:val="single" w:sz="4" w:space="0" w:color="auto"/>
              <w:left w:val="single" w:sz="4" w:space="0" w:color="auto"/>
              <w:bottom w:val="single" w:sz="4" w:space="0" w:color="auto"/>
              <w:right w:val="single" w:sz="4" w:space="0" w:color="auto"/>
            </w:tcBorders>
            <w:vAlign w:val="center"/>
          </w:tcPr>
          <w:p w14:paraId="371CAE4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r>
      <w:tr w:rsidR="00217865" w:rsidRPr="00217865" w14:paraId="401E2442"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6382D72" w14:textId="77777777" w:rsidR="00821227" w:rsidRPr="00217865" w:rsidRDefault="00821227" w:rsidP="00A43B35">
            <w:pPr>
              <w:pStyle w:val="Z"/>
              <w:rPr>
                <w:color w:val="000000" w:themeColor="text1"/>
                <w:szCs w:val="18"/>
                <w:highlight w:val="yellow"/>
              </w:rPr>
            </w:pPr>
            <w:r w:rsidRPr="00217865">
              <w:rPr>
                <w:color w:val="000000" w:themeColor="text1"/>
                <w:szCs w:val="18"/>
              </w:rPr>
              <w:t>Ikon Institute of Australia</w:t>
            </w:r>
          </w:p>
        </w:tc>
        <w:tc>
          <w:tcPr>
            <w:tcW w:w="774" w:type="pct"/>
            <w:tcBorders>
              <w:top w:val="single" w:sz="4" w:space="0" w:color="auto"/>
              <w:left w:val="single" w:sz="4" w:space="0" w:color="auto"/>
              <w:bottom w:val="single" w:sz="4" w:space="0" w:color="auto"/>
              <w:right w:val="single" w:sz="4" w:space="0" w:color="auto"/>
            </w:tcBorders>
            <w:vAlign w:val="center"/>
          </w:tcPr>
          <w:p w14:paraId="04342F6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369</w:t>
            </w:r>
          </w:p>
        </w:tc>
        <w:tc>
          <w:tcPr>
            <w:tcW w:w="774" w:type="pct"/>
            <w:tcBorders>
              <w:top w:val="single" w:sz="4" w:space="0" w:color="auto"/>
              <w:left w:val="single" w:sz="4" w:space="0" w:color="auto"/>
              <w:bottom w:val="single" w:sz="4" w:space="0" w:color="auto"/>
              <w:right w:val="single" w:sz="4" w:space="0" w:color="auto"/>
            </w:tcBorders>
            <w:vAlign w:val="center"/>
          </w:tcPr>
          <w:p w14:paraId="610A623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c>
          <w:tcPr>
            <w:tcW w:w="774" w:type="pct"/>
            <w:tcBorders>
              <w:top w:val="single" w:sz="4" w:space="0" w:color="auto"/>
              <w:left w:val="single" w:sz="4" w:space="0" w:color="auto"/>
              <w:bottom w:val="single" w:sz="4" w:space="0" w:color="auto"/>
              <w:right w:val="single" w:sz="4" w:space="0" w:color="auto"/>
            </w:tcBorders>
            <w:vAlign w:val="center"/>
          </w:tcPr>
          <w:p w14:paraId="6666F13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170</w:t>
            </w:r>
          </w:p>
        </w:tc>
        <w:tc>
          <w:tcPr>
            <w:tcW w:w="774" w:type="pct"/>
            <w:tcBorders>
              <w:top w:val="single" w:sz="4" w:space="0" w:color="auto"/>
              <w:left w:val="single" w:sz="4" w:space="0" w:color="auto"/>
              <w:bottom w:val="single" w:sz="4" w:space="0" w:color="auto"/>
              <w:right w:val="single" w:sz="4" w:space="0" w:color="auto"/>
            </w:tcBorders>
            <w:vAlign w:val="center"/>
          </w:tcPr>
          <w:p w14:paraId="1640698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0.6</w:t>
            </w:r>
          </w:p>
        </w:tc>
      </w:tr>
      <w:tr w:rsidR="00217865" w:rsidRPr="00217865" w14:paraId="3DAB3275"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F61D03E" w14:textId="77777777" w:rsidR="00821227" w:rsidRPr="00217865" w:rsidRDefault="00821227" w:rsidP="00A43B35">
            <w:pPr>
              <w:pStyle w:val="Z"/>
              <w:rPr>
                <w:color w:val="000000" w:themeColor="text1"/>
                <w:szCs w:val="18"/>
                <w:highlight w:val="yellow"/>
              </w:rPr>
            </w:pPr>
            <w:r w:rsidRPr="00217865">
              <w:rPr>
                <w:color w:val="000000" w:themeColor="text1"/>
                <w:szCs w:val="18"/>
              </w:rPr>
              <w:t>Institute of Health &amp; Management Pty Ltd</w:t>
            </w:r>
          </w:p>
        </w:tc>
        <w:tc>
          <w:tcPr>
            <w:tcW w:w="774" w:type="pct"/>
            <w:tcBorders>
              <w:top w:val="single" w:sz="4" w:space="0" w:color="auto"/>
              <w:left w:val="single" w:sz="4" w:space="0" w:color="auto"/>
              <w:bottom w:val="single" w:sz="4" w:space="0" w:color="auto"/>
              <w:right w:val="single" w:sz="4" w:space="0" w:color="auto"/>
            </w:tcBorders>
            <w:vAlign w:val="center"/>
          </w:tcPr>
          <w:p w14:paraId="467EB35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15</w:t>
            </w:r>
          </w:p>
        </w:tc>
        <w:tc>
          <w:tcPr>
            <w:tcW w:w="774" w:type="pct"/>
            <w:tcBorders>
              <w:top w:val="single" w:sz="4" w:space="0" w:color="auto"/>
              <w:left w:val="single" w:sz="4" w:space="0" w:color="auto"/>
              <w:bottom w:val="single" w:sz="4" w:space="0" w:color="auto"/>
              <w:right w:val="single" w:sz="4" w:space="0" w:color="auto"/>
            </w:tcBorders>
            <w:vAlign w:val="center"/>
          </w:tcPr>
          <w:p w14:paraId="05B1E74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1502086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w:t>
            </w:r>
          </w:p>
        </w:tc>
        <w:tc>
          <w:tcPr>
            <w:tcW w:w="774" w:type="pct"/>
            <w:tcBorders>
              <w:top w:val="single" w:sz="4" w:space="0" w:color="auto"/>
              <w:left w:val="single" w:sz="4" w:space="0" w:color="auto"/>
              <w:bottom w:val="single" w:sz="4" w:space="0" w:color="auto"/>
              <w:right w:val="single" w:sz="4" w:space="0" w:color="auto"/>
            </w:tcBorders>
            <w:vAlign w:val="center"/>
          </w:tcPr>
          <w:p w14:paraId="0A0A069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7C84FE18"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BBB9269" w14:textId="77777777" w:rsidR="00821227" w:rsidRPr="00217865" w:rsidRDefault="00821227" w:rsidP="00A43B35">
            <w:pPr>
              <w:pStyle w:val="Z"/>
              <w:rPr>
                <w:color w:val="000000" w:themeColor="text1"/>
                <w:szCs w:val="18"/>
                <w:highlight w:val="yellow"/>
              </w:rPr>
            </w:pPr>
            <w:r w:rsidRPr="00217865">
              <w:rPr>
                <w:color w:val="000000" w:themeColor="text1"/>
                <w:szCs w:val="18"/>
              </w:rPr>
              <w:t>ICHM</w:t>
            </w:r>
          </w:p>
        </w:tc>
        <w:tc>
          <w:tcPr>
            <w:tcW w:w="774" w:type="pct"/>
            <w:tcBorders>
              <w:top w:val="single" w:sz="4" w:space="0" w:color="auto"/>
              <w:left w:val="single" w:sz="4" w:space="0" w:color="auto"/>
              <w:bottom w:val="single" w:sz="4" w:space="0" w:color="auto"/>
              <w:right w:val="single" w:sz="4" w:space="0" w:color="auto"/>
            </w:tcBorders>
            <w:vAlign w:val="center"/>
          </w:tcPr>
          <w:p w14:paraId="15ECB32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73</w:t>
            </w:r>
          </w:p>
        </w:tc>
        <w:tc>
          <w:tcPr>
            <w:tcW w:w="774" w:type="pct"/>
            <w:tcBorders>
              <w:top w:val="single" w:sz="4" w:space="0" w:color="auto"/>
              <w:left w:val="single" w:sz="4" w:space="0" w:color="auto"/>
              <w:bottom w:val="single" w:sz="4" w:space="0" w:color="auto"/>
              <w:right w:val="single" w:sz="4" w:space="0" w:color="auto"/>
            </w:tcBorders>
            <w:vAlign w:val="center"/>
          </w:tcPr>
          <w:p w14:paraId="34A2373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4E2BF99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23</w:t>
            </w:r>
          </w:p>
        </w:tc>
        <w:tc>
          <w:tcPr>
            <w:tcW w:w="774" w:type="pct"/>
            <w:tcBorders>
              <w:top w:val="single" w:sz="4" w:space="0" w:color="auto"/>
              <w:left w:val="single" w:sz="4" w:space="0" w:color="auto"/>
              <w:bottom w:val="single" w:sz="4" w:space="0" w:color="auto"/>
              <w:right w:val="single" w:sz="4" w:space="0" w:color="auto"/>
            </w:tcBorders>
            <w:vAlign w:val="center"/>
          </w:tcPr>
          <w:p w14:paraId="0813D95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7602C29C"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514E0B9" w14:textId="77777777" w:rsidR="00821227" w:rsidRPr="00217865" w:rsidRDefault="00821227" w:rsidP="00A43B35">
            <w:pPr>
              <w:pStyle w:val="Z"/>
              <w:rPr>
                <w:color w:val="000000" w:themeColor="text1"/>
                <w:szCs w:val="18"/>
                <w:highlight w:val="yellow"/>
              </w:rPr>
            </w:pPr>
            <w:r w:rsidRPr="00217865">
              <w:rPr>
                <w:color w:val="000000" w:themeColor="text1"/>
                <w:szCs w:val="18"/>
              </w:rPr>
              <w:t>International College of Management, Sydney</w:t>
            </w:r>
          </w:p>
        </w:tc>
        <w:tc>
          <w:tcPr>
            <w:tcW w:w="774" w:type="pct"/>
            <w:tcBorders>
              <w:top w:val="single" w:sz="4" w:space="0" w:color="auto"/>
              <w:left w:val="single" w:sz="4" w:space="0" w:color="auto"/>
              <w:bottom w:val="single" w:sz="4" w:space="0" w:color="auto"/>
              <w:right w:val="single" w:sz="4" w:space="0" w:color="auto"/>
            </w:tcBorders>
            <w:vAlign w:val="center"/>
          </w:tcPr>
          <w:p w14:paraId="5CFDD26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170</w:t>
            </w:r>
          </w:p>
        </w:tc>
        <w:tc>
          <w:tcPr>
            <w:tcW w:w="774" w:type="pct"/>
            <w:tcBorders>
              <w:top w:val="single" w:sz="4" w:space="0" w:color="auto"/>
              <w:left w:val="single" w:sz="4" w:space="0" w:color="auto"/>
              <w:bottom w:val="single" w:sz="4" w:space="0" w:color="auto"/>
              <w:right w:val="single" w:sz="4" w:space="0" w:color="auto"/>
            </w:tcBorders>
            <w:vAlign w:val="center"/>
          </w:tcPr>
          <w:p w14:paraId="107C9D6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17AFE4F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48</w:t>
            </w:r>
          </w:p>
        </w:tc>
        <w:tc>
          <w:tcPr>
            <w:tcW w:w="774" w:type="pct"/>
            <w:tcBorders>
              <w:top w:val="single" w:sz="4" w:space="0" w:color="auto"/>
              <w:left w:val="single" w:sz="4" w:space="0" w:color="auto"/>
              <w:bottom w:val="single" w:sz="4" w:space="0" w:color="auto"/>
              <w:right w:val="single" w:sz="4" w:space="0" w:color="auto"/>
            </w:tcBorders>
            <w:vAlign w:val="center"/>
          </w:tcPr>
          <w:p w14:paraId="51EFC26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3B7156B1"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2F0D3E7" w14:textId="77777777" w:rsidR="00821227" w:rsidRPr="00217865" w:rsidRDefault="00821227" w:rsidP="00A43B35">
            <w:pPr>
              <w:pStyle w:val="Z"/>
              <w:rPr>
                <w:color w:val="000000" w:themeColor="text1"/>
                <w:szCs w:val="18"/>
                <w:highlight w:val="yellow"/>
              </w:rPr>
            </w:pPr>
            <w:r w:rsidRPr="00217865">
              <w:rPr>
                <w:color w:val="000000" w:themeColor="text1"/>
                <w:szCs w:val="18"/>
              </w:rPr>
              <w:t>Jazz Music Institute</w:t>
            </w:r>
          </w:p>
        </w:tc>
        <w:tc>
          <w:tcPr>
            <w:tcW w:w="774" w:type="pct"/>
            <w:tcBorders>
              <w:top w:val="single" w:sz="4" w:space="0" w:color="auto"/>
              <w:left w:val="single" w:sz="4" w:space="0" w:color="auto"/>
              <w:bottom w:val="single" w:sz="4" w:space="0" w:color="auto"/>
              <w:right w:val="single" w:sz="4" w:space="0" w:color="auto"/>
            </w:tcBorders>
            <w:vAlign w:val="center"/>
          </w:tcPr>
          <w:p w14:paraId="4BFE413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74190EA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005432E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w:t>
            </w:r>
          </w:p>
        </w:tc>
        <w:tc>
          <w:tcPr>
            <w:tcW w:w="774" w:type="pct"/>
            <w:tcBorders>
              <w:top w:val="single" w:sz="4" w:space="0" w:color="auto"/>
              <w:left w:val="single" w:sz="4" w:space="0" w:color="auto"/>
              <w:bottom w:val="single" w:sz="4" w:space="0" w:color="auto"/>
              <w:right w:val="single" w:sz="4" w:space="0" w:color="auto"/>
            </w:tcBorders>
            <w:vAlign w:val="center"/>
          </w:tcPr>
          <w:p w14:paraId="393182B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3845D831"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61797DA" w14:textId="77777777" w:rsidR="00821227" w:rsidRPr="00217865" w:rsidRDefault="00821227" w:rsidP="00A43B35">
            <w:pPr>
              <w:pStyle w:val="Z"/>
              <w:rPr>
                <w:color w:val="000000" w:themeColor="text1"/>
                <w:szCs w:val="18"/>
                <w:highlight w:val="yellow"/>
              </w:rPr>
            </w:pPr>
            <w:r w:rsidRPr="00217865">
              <w:rPr>
                <w:color w:val="000000" w:themeColor="text1"/>
                <w:szCs w:val="18"/>
              </w:rPr>
              <w:t>Kaplan Business School</w:t>
            </w:r>
          </w:p>
        </w:tc>
        <w:tc>
          <w:tcPr>
            <w:tcW w:w="774" w:type="pct"/>
            <w:tcBorders>
              <w:top w:val="single" w:sz="4" w:space="0" w:color="auto"/>
              <w:left w:val="single" w:sz="4" w:space="0" w:color="auto"/>
              <w:bottom w:val="single" w:sz="4" w:space="0" w:color="auto"/>
              <w:right w:val="single" w:sz="4" w:space="0" w:color="auto"/>
            </w:tcBorders>
            <w:vAlign w:val="center"/>
          </w:tcPr>
          <w:p w14:paraId="5229279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973</w:t>
            </w:r>
          </w:p>
        </w:tc>
        <w:tc>
          <w:tcPr>
            <w:tcW w:w="774" w:type="pct"/>
            <w:tcBorders>
              <w:top w:val="single" w:sz="4" w:space="0" w:color="auto"/>
              <w:left w:val="single" w:sz="4" w:space="0" w:color="auto"/>
              <w:bottom w:val="single" w:sz="4" w:space="0" w:color="auto"/>
              <w:right w:val="single" w:sz="4" w:space="0" w:color="auto"/>
            </w:tcBorders>
            <w:vAlign w:val="center"/>
          </w:tcPr>
          <w:p w14:paraId="0FE18C5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w:t>
            </w:r>
          </w:p>
        </w:tc>
        <w:tc>
          <w:tcPr>
            <w:tcW w:w="774" w:type="pct"/>
            <w:tcBorders>
              <w:top w:val="single" w:sz="4" w:space="0" w:color="auto"/>
              <w:left w:val="single" w:sz="4" w:space="0" w:color="auto"/>
              <w:bottom w:val="single" w:sz="4" w:space="0" w:color="auto"/>
              <w:right w:val="single" w:sz="4" w:space="0" w:color="auto"/>
            </w:tcBorders>
            <w:vAlign w:val="center"/>
          </w:tcPr>
          <w:p w14:paraId="5AD1214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355</w:t>
            </w:r>
          </w:p>
        </w:tc>
        <w:tc>
          <w:tcPr>
            <w:tcW w:w="774" w:type="pct"/>
            <w:tcBorders>
              <w:top w:val="single" w:sz="4" w:space="0" w:color="auto"/>
              <w:left w:val="single" w:sz="4" w:space="0" w:color="auto"/>
              <w:bottom w:val="single" w:sz="4" w:space="0" w:color="auto"/>
              <w:right w:val="single" w:sz="4" w:space="0" w:color="auto"/>
            </w:tcBorders>
            <w:vAlign w:val="center"/>
          </w:tcPr>
          <w:p w14:paraId="23F63B1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w:t>
            </w:r>
          </w:p>
        </w:tc>
      </w:tr>
      <w:tr w:rsidR="00217865" w:rsidRPr="00217865" w14:paraId="7C136BE6" w14:textId="77777777" w:rsidTr="00A43B35">
        <w:trPr>
          <w:trHeight w:val="71"/>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A83ACC9" w14:textId="77777777" w:rsidR="00821227" w:rsidRPr="00217865" w:rsidRDefault="00821227" w:rsidP="00A43B35">
            <w:pPr>
              <w:pStyle w:val="Z"/>
              <w:rPr>
                <w:color w:val="000000" w:themeColor="text1"/>
                <w:szCs w:val="18"/>
                <w:highlight w:val="yellow"/>
              </w:rPr>
            </w:pPr>
            <w:r w:rsidRPr="00217865">
              <w:rPr>
                <w:color w:val="000000" w:themeColor="text1"/>
                <w:szCs w:val="18"/>
              </w:rPr>
              <w:t>King's Own Institute</w:t>
            </w:r>
          </w:p>
        </w:tc>
        <w:tc>
          <w:tcPr>
            <w:tcW w:w="774" w:type="pct"/>
            <w:tcBorders>
              <w:top w:val="single" w:sz="4" w:space="0" w:color="auto"/>
              <w:left w:val="single" w:sz="4" w:space="0" w:color="auto"/>
              <w:bottom w:val="single" w:sz="4" w:space="0" w:color="auto"/>
              <w:right w:val="single" w:sz="4" w:space="0" w:color="auto"/>
            </w:tcBorders>
            <w:vAlign w:val="center"/>
          </w:tcPr>
          <w:p w14:paraId="588884D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1,241</w:t>
            </w:r>
          </w:p>
        </w:tc>
        <w:tc>
          <w:tcPr>
            <w:tcW w:w="774" w:type="pct"/>
            <w:tcBorders>
              <w:top w:val="single" w:sz="4" w:space="0" w:color="auto"/>
              <w:left w:val="single" w:sz="4" w:space="0" w:color="auto"/>
              <w:bottom w:val="single" w:sz="4" w:space="0" w:color="auto"/>
              <w:right w:val="single" w:sz="4" w:space="0" w:color="auto"/>
            </w:tcBorders>
            <w:vAlign w:val="center"/>
          </w:tcPr>
          <w:p w14:paraId="085C320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w:t>
            </w:r>
          </w:p>
        </w:tc>
        <w:tc>
          <w:tcPr>
            <w:tcW w:w="774" w:type="pct"/>
            <w:tcBorders>
              <w:top w:val="single" w:sz="4" w:space="0" w:color="auto"/>
              <w:left w:val="single" w:sz="4" w:space="0" w:color="auto"/>
              <w:bottom w:val="single" w:sz="4" w:space="0" w:color="auto"/>
              <w:right w:val="single" w:sz="4" w:space="0" w:color="auto"/>
            </w:tcBorders>
            <w:vAlign w:val="center"/>
          </w:tcPr>
          <w:p w14:paraId="53F8D45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467</w:t>
            </w:r>
          </w:p>
        </w:tc>
        <w:tc>
          <w:tcPr>
            <w:tcW w:w="774" w:type="pct"/>
            <w:tcBorders>
              <w:top w:val="single" w:sz="4" w:space="0" w:color="auto"/>
              <w:left w:val="single" w:sz="4" w:space="0" w:color="auto"/>
              <w:bottom w:val="single" w:sz="4" w:space="0" w:color="auto"/>
              <w:right w:val="single" w:sz="4" w:space="0" w:color="auto"/>
            </w:tcBorders>
            <w:vAlign w:val="center"/>
          </w:tcPr>
          <w:p w14:paraId="0BF61F1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1.6</w:t>
            </w:r>
          </w:p>
        </w:tc>
      </w:tr>
      <w:tr w:rsidR="00217865" w:rsidRPr="00217865" w14:paraId="7E81F2BF"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01F5FC0" w14:textId="77777777" w:rsidR="00821227" w:rsidRPr="00217865" w:rsidRDefault="00821227" w:rsidP="00A43B35">
            <w:pPr>
              <w:pStyle w:val="Z"/>
              <w:rPr>
                <w:b/>
                <w:bCs/>
                <w:color w:val="000000" w:themeColor="text1"/>
                <w:szCs w:val="18"/>
                <w:highlight w:val="yellow"/>
              </w:rPr>
            </w:pPr>
            <w:r w:rsidRPr="00217865">
              <w:rPr>
                <w:color w:val="000000" w:themeColor="text1"/>
                <w:szCs w:val="18"/>
              </w:rPr>
              <w:t>La Trobe College Australia</w:t>
            </w:r>
          </w:p>
        </w:tc>
        <w:tc>
          <w:tcPr>
            <w:tcW w:w="774" w:type="pct"/>
            <w:tcBorders>
              <w:top w:val="single" w:sz="4" w:space="0" w:color="auto"/>
              <w:left w:val="single" w:sz="4" w:space="0" w:color="auto"/>
              <w:bottom w:val="single" w:sz="4" w:space="0" w:color="auto"/>
              <w:right w:val="single" w:sz="4" w:space="0" w:color="auto"/>
            </w:tcBorders>
            <w:vAlign w:val="center"/>
          </w:tcPr>
          <w:p w14:paraId="1EA912B5"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442</w:t>
            </w:r>
          </w:p>
        </w:tc>
        <w:tc>
          <w:tcPr>
            <w:tcW w:w="774" w:type="pct"/>
            <w:tcBorders>
              <w:top w:val="single" w:sz="4" w:space="0" w:color="auto"/>
              <w:left w:val="single" w:sz="4" w:space="0" w:color="auto"/>
              <w:bottom w:val="single" w:sz="4" w:space="0" w:color="auto"/>
              <w:right w:val="single" w:sz="4" w:space="0" w:color="auto"/>
            </w:tcBorders>
            <w:vAlign w:val="center"/>
          </w:tcPr>
          <w:p w14:paraId="573F67F1"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0.5</w:t>
            </w:r>
          </w:p>
        </w:tc>
        <w:tc>
          <w:tcPr>
            <w:tcW w:w="774" w:type="pct"/>
            <w:tcBorders>
              <w:top w:val="single" w:sz="4" w:space="0" w:color="auto"/>
              <w:left w:val="single" w:sz="4" w:space="0" w:color="auto"/>
              <w:bottom w:val="single" w:sz="4" w:space="0" w:color="auto"/>
              <w:right w:val="single" w:sz="4" w:space="0" w:color="auto"/>
            </w:tcBorders>
            <w:vAlign w:val="center"/>
          </w:tcPr>
          <w:p w14:paraId="36837F9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175</w:t>
            </w:r>
          </w:p>
        </w:tc>
        <w:tc>
          <w:tcPr>
            <w:tcW w:w="774" w:type="pct"/>
            <w:tcBorders>
              <w:top w:val="single" w:sz="4" w:space="0" w:color="auto"/>
              <w:left w:val="single" w:sz="4" w:space="0" w:color="auto"/>
              <w:bottom w:val="single" w:sz="4" w:space="0" w:color="auto"/>
              <w:right w:val="single" w:sz="4" w:space="0" w:color="auto"/>
            </w:tcBorders>
            <w:vAlign w:val="center"/>
          </w:tcPr>
          <w:p w14:paraId="6DC3758F"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0.6</w:t>
            </w:r>
          </w:p>
        </w:tc>
      </w:tr>
      <w:tr w:rsidR="00217865" w:rsidRPr="00217865" w14:paraId="2B8E08AD"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A4A76B5" w14:textId="77777777" w:rsidR="00821227" w:rsidRPr="00217865" w:rsidRDefault="00821227" w:rsidP="00A43B35">
            <w:pPr>
              <w:pStyle w:val="Z"/>
              <w:rPr>
                <w:color w:val="000000" w:themeColor="text1"/>
                <w:szCs w:val="18"/>
                <w:highlight w:val="yellow"/>
              </w:rPr>
            </w:pPr>
            <w:r w:rsidRPr="00217865">
              <w:rPr>
                <w:color w:val="000000" w:themeColor="text1"/>
                <w:szCs w:val="18"/>
              </w:rPr>
              <w:t>LCI Melbourne</w:t>
            </w:r>
          </w:p>
        </w:tc>
        <w:tc>
          <w:tcPr>
            <w:tcW w:w="774" w:type="pct"/>
            <w:tcBorders>
              <w:top w:val="single" w:sz="4" w:space="0" w:color="auto"/>
              <w:left w:val="single" w:sz="4" w:space="0" w:color="auto"/>
              <w:bottom w:val="single" w:sz="4" w:space="0" w:color="auto"/>
              <w:right w:val="single" w:sz="4" w:space="0" w:color="auto"/>
            </w:tcBorders>
            <w:vAlign w:val="center"/>
          </w:tcPr>
          <w:p w14:paraId="75B8D830"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10</w:t>
            </w:r>
          </w:p>
        </w:tc>
        <w:tc>
          <w:tcPr>
            <w:tcW w:w="774" w:type="pct"/>
            <w:tcBorders>
              <w:top w:val="single" w:sz="4" w:space="0" w:color="auto"/>
              <w:left w:val="single" w:sz="4" w:space="0" w:color="auto"/>
              <w:bottom w:val="single" w:sz="4" w:space="0" w:color="auto"/>
              <w:right w:val="single" w:sz="4" w:space="0" w:color="auto"/>
            </w:tcBorders>
            <w:vAlign w:val="center"/>
          </w:tcPr>
          <w:p w14:paraId="4F4AB2DB"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7FBC5A7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77E872EE"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r>
      <w:tr w:rsidR="00217865" w:rsidRPr="00217865" w14:paraId="2BAE537A"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2EFA433" w14:textId="77777777" w:rsidR="00821227" w:rsidRPr="00217865" w:rsidRDefault="00821227" w:rsidP="00A43B35">
            <w:pPr>
              <w:pStyle w:val="Z"/>
              <w:rPr>
                <w:color w:val="000000" w:themeColor="text1"/>
                <w:szCs w:val="18"/>
                <w:highlight w:val="yellow"/>
              </w:rPr>
            </w:pPr>
            <w:r w:rsidRPr="00217865">
              <w:rPr>
                <w:color w:val="000000" w:themeColor="text1"/>
                <w:szCs w:val="18"/>
              </w:rPr>
              <w:t>Le Cordon Bleu Australia</w:t>
            </w:r>
          </w:p>
        </w:tc>
        <w:tc>
          <w:tcPr>
            <w:tcW w:w="774" w:type="pct"/>
            <w:tcBorders>
              <w:top w:val="single" w:sz="4" w:space="0" w:color="auto"/>
              <w:left w:val="single" w:sz="4" w:space="0" w:color="auto"/>
              <w:bottom w:val="single" w:sz="4" w:space="0" w:color="auto"/>
              <w:right w:val="single" w:sz="4" w:space="0" w:color="auto"/>
            </w:tcBorders>
            <w:vAlign w:val="center"/>
          </w:tcPr>
          <w:p w14:paraId="3E7AF9B7"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75</w:t>
            </w:r>
          </w:p>
        </w:tc>
        <w:tc>
          <w:tcPr>
            <w:tcW w:w="774" w:type="pct"/>
            <w:tcBorders>
              <w:top w:val="single" w:sz="4" w:space="0" w:color="auto"/>
              <w:left w:val="single" w:sz="4" w:space="0" w:color="auto"/>
              <w:bottom w:val="single" w:sz="4" w:space="0" w:color="auto"/>
              <w:right w:val="single" w:sz="4" w:space="0" w:color="auto"/>
            </w:tcBorders>
            <w:vAlign w:val="center"/>
          </w:tcPr>
          <w:p w14:paraId="0ECABC60"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12A95FA8"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21</w:t>
            </w:r>
          </w:p>
        </w:tc>
        <w:tc>
          <w:tcPr>
            <w:tcW w:w="774" w:type="pct"/>
            <w:tcBorders>
              <w:top w:val="single" w:sz="4" w:space="0" w:color="auto"/>
              <w:left w:val="single" w:sz="4" w:space="0" w:color="auto"/>
              <w:bottom w:val="single" w:sz="4" w:space="0" w:color="auto"/>
              <w:right w:val="single" w:sz="4" w:space="0" w:color="auto"/>
            </w:tcBorders>
            <w:vAlign w:val="center"/>
          </w:tcPr>
          <w:p w14:paraId="06C76D07"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r>
      <w:tr w:rsidR="00217865" w:rsidRPr="00217865" w14:paraId="1C541216"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9C5300F" w14:textId="77777777" w:rsidR="00821227" w:rsidRPr="00217865" w:rsidRDefault="00821227" w:rsidP="00A43B35">
            <w:pPr>
              <w:pStyle w:val="Z"/>
              <w:rPr>
                <w:color w:val="000000" w:themeColor="text1"/>
                <w:szCs w:val="18"/>
                <w:highlight w:val="yellow"/>
              </w:rPr>
            </w:pPr>
            <w:r w:rsidRPr="00217865">
              <w:rPr>
                <w:color w:val="000000" w:themeColor="text1"/>
                <w:szCs w:val="18"/>
              </w:rPr>
              <w:t>Leaders Institute</w:t>
            </w:r>
          </w:p>
        </w:tc>
        <w:tc>
          <w:tcPr>
            <w:tcW w:w="774" w:type="pct"/>
            <w:tcBorders>
              <w:top w:val="single" w:sz="4" w:space="0" w:color="auto"/>
              <w:left w:val="single" w:sz="4" w:space="0" w:color="auto"/>
              <w:bottom w:val="single" w:sz="4" w:space="0" w:color="auto"/>
              <w:right w:val="single" w:sz="4" w:space="0" w:color="auto"/>
            </w:tcBorders>
            <w:vAlign w:val="center"/>
          </w:tcPr>
          <w:p w14:paraId="7CD186E3"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54</w:t>
            </w:r>
          </w:p>
        </w:tc>
        <w:tc>
          <w:tcPr>
            <w:tcW w:w="774" w:type="pct"/>
            <w:tcBorders>
              <w:top w:val="single" w:sz="4" w:space="0" w:color="auto"/>
              <w:left w:val="single" w:sz="4" w:space="0" w:color="auto"/>
              <w:bottom w:val="single" w:sz="4" w:space="0" w:color="auto"/>
              <w:right w:val="single" w:sz="4" w:space="0" w:color="auto"/>
            </w:tcBorders>
            <w:vAlign w:val="center"/>
          </w:tcPr>
          <w:p w14:paraId="0D30B1B2"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201DBDA0"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42</w:t>
            </w:r>
          </w:p>
        </w:tc>
        <w:tc>
          <w:tcPr>
            <w:tcW w:w="774" w:type="pct"/>
            <w:tcBorders>
              <w:top w:val="single" w:sz="4" w:space="0" w:color="auto"/>
              <w:left w:val="single" w:sz="4" w:space="0" w:color="auto"/>
              <w:bottom w:val="single" w:sz="4" w:space="0" w:color="auto"/>
              <w:right w:val="single" w:sz="4" w:space="0" w:color="auto"/>
            </w:tcBorders>
            <w:vAlign w:val="center"/>
          </w:tcPr>
          <w:p w14:paraId="3000734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r>
      <w:tr w:rsidR="00217865" w:rsidRPr="00217865" w14:paraId="28276376"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046A9E9" w14:textId="77777777" w:rsidR="00821227" w:rsidRPr="00217865" w:rsidRDefault="00821227" w:rsidP="00A43B35">
            <w:pPr>
              <w:pStyle w:val="Z"/>
              <w:rPr>
                <w:color w:val="000000" w:themeColor="text1"/>
                <w:szCs w:val="18"/>
                <w:highlight w:val="yellow"/>
              </w:rPr>
            </w:pPr>
            <w:r w:rsidRPr="00217865">
              <w:rPr>
                <w:color w:val="000000" w:themeColor="text1"/>
                <w:szCs w:val="18"/>
              </w:rPr>
              <w:t>Lyons College</w:t>
            </w:r>
          </w:p>
        </w:tc>
        <w:tc>
          <w:tcPr>
            <w:tcW w:w="774" w:type="pct"/>
            <w:tcBorders>
              <w:top w:val="single" w:sz="4" w:space="0" w:color="auto"/>
              <w:left w:val="single" w:sz="4" w:space="0" w:color="auto"/>
              <w:bottom w:val="single" w:sz="4" w:space="0" w:color="auto"/>
              <w:right w:val="single" w:sz="4" w:space="0" w:color="auto"/>
            </w:tcBorders>
            <w:vAlign w:val="center"/>
          </w:tcPr>
          <w:p w14:paraId="11F13A45"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66</w:t>
            </w:r>
          </w:p>
        </w:tc>
        <w:tc>
          <w:tcPr>
            <w:tcW w:w="774" w:type="pct"/>
            <w:tcBorders>
              <w:top w:val="single" w:sz="4" w:space="0" w:color="auto"/>
              <w:left w:val="single" w:sz="4" w:space="0" w:color="auto"/>
              <w:bottom w:val="single" w:sz="4" w:space="0" w:color="auto"/>
              <w:right w:val="single" w:sz="4" w:space="0" w:color="auto"/>
            </w:tcBorders>
            <w:vAlign w:val="center"/>
          </w:tcPr>
          <w:p w14:paraId="6E552EBF"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54EF52BE"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19</w:t>
            </w:r>
          </w:p>
        </w:tc>
        <w:tc>
          <w:tcPr>
            <w:tcW w:w="774" w:type="pct"/>
            <w:tcBorders>
              <w:top w:val="single" w:sz="4" w:space="0" w:color="auto"/>
              <w:left w:val="single" w:sz="4" w:space="0" w:color="auto"/>
              <w:bottom w:val="single" w:sz="4" w:space="0" w:color="auto"/>
              <w:right w:val="single" w:sz="4" w:space="0" w:color="auto"/>
            </w:tcBorders>
            <w:vAlign w:val="center"/>
          </w:tcPr>
          <w:p w14:paraId="7C461883"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r>
      <w:tr w:rsidR="00217865" w:rsidRPr="00217865" w14:paraId="6ED1FAE2"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A1F61BD" w14:textId="77777777" w:rsidR="00821227" w:rsidRPr="00217865" w:rsidRDefault="00821227" w:rsidP="00A43B35">
            <w:pPr>
              <w:pStyle w:val="Z"/>
              <w:rPr>
                <w:color w:val="000000" w:themeColor="text1"/>
                <w:szCs w:val="18"/>
                <w:highlight w:val="yellow"/>
              </w:rPr>
            </w:pPr>
            <w:r w:rsidRPr="00217865">
              <w:rPr>
                <w:color w:val="000000" w:themeColor="text1"/>
                <w:szCs w:val="18"/>
              </w:rPr>
              <w:t>The Institute of Creative Arts and Technology</w:t>
            </w:r>
          </w:p>
        </w:tc>
        <w:tc>
          <w:tcPr>
            <w:tcW w:w="774" w:type="pct"/>
            <w:tcBorders>
              <w:top w:val="single" w:sz="4" w:space="0" w:color="auto"/>
              <w:left w:val="single" w:sz="4" w:space="0" w:color="auto"/>
              <w:bottom w:val="single" w:sz="4" w:space="0" w:color="auto"/>
              <w:right w:val="single" w:sz="4" w:space="0" w:color="auto"/>
            </w:tcBorders>
            <w:vAlign w:val="center"/>
          </w:tcPr>
          <w:p w14:paraId="70F54827"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54</w:t>
            </w:r>
          </w:p>
        </w:tc>
        <w:tc>
          <w:tcPr>
            <w:tcW w:w="774" w:type="pct"/>
            <w:tcBorders>
              <w:top w:val="single" w:sz="4" w:space="0" w:color="auto"/>
              <w:left w:val="single" w:sz="4" w:space="0" w:color="auto"/>
              <w:bottom w:val="single" w:sz="4" w:space="0" w:color="auto"/>
              <w:right w:val="single" w:sz="4" w:space="0" w:color="auto"/>
            </w:tcBorders>
            <w:vAlign w:val="center"/>
          </w:tcPr>
          <w:p w14:paraId="0CDDFEBA"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3B81D11B"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25</w:t>
            </w:r>
          </w:p>
        </w:tc>
        <w:tc>
          <w:tcPr>
            <w:tcW w:w="774" w:type="pct"/>
            <w:tcBorders>
              <w:top w:val="single" w:sz="4" w:space="0" w:color="auto"/>
              <w:left w:val="single" w:sz="4" w:space="0" w:color="auto"/>
              <w:bottom w:val="single" w:sz="4" w:space="0" w:color="auto"/>
              <w:right w:val="single" w:sz="4" w:space="0" w:color="auto"/>
            </w:tcBorders>
            <w:vAlign w:val="center"/>
          </w:tcPr>
          <w:p w14:paraId="7E3FC0BC"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0.1</w:t>
            </w:r>
          </w:p>
        </w:tc>
      </w:tr>
      <w:tr w:rsidR="00217865" w:rsidRPr="00217865" w14:paraId="681F2C75"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892A36B" w14:textId="77777777" w:rsidR="00821227" w:rsidRPr="00217865" w:rsidRDefault="00821227" w:rsidP="00A43B35">
            <w:pPr>
              <w:pStyle w:val="Z"/>
              <w:rPr>
                <w:color w:val="000000" w:themeColor="text1"/>
                <w:szCs w:val="18"/>
                <w:highlight w:val="yellow"/>
              </w:rPr>
            </w:pPr>
            <w:r w:rsidRPr="00217865">
              <w:rPr>
                <w:color w:val="000000" w:themeColor="text1"/>
                <w:szCs w:val="18"/>
              </w:rPr>
              <w:t>Marcus Oldham College</w:t>
            </w:r>
          </w:p>
        </w:tc>
        <w:tc>
          <w:tcPr>
            <w:tcW w:w="774" w:type="pct"/>
            <w:tcBorders>
              <w:top w:val="single" w:sz="4" w:space="0" w:color="auto"/>
              <w:left w:val="single" w:sz="4" w:space="0" w:color="auto"/>
              <w:bottom w:val="single" w:sz="4" w:space="0" w:color="auto"/>
              <w:right w:val="single" w:sz="4" w:space="0" w:color="auto"/>
            </w:tcBorders>
            <w:vAlign w:val="center"/>
          </w:tcPr>
          <w:p w14:paraId="7C940853"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56104ACB"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4A12244A"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3506FCDB"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r>
      <w:tr w:rsidR="00217865" w:rsidRPr="00217865" w14:paraId="120ABAA9"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EF9689D" w14:textId="77777777" w:rsidR="00821227" w:rsidRPr="00217865" w:rsidRDefault="00821227" w:rsidP="00A43B35">
            <w:pPr>
              <w:pStyle w:val="Z"/>
              <w:rPr>
                <w:color w:val="000000" w:themeColor="text1"/>
                <w:szCs w:val="18"/>
                <w:highlight w:val="yellow"/>
              </w:rPr>
            </w:pPr>
            <w:r w:rsidRPr="00217865">
              <w:rPr>
                <w:color w:val="000000" w:themeColor="text1"/>
                <w:szCs w:val="18"/>
              </w:rPr>
              <w:t>Melbourne Institute of Technology</w:t>
            </w:r>
          </w:p>
        </w:tc>
        <w:tc>
          <w:tcPr>
            <w:tcW w:w="774" w:type="pct"/>
            <w:tcBorders>
              <w:top w:val="single" w:sz="4" w:space="0" w:color="auto"/>
              <w:left w:val="single" w:sz="4" w:space="0" w:color="auto"/>
              <w:bottom w:val="single" w:sz="4" w:space="0" w:color="auto"/>
              <w:right w:val="single" w:sz="4" w:space="0" w:color="auto"/>
            </w:tcBorders>
            <w:vAlign w:val="center"/>
          </w:tcPr>
          <w:p w14:paraId="112EF5E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1,065</w:t>
            </w:r>
          </w:p>
        </w:tc>
        <w:tc>
          <w:tcPr>
            <w:tcW w:w="774" w:type="pct"/>
            <w:tcBorders>
              <w:top w:val="single" w:sz="4" w:space="0" w:color="auto"/>
              <w:left w:val="single" w:sz="4" w:space="0" w:color="auto"/>
              <w:bottom w:val="single" w:sz="4" w:space="0" w:color="auto"/>
              <w:right w:val="single" w:sz="4" w:space="0" w:color="auto"/>
            </w:tcBorders>
            <w:vAlign w:val="center"/>
          </w:tcPr>
          <w:p w14:paraId="519D42F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1.1</w:t>
            </w:r>
          </w:p>
        </w:tc>
        <w:tc>
          <w:tcPr>
            <w:tcW w:w="774" w:type="pct"/>
            <w:tcBorders>
              <w:top w:val="single" w:sz="4" w:space="0" w:color="auto"/>
              <w:left w:val="single" w:sz="4" w:space="0" w:color="auto"/>
              <w:bottom w:val="single" w:sz="4" w:space="0" w:color="auto"/>
              <w:right w:val="single" w:sz="4" w:space="0" w:color="auto"/>
            </w:tcBorders>
            <w:vAlign w:val="center"/>
          </w:tcPr>
          <w:p w14:paraId="191FBF1A"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399</w:t>
            </w:r>
          </w:p>
        </w:tc>
        <w:tc>
          <w:tcPr>
            <w:tcW w:w="774" w:type="pct"/>
            <w:tcBorders>
              <w:top w:val="single" w:sz="4" w:space="0" w:color="auto"/>
              <w:left w:val="single" w:sz="4" w:space="0" w:color="auto"/>
              <w:bottom w:val="single" w:sz="4" w:space="0" w:color="auto"/>
              <w:right w:val="single" w:sz="4" w:space="0" w:color="auto"/>
            </w:tcBorders>
            <w:vAlign w:val="center"/>
          </w:tcPr>
          <w:p w14:paraId="71F2FE17"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1.3</w:t>
            </w:r>
          </w:p>
        </w:tc>
      </w:tr>
      <w:tr w:rsidR="00217865" w:rsidRPr="00217865" w14:paraId="280FEF56"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0A79413" w14:textId="77777777" w:rsidR="00821227" w:rsidRPr="00217865" w:rsidRDefault="00821227" w:rsidP="00A43B35">
            <w:pPr>
              <w:pStyle w:val="Z"/>
              <w:rPr>
                <w:color w:val="000000" w:themeColor="text1"/>
                <w:szCs w:val="18"/>
                <w:highlight w:val="yellow"/>
              </w:rPr>
            </w:pPr>
            <w:r w:rsidRPr="00217865">
              <w:rPr>
                <w:color w:val="000000" w:themeColor="text1"/>
                <w:szCs w:val="18"/>
              </w:rPr>
              <w:t>Melbourne Polytechnic</w:t>
            </w:r>
          </w:p>
        </w:tc>
        <w:tc>
          <w:tcPr>
            <w:tcW w:w="774" w:type="pct"/>
            <w:tcBorders>
              <w:top w:val="single" w:sz="4" w:space="0" w:color="auto"/>
              <w:left w:val="single" w:sz="4" w:space="0" w:color="auto"/>
              <w:bottom w:val="single" w:sz="4" w:space="0" w:color="auto"/>
              <w:right w:val="single" w:sz="4" w:space="0" w:color="auto"/>
            </w:tcBorders>
            <w:vAlign w:val="center"/>
          </w:tcPr>
          <w:p w14:paraId="77E87CF5"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573</w:t>
            </w:r>
          </w:p>
        </w:tc>
        <w:tc>
          <w:tcPr>
            <w:tcW w:w="774" w:type="pct"/>
            <w:tcBorders>
              <w:top w:val="single" w:sz="4" w:space="0" w:color="auto"/>
              <w:left w:val="single" w:sz="4" w:space="0" w:color="auto"/>
              <w:bottom w:val="single" w:sz="4" w:space="0" w:color="auto"/>
              <w:right w:val="single" w:sz="4" w:space="0" w:color="auto"/>
            </w:tcBorders>
            <w:vAlign w:val="center"/>
          </w:tcPr>
          <w:p w14:paraId="2D0EBDF6"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0.6</w:t>
            </w:r>
          </w:p>
        </w:tc>
        <w:tc>
          <w:tcPr>
            <w:tcW w:w="774" w:type="pct"/>
            <w:tcBorders>
              <w:top w:val="single" w:sz="4" w:space="0" w:color="auto"/>
              <w:left w:val="single" w:sz="4" w:space="0" w:color="auto"/>
              <w:bottom w:val="single" w:sz="4" w:space="0" w:color="auto"/>
              <w:right w:val="single" w:sz="4" w:space="0" w:color="auto"/>
            </w:tcBorders>
            <w:vAlign w:val="center"/>
          </w:tcPr>
          <w:p w14:paraId="299A630E"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124</w:t>
            </w:r>
          </w:p>
        </w:tc>
        <w:tc>
          <w:tcPr>
            <w:tcW w:w="774" w:type="pct"/>
            <w:tcBorders>
              <w:top w:val="single" w:sz="4" w:space="0" w:color="auto"/>
              <w:left w:val="single" w:sz="4" w:space="0" w:color="auto"/>
              <w:bottom w:val="single" w:sz="4" w:space="0" w:color="auto"/>
              <w:right w:val="single" w:sz="4" w:space="0" w:color="auto"/>
            </w:tcBorders>
            <w:vAlign w:val="center"/>
          </w:tcPr>
          <w:p w14:paraId="22D6DE03"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0.4</w:t>
            </w:r>
          </w:p>
        </w:tc>
      </w:tr>
      <w:tr w:rsidR="00217865" w:rsidRPr="00217865" w14:paraId="54851A13"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65D6C58" w14:textId="77777777" w:rsidR="00821227" w:rsidRPr="00217865" w:rsidRDefault="00821227" w:rsidP="00A43B35">
            <w:pPr>
              <w:pStyle w:val="Z"/>
              <w:rPr>
                <w:color w:val="000000" w:themeColor="text1"/>
                <w:szCs w:val="18"/>
                <w:highlight w:val="yellow"/>
              </w:rPr>
            </w:pPr>
            <w:r w:rsidRPr="00217865">
              <w:rPr>
                <w:color w:val="000000" w:themeColor="text1"/>
                <w:szCs w:val="18"/>
              </w:rPr>
              <w:t>Monash College</w:t>
            </w:r>
          </w:p>
        </w:tc>
        <w:tc>
          <w:tcPr>
            <w:tcW w:w="774" w:type="pct"/>
            <w:tcBorders>
              <w:top w:val="single" w:sz="4" w:space="0" w:color="auto"/>
              <w:left w:val="single" w:sz="4" w:space="0" w:color="auto"/>
              <w:bottom w:val="single" w:sz="4" w:space="0" w:color="auto"/>
              <w:right w:val="single" w:sz="4" w:space="0" w:color="auto"/>
            </w:tcBorders>
            <w:vAlign w:val="center"/>
          </w:tcPr>
          <w:p w14:paraId="491224FD"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689</w:t>
            </w:r>
          </w:p>
        </w:tc>
        <w:tc>
          <w:tcPr>
            <w:tcW w:w="774" w:type="pct"/>
            <w:tcBorders>
              <w:top w:val="single" w:sz="4" w:space="0" w:color="auto"/>
              <w:left w:val="single" w:sz="4" w:space="0" w:color="auto"/>
              <w:bottom w:val="single" w:sz="4" w:space="0" w:color="auto"/>
              <w:right w:val="single" w:sz="4" w:space="0" w:color="auto"/>
            </w:tcBorders>
            <w:vAlign w:val="center"/>
          </w:tcPr>
          <w:p w14:paraId="5821E084"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0.7</w:t>
            </w:r>
          </w:p>
        </w:tc>
        <w:tc>
          <w:tcPr>
            <w:tcW w:w="774" w:type="pct"/>
            <w:tcBorders>
              <w:top w:val="single" w:sz="4" w:space="0" w:color="auto"/>
              <w:left w:val="single" w:sz="4" w:space="0" w:color="auto"/>
              <w:bottom w:val="single" w:sz="4" w:space="0" w:color="auto"/>
              <w:right w:val="single" w:sz="4" w:space="0" w:color="auto"/>
            </w:tcBorders>
            <w:vAlign w:val="center"/>
          </w:tcPr>
          <w:p w14:paraId="26AF034B"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182</w:t>
            </w:r>
          </w:p>
        </w:tc>
        <w:tc>
          <w:tcPr>
            <w:tcW w:w="774" w:type="pct"/>
            <w:tcBorders>
              <w:top w:val="single" w:sz="4" w:space="0" w:color="auto"/>
              <w:left w:val="single" w:sz="4" w:space="0" w:color="auto"/>
              <w:bottom w:val="single" w:sz="4" w:space="0" w:color="auto"/>
              <w:right w:val="single" w:sz="4" w:space="0" w:color="auto"/>
            </w:tcBorders>
            <w:vAlign w:val="center"/>
          </w:tcPr>
          <w:p w14:paraId="231E17D5"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0.6</w:t>
            </w:r>
          </w:p>
        </w:tc>
      </w:tr>
      <w:tr w:rsidR="00217865" w:rsidRPr="00217865" w14:paraId="0773210D"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14620A0" w14:textId="77777777" w:rsidR="00821227" w:rsidRPr="00217865" w:rsidRDefault="00821227" w:rsidP="00A43B35">
            <w:pPr>
              <w:pStyle w:val="Z"/>
              <w:rPr>
                <w:color w:val="000000" w:themeColor="text1"/>
                <w:szCs w:val="18"/>
                <w:highlight w:val="yellow"/>
              </w:rPr>
            </w:pPr>
            <w:r w:rsidRPr="00217865">
              <w:rPr>
                <w:color w:val="000000" w:themeColor="text1"/>
                <w:szCs w:val="18"/>
              </w:rPr>
              <w:t>Moore Theological College</w:t>
            </w:r>
          </w:p>
        </w:tc>
        <w:tc>
          <w:tcPr>
            <w:tcW w:w="774" w:type="pct"/>
            <w:tcBorders>
              <w:top w:val="single" w:sz="4" w:space="0" w:color="auto"/>
              <w:left w:val="single" w:sz="4" w:space="0" w:color="auto"/>
              <w:bottom w:val="single" w:sz="4" w:space="0" w:color="auto"/>
              <w:right w:val="single" w:sz="4" w:space="0" w:color="auto"/>
            </w:tcBorders>
            <w:vAlign w:val="center"/>
          </w:tcPr>
          <w:p w14:paraId="4A5E45CF"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14</w:t>
            </w:r>
          </w:p>
        </w:tc>
        <w:tc>
          <w:tcPr>
            <w:tcW w:w="774" w:type="pct"/>
            <w:tcBorders>
              <w:top w:val="single" w:sz="4" w:space="0" w:color="auto"/>
              <w:left w:val="single" w:sz="4" w:space="0" w:color="auto"/>
              <w:bottom w:val="single" w:sz="4" w:space="0" w:color="auto"/>
              <w:right w:val="single" w:sz="4" w:space="0" w:color="auto"/>
            </w:tcBorders>
            <w:vAlign w:val="center"/>
          </w:tcPr>
          <w:p w14:paraId="1DA8EC12"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74752828"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9</w:t>
            </w:r>
          </w:p>
        </w:tc>
        <w:tc>
          <w:tcPr>
            <w:tcW w:w="774" w:type="pct"/>
            <w:tcBorders>
              <w:top w:val="single" w:sz="4" w:space="0" w:color="auto"/>
              <w:left w:val="single" w:sz="4" w:space="0" w:color="auto"/>
              <w:bottom w:val="single" w:sz="4" w:space="0" w:color="auto"/>
              <w:right w:val="single" w:sz="4" w:space="0" w:color="auto"/>
            </w:tcBorders>
            <w:vAlign w:val="center"/>
          </w:tcPr>
          <w:p w14:paraId="4D927A85"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0.0</w:t>
            </w:r>
          </w:p>
        </w:tc>
      </w:tr>
      <w:tr w:rsidR="00217865" w:rsidRPr="00217865" w14:paraId="1D8E2484"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6C7B64E" w14:textId="77777777" w:rsidR="00821227" w:rsidRPr="00217865" w:rsidRDefault="00821227" w:rsidP="00A43B35">
            <w:pPr>
              <w:pStyle w:val="Z"/>
              <w:rPr>
                <w:color w:val="000000" w:themeColor="text1"/>
                <w:szCs w:val="18"/>
                <w:highlight w:val="yellow"/>
              </w:rPr>
            </w:pPr>
            <w:r w:rsidRPr="00217865">
              <w:rPr>
                <w:color w:val="000000" w:themeColor="text1"/>
                <w:szCs w:val="18"/>
              </w:rPr>
              <w:t>National Art School</w:t>
            </w:r>
          </w:p>
        </w:tc>
        <w:tc>
          <w:tcPr>
            <w:tcW w:w="774" w:type="pct"/>
            <w:tcBorders>
              <w:top w:val="single" w:sz="4" w:space="0" w:color="auto"/>
              <w:left w:val="single" w:sz="4" w:space="0" w:color="auto"/>
              <w:bottom w:val="single" w:sz="4" w:space="0" w:color="auto"/>
              <w:right w:val="single" w:sz="4" w:space="0" w:color="auto"/>
            </w:tcBorders>
            <w:vAlign w:val="center"/>
          </w:tcPr>
          <w:p w14:paraId="16A9AC3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0640D10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7FA0274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3E10976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76DE9335"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11B8F5A" w14:textId="77777777" w:rsidR="00821227" w:rsidRPr="00217865" w:rsidRDefault="00821227" w:rsidP="00A43B35">
            <w:pPr>
              <w:pStyle w:val="Z"/>
              <w:rPr>
                <w:color w:val="000000" w:themeColor="text1"/>
                <w:szCs w:val="18"/>
                <w:highlight w:val="yellow"/>
              </w:rPr>
            </w:pPr>
            <w:proofErr w:type="spellStart"/>
            <w:r w:rsidRPr="00217865">
              <w:rPr>
                <w:color w:val="000000" w:themeColor="text1"/>
                <w:szCs w:val="18"/>
              </w:rPr>
              <w:t>Ozford</w:t>
            </w:r>
            <w:proofErr w:type="spellEnd"/>
            <w:r w:rsidRPr="00217865">
              <w:rPr>
                <w:color w:val="000000" w:themeColor="text1"/>
                <w:szCs w:val="18"/>
              </w:rPr>
              <w:t xml:space="preserve"> Institute of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495760C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65</w:t>
            </w:r>
          </w:p>
        </w:tc>
        <w:tc>
          <w:tcPr>
            <w:tcW w:w="774" w:type="pct"/>
            <w:tcBorders>
              <w:top w:val="single" w:sz="4" w:space="0" w:color="auto"/>
              <w:left w:val="single" w:sz="4" w:space="0" w:color="auto"/>
              <w:bottom w:val="single" w:sz="4" w:space="0" w:color="auto"/>
              <w:right w:val="single" w:sz="4" w:space="0" w:color="auto"/>
            </w:tcBorders>
            <w:vAlign w:val="center"/>
          </w:tcPr>
          <w:p w14:paraId="3827F66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7025886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14</w:t>
            </w:r>
          </w:p>
        </w:tc>
        <w:tc>
          <w:tcPr>
            <w:tcW w:w="774" w:type="pct"/>
            <w:tcBorders>
              <w:top w:val="single" w:sz="4" w:space="0" w:color="auto"/>
              <w:left w:val="single" w:sz="4" w:space="0" w:color="auto"/>
              <w:bottom w:val="single" w:sz="4" w:space="0" w:color="auto"/>
              <w:right w:val="single" w:sz="4" w:space="0" w:color="auto"/>
            </w:tcBorders>
            <w:vAlign w:val="center"/>
          </w:tcPr>
          <w:p w14:paraId="6AEF3C0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4ABAEDD6"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3C26126" w14:textId="77777777" w:rsidR="00821227" w:rsidRPr="00217865" w:rsidRDefault="00821227" w:rsidP="00A43B35">
            <w:pPr>
              <w:pStyle w:val="Z"/>
              <w:rPr>
                <w:color w:val="000000" w:themeColor="text1"/>
                <w:szCs w:val="18"/>
                <w:highlight w:val="yellow"/>
              </w:rPr>
            </w:pPr>
            <w:r w:rsidRPr="00217865">
              <w:rPr>
                <w:color w:val="000000" w:themeColor="text1"/>
                <w:szCs w:val="18"/>
              </w:rPr>
              <w:t>Perth Bible College</w:t>
            </w:r>
          </w:p>
        </w:tc>
        <w:tc>
          <w:tcPr>
            <w:tcW w:w="774" w:type="pct"/>
            <w:tcBorders>
              <w:top w:val="single" w:sz="4" w:space="0" w:color="auto"/>
              <w:left w:val="single" w:sz="4" w:space="0" w:color="auto"/>
              <w:bottom w:val="single" w:sz="4" w:space="0" w:color="auto"/>
              <w:right w:val="single" w:sz="4" w:space="0" w:color="auto"/>
            </w:tcBorders>
            <w:vAlign w:val="center"/>
          </w:tcPr>
          <w:p w14:paraId="6315C33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54F03CE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1F5E1F4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78E3803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39C3DAFC"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0431093" w14:textId="77777777" w:rsidR="00821227" w:rsidRPr="00217865" w:rsidRDefault="00821227" w:rsidP="00A43B35">
            <w:pPr>
              <w:pStyle w:val="Z"/>
              <w:rPr>
                <w:color w:val="000000" w:themeColor="text1"/>
                <w:szCs w:val="18"/>
                <w:highlight w:val="yellow"/>
              </w:rPr>
            </w:pPr>
            <w:r w:rsidRPr="00217865">
              <w:rPr>
                <w:color w:val="000000" w:themeColor="text1"/>
                <w:szCs w:val="18"/>
              </w:rPr>
              <w:t>Photography Studies College (Melbourne)</w:t>
            </w:r>
          </w:p>
        </w:tc>
        <w:tc>
          <w:tcPr>
            <w:tcW w:w="774" w:type="pct"/>
            <w:tcBorders>
              <w:top w:val="single" w:sz="4" w:space="0" w:color="auto"/>
              <w:left w:val="single" w:sz="4" w:space="0" w:color="auto"/>
              <w:bottom w:val="single" w:sz="4" w:space="0" w:color="auto"/>
              <w:right w:val="single" w:sz="4" w:space="0" w:color="auto"/>
            </w:tcBorders>
            <w:vAlign w:val="center"/>
          </w:tcPr>
          <w:p w14:paraId="27DF851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w:t>
            </w:r>
          </w:p>
        </w:tc>
        <w:tc>
          <w:tcPr>
            <w:tcW w:w="774" w:type="pct"/>
            <w:tcBorders>
              <w:top w:val="single" w:sz="4" w:space="0" w:color="auto"/>
              <w:left w:val="single" w:sz="4" w:space="0" w:color="auto"/>
              <w:bottom w:val="single" w:sz="4" w:space="0" w:color="auto"/>
              <w:right w:val="single" w:sz="4" w:space="0" w:color="auto"/>
            </w:tcBorders>
            <w:vAlign w:val="center"/>
          </w:tcPr>
          <w:p w14:paraId="4502555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0591E95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w:t>
            </w:r>
          </w:p>
        </w:tc>
        <w:tc>
          <w:tcPr>
            <w:tcW w:w="774" w:type="pct"/>
            <w:tcBorders>
              <w:top w:val="single" w:sz="4" w:space="0" w:color="auto"/>
              <w:left w:val="single" w:sz="4" w:space="0" w:color="auto"/>
              <w:bottom w:val="single" w:sz="4" w:space="0" w:color="auto"/>
              <w:right w:val="single" w:sz="4" w:space="0" w:color="auto"/>
            </w:tcBorders>
            <w:vAlign w:val="center"/>
          </w:tcPr>
          <w:p w14:paraId="49B1818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2FF967D5"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9B4CA71" w14:textId="77777777" w:rsidR="00821227" w:rsidRPr="00217865" w:rsidRDefault="00821227" w:rsidP="00A43B35">
            <w:pPr>
              <w:pStyle w:val="Z"/>
              <w:rPr>
                <w:color w:val="000000" w:themeColor="text1"/>
                <w:szCs w:val="18"/>
                <w:highlight w:val="yellow"/>
              </w:rPr>
            </w:pPr>
            <w:r w:rsidRPr="00217865">
              <w:rPr>
                <w:color w:val="000000" w:themeColor="text1"/>
                <w:szCs w:val="18"/>
              </w:rPr>
              <w:t>Polytechnic Institute Australia Pty Ltd</w:t>
            </w:r>
          </w:p>
        </w:tc>
        <w:tc>
          <w:tcPr>
            <w:tcW w:w="774" w:type="pct"/>
            <w:tcBorders>
              <w:top w:val="single" w:sz="4" w:space="0" w:color="auto"/>
              <w:left w:val="single" w:sz="4" w:space="0" w:color="auto"/>
              <w:bottom w:val="single" w:sz="4" w:space="0" w:color="auto"/>
              <w:right w:val="single" w:sz="4" w:space="0" w:color="auto"/>
            </w:tcBorders>
            <w:vAlign w:val="center"/>
          </w:tcPr>
          <w:p w14:paraId="17C7232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178</w:t>
            </w:r>
          </w:p>
        </w:tc>
        <w:tc>
          <w:tcPr>
            <w:tcW w:w="774" w:type="pct"/>
            <w:tcBorders>
              <w:top w:val="single" w:sz="4" w:space="0" w:color="auto"/>
              <w:left w:val="single" w:sz="4" w:space="0" w:color="auto"/>
              <w:bottom w:val="single" w:sz="4" w:space="0" w:color="auto"/>
              <w:right w:val="single" w:sz="4" w:space="0" w:color="auto"/>
            </w:tcBorders>
            <w:vAlign w:val="center"/>
          </w:tcPr>
          <w:p w14:paraId="4D9D2BD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21A6F32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33</w:t>
            </w:r>
          </w:p>
        </w:tc>
        <w:tc>
          <w:tcPr>
            <w:tcW w:w="774" w:type="pct"/>
            <w:tcBorders>
              <w:top w:val="single" w:sz="4" w:space="0" w:color="auto"/>
              <w:left w:val="single" w:sz="4" w:space="0" w:color="auto"/>
              <w:bottom w:val="single" w:sz="4" w:space="0" w:color="auto"/>
              <w:right w:val="single" w:sz="4" w:space="0" w:color="auto"/>
            </w:tcBorders>
            <w:vAlign w:val="center"/>
          </w:tcPr>
          <w:p w14:paraId="1CCAED2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58C17EB8"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E112EB9" w14:textId="77777777" w:rsidR="00821227" w:rsidRPr="00217865" w:rsidRDefault="00821227" w:rsidP="00A43B35">
            <w:pPr>
              <w:pStyle w:val="Z"/>
              <w:rPr>
                <w:color w:val="000000" w:themeColor="text1"/>
                <w:szCs w:val="18"/>
                <w:highlight w:val="yellow"/>
              </w:rPr>
            </w:pPr>
            <w:r w:rsidRPr="00217865">
              <w:rPr>
                <w:color w:val="000000" w:themeColor="text1"/>
                <w:szCs w:val="18"/>
              </w:rPr>
              <w:t>SAE Institute</w:t>
            </w:r>
          </w:p>
        </w:tc>
        <w:tc>
          <w:tcPr>
            <w:tcW w:w="774" w:type="pct"/>
            <w:tcBorders>
              <w:top w:val="single" w:sz="4" w:space="0" w:color="auto"/>
              <w:left w:val="single" w:sz="4" w:space="0" w:color="auto"/>
              <w:bottom w:val="single" w:sz="4" w:space="0" w:color="auto"/>
              <w:right w:val="single" w:sz="4" w:space="0" w:color="auto"/>
            </w:tcBorders>
            <w:vAlign w:val="center"/>
          </w:tcPr>
          <w:p w14:paraId="443A289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185</w:t>
            </w:r>
          </w:p>
        </w:tc>
        <w:tc>
          <w:tcPr>
            <w:tcW w:w="774" w:type="pct"/>
            <w:tcBorders>
              <w:top w:val="single" w:sz="4" w:space="0" w:color="auto"/>
              <w:left w:val="single" w:sz="4" w:space="0" w:color="auto"/>
              <w:bottom w:val="single" w:sz="4" w:space="0" w:color="auto"/>
              <w:right w:val="single" w:sz="4" w:space="0" w:color="auto"/>
            </w:tcBorders>
            <w:vAlign w:val="center"/>
          </w:tcPr>
          <w:p w14:paraId="06347B0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2660A8A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74</w:t>
            </w:r>
          </w:p>
        </w:tc>
        <w:tc>
          <w:tcPr>
            <w:tcW w:w="774" w:type="pct"/>
            <w:tcBorders>
              <w:top w:val="single" w:sz="4" w:space="0" w:color="auto"/>
              <w:left w:val="single" w:sz="4" w:space="0" w:color="auto"/>
              <w:bottom w:val="single" w:sz="4" w:space="0" w:color="auto"/>
              <w:right w:val="single" w:sz="4" w:space="0" w:color="auto"/>
            </w:tcBorders>
            <w:vAlign w:val="center"/>
          </w:tcPr>
          <w:p w14:paraId="6532610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512DD8D7"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2273AA1" w14:textId="77777777" w:rsidR="00821227" w:rsidRPr="00217865" w:rsidRDefault="00821227" w:rsidP="00A43B35">
            <w:pPr>
              <w:pStyle w:val="Z"/>
              <w:rPr>
                <w:color w:val="000000" w:themeColor="text1"/>
                <w:szCs w:val="18"/>
                <w:highlight w:val="yellow"/>
              </w:rPr>
            </w:pPr>
            <w:r w:rsidRPr="00217865">
              <w:rPr>
                <w:color w:val="000000" w:themeColor="text1"/>
                <w:szCs w:val="18"/>
              </w:rPr>
              <w:t>Sheridan Institute of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0600E78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45</w:t>
            </w:r>
          </w:p>
        </w:tc>
        <w:tc>
          <w:tcPr>
            <w:tcW w:w="774" w:type="pct"/>
            <w:tcBorders>
              <w:top w:val="single" w:sz="4" w:space="0" w:color="auto"/>
              <w:left w:val="single" w:sz="4" w:space="0" w:color="auto"/>
              <w:bottom w:val="single" w:sz="4" w:space="0" w:color="auto"/>
              <w:right w:val="single" w:sz="4" w:space="0" w:color="auto"/>
            </w:tcBorders>
            <w:vAlign w:val="center"/>
          </w:tcPr>
          <w:p w14:paraId="6BBF63A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2860268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33</w:t>
            </w:r>
          </w:p>
        </w:tc>
        <w:tc>
          <w:tcPr>
            <w:tcW w:w="774" w:type="pct"/>
            <w:tcBorders>
              <w:top w:val="single" w:sz="4" w:space="0" w:color="auto"/>
              <w:left w:val="single" w:sz="4" w:space="0" w:color="auto"/>
              <w:bottom w:val="single" w:sz="4" w:space="0" w:color="auto"/>
              <w:right w:val="single" w:sz="4" w:space="0" w:color="auto"/>
            </w:tcBorders>
            <w:vAlign w:val="center"/>
          </w:tcPr>
          <w:p w14:paraId="0BB245D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1648B920"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6E48F7D" w14:textId="77777777" w:rsidR="00821227" w:rsidRPr="00217865" w:rsidRDefault="00821227" w:rsidP="00A43B35">
            <w:pPr>
              <w:pStyle w:val="Z"/>
              <w:rPr>
                <w:color w:val="000000" w:themeColor="text1"/>
                <w:szCs w:val="18"/>
                <w:highlight w:val="yellow"/>
              </w:rPr>
            </w:pPr>
            <w:r w:rsidRPr="00217865">
              <w:rPr>
                <w:color w:val="000000" w:themeColor="text1"/>
                <w:szCs w:val="18"/>
              </w:rPr>
              <w:lastRenderedPageBreak/>
              <w:t>Southern Cross Education Institute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6961910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183</w:t>
            </w:r>
          </w:p>
        </w:tc>
        <w:tc>
          <w:tcPr>
            <w:tcW w:w="774" w:type="pct"/>
            <w:tcBorders>
              <w:top w:val="single" w:sz="4" w:space="0" w:color="auto"/>
              <w:left w:val="single" w:sz="4" w:space="0" w:color="auto"/>
              <w:bottom w:val="single" w:sz="4" w:space="0" w:color="auto"/>
              <w:right w:val="single" w:sz="4" w:space="0" w:color="auto"/>
            </w:tcBorders>
            <w:vAlign w:val="center"/>
          </w:tcPr>
          <w:p w14:paraId="5F0521C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62EE2C5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71</w:t>
            </w:r>
          </w:p>
        </w:tc>
        <w:tc>
          <w:tcPr>
            <w:tcW w:w="774" w:type="pct"/>
            <w:tcBorders>
              <w:top w:val="single" w:sz="4" w:space="0" w:color="auto"/>
              <w:left w:val="single" w:sz="4" w:space="0" w:color="auto"/>
              <w:bottom w:val="single" w:sz="4" w:space="0" w:color="auto"/>
              <w:right w:val="single" w:sz="4" w:space="0" w:color="auto"/>
            </w:tcBorders>
            <w:vAlign w:val="center"/>
          </w:tcPr>
          <w:p w14:paraId="66278C9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41093B36"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F2AC4E" w14:textId="77777777" w:rsidR="00821227" w:rsidRPr="00217865" w:rsidRDefault="00821227" w:rsidP="00A43B35">
            <w:pPr>
              <w:pStyle w:val="Z"/>
              <w:rPr>
                <w:color w:val="000000" w:themeColor="text1"/>
                <w:szCs w:val="18"/>
                <w:highlight w:val="yellow"/>
              </w:rPr>
            </w:pPr>
            <w:r w:rsidRPr="00217865">
              <w:rPr>
                <w:color w:val="000000" w:themeColor="text1"/>
                <w:szCs w:val="18"/>
              </w:rPr>
              <w:t>South Australian Institute of Business and Technology</w:t>
            </w:r>
          </w:p>
        </w:tc>
        <w:tc>
          <w:tcPr>
            <w:tcW w:w="774" w:type="pct"/>
            <w:tcBorders>
              <w:top w:val="single" w:sz="4" w:space="0" w:color="auto"/>
              <w:left w:val="single" w:sz="4" w:space="0" w:color="auto"/>
              <w:bottom w:val="single" w:sz="4" w:space="0" w:color="auto"/>
              <w:right w:val="single" w:sz="4" w:space="0" w:color="auto"/>
            </w:tcBorders>
            <w:vAlign w:val="center"/>
          </w:tcPr>
          <w:p w14:paraId="3EC9289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311</w:t>
            </w:r>
          </w:p>
        </w:tc>
        <w:tc>
          <w:tcPr>
            <w:tcW w:w="774" w:type="pct"/>
            <w:tcBorders>
              <w:top w:val="single" w:sz="4" w:space="0" w:color="auto"/>
              <w:left w:val="single" w:sz="4" w:space="0" w:color="auto"/>
              <w:bottom w:val="single" w:sz="4" w:space="0" w:color="auto"/>
              <w:right w:val="single" w:sz="4" w:space="0" w:color="auto"/>
            </w:tcBorders>
            <w:vAlign w:val="center"/>
          </w:tcPr>
          <w:p w14:paraId="462622C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40123AC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103</w:t>
            </w:r>
          </w:p>
        </w:tc>
        <w:tc>
          <w:tcPr>
            <w:tcW w:w="774" w:type="pct"/>
            <w:tcBorders>
              <w:top w:val="single" w:sz="4" w:space="0" w:color="auto"/>
              <w:left w:val="single" w:sz="4" w:space="0" w:color="auto"/>
              <w:bottom w:val="single" w:sz="4" w:space="0" w:color="auto"/>
              <w:right w:val="single" w:sz="4" w:space="0" w:color="auto"/>
            </w:tcBorders>
            <w:vAlign w:val="center"/>
          </w:tcPr>
          <w:p w14:paraId="1665235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r>
      <w:tr w:rsidR="00217865" w:rsidRPr="00217865" w14:paraId="42BA22F4"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A315D76" w14:textId="77777777" w:rsidR="00821227" w:rsidRPr="00217865" w:rsidRDefault="00821227" w:rsidP="00A43B35">
            <w:pPr>
              <w:pStyle w:val="Z"/>
              <w:rPr>
                <w:color w:val="000000" w:themeColor="text1"/>
                <w:szCs w:val="18"/>
                <w:highlight w:val="yellow"/>
              </w:rPr>
            </w:pPr>
            <w:r w:rsidRPr="00217865">
              <w:rPr>
                <w:color w:val="000000" w:themeColor="text1"/>
                <w:szCs w:val="18"/>
              </w:rPr>
              <w:t>SP Jain School of Management</w:t>
            </w:r>
          </w:p>
        </w:tc>
        <w:tc>
          <w:tcPr>
            <w:tcW w:w="774" w:type="pct"/>
            <w:tcBorders>
              <w:top w:val="single" w:sz="4" w:space="0" w:color="auto"/>
              <w:left w:val="single" w:sz="4" w:space="0" w:color="auto"/>
              <w:bottom w:val="single" w:sz="4" w:space="0" w:color="auto"/>
              <w:right w:val="single" w:sz="4" w:space="0" w:color="auto"/>
            </w:tcBorders>
            <w:vAlign w:val="center"/>
          </w:tcPr>
          <w:p w14:paraId="72DB3F5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247</w:t>
            </w:r>
          </w:p>
        </w:tc>
        <w:tc>
          <w:tcPr>
            <w:tcW w:w="774" w:type="pct"/>
            <w:tcBorders>
              <w:top w:val="single" w:sz="4" w:space="0" w:color="auto"/>
              <w:left w:val="single" w:sz="4" w:space="0" w:color="auto"/>
              <w:bottom w:val="single" w:sz="4" w:space="0" w:color="auto"/>
              <w:right w:val="single" w:sz="4" w:space="0" w:color="auto"/>
            </w:tcBorders>
            <w:vAlign w:val="center"/>
          </w:tcPr>
          <w:p w14:paraId="601A1E1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6501FDD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177</w:t>
            </w:r>
          </w:p>
        </w:tc>
        <w:tc>
          <w:tcPr>
            <w:tcW w:w="774" w:type="pct"/>
            <w:tcBorders>
              <w:top w:val="single" w:sz="4" w:space="0" w:color="auto"/>
              <w:left w:val="single" w:sz="4" w:space="0" w:color="auto"/>
              <w:bottom w:val="single" w:sz="4" w:space="0" w:color="auto"/>
              <w:right w:val="single" w:sz="4" w:space="0" w:color="auto"/>
            </w:tcBorders>
            <w:vAlign w:val="center"/>
          </w:tcPr>
          <w:p w14:paraId="18745A5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0.6</w:t>
            </w:r>
          </w:p>
        </w:tc>
      </w:tr>
      <w:tr w:rsidR="00217865" w:rsidRPr="00217865" w14:paraId="26DB70C9"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9DBCDB1" w14:textId="77777777" w:rsidR="00821227" w:rsidRPr="00217865" w:rsidRDefault="00821227" w:rsidP="00A43B35">
            <w:pPr>
              <w:pStyle w:val="Z"/>
              <w:rPr>
                <w:color w:val="000000" w:themeColor="text1"/>
                <w:szCs w:val="18"/>
                <w:highlight w:val="yellow"/>
              </w:rPr>
            </w:pPr>
            <w:r w:rsidRPr="00217865">
              <w:rPr>
                <w:color w:val="000000" w:themeColor="text1"/>
                <w:szCs w:val="18"/>
              </w:rPr>
              <w:t>Stanley College</w:t>
            </w:r>
          </w:p>
        </w:tc>
        <w:tc>
          <w:tcPr>
            <w:tcW w:w="774" w:type="pct"/>
            <w:tcBorders>
              <w:top w:val="single" w:sz="4" w:space="0" w:color="auto"/>
              <w:left w:val="single" w:sz="4" w:space="0" w:color="auto"/>
              <w:bottom w:val="single" w:sz="4" w:space="0" w:color="auto"/>
              <w:right w:val="single" w:sz="4" w:space="0" w:color="auto"/>
            </w:tcBorders>
            <w:vAlign w:val="center"/>
          </w:tcPr>
          <w:p w14:paraId="006F047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218</w:t>
            </w:r>
          </w:p>
        </w:tc>
        <w:tc>
          <w:tcPr>
            <w:tcW w:w="774" w:type="pct"/>
            <w:tcBorders>
              <w:top w:val="single" w:sz="4" w:space="0" w:color="auto"/>
              <w:left w:val="single" w:sz="4" w:space="0" w:color="auto"/>
              <w:bottom w:val="single" w:sz="4" w:space="0" w:color="auto"/>
              <w:right w:val="single" w:sz="4" w:space="0" w:color="auto"/>
            </w:tcBorders>
            <w:vAlign w:val="center"/>
          </w:tcPr>
          <w:p w14:paraId="3E0A811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340692D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86</w:t>
            </w:r>
          </w:p>
        </w:tc>
        <w:tc>
          <w:tcPr>
            <w:tcW w:w="774" w:type="pct"/>
            <w:tcBorders>
              <w:top w:val="single" w:sz="4" w:space="0" w:color="auto"/>
              <w:left w:val="single" w:sz="4" w:space="0" w:color="auto"/>
              <w:bottom w:val="single" w:sz="4" w:space="0" w:color="auto"/>
              <w:right w:val="single" w:sz="4" w:space="0" w:color="auto"/>
            </w:tcBorders>
            <w:vAlign w:val="center"/>
          </w:tcPr>
          <w:p w14:paraId="7B3B23D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r>
      <w:tr w:rsidR="00217865" w:rsidRPr="00217865" w14:paraId="246D4EA9"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B829BF8" w14:textId="77777777" w:rsidR="00821227" w:rsidRPr="00217865" w:rsidRDefault="00821227" w:rsidP="00A43B35">
            <w:pPr>
              <w:pStyle w:val="Z"/>
              <w:rPr>
                <w:color w:val="000000" w:themeColor="text1"/>
                <w:szCs w:val="18"/>
                <w:highlight w:val="yellow"/>
              </w:rPr>
            </w:pPr>
            <w:r w:rsidRPr="00217865">
              <w:rPr>
                <w:color w:val="000000" w:themeColor="text1"/>
                <w:szCs w:val="18"/>
              </w:rPr>
              <w:t>Stott's College</w:t>
            </w:r>
          </w:p>
        </w:tc>
        <w:tc>
          <w:tcPr>
            <w:tcW w:w="774" w:type="pct"/>
            <w:tcBorders>
              <w:top w:val="single" w:sz="4" w:space="0" w:color="auto"/>
              <w:left w:val="single" w:sz="4" w:space="0" w:color="auto"/>
              <w:bottom w:val="single" w:sz="4" w:space="0" w:color="auto"/>
              <w:right w:val="single" w:sz="4" w:space="0" w:color="auto"/>
            </w:tcBorders>
            <w:vAlign w:val="center"/>
          </w:tcPr>
          <w:p w14:paraId="6CA667D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2,539</w:t>
            </w:r>
          </w:p>
        </w:tc>
        <w:tc>
          <w:tcPr>
            <w:tcW w:w="774" w:type="pct"/>
            <w:tcBorders>
              <w:top w:val="single" w:sz="4" w:space="0" w:color="auto"/>
              <w:left w:val="single" w:sz="4" w:space="0" w:color="auto"/>
              <w:bottom w:val="single" w:sz="4" w:space="0" w:color="auto"/>
              <w:right w:val="single" w:sz="4" w:space="0" w:color="auto"/>
            </w:tcBorders>
            <w:vAlign w:val="center"/>
          </w:tcPr>
          <w:p w14:paraId="46EA686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2.6</w:t>
            </w:r>
          </w:p>
        </w:tc>
        <w:tc>
          <w:tcPr>
            <w:tcW w:w="774" w:type="pct"/>
            <w:tcBorders>
              <w:top w:val="single" w:sz="4" w:space="0" w:color="auto"/>
              <w:left w:val="single" w:sz="4" w:space="0" w:color="auto"/>
              <w:bottom w:val="single" w:sz="4" w:space="0" w:color="auto"/>
              <w:right w:val="single" w:sz="4" w:space="0" w:color="auto"/>
            </w:tcBorders>
            <w:vAlign w:val="center"/>
          </w:tcPr>
          <w:p w14:paraId="29B4851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1,071</w:t>
            </w:r>
          </w:p>
        </w:tc>
        <w:tc>
          <w:tcPr>
            <w:tcW w:w="774" w:type="pct"/>
            <w:tcBorders>
              <w:top w:val="single" w:sz="4" w:space="0" w:color="auto"/>
              <w:left w:val="single" w:sz="4" w:space="0" w:color="auto"/>
              <w:bottom w:val="single" w:sz="4" w:space="0" w:color="auto"/>
              <w:right w:val="single" w:sz="4" w:space="0" w:color="auto"/>
            </w:tcBorders>
            <w:vAlign w:val="center"/>
          </w:tcPr>
          <w:p w14:paraId="0D62DAB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3.6</w:t>
            </w:r>
          </w:p>
        </w:tc>
      </w:tr>
      <w:tr w:rsidR="00217865" w:rsidRPr="00217865" w14:paraId="35D1F23F"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06F7B5F" w14:textId="77777777" w:rsidR="00821227" w:rsidRPr="00217865" w:rsidRDefault="00821227" w:rsidP="00A43B35">
            <w:pPr>
              <w:pStyle w:val="Z"/>
              <w:rPr>
                <w:color w:val="000000" w:themeColor="text1"/>
                <w:szCs w:val="18"/>
                <w:highlight w:val="yellow"/>
              </w:rPr>
            </w:pPr>
            <w:r w:rsidRPr="00217865">
              <w:rPr>
                <w:color w:val="000000" w:themeColor="text1"/>
                <w:szCs w:val="18"/>
              </w:rPr>
              <w:t>Sydney College of Divinity</w:t>
            </w:r>
          </w:p>
        </w:tc>
        <w:tc>
          <w:tcPr>
            <w:tcW w:w="774" w:type="pct"/>
            <w:tcBorders>
              <w:top w:val="single" w:sz="4" w:space="0" w:color="auto"/>
              <w:left w:val="single" w:sz="4" w:space="0" w:color="auto"/>
              <w:bottom w:val="single" w:sz="4" w:space="0" w:color="auto"/>
              <w:right w:val="single" w:sz="4" w:space="0" w:color="auto"/>
            </w:tcBorders>
            <w:vAlign w:val="center"/>
          </w:tcPr>
          <w:p w14:paraId="1FDC940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64</w:t>
            </w:r>
          </w:p>
        </w:tc>
        <w:tc>
          <w:tcPr>
            <w:tcW w:w="774" w:type="pct"/>
            <w:tcBorders>
              <w:top w:val="single" w:sz="4" w:space="0" w:color="auto"/>
              <w:left w:val="single" w:sz="4" w:space="0" w:color="auto"/>
              <w:bottom w:val="single" w:sz="4" w:space="0" w:color="auto"/>
              <w:right w:val="single" w:sz="4" w:space="0" w:color="auto"/>
            </w:tcBorders>
            <w:vAlign w:val="center"/>
          </w:tcPr>
          <w:p w14:paraId="6C28747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6708C67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21</w:t>
            </w:r>
          </w:p>
        </w:tc>
        <w:tc>
          <w:tcPr>
            <w:tcW w:w="774" w:type="pct"/>
            <w:tcBorders>
              <w:top w:val="single" w:sz="4" w:space="0" w:color="auto"/>
              <w:left w:val="single" w:sz="4" w:space="0" w:color="auto"/>
              <w:bottom w:val="single" w:sz="4" w:space="0" w:color="auto"/>
              <w:right w:val="single" w:sz="4" w:space="0" w:color="auto"/>
            </w:tcBorders>
            <w:vAlign w:val="center"/>
          </w:tcPr>
          <w:p w14:paraId="56B3410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0A0991A3"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24732C7" w14:textId="77777777" w:rsidR="00821227" w:rsidRPr="00217865" w:rsidRDefault="00821227" w:rsidP="00A43B35">
            <w:pPr>
              <w:pStyle w:val="Z"/>
              <w:rPr>
                <w:color w:val="000000" w:themeColor="text1"/>
                <w:szCs w:val="18"/>
                <w:highlight w:val="yellow"/>
              </w:rPr>
            </w:pPr>
            <w:r w:rsidRPr="00217865">
              <w:rPr>
                <w:color w:val="000000" w:themeColor="text1"/>
                <w:szCs w:val="18"/>
              </w:rPr>
              <w:t>Sydney Institute of Business and Technology</w:t>
            </w:r>
          </w:p>
        </w:tc>
        <w:tc>
          <w:tcPr>
            <w:tcW w:w="774" w:type="pct"/>
            <w:tcBorders>
              <w:top w:val="single" w:sz="4" w:space="0" w:color="auto"/>
              <w:left w:val="single" w:sz="4" w:space="0" w:color="auto"/>
              <w:bottom w:val="single" w:sz="4" w:space="0" w:color="auto"/>
              <w:right w:val="single" w:sz="4" w:space="0" w:color="auto"/>
            </w:tcBorders>
            <w:vAlign w:val="center"/>
          </w:tcPr>
          <w:p w14:paraId="1073D89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74</w:t>
            </w:r>
          </w:p>
        </w:tc>
        <w:tc>
          <w:tcPr>
            <w:tcW w:w="774" w:type="pct"/>
            <w:tcBorders>
              <w:top w:val="single" w:sz="4" w:space="0" w:color="auto"/>
              <w:left w:val="single" w:sz="4" w:space="0" w:color="auto"/>
              <w:bottom w:val="single" w:sz="4" w:space="0" w:color="auto"/>
              <w:right w:val="single" w:sz="4" w:space="0" w:color="auto"/>
            </w:tcBorders>
            <w:vAlign w:val="center"/>
          </w:tcPr>
          <w:p w14:paraId="474983C1"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6A506DF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35</w:t>
            </w:r>
          </w:p>
        </w:tc>
        <w:tc>
          <w:tcPr>
            <w:tcW w:w="774" w:type="pct"/>
            <w:tcBorders>
              <w:top w:val="single" w:sz="4" w:space="0" w:color="auto"/>
              <w:left w:val="single" w:sz="4" w:space="0" w:color="auto"/>
              <w:bottom w:val="single" w:sz="4" w:space="0" w:color="auto"/>
              <w:right w:val="single" w:sz="4" w:space="0" w:color="auto"/>
            </w:tcBorders>
            <w:vAlign w:val="center"/>
          </w:tcPr>
          <w:p w14:paraId="2A9750F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1036DDFD"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C24CA65" w14:textId="77777777" w:rsidR="00821227" w:rsidRPr="00217865" w:rsidRDefault="00821227" w:rsidP="00A43B35">
            <w:pPr>
              <w:pStyle w:val="Z"/>
              <w:rPr>
                <w:color w:val="000000" w:themeColor="text1"/>
                <w:szCs w:val="18"/>
                <w:highlight w:val="yellow"/>
              </w:rPr>
            </w:pPr>
            <w:r w:rsidRPr="00217865">
              <w:rPr>
                <w:color w:val="000000" w:themeColor="text1"/>
                <w:szCs w:val="18"/>
              </w:rPr>
              <w:t>TAFE NSW</w:t>
            </w:r>
          </w:p>
        </w:tc>
        <w:tc>
          <w:tcPr>
            <w:tcW w:w="774" w:type="pct"/>
            <w:tcBorders>
              <w:top w:val="single" w:sz="4" w:space="0" w:color="auto"/>
              <w:left w:val="single" w:sz="4" w:space="0" w:color="auto"/>
              <w:bottom w:val="single" w:sz="4" w:space="0" w:color="auto"/>
              <w:right w:val="single" w:sz="4" w:space="0" w:color="auto"/>
            </w:tcBorders>
            <w:vAlign w:val="center"/>
          </w:tcPr>
          <w:p w14:paraId="1A7556A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914</w:t>
            </w:r>
          </w:p>
        </w:tc>
        <w:tc>
          <w:tcPr>
            <w:tcW w:w="774" w:type="pct"/>
            <w:tcBorders>
              <w:top w:val="single" w:sz="4" w:space="0" w:color="auto"/>
              <w:left w:val="single" w:sz="4" w:space="0" w:color="auto"/>
              <w:bottom w:val="single" w:sz="4" w:space="0" w:color="auto"/>
              <w:right w:val="single" w:sz="4" w:space="0" w:color="auto"/>
            </w:tcBorders>
            <w:vAlign w:val="center"/>
          </w:tcPr>
          <w:p w14:paraId="228A86A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1.0</w:t>
            </w:r>
          </w:p>
        </w:tc>
        <w:tc>
          <w:tcPr>
            <w:tcW w:w="774" w:type="pct"/>
            <w:tcBorders>
              <w:top w:val="single" w:sz="4" w:space="0" w:color="auto"/>
              <w:left w:val="single" w:sz="4" w:space="0" w:color="auto"/>
              <w:bottom w:val="single" w:sz="4" w:space="0" w:color="auto"/>
              <w:right w:val="single" w:sz="4" w:space="0" w:color="auto"/>
            </w:tcBorders>
            <w:vAlign w:val="center"/>
          </w:tcPr>
          <w:p w14:paraId="375CBF2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412</w:t>
            </w:r>
          </w:p>
        </w:tc>
        <w:tc>
          <w:tcPr>
            <w:tcW w:w="774" w:type="pct"/>
            <w:tcBorders>
              <w:top w:val="single" w:sz="4" w:space="0" w:color="auto"/>
              <w:left w:val="single" w:sz="4" w:space="0" w:color="auto"/>
              <w:bottom w:val="single" w:sz="4" w:space="0" w:color="auto"/>
              <w:right w:val="single" w:sz="4" w:space="0" w:color="auto"/>
            </w:tcBorders>
            <w:vAlign w:val="center"/>
          </w:tcPr>
          <w:p w14:paraId="7C1D6EF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1.4</w:t>
            </w:r>
          </w:p>
        </w:tc>
      </w:tr>
      <w:tr w:rsidR="00217865" w:rsidRPr="00217865" w14:paraId="74FF2CDC"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3EEE7E3" w14:textId="77777777" w:rsidR="00821227" w:rsidRPr="00217865" w:rsidRDefault="00821227" w:rsidP="00A43B35">
            <w:pPr>
              <w:pStyle w:val="Z"/>
              <w:rPr>
                <w:color w:val="000000" w:themeColor="text1"/>
                <w:szCs w:val="18"/>
                <w:highlight w:val="yellow"/>
              </w:rPr>
            </w:pPr>
            <w:r w:rsidRPr="00217865">
              <w:rPr>
                <w:color w:val="000000" w:themeColor="text1"/>
                <w:szCs w:val="18"/>
              </w:rPr>
              <w:t>TAFE Queensland</w:t>
            </w:r>
          </w:p>
        </w:tc>
        <w:tc>
          <w:tcPr>
            <w:tcW w:w="774" w:type="pct"/>
            <w:tcBorders>
              <w:top w:val="single" w:sz="4" w:space="0" w:color="auto"/>
              <w:left w:val="single" w:sz="4" w:space="0" w:color="auto"/>
              <w:bottom w:val="single" w:sz="4" w:space="0" w:color="auto"/>
              <w:right w:val="single" w:sz="4" w:space="0" w:color="auto"/>
            </w:tcBorders>
            <w:vAlign w:val="center"/>
          </w:tcPr>
          <w:p w14:paraId="1F42B30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133</w:t>
            </w:r>
          </w:p>
        </w:tc>
        <w:tc>
          <w:tcPr>
            <w:tcW w:w="774" w:type="pct"/>
            <w:tcBorders>
              <w:top w:val="single" w:sz="4" w:space="0" w:color="auto"/>
              <w:left w:val="single" w:sz="4" w:space="0" w:color="auto"/>
              <w:bottom w:val="single" w:sz="4" w:space="0" w:color="auto"/>
              <w:right w:val="single" w:sz="4" w:space="0" w:color="auto"/>
            </w:tcBorders>
            <w:vAlign w:val="center"/>
          </w:tcPr>
          <w:p w14:paraId="5CDBCD6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7764579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46</w:t>
            </w:r>
          </w:p>
        </w:tc>
        <w:tc>
          <w:tcPr>
            <w:tcW w:w="774" w:type="pct"/>
            <w:tcBorders>
              <w:top w:val="single" w:sz="4" w:space="0" w:color="auto"/>
              <w:left w:val="single" w:sz="4" w:space="0" w:color="auto"/>
              <w:bottom w:val="single" w:sz="4" w:space="0" w:color="auto"/>
              <w:right w:val="single" w:sz="4" w:space="0" w:color="auto"/>
            </w:tcBorders>
            <w:vAlign w:val="center"/>
          </w:tcPr>
          <w:p w14:paraId="5F810DE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6D7D622C"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C68DADF" w14:textId="77777777" w:rsidR="00821227" w:rsidRPr="00217865" w:rsidRDefault="00821227" w:rsidP="00A43B35">
            <w:pPr>
              <w:pStyle w:val="Z"/>
              <w:rPr>
                <w:color w:val="000000" w:themeColor="text1"/>
                <w:szCs w:val="18"/>
                <w:highlight w:val="yellow"/>
              </w:rPr>
            </w:pPr>
            <w:r w:rsidRPr="00217865">
              <w:rPr>
                <w:color w:val="000000" w:themeColor="text1"/>
                <w:szCs w:val="18"/>
              </w:rPr>
              <w:t>TAFE South Australia</w:t>
            </w:r>
          </w:p>
        </w:tc>
        <w:tc>
          <w:tcPr>
            <w:tcW w:w="774" w:type="pct"/>
            <w:tcBorders>
              <w:top w:val="single" w:sz="4" w:space="0" w:color="auto"/>
              <w:left w:val="single" w:sz="4" w:space="0" w:color="auto"/>
              <w:bottom w:val="single" w:sz="4" w:space="0" w:color="auto"/>
              <w:right w:val="single" w:sz="4" w:space="0" w:color="auto"/>
            </w:tcBorders>
            <w:vAlign w:val="center"/>
          </w:tcPr>
          <w:p w14:paraId="5DA18D0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153</w:t>
            </w:r>
          </w:p>
        </w:tc>
        <w:tc>
          <w:tcPr>
            <w:tcW w:w="774" w:type="pct"/>
            <w:tcBorders>
              <w:top w:val="single" w:sz="4" w:space="0" w:color="auto"/>
              <w:left w:val="single" w:sz="4" w:space="0" w:color="auto"/>
              <w:bottom w:val="single" w:sz="4" w:space="0" w:color="auto"/>
              <w:right w:val="single" w:sz="4" w:space="0" w:color="auto"/>
            </w:tcBorders>
            <w:vAlign w:val="center"/>
          </w:tcPr>
          <w:p w14:paraId="19AC34A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7E6D1F8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55</w:t>
            </w:r>
          </w:p>
        </w:tc>
        <w:tc>
          <w:tcPr>
            <w:tcW w:w="774" w:type="pct"/>
            <w:tcBorders>
              <w:top w:val="single" w:sz="4" w:space="0" w:color="auto"/>
              <w:left w:val="single" w:sz="4" w:space="0" w:color="auto"/>
              <w:bottom w:val="single" w:sz="4" w:space="0" w:color="auto"/>
              <w:right w:val="single" w:sz="4" w:space="0" w:color="auto"/>
            </w:tcBorders>
            <w:vAlign w:val="center"/>
          </w:tcPr>
          <w:p w14:paraId="3B6003C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530308A9"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E2C285E" w14:textId="77777777" w:rsidR="00821227" w:rsidRPr="00217865" w:rsidRDefault="00821227" w:rsidP="00A43B35">
            <w:pPr>
              <w:pStyle w:val="Z"/>
              <w:rPr>
                <w:color w:val="000000" w:themeColor="text1"/>
                <w:szCs w:val="18"/>
                <w:highlight w:val="yellow"/>
              </w:rPr>
            </w:pPr>
            <w:r w:rsidRPr="00217865">
              <w:rPr>
                <w:color w:val="000000" w:themeColor="text1"/>
                <w:szCs w:val="18"/>
              </w:rPr>
              <w:t>The Australian College of Physical Education</w:t>
            </w:r>
          </w:p>
        </w:tc>
        <w:tc>
          <w:tcPr>
            <w:tcW w:w="774" w:type="pct"/>
            <w:tcBorders>
              <w:top w:val="single" w:sz="4" w:space="0" w:color="auto"/>
              <w:left w:val="single" w:sz="4" w:space="0" w:color="auto"/>
              <w:bottom w:val="single" w:sz="4" w:space="0" w:color="auto"/>
              <w:right w:val="single" w:sz="4" w:space="0" w:color="auto"/>
            </w:tcBorders>
            <w:vAlign w:val="center"/>
          </w:tcPr>
          <w:p w14:paraId="7F159E0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w:t>
            </w:r>
          </w:p>
        </w:tc>
        <w:tc>
          <w:tcPr>
            <w:tcW w:w="774" w:type="pct"/>
            <w:tcBorders>
              <w:top w:val="single" w:sz="4" w:space="0" w:color="auto"/>
              <w:left w:val="single" w:sz="4" w:space="0" w:color="auto"/>
              <w:bottom w:val="single" w:sz="4" w:space="0" w:color="auto"/>
              <w:right w:val="single" w:sz="4" w:space="0" w:color="auto"/>
            </w:tcBorders>
            <w:vAlign w:val="center"/>
          </w:tcPr>
          <w:p w14:paraId="7B5D34F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41C58BE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5295AC6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47BBA6EC"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6702C2A" w14:textId="77777777" w:rsidR="00821227" w:rsidRPr="00217865" w:rsidRDefault="00821227" w:rsidP="00A43B35">
            <w:pPr>
              <w:pStyle w:val="Z"/>
              <w:rPr>
                <w:color w:val="000000" w:themeColor="text1"/>
                <w:szCs w:val="18"/>
                <w:highlight w:val="yellow"/>
              </w:rPr>
            </w:pPr>
            <w:r w:rsidRPr="00217865">
              <w:rPr>
                <w:color w:val="000000" w:themeColor="text1"/>
                <w:szCs w:val="18"/>
              </w:rPr>
              <w:t>The Australian Institute of Music</w:t>
            </w:r>
          </w:p>
        </w:tc>
        <w:tc>
          <w:tcPr>
            <w:tcW w:w="774" w:type="pct"/>
            <w:tcBorders>
              <w:top w:val="single" w:sz="4" w:space="0" w:color="auto"/>
              <w:left w:val="single" w:sz="4" w:space="0" w:color="auto"/>
              <w:bottom w:val="single" w:sz="4" w:space="0" w:color="auto"/>
              <w:right w:val="single" w:sz="4" w:space="0" w:color="auto"/>
            </w:tcBorders>
            <w:vAlign w:val="center"/>
          </w:tcPr>
          <w:p w14:paraId="085B08E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79</w:t>
            </w:r>
          </w:p>
        </w:tc>
        <w:tc>
          <w:tcPr>
            <w:tcW w:w="774" w:type="pct"/>
            <w:tcBorders>
              <w:top w:val="single" w:sz="4" w:space="0" w:color="auto"/>
              <w:left w:val="single" w:sz="4" w:space="0" w:color="auto"/>
              <w:bottom w:val="single" w:sz="4" w:space="0" w:color="auto"/>
              <w:right w:val="single" w:sz="4" w:space="0" w:color="auto"/>
            </w:tcBorders>
            <w:vAlign w:val="center"/>
          </w:tcPr>
          <w:p w14:paraId="2771178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38A063D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33</w:t>
            </w:r>
          </w:p>
        </w:tc>
        <w:tc>
          <w:tcPr>
            <w:tcW w:w="774" w:type="pct"/>
            <w:tcBorders>
              <w:top w:val="single" w:sz="4" w:space="0" w:color="auto"/>
              <w:left w:val="single" w:sz="4" w:space="0" w:color="auto"/>
              <w:bottom w:val="single" w:sz="4" w:space="0" w:color="auto"/>
              <w:right w:val="single" w:sz="4" w:space="0" w:color="auto"/>
            </w:tcBorders>
            <w:vAlign w:val="center"/>
          </w:tcPr>
          <w:p w14:paraId="7C22379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5A7D5792"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4FF8A5F" w14:textId="77777777" w:rsidR="00821227" w:rsidRPr="00217865" w:rsidRDefault="00821227" w:rsidP="00A43B35">
            <w:pPr>
              <w:pStyle w:val="Z"/>
              <w:rPr>
                <w:color w:val="000000" w:themeColor="text1"/>
                <w:szCs w:val="18"/>
                <w:highlight w:val="yellow"/>
              </w:rPr>
            </w:pPr>
            <w:r w:rsidRPr="00217865">
              <w:rPr>
                <w:color w:val="000000" w:themeColor="text1"/>
                <w:szCs w:val="18"/>
              </w:rPr>
              <w:t xml:space="preserve">The </w:t>
            </w:r>
            <w:proofErr w:type="spellStart"/>
            <w:r w:rsidRPr="00217865">
              <w:rPr>
                <w:color w:val="000000" w:themeColor="text1"/>
                <w:szCs w:val="18"/>
              </w:rPr>
              <w:t>Cairnmillar</w:t>
            </w:r>
            <w:proofErr w:type="spellEnd"/>
            <w:r w:rsidRPr="00217865">
              <w:rPr>
                <w:color w:val="000000" w:themeColor="text1"/>
                <w:szCs w:val="18"/>
              </w:rPr>
              <w:t xml:space="preserve"> Institute</w:t>
            </w:r>
          </w:p>
        </w:tc>
        <w:tc>
          <w:tcPr>
            <w:tcW w:w="774" w:type="pct"/>
            <w:tcBorders>
              <w:top w:val="single" w:sz="4" w:space="0" w:color="auto"/>
              <w:left w:val="single" w:sz="4" w:space="0" w:color="auto"/>
              <w:bottom w:val="single" w:sz="4" w:space="0" w:color="auto"/>
              <w:right w:val="single" w:sz="4" w:space="0" w:color="auto"/>
            </w:tcBorders>
            <w:vAlign w:val="center"/>
          </w:tcPr>
          <w:p w14:paraId="5A6C21C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01596D4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5EC2BC72"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6FC4585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38614984"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59559C7" w14:textId="77777777" w:rsidR="00821227" w:rsidRPr="00217865" w:rsidRDefault="00821227" w:rsidP="00A43B35">
            <w:pPr>
              <w:pStyle w:val="Z"/>
              <w:rPr>
                <w:b/>
                <w:bCs/>
                <w:color w:val="000000" w:themeColor="text1"/>
                <w:szCs w:val="18"/>
                <w:highlight w:val="yellow"/>
              </w:rPr>
            </w:pPr>
            <w:r w:rsidRPr="00217865">
              <w:rPr>
                <w:color w:val="000000" w:themeColor="text1"/>
                <w:szCs w:val="18"/>
              </w:rPr>
              <w:t>The JMC Academy</w:t>
            </w:r>
          </w:p>
        </w:tc>
        <w:tc>
          <w:tcPr>
            <w:tcW w:w="774" w:type="pct"/>
            <w:tcBorders>
              <w:top w:val="single" w:sz="4" w:space="0" w:color="auto"/>
              <w:left w:val="single" w:sz="4" w:space="0" w:color="auto"/>
              <w:bottom w:val="single" w:sz="4" w:space="0" w:color="auto"/>
              <w:right w:val="single" w:sz="4" w:space="0" w:color="auto"/>
            </w:tcBorders>
            <w:vAlign w:val="center"/>
          </w:tcPr>
          <w:p w14:paraId="1DA1E3B0"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181</w:t>
            </w:r>
          </w:p>
        </w:tc>
        <w:tc>
          <w:tcPr>
            <w:tcW w:w="774" w:type="pct"/>
            <w:tcBorders>
              <w:top w:val="single" w:sz="4" w:space="0" w:color="auto"/>
              <w:left w:val="single" w:sz="4" w:space="0" w:color="auto"/>
              <w:bottom w:val="single" w:sz="4" w:space="0" w:color="auto"/>
              <w:right w:val="single" w:sz="4" w:space="0" w:color="auto"/>
            </w:tcBorders>
            <w:vAlign w:val="center"/>
          </w:tcPr>
          <w:p w14:paraId="66A899D9"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6D22FB89"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86</w:t>
            </w:r>
          </w:p>
        </w:tc>
        <w:tc>
          <w:tcPr>
            <w:tcW w:w="774" w:type="pct"/>
            <w:tcBorders>
              <w:top w:val="single" w:sz="4" w:space="0" w:color="auto"/>
              <w:left w:val="single" w:sz="4" w:space="0" w:color="auto"/>
              <w:bottom w:val="single" w:sz="4" w:space="0" w:color="auto"/>
              <w:right w:val="single" w:sz="4" w:space="0" w:color="auto"/>
            </w:tcBorders>
            <w:vAlign w:val="center"/>
          </w:tcPr>
          <w:p w14:paraId="7218B193" w14:textId="77777777" w:rsidR="00821227" w:rsidRPr="00217865" w:rsidRDefault="00821227" w:rsidP="00A43B35">
            <w:pPr>
              <w:pStyle w:val="Z"/>
              <w:jc w:val="center"/>
              <w:rPr>
                <w:b/>
                <w:color w:val="000000" w:themeColor="text1"/>
                <w:szCs w:val="18"/>
                <w:highlight w:val="yellow"/>
              </w:rPr>
            </w:pPr>
            <w:r w:rsidRPr="00217865">
              <w:rPr>
                <w:color w:val="000000" w:themeColor="text1"/>
                <w:szCs w:val="18"/>
              </w:rPr>
              <w:t>0.3</w:t>
            </w:r>
          </w:p>
        </w:tc>
      </w:tr>
      <w:tr w:rsidR="00217865" w:rsidRPr="00217865" w14:paraId="5B007511"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74E2333" w14:textId="77777777" w:rsidR="00821227" w:rsidRPr="00217865" w:rsidRDefault="00821227" w:rsidP="00A43B35">
            <w:pPr>
              <w:pStyle w:val="Z"/>
              <w:rPr>
                <w:color w:val="000000" w:themeColor="text1"/>
                <w:szCs w:val="18"/>
                <w:highlight w:val="yellow"/>
              </w:rPr>
            </w:pPr>
            <w:r w:rsidRPr="00217865">
              <w:rPr>
                <w:color w:val="000000" w:themeColor="text1"/>
                <w:szCs w:val="18"/>
              </w:rPr>
              <w:t>Think Education</w:t>
            </w:r>
          </w:p>
        </w:tc>
        <w:tc>
          <w:tcPr>
            <w:tcW w:w="774" w:type="pct"/>
            <w:tcBorders>
              <w:top w:val="single" w:sz="4" w:space="0" w:color="auto"/>
              <w:left w:val="single" w:sz="4" w:space="0" w:color="auto"/>
              <w:bottom w:val="single" w:sz="4" w:space="0" w:color="auto"/>
              <w:right w:val="single" w:sz="4" w:space="0" w:color="auto"/>
            </w:tcBorders>
            <w:vAlign w:val="center"/>
          </w:tcPr>
          <w:p w14:paraId="5BA911A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17</w:t>
            </w:r>
          </w:p>
        </w:tc>
        <w:tc>
          <w:tcPr>
            <w:tcW w:w="774" w:type="pct"/>
            <w:tcBorders>
              <w:top w:val="single" w:sz="4" w:space="0" w:color="auto"/>
              <w:left w:val="single" w:sz="4" w:space="0" w:color="auto"/>
              <w:bottom w:val="single" w:sz="4" w:space="0" w:color="auto"/>
              <w:right w:val="single" w:sz="4" w:space="0" w:color="auto"/>
            </w:tcBorders>
            <w:vAlign w:val="center"/>
          </w:tcPr>
          <w:p w14:paraId="0016068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68048BD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w:t>
            </w:r>
          </w:p>
        </w:tc>
        <w:tc>
          <w:tcPr>
            <w:tcW w:w="774" w:type="pct"/>
            <w:tcBorders>
              <w:top w:val="single" w:sz="4" w:space="0" w:color="auto"/>
              <w:left w:val="single" w:sz="4" w:space="0" w:color="auto"/>
              <w:bottom w:val="single" w:sz="4" w:space="0" w:color="auto"/>
              <w:right w:val="single" w:sz="4" w:space="0" w:color="auto"/>
            </w:tcBorders>
            <w:vAlign w:val="center"/>
          </w:tcPr>
          <w:p w14:paraId="117545B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6A962C92"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B97E31E" w14:textId="77777777" w:rsidR="00821227" w:rsidRPr="00217865" w:rsidRDefault="00821227" w:rsidP="00A43B35">
            <w:pPr>
              <w:pStyle w:val="Z"/>
              <w:rPr>
                <w:color w:val="000000" w:themeColor="text1"/>
                <w:szCs w:val="18"/>
                <w:highlight w:val="yellow"/>
              </w:rPr>
            </w:pPr>
            <w:r w:rsidRPr="00217865">
              <w:rPr>
                <w:color w:val="000000" w:themeColor="text1"/>
                <w:szCs w:val="18"/>
              </w:rPr>
              <w:t>Universal Business School Sydney</w:t>
            </w:r>
          </w:p>
        </w:tc>
        <w:tc>
          <w:tcPr>
            <w:tcW w:w="774" w:type="pct"/>
            <w:tcBorders>
              <w:top w:val="single" w:sz="4" w:space="0" w:color="auto"/>
              <w:left w:val="single" w:sz="4" w:space="0" w:color="auto"/>
              <w:bottom w:val="single" w:sz="4" w:space="0" w:color="auto"/>
              <w:right w:val="single" w:sz="4" w:space="0" w:color="auto"/>
            </w:tcBorders>
            <w:vAlign w:val="center"/>
          </w:tcPr>
          <w:p w14:paraId="4CF0DCD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136</w:t>
            </w:r>
          </w:p>
        </w:tc>
        <w:tc>
          <w:tcPr>
            <w:tcW w:w="774" w:type="pct"/>
            <w:tcBorders>
              <w:top w:val="single" w:sz="4" w:space="0" w:color="auto"/>
              <w:left w:val="single" w:sz="4" w:space="0" w:color="auto"/>
              <w:bottom w:val="single" w:sz="4" w:space="0" w:color="auto"/>
              <w:right w:val="single" w:sz="4" w:space="0" w:color="auto"/>
            </w:tcBorders>
            <w:vAlign w:val="center"/>
          </w:tcPr>
          <w:p w14:paraId="4F5560B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196B942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31</w:t>
            </w:r>
          </w:p>
        </w:tc>
        <w:tc>
          <w:tcPr>
            <w:tcW w:w="774" w:type="pct"/>
            <w:tcBorders>
              <w:top w:val="single" w:sz="4" w:space="0" w:color="auto"/>
              <w:left w:val="single" w:sz="4" w:space="0" w:color="auto"/>
              <w:bottom w:val="single" w:sz="4" w:space="0" w:color="auto"/>
              <w:right w:val="single" w:sz="4" w:space="0" w:color="auto"/>
            </w:tcBorders>
            <w:vAlign w:val="center"/>
          </w:tcPr>
          <w:p w14:paraId="4F1EC5C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3FF07E2C"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E38CF9B" w14:textId="77777777" w:rsidR="00821227" w:rsidRPr="00217865" w:rsidRDefault="00821227" w:rsidP="00A43B35">
            <w:pPr>
              <w:pStyle w:val="Z"/>
              <w:rPr>
                <w:color w:val="000000" w:themeColor="text1"/>
                <w:szCs w:val="18"/>
                <w:highlight w:val="yellow"/>
              </w:rPr>
            </w:pPr>
            <w:r w:rsidRPr="00217865">
              <w:rPr>
                <w:color w:val="000000" w:themeColor="text1"/>
                <w:szCs w:val="18"/>
              </w:rPr>
              <w:t>UOW College</w:t>
            </w:r>
          </w:p>
        </w:tc>
        <w:tc>
          <w:tcPr>
            <w:tcW w:w="774" w:type="pct"/>
            <w:tcBorders>
              <w:top w:val="single" w:sz="4" w:space="0" w:color="auto"/>
              <w:left w:val="single" w:sz="4" w:space="0" w:color="auto"/>
              <w:bottom w:val="single" w:sz="4" w:space="0" w:color="auto"/>
              <w:right w:val="single" w:sz="4" w:space="0" w:color="auto"/>
            </w:tcBorders>
            <w:vAlign w:val="center"/>
          </w:tcPr>
          <w:p w14:paraId="04813CB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202</w:t>
            </w:r>
          </w:p>
        </w:tc>
        <w:tc>
          <w:tcPr>
            <w:tcW w:w="774" w:type="pct"/>
            <w:tcBorders>
              <w:top w:val="single" w:sz="4" w:space="0" w:color="auto"/>
              <w:left w:val="single" w:sz="4" w:space="0" w:color="auto"/>
              <w:bottom w:val="single" w:sz="4" w:space="0" w:color="auto"/>
              <w:right w:val="single" w:sz="4" w:space="0" w:color="auto"/>
            </w:tcBorders>
            <w:vAlign w:val="center"/>
          </w:tcPr>
          <w:p w14:paraId="6D03C073"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c>
          <w:tcPr>
            <w:tcW w:w="774" w:type="pct"/>
            <w:tcBorders>
              <w:top w:val="single" w:sz="4" w:space="0" w:color="auto"/>
              <w:left w:val="single" w:sz="4" w:space="0" w:color="auto"/>
              <w:bottom w:val="single" w:sz="4" w:space="0" w:color="auto"/>
              <w:right w:val="single" w:sz="4" w:space="0" w:color="auto"/>
            </w:tcBorders>
            <w:vAlign w:val="center"/>
          </w:tcPr>
          <w:p w14:paraId="43FAF8E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53</w:t>
            </w:r>
          </w:p>
        </w:tc>
        <w:tc>
          <w:tcPr>
            <w:tcW w:w="774" w:type="pct"/>
            <w:tcBorders>
              <w:top w:val="single" w:sz="4" w:space="0" w:color="auto"/>
              <w:left w:val="single" w:sz="4" w:space="0" w:color="auto"/>
              <w:bottom w:val="single" w:sz="4" w:space="0" w:color="auto"/>
              <w:right w:val="single" w:sz="4" w:space="0" w:color="auto"/>
            </w:tcBorders>
            <w:vAlign w:val="center"/>
          </w:tcPr>
          <w:p w14:paraId="0E2BC350"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217865" w:rsidRPr="00217865" w14:paraId="2200916B"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8253AF9" w14:textId="77777777" w:rsidR="00821227" w:rsidRPr="00217865" w:rsidRDefault="00821227" w:rsidP="00A43B35">
            <w:pPr>
              <w:pStyle w:val="Z"/>
              <w:rPr>
                <w:color w:val="000000" w:themeColor="text1"/>
                <w:szCs w:val="18"/>
                <w:highlight w:val="yellow"/>
              </w:rPr>
            </w:pPr>
            <w:r w:rsidRPr="00217865">
              <w:rPr>
                <w:color w:val="000000" w:themeColor="text1"/>
                <w:szCs w:val="18"/>
              </w:rPr>
              <w:t>UTS College</w:t>
            </w:r>
          </w:p>
        </w:tc>
        <w:tc>
          <w:tcPr>
            <w:tcW w:w="774" w:type="pct"/>
            <w:tcBorders>
              <w:top w:val="single" w:sz="4" w:space="0" w:color="auto"/>
              <w:left w:val="single" w:sz="4" w:space="0" w:color="auto"/>
              <w:bottom w:val="single" w:sz="4" w:space="0" w:color="auto"/>
              <w:right w:val="single" w:sz="4" w:space="0" w:color="auto"/>
            </w:tcBorders>
            <w:vAlign w:val="center"/>
          </w:tcPr>
          <w:p w14:paraId="175425E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348</w:t>
            </w:r>
          </w:p>
        </w:tc>
        <w:tc>
          <w:tcPr>
            <w:tcW w:w="774" w:type="pct"/>
            <w:tcBorders>
              <w:top w:val="single" w:sz="4" w:space="0" w:color="auto"/>
              <w:left w:val="single" w:sz="4" w:space="0" w:color="auto"/>
              <w:bottom w:val="single" w:sz="4" w:space="0" w:color="auto"/>
              <w:right w:val="single" w:sz="4" w:space="0" w:color="auto"/>
            </w:tcBorders>
            <w:vAlign w:val="center"/>
          </w:tcPr>
          <w:p w14:paraId="123E87F4"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c>
          <w:tcPr>
            <w:tcW w:w="774" w:type="pct"/>
            <w:tcBorders>
              <w:top w:val="single" w:sz="4" w:space="0" w:color="auto"/>
              <w:left w:val="single" w:sz="4" w:space="0" w:color="auto"/>
              <w:bottom w:val="single" w:sz="4" w:space="0" w:color="auto"/>
              <w:right w:val="single" w:sz="4" w:space="0" w:color="auto"/>
            </w:tcBorders>
            <w:vAlign w:val="center"/>
          </w:tcPr>
          <w:p w14:paraId="03F2533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135</w:t>
            </w:r>
          </w:p>
        </w:tc>
        <w:tc>
          <w:tcPr>
            <w:tcW w:w="774" w:type="pct"/>
            <w:tcBorders>
              <w:top w:val="single" w:sz="4" w:space="0" w:color="auto"/>
              <w:left w:val="single" w:sz="4" w:space="0" w:color="auto"/>
              <w:bottom w:val="single" w:sz="4" w:space="0" w:color="auto"/>
              <w:right w:val="single" w:sz="4" w:space="0" w:color="auto"/>
            </w:tcBorders>
            <w:vAlign w:val="center"/>
          </w:tcPr>
          <w:p w14:paraId="02701C7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0.5</w:t>
            </w:r>
          </w:p>
        </w:tc>
      </w:tr>
      <w:tr w:rsidR="00217865" w:rsidRPr="00217865" w14:paraId="2E785B53"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AD77258" w14:textId="77777777" w:rsidR="00821227" w:rsidRPr="00217865" w:rsidRDefault="00821227" w:rsidP="00A43B35">
            <w:pPr>
              <w:pStyle w:val="Z"/>
              <w:rPr>
                <w:color w:val="000000" w:themeColor="text1"/>
                <w:szCs w:val="18"/>
                <w:highlight w:val="yellow"/>
              </w:rPr>
            </w:pPr>
            <w:r w:rsidRPr="00217865">
              <w:rPr>
                <w:color w:val="000000" w:themeColor="text1"/>
                <w:szCs w:val="18"/>
              </w:rPr>
              <w:t>VIT (Victorian Institute of Technology)</w:t>
            </w:r>
          </w:p>
        </w:tc>
        <w:tc>
          <w:tcPr>
            <w:tcW w:w="774" w:type="pct"/>
            <w:tcBorders>
              <w:top w:val="single" w:sz="4" w:space="0" w:color="auto"/>
              <w:left w:val="single" w:sz="4" w:space="0" w:color="auto"/>
              <w:bottom w:val="single" w:sz="4" w:space="0" w:color="auto"/>
              <w:right w:val="single" w:sz="4" w:space="0" w:color="auto"/>
            </w:tcBorders>
            <w:vAlign w:val="center"/>
          </w:tcPr>
          <w:p w14:paraId="064A547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255</w:t>
            </w:r>
          </w:p>
        </w:tc>
        <w:tc>
          <w:tcPr>
            <w:tcW w:w="774" w:type="pct"/>
            <w:tcBorders>
              <w:top w:val="single" w:sz="4" w:space="0" w:color="auto"/>
              <w:left w:val="single" w:sz="4" w:space="0" w:color="auto"/>
              <w:bottom w:val="single" w:sz="4" w:space="0" w:color="auto"/>
              <w:right w:val="single" w:sz="4" w:space="0" w:color="auto"/>
            </w:tcBorders>
            <w:vAlign w:val="center"/>
          </w:tcPr>
          <w:p w14:paraId="6C9813E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2141671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128</w:t>
            </w:r>
          </w:p>
        </w:tc>
        <w:tc>
          <w:tcPr>
            <w:tcW w:w="774" w:type="pct"/>
            <w:tcBorders>
              <w:top w:val="single" w:sz="4" w:space="0" w:color="auto"/>
              <w:left w:val="single" w:sz="4" w:space="0" w:color="auto"/>
              <w:bottom w:val="single" w:sz="4" w:space="0" w:color="auto"/>
              <w:right w:val="single" w:sz="4" w:space="0" w:color="auto"/>
            </w:tcBorders>
            <w:vAlign w:val="center"/>
          </w:tcPr>
          <w:p w14:paraId="651D41F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0.4</w:t>
            </w:r>
          </w:p>
        </w:tc>
      </w:tr>
      <w:tr w:rsidR="00217865" w:rsidRPr="00217865" w14:paraId="108109FD"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A545AA3" w14:textId="77777777" w:rsidR="00821227" w:rsidRPr="00217865" w:rsidRDefault="00821227" w:rsidP="00A43B35">
            <w:pPr>
              <w:pStyle w:val="Z"/>
              <w:rPr>
                <w:color w:val="000000" w:themeColor="text1"/>
                <w:szCs w:val="18"/>
                <w:highlight w:val="yellow"/>
              </w:rPr>
            </w:pPr>
            <w:r w:rsidRPr="00217865">
              <w:rPr>
                <w:color w:val="000000" w:themeColor="text1"/>
                <w:szCs w:val="18"/>
              </w:rPr>
              <w:t>Wentworth Institute of Higher Education</w:t>
            </w:r>
          </w:p>
        </w:tc>
        <w:tc>
          <w:tcPr>
            <w:tcW w:w="774" w:type="pct"/>
            <w:tcBorders>
              <w:top w:val="single" w:sz="4" w:space="0" w:color="auto"/>
              <w:left w:val="single" w:sz="4" w:space="0" w:color="auto"/>
              <w:bottom w:val="single" w:sz="4" w:space="0" w:color="auto"/>
              <w:right w:val="single" w:sz="4" w:space="0" w:color="auto"/>
            </w:tcBorders>
            <w:vAlign w:val="center"/>
          </w:tcPr>
          <w:p w14:paraId="71261719"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536</w:t>
            </w:r>
          </w:p>
        </w:tc>
        <w:tc>
          <w:tcPr>
            <w:tcW w:w="774" w:type="pct"/>
            <w:tcBorders>
              <w:top w:val="single" w:sz="4" w:space="0" w:color="auto"/>
              <w:left w:val="single" w:sz="4" w:space="0" w:color="auto"/>
              <w:bottom w:val="single" w:sz="4" w:space="0" w:color="auto"/>
              <w:right w:val="single" w:sz="4" w:space="0" w:color="auto"/>
            </w:tcBorders>
            <w:vAlign w:val="center"/>
          </w:tcPr>
          <w:p w14:paraId="5D510BE6"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0.6</w:t>
            </w:r>
          </w:p>
        </w:tc>
        <w:tc>
          <w:tcPr>
            <w:tcW w:w="774" w:type="pct"/>
            <w:tcBorders>
              <w:top w:val="single" w:sz="4" w:space="0" w:color="auto"/>
              <w:left w:val="single" w:sz="4" w:space="0" w:color="auto"/>
              <w:bottom w:val="single" w:sz="4" w:space="0" w:color="auto"/>
              <w:right w:val="single" w:sz="4" w:space="0" w:color="auto"/>
            </w:tcBorders>
            <w:vAlign w:val="center"/>
          </w:tcPr>
          <w:p w14:paraId="09424D1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217</w:t>
            </w:r>
          </w:p>
        </w:tc>
        <w:tc>
          <w:tcPr>
            <w:tcW w:w="774" w:type="pct"/>
            <w:tcBorders>
              <w:top w:val="single" w:sz="4" w:space="0" w:color="auto"/>
              <w:left w:val="single" w:sz="4" w:space="0" w:color="auto"/>
              <w:bottom w:val="single" w:sz="4" w:space="0" w:color="auto"/>
              <w:right w:val="single" w:sz="4" w:space="0" w:color="auto"/>
            </w:tcBorders>
            <w:vAlign w:val="center"/>
          </w:tcPr>
          <w:p w14:paraId="4F948A0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0.7</w:t>
            </w:r>
          </w:p>
        </w:tc>
      </w:tr>
      <w:tr w:rsidR="00217865" w:rsidRPr="00217865" w14:paraId="0F49C07F"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168ECA7" w14:textId="77777777" w:rsidR="00821227" w:rsidRPr="00217865" w:rsidRDefault="00821227" w:rsidP="00A43B35">
            <w:pPr>
              <w:pStyle w:val="Z"/>
              <w:rPr>
                <w:color w:val="000000" w:themeColor="text1"/>
                <w:szCs w:val="18"/>
                <w:highlight w:val="yellow"/>
              </w:rPr>
            </w:pPr>
            <w:r w:rsidRPr="00217865">
              <w:rPr>
                <w:color w:val="000000" w:themeColor="text1"/>
                <w:szCs w:val="18"/>
              </w:rPr>
              <w:t>Western Sydney University International College</w:t>
            </w:r>
          </w:p>
        </w:tc>
        <w:tc>
          <w:tcPr>
            <w:tcW w:w="774" w:type="pct"/>
            <w:tcBorders>
              <w:top w:val="single" w:sz="4" w:space="0" w:color="auto"/>
              <w:left w:val="single" w:sz="4" w:space="0" w:color="auto"/>
              <w:bottom w:val="single" w:sz="4" w:space="0" w:color="auto"/>
              <w:right w:val="single" w:sz="4" w:space="0" w:color="auto"/>
            </w:tcBorders>
            <w:vAlign w:val="center"/>
          </w:tcPr>
          <w:p w14:paraId="714B8FE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113</w:t>
            </w:r>
          </w:p>
        </w:tc>
        <w:tc>
          <w:tcPr>
            <w:tcW w:w="774" w:type="pct"/>
            <w:tcBorders>
              <w:top w:val="single" w:sz="4" w:space="0" w:color="auto"/>
              <w:left w:val="single" w:sz="4" w:space="0" w:color="auto"/>
              <w:bottom w:val="single" w:sz="4" w:space="0" w:color="auto"/>
              <w:right w:val="single" w:sz="4" w:space="0" w:color="auto"/>
            </w:tcBorders>
            <w:vAlign w:val="center"/>
          </w:tcPr>
          <w:p w14:paraId="7ADD0E9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c>
          <w:tcPr>
            <w:tcW w:w="774" w:type="pct"/>
            <w:tcBorders>
              <w:top w:val="single" w:sz="4" w:space="0" w:color="auto"/>
              <w:left w:val="single" w:sz="4" w:space="0" w:color="auto"/>
              <w:bottom w:val="single" w:sz="4" w:space="0" w:color="auto"/>
              <w:right w:val="single" w:sz="4" w:space="0" w:color="auto"/>
            </w:tcBorders>
            <w:vAlign w:val="center"/>
          </w:tcPr>
          <w:p w14:paraId="0D86EB77"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29</w:t>
            </w:r>
          </w:p>
        </w:tc>
        <w:tc>
          <w:tcPr>
            <w:tcW w:w="774" w:type="pct"/>
            <w:tcBorders>
              <w:top w:val="single" w:sz="4" w:space="0" w:color="auto"/>
              <w:left w:val="single" w:sz="4" w:space="0" w:color="auto"/>
              <w:bottom w:val="single" w:sz="4" w:space="0" w:color="auto"/>
              <w:right w:val="single" w:sz="4" w:space="0" w:color="auto"/>
            </w:tcBorders>
            <w:vAlign w:val="center"/>
          </w:tcPr>
          <w:p w14:paraId="0C03F7E5"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0.1</w:t>
            </w:r>
          </w:p>
        </w:tc>
      </w:tr>
      <w:tr w:rsidR="00217865" w:rsidRPr="00217865" w14:paraId="377CF1A5"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B6A735F" w14:textId="77777777" w:rsidR="00821227" w:rsidRPr="00217865" w:rsidRDefault="00821227" w:rsidP="00A43B35">
            <w:pPr>
              <w:pStyle w:val="Z"/>
              <w:rPr>
                <w:color w:val="000000" w:themeColor="text1"/>
                <w:szCs w:val="18"/>
                <w:highlight w:val="yellow"/>
              </w:rPr>
            </w:pPr>
            <w:r w:rsidRPr="00217865">
              <w:rPr>
                <w:color w:val="000000" w:themeColor="text1"/>
                <w:szCs w:val="18"/>
              </w:rPr>
              <w:t>Whitehouse Institute of Design, Australia</w:t>
            </w:r>
          </w:p>
        </w:tc>
        <w:tc>
          <w:tcPr>
            <w:tcW w:w="774" w:type="pct"/>
            <w:tcBorders>
              <w:top w:val="single" w:sz="4" w:space="0" w:color="auto"/>
              <w:left w:val="single" w:sz="4" w:space="0" w:color="auto"/>
              <w:bottom w:val="single" w:sz="4" w:space="0" w:color="auto"/>
              <w:right w:val="single" w:sz="4" w:space="0" w:color="auto"/>
            </w:tcBorders>
            <w:vAlign w:val="center"/>
          </w:tcPr>
          <w:p w14:paraId="5DD8D5EE"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7</w:t>
            </w:r>
          </w:p>
        </w:tc>
        <w:tc>
          <w:tcPr>
            <w:tcW w:w="774" w:type="pct"/>
            <w:tcBorders>
              <w:top w:val="single" w:sz="4" w:space="0" w:color="auto"/>
              <w:left w:val="single" w:sz="4" w:space="0" w:color="auto"/>
              <w:bottom w:val="single" w:sz="4" w:space="0" w:color="auto"/>
              <w:right w:val="single" w:sz="4" w:space="0" w:color="auto"/>
            </w:tcBorders>
            <w:vAlign w:val="center"/>
          </w:tcPr>
          <w:p w14:paraId="6294042B"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c>
          <w:tcPr>
            <w:tcW w:w="774" w:type="pct"/>
            <w:tcBorders>
              <w:top w:val="single" w:sz="4" w:space="0" w:color="auto"/>
              <w:left w:val="single" w:sz="4" w:space="0" w:color="auto"/>
              <w:bottom w:val="single" w:sz="4" w:space="0" w:color="auto"/>
              <w:right w:val="single" w:sz="4" w:space="0" w:color="auto"/>
            </w:tcBorders>
            <w:vAlign w:val="center"/>
          </w:tcPr>
          <w:p w14:paraId="6370D75C"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&lt;5</w:t>
            </w:r>
          </w:p>
        </w:tc>
        <w:tc>
          <w:tcPr>
            <w:tcW w:w="774" w:type="pct"/>
            <w:tcBorders>
              <w:top w:val="single" w:sz="4" w:space="0" w:color="auto"/>
              <w:left w:val="single" w:sz="4" w:space="0" w:color="auto"/>
              <w:bottom w:val="single" w:sz="4" w:space="0" w:color="auto"/>
              <w:right w:val="single" w:sz="4" w:space="0" w:color="auto"/>
            </w:tcBorders>
            <w:vAlign w:val="center"/>
          </w:tcPr>
          <w:p w14:paraId="7B02DA4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0.0</w:t>
            </w:r>
          </w:p>
        </w:tc>
      </w:tr>
      <w:tr w:rsidR="00217865" w:rsidRPr="00217865" w14:paraId="4F471724"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F4F1996" w14:textId="77777777" w:rsidR="00821227" w:rsidRPr="00217865" w:rsidRDefault="00821227" w:rsidP="00A43B35">
            <w:pPr>
              <w:pStyle w:val="Z"/>
              <w:rPr>
                <w:color w:val="000000" w:themeColor="text1"/>
                <w:szCs w:val="18"/>
                <w:highlight w:val="yellow"/>
              </w:rPr>
            </w:pPr>
            <w:r w:rsidRPr="00217865">
              <w:rPr>
                <w:color w:val="000000" w:themeColor="text1"/>
                <w:szCs w:val="18"/>
              </w:rPr>
              <w:t>William Angliss Institute</w:t>
            </w:r>
          </w:p>
        </w:tc>
        <w:tc>
          <w:tcPr>
            <w:tcW w:w="774" w:type="pct"/>
            <w:tcBorders>
              <w:top w:val="single" w:sz="4" w:space="0" w:color="auto"/>
              <w:left w:val="single" w:sz="4" w:space="0" w:color="auto"/>
              <w:bottom w:val="single" w:sz="4" w:space="0" w:color="auto"/>
              <w:right w:val="single" w:sz="4" w:space="0" w:color="auto"/>
            </w:tcBorders>
            <w:vAlign w:val="center"/>
          </w:tcPr>
          <w:p w14:paraId="289576BF"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280</w:t>
            </w:r>
          </w:p>
        </w:tc>
        <w:tc>
          <w:tcPr>
            <w:tcW w:w="774" w:type="pct"/>
            <w:tcBorders>
              <w:top w:val="single" w:sz="4" w:space="0" w:color="auto"/>
              <w:left w:val="single" w:sz="4" w:space="0" w:color="auto"/>
              <w:bottom w:val="single" w:sz="4" w:space="0" w:color="auto"/>
              <w:right w:val="single" w:sz="4" w:space="0" w:color="auto"/>
            </w:tcBorders>
            <w:vAlign w:val="center"/>
          </w:tcPr>
          <w:p w14:paraId="08F93C68"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0.3</w:t>
            </w:r>
          </w:p>
        </w:tc>
        <w:tc>
          <w:tcPr>
            <w:tcW w:w="774" w:type="pct"/>
            <w:tcBorders>
              <w:top w:val="single" w:sz="4" w:space="0" w:color="auto"/>
              <w:left w:val="single" w:sz="4" w:space="0" w:color="auto"/>
              <w:bottom w:val="single" w:sz="4" w:space="0" w:color="auto"/>
              <w:right w:val="single" w:sz="4" w:space="0" w:color="auto"/>
            </w:tcBorders>
            <w:vAlign w:val="center"/>
          </w:tcPr>
          <w:p w14:paraId="5C8F0C0A"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62</w:t>
            </w:r>
          </w:p>
        </w:tc>
        <w:tc>
          <w:tcPr>
            <w:tcW w:w="774" w:type="pct"/>
            <w:tcBorders>
              <w:top w:val="single" w:sz="4" w:space="0" w:color="auto"/>
              <w:left w:val="single" w:sz="4" w:space="0" w:color="auto"/>
              <w:bottom w:val="single" w:sz="4" w:space="0" w:color="auto"/>
              <w:right w:val="single" w:sz="4" w:space="0" w:color="auto"/>
            </w:tcBorders>
            <w:vAlign w:val="center"/>
          </w:tcPr>
          <w:p w14:paraId="76CDC68D" w14:textId="77777777" w:rsidR="00821227" w:rsidRPr="00217865" w:rsidRDefault="00821227" w:rsidP="00A43B35">
            <w:pPr>
              <w:pStyle w:val="Z"/>
              <w:jc w:val="center"/>
              <w:rPr>
                <w:color w:val="000000" w:themeColor="text1"/>
                <w:szCs w:val="18"/>
                <w:highlight w:val="yellow"/>
              </w:rPr>
            </w:pPr>
            <w:r w:rsidRPr="00217865">
              <w:rPr>
                <w:color w:val="000000" w:themeColor="text1"/>
                <w:szCs w:val="18"/>
              </w:rPr>
              <w:t>0.2</w:t>
            </w:r>
          </w:p>
        </w:tc>
      </w:tr>
      <w:tr w:rsidR="00821227" w:rsidRPr="00217865" w14:paraId="22AB9018" w14:textId="77777777" w:rsidTr="00A43B35">
        <w:trPr>
          <w:trHeight w:val="74"/>
        </w:trPr>
        <w:tc>
          <w:tcPr>
            <w:tcW w:w="1904"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54FAD19" w14:textId="77777777" w:rsidR="00821227" w:rsidRPr="00217865" w:rsidRDefault="00821227" w:rsidP="00A43B35">
            <w:pPr>
              <w:pStyle w:val="Z"/>
              <w:rPr>
                <w:b/>
                <w:bCs/>
                <w:color w:val="000000" w:themeColor="text1"/>
                <w:szCs w:val="18"/>
                <w:highlight w:val="yellow"/>
              </w:rPr>
            </w:pPr>
            <w:r w:rsidRPr="00217865">
              <w:rPr>
                <w:b/>
                <w:bCs/>
                <w:color w:val="000000" w:themeColor="text1"/>
                <w:szCs w:val="18"/>
              </w:rPr>
              <w:t>All NUHEIs</w:t>
            </w:r>
          </w:p>
        </w:tc>
        <w:tc>
          <w:tcPr>
            <w:tcW w:w="774" w:type="pct"/>
            <w:tcBorders>
              <w:top w:val="single" w:sz="4" w:space="0" w:color="auto"/>
              <w:left w:val="single" w:sz="4" w:space="0" w:color="auto"/>
              <w:bottom w:val="single" w:sz="4" w:space="0" w:color="auto"/>
              <w:right w:val="single" w:sz="4" w:space="0" w:color="auto"/>
            </w:tcBorders>
            <w:vAlign w:val="center"/>
          </w:tcPr>
          <w:p w14:paraId="0CB07CF0" w14:textId="77777777" w:rsidR="00821227" w:rsidRPr="00217865" w:rsidRDefault="00821227" w:rsidP="00A43B35">
            <w:pPr>
              <w:pStyle w:val="Z"/>
              <w:jc w:val="center"/>
              <w:rPr>
                <w:b/>
                <w:bCs/>
                <w:color w:val="000000" w:themeColor="text1"/>
                <w:szCs w:val="18"/>
                <w:highlight w:val="yellow"/>
              </w:rPr>
            </w:pPr>
            <w:r w:rsidRPr="00217865">
              <w:rPr>
                <w:b/>
                <w:bCs/>
                <w:color w:val="000000" w:themeColor="text1"/>
                <w:szCs w:val="18"/>
              </w:rPr>
              <w:t>20,515</w:t>
            </w:r>
          </w:p>
        </w:tc>
        <w:tc>
          <w:tcPr>
            <w:tcW w:w="774" w:type="pct"/>
            <w:tcBorders>
              <w:top w:val="single" w:sz="4" w:space="0" w:color="auto"/>
              <w:left w:val="single" w:sz="4" w:space="0" w:color="auto"/>
              <w:bottom w:val="single" w:sz="4" w:space="0" w:color="auto"/>
              <w:right w:val="single" w:sz="4" w:space="0" w:color="auto"/>
            </w:tcBorders>
            <w:vAlign w:val="center"/>
          </w:tcPr>
          <w:p w14:paraId="69B5C98B" w14:textId="77777777" w:rsidR="00821227" w:rsidRPr="00217865" w:rsidRDefault="00821227" w:rsidP="00A43B35">
            <w:pPr>
              <w:pStyle w:val="Z"/>
              <w:jc w:val="center"/>
              <w:rPr>
                <w:b/>
                <w:bCs/>
                <w:color w:val="000000" w:themeColor="text1"/>
                <w:szCs w:val="18"/>
                <w:highlight w:val="yellow"/>
              </w:rPr>
            </w:pPr>
            <w:r w:rsidRPr="00217865">
              <w:rPr>
                <w:b/>
                <w:bCs/>
                <w:color w:val="000000" w:themeColor="text1"/>
                <w:szCs w:val="18"/>
              </w:rPr>
              <w:t>21.4</w:t>
            </w:r>
          </w:p>
        </w:tc>
        <w:tc>
          <w:tcPr>
            <w:tcW w:w="774" w:type="pct"/>
            <w:tcBorders>
              <w:top w:val="single" w:sz="4" w:space="0" w:color="auto"/>
              <w:left w:val="single" w:sz="4" w:space="0" w:color="auto"/>
              <w:bottom w:val="single" w:sz="4" w:space="0" w:color="auto"/>
              <w:right w:val="single" w:sz="4" w:space="0" w:color="auto"/>
            </w:tcBorders>
            <w:vAlign w:val="center"/>
          </w:tcPr>
          <w:p w14:paraId="7E01C8D6" w14:textId="77777777" w:rsidR="00821227" w:rsidRPr="00217865" w:rsidRDefault="00821227" w:rsidP="00A43B35">
            <w:pPr>
              <w:pStyle w:val="Z"/>
              <w:jc w:val="center"/>
              <w:rPr>
                <w:b/>
                <w:bCs/>
                <w:color w:val="000000" w:themeColor="text1"/>
                <w:szCs w:val="18"/>
                <w:highlight w:val="yellow"/>
              </w:rPr>
            </w:pPr>
            <w:r w:rsidRPr="00217865">
              <w:rPr>
                <w:b/>
                <w:bCs/>
                <w:color w:val="000000" w:themeColor="text1"/>
                <w:szCs w:val="18"/>
              </w:rPr>
              <w:t>7,486</w:t>
            </w:r>
          </w:p>
        </w:tc>
        <w:tc>
          <w:tcPr>
            <w:tcW w:w="774" w:type="pct"/>
            <w:tcBorders>
              <w:top w:val="single" w:sz="4" w:space="0" w:color="auto"/>
              <w:left w:val="single" w:sz="4" w:space="0" w:color="auto"/>
              <w:bottom w:val="single" w:sz="4" w:space="0" w:color="auto"/>
              <w:right w:val="single" w:sz="4" w:space="0" w:color="auto"/>
            </w:tcBorders>
            <w:vAlign w:val="center"/>
          </w:tcPr>
          <w:p w14:paraId="2582B6CD" w14:textId="77777777" w:rsidR="00821227" w:rsidRPr="00217865" w:rsidRDefault="00821227" w:rsidP="00A43B35">
            <w:pPr>
              <w:pStyle w:val="Z"/>
              <w:jc w:val="center"/>
              <w:rPr>
                <w:b/>
                <w:bCs/>
                <w:color w:val="000000" w:themeColor="text1"/>
                <w:szCs w:val="18"/>
                <w:highlight w:val="yellow"/>
              </w:rPr>
            </w:pPr>
            <w:r w:rsidRPr="00217865">
              <w:rPr>
                <w:b/>
                <w:bCs/>
                <w:color w:val="000000" w:themeColor="text1"/>
                <w:szCs w:val="18"/>
              </w:rPr>
              <w:t>25.2</w:t>
            </w:r>
          </w:p>
        </w:tc>
      </w:tr>
    </w:tbl>
    <w:p w14:paraId="2AC3B659" w14:textId="77777777" w:rsidR="00821227" w:rsidRPr="00217865" w:rsidRDefault="00821227" w:rsidP="00821227">
      <w:pPr>
        <w:pStyle w:val="Body"/>
        <w:rPr>
          <w:rFonts w:cs="Arial"/>
          <w:color w:val="000000" w:themeColor="text1"/>
          <w:highlight w:val="yellow"/>
          <w:lang w:val="en-GB" w:eastAsia="en-GB"/>
        </w:rPr>
      </w:pPr>
    </w:p>
    <w:p w14:paraId="31372EB4" w14:textId="26F09919" w:rsidR="00821227" w:rsidRPr="00217865" w:rsidRDefault="00821227" w:rsidP="00821227">
      <w:pPr>
        <w:pStyle w:val="Caption"/>
        <w:rPr>
          <w:b w:val="0"/>
          <w:iCs/>
          <w:color w:val="000000" w:themeColor="text1"/>
          <w:szCs w:val="20"/>
          <w:lang w:val="en-GB"/>
        </w:rPr>
      </w:pPr>
      <w:bookmarkStart w:id="335" w:name="_Ref71018209"/>
      <w:bookmarkStart w:id="336" w:name="_Toc178599383"/>
      <w:r w:rsidRPr="00217865">
        <w:rPr>
          <w:color w:val="000000" w:themeColor="text1"/>
          <w:szCs w:val="20"/>
          <w:lang w:val="en-GB"/>
        </w:rPr>
        <w:t xml:space="preserve">Table </w:t>
      </w:r>
      <w:r w:rsidRPr="00217865">
        <w:rPr>
          <w:b w:val="0"/>
          <w:iCs/>
          <w:color w:val="000000" w:themeColor="text1"/>
          <w:szCs w:val="20"/>
          <w:lang w:val="en-GB"/>
        </w:rPr>
        <w:fldChar w:fldCharType="begin"/>
      </w:r>
      <w:r w:rsidRPr="00217865">
        <w:rPr>
          <w:color w:val="000000" w:themeColor="text1"/>
          <w:szCs w:val="20"/>
          <w:lang w:val="en-GB"/>
        </w:rPr>
        <w:instrText xml:space="preserve"> SEQ Table \* ARABIC </w:instrText>
      </w:r>
      <w:r w:rsidRPr="00217865">
        <w:rPr>
          <w:b w:val="0"/>
          <w:iCs/>
          <w:color w:val="000000" w:themeColor="text1"/>
          <w:szCs w:val="20"/>
          <w:lang w:val="en-GB"/>
        </w:rPr>
        <w:fldChar w:fldCharType="separate"/>
      </w:r>
      <w:r w:rsidR="005D5678">
        <w:rPr>
          <w:noProof/>
          <w:color w:val="000000" w:themeColor="text1"/>
          <w:szCs w:val="20"/>
          <w:lang w:val="en-GB"/>
        </w:rPr>
        <w:t>18</w:t>
      </w:r>
      <w:r w:rsidRPr="00217865">
        <w:rPr>
          <w:b w:val="0"/>
          <w:iCs/>
          <w:color w:val="000000" w:themeColor="text1"/>
          <w:szCs w:val="20"/>
          <w:lang w:val="en-GB"/>
        </w:rPr>
        <w:fldChar w:fldCharType="end"/>
      </w:r>
      <w:bookmarkEnd w:id="335"/>
      <w:r w:rsidR="00CF00B5">
        <w:rPr>
          <w:color w:val="000000" w:themeColor="text1"/>
          <w:szCs w:val="20"/>
          <w:lang w:val="en-GB"/>
        </w:rPr>
        <w:tab/>
      </w:r>
      <w:r w:rsidRPr="00217865">
        <w:rPr>
          <w:color w:val="000000" w:themeColor="text1"/>
          <w:szCs w:val="20"/>
          <w:lang w:val="en-GB"/>
        </w:rPr>
        <w:t>Undergraduate student population parameters and response characteristics by university, 2023</w:t>
      </w:r>
      <w:bookmarkEnd w:id="336"/>
    </w:p>
    <w:tbl>
      <w:tblPr>
        <w:tblW w:w="5000" w:type="pct"/>
        <w:tblLayout w:type="fixed"/>
        <w:tblCellMar>
          <w:left w:w="0" w:type="dxa"/>
          <w:right w:w="0" w:type="dxa"/>
        </w:tblCellMar>
        <w:tblLook w:val="0000" w:firstRow="0" w:lastRow="0" w:firstColumn="0" w:lastColumn="0" w:noHBand="0" w:noVBand="0"/>
      </w:tblPr>
      <w:tblGrid>
        <w:gridCol w:w="3901"/>
        <w:gridCol w:w="818"/>
        <w:gridCol w:w="821"/>
        <w:gridCol w:w="819"/>
        <w:gridCol w:w="821"/>
        <w:gridCol w:w="817"/>
        <w:gridCol w:w="819"/>
        <w:gridCol w:w="819"/>
        <w:gridCol w:w="815"/>
      </w:tblGrid>
      <w:tr w:rsidR="00217865" w:rsidRPr="00E13525" w14:paraId="7A4DF669" w14:textId="77777777" w:rsidTr="00E2454F">
        <w:trPr>
          <w:tblHeader/>
        </w:trPr>
        <w:tc>
          <w:tcPr>
            <w:tcW w:w="1866" w:type="pct"/>
            <w:tcBorders>
              <w:top w:val="single" w:sz="4" w:space="0" w:color="auto"/>
              <w:left w:val="single" w:sz="4" w:space="0" w:color="000000"/>
              <w:bottom w:val="single" w:sz="4" w:space="0" w:color="000000"/>
              <w:right w:val="single" w:sz="4" w:space="0" w:color="auto"/>
            </w:tcBorders>
            <w:tcMar>
              <w:top w:w="113" w:type="dxa"/>
              <w:left w:w="80" w:type="dxa"/>
              <w:bottom w:w="113" w:type="dxa"/>
              <w:right w:w="0" w:type="dxa"/>
            </w:tcMar>
            <w:vAlign w:val="bottom"/>
          </w:tcPr>
          <w:p w14:paraId="37BFA45A" w14:textId="5DDBAC42" w:rsidR="00821227" w:rsidRPr="00E13525" w:rsidRDefault="00CF00B5" w:rsidP="00E2454F">
            <w:pPr>
              <w:pStyle w:val="Tabletext"/>
              <w:spacing w:before="60" w:after="60"/>
              <w:rPr>
                <w:rFonts w:cs="Arial"/>
                <w:b/>
                <w:bCs/>
                <w:color w:val="000000" w:themeColor="text1"/>
              </w:rPr>
            </w:pPr>
            <w:r w:rsidRPr="00E13525">
              <w:rPr>
                <w:rFonts w:cs="Arial"/>
                <w:b/>
                <w:bCs/>
                <w:color w:val="000000" w:themeColor="text1"/>
              </w:rPr>
              <w:t>Un</w:t>
            </w:r>
            <w:bookmarkStart w:id="337" w:name="Title_18"/>
            <w:bookmarkEnd w:id="337"/>
            <w:r w:rsidRPr="00E13525">
              <w:rPr>
                <w:rFonts w:cs="Arial"/>
                <w:b/>
                <w:bCs/>
                <w:color w:val="000000" w:themeColor="text1"/>
              </w:rPr>
              <w:t xml:space="preserve">iversity </w:t>
            </w:r>
          </w:p>
        </w:tc>
        <w:tc>
          <w:tcPr>
            <w:tcW w:w="391" w:type="pct"/>
            <w:tcBorders>
              <w:top w:val="single" w:sz="4" w:space="0" w:color="auto"/>
              <w:left w:val="single" w:sz="4" w:space="0" w:color="auto"/>
              <w:bottom w:val="single" w:sz="4" w:space="0" w:color="auto"/>
              <w:right w:val="single" w:sz="4" w:space="0" w:color="auto"/>
            </w:tcBorders>
            <w:vAlign w:val="bottom"/>
          </w:tcPr>
          <w:p w14:paraId="4E10D30B" w14:textId="3B4E8A1E"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In-scope population Domestic </w:t>
            </w:r>
            <w:r w:rsidR="00821227" w:rsidRPr="00DD247F">
              <w:rPr>
                <w:rFonts w:ascii="Arial" w:hAnsi="Arial" w:cs="Arial"/>
                <w:b w:val="0"/>
                <w:bCs w:val="0"/>
                <w:color w:val="000000" w:themeColor="text1"/>
              </w:rPr>
              <w:t>n</w:t>
            </w:r>
          </w:p>
        </w:tc>
        <w:tc>
          <w:tcPr>
            <w:tcW w:w="393" w:type="pct"/>
            <w:tcBorders>
              <w:top w:val="single" w:sz="4" w:space="0" w:color="auto"/>
              <w:left w:val="single" w:sz="4" w:space="0" w:color="auto"/>
              <w:bottom w:val="single" w:sz="4" w:space="0" w:color="auto"/>
              <w:right w:val="single" w:sz="4" w:space="0" w:color="auto"/>
            </w:tcBorders>
            <w:vAlign w:val="bottom"/>
          </w:tcPr>
          <w:p w14:paraId="767D33F2" w14:textId="0657733B"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In-scope population Domestic </w:t>
            </w:r>
            <w:r w:rsidR="00821227" w:rsidRPr="00DD247F">
              <w:rPr>
                <w:rFonts w:ascii="Arial" w:hAnsi="Arial" w:cs="Arial"/>
                <w:b w:val="0"/>
                <w:bCs w:val="0"/>
                <w:color w:val="000000" w:themeColor="text1"/>
              </w:rPr>
              <w:t>%</w:t>
            </w:r>
          </w:p>
        </w:tc>
        <w:tc>
          <w:tcPr>
            <w:tcW w:w="392" w:type="pct"/>
            <w:tcBorders>
              <w:top w:val="single" w:sz="4" w:space="0" w:color="auto"/>
              <w:left w:val="single" w:sz="4" w:space="0" w:color="auto"/>
              <w:bottom w:val="single" w:sz="4" w:space="0" w:color="auto"/>
              <w:right w:val="single" w:sz="4" w:space="0" w:color="auto"/>
            </w:tcBorders>
            <w:vAlign w:val="bottom"/>
          </w:tcPr>
          <w:p w14:paraId="3C3EBAC8" w14:textId="0D6DA7CF"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In-scope population </w:t>
            </w:r>
            <w:proofErr w:type="gramStart"/>
            <w:r w:rsidRPr="00E13525">
              <w:rPr>
                <w:rFonts w:ascii="Arial" w:hAnsi="Arial" w:cs="Arial"/>
                <w:color w:val="000000" w:themeColor="text1"/>
              </w:rPr>
              <w:t>International</w:t>
            </w:r>
            <w:proofErr w:type="gramEnd"/>
            <w:r w:rsidRPr="00E13525">
              <w:rPr>
                <w:rFonts w:ascii="Arial" w:hAnsi="Arial" w:cs="Arial"/>
                <w:color w:val="000000" w:themeColor="text1"/>
              </w:rPr>
              <w:t xml:space="preserve"> </w:t>
            </w:r>
            <w:r w:rsidR="00821227" w:rsidRPr="00DD247F">
              <w:rPr>
                <w:rFonts w:ascii="Arial" w:hAnsi="Arial" w:cs="Arial"/>
                <w:b w:val="0"/>
                <w:bCs w:val="0"/>
                <w:color w:val="000000" w:themeColor="text1"/>
              </w:rPr>
              <w:t>n</w:t>
            </w:r>
          </w:p>
        </w:tc>
        <w:tc>
          <w:tcPr>
            <w:tcW w:w="393" w:type="pct"/>
            <w:tcBorders>
              <w:top w:val="single" w:sz="4" w:space="0" w:color="auto"/>
              <w:left w:val="single" w:sz="4" w:space="0" w:color="auto"/>
              <w:bottom w:val="single" w:sz="4" w:space="0" w:color="auto"/>
              <w:right w:val="single" w:sz="4" w:space="0" w:color="auto"/>
            </w:tcBorders>
            <w:vAlign w:val="bottom"/>
          </w:tcPr>
          <w:p w14:paraId="4D906BD6" w14:textId="12D231F5"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In-scope population International </w:t>
            </w:r>
            <w:r w:rsidR="00821227" w:rsidRPr="00DD247F">
              <w:rPr>
                <w:rFonts w:ascii="Arial" w:hAnsi="Arial" w:cs="Arial"/>
                <w:b w:val="0"/>
                <w:bCs w:val="0"/>
                <w:color w:val="000000" w:themeColor="text1"/>
              </w:rPr>
              <w:t>%</w:t>
            </w:r>
          </w:p>
        </w:tc>
        <w:tc>
          <w:tcPr>
            <w:tcW w:w="391" w:type="pct"/>
            <w:tcBorders>
              <w:top w:val="single" w:sz="4" w:space="0" w:color="auto"/>
              <w:left w:val="single" w:sz="4" w:space="0" w:color="auto"/>
              <w:bottom w:val="single" w:sz="4" w:space="0" w:color="auto"/>
              <w:right w:val="single" w:sz="4" w:space="0" w:color="auto"/>
            </w:tcBorders>
            <w:vAlign w:val="bottom"/>
          </w:tcPr>
          <w:p w14:paraId="3885E123" w14:textId="034A2771"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SES respondents Domestic </w:t>
            </w:r>
            <w:r w:rsidR="00821227" w:rsidRPr="00DD247F">
              <w:rPr>
                <w:rFonts w:ascii="Arial" w:hAnsi="Arial" w:cs="Arial"/>
                <w:b w:val="0"/>
                <w:bCs w:val="0"/>
                <w:color w:val="000000" w:themeColor="text1"/>
              </w:rPr>
              <w:t>n</w:t>
            </w:r>
          </w:p>
        </w:tc>
        <w:tc>
          <w:tcPr>
            <w:tcW w:w="392" w:type="pct"/>
            <w:tcBorders>
              <w:top w:val="single" w:sz="4" w:space="0" w:color="auto"/>
              <w:left w:val="single" w:sz="4" w:space="0" w:color="auto"/>
              <w:bottom w:val="single" w:sz="4" w:space="0" w:color="auto"/>
              <w:right w:val="single" w:sz="4" w:space="0" w:color="auto"/>
            </w:tcBorders>
            <w:vAlign w:val="bottom"/>
          </w:tcPr>
          <w:p w14:paraId="031AC0E1" w14:textId="45B87F74"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SES respondents Domestic </w:t>
            </w:r>
            <w:r w:rsidR="00821227" w:rsidRPr="00DD247F">
              <w:rPr>
                <w:rFonts w:ascii="Arial" w:hAnsi="Arial" w:cs="Arial"/>
                <w:b w:val="0"/>
                <w:bCs w:val="0"/>
                <w:color w:val="000000" w:themeColor="text1"/>
              </w:rPr>
              <w:t>%</w:t>
            </w:r>
          </w:p>
        </w:tc>
        <w:tc>
          <w:tcPr>
            <w:tcW w:w="392" w:type="pct"/>
            <w:tcBorders>
              <w:top w:val="single" w:sz="4" w:space="0" w:color="auto"/>
              <w:left w:val="single" w:sz="4" w:space="0" w:color="auto"/>
              <w:bottom w:val="single" w:sz="4" w:space="0" w:color="auto"/>
              <w:right w:val="single" w:sz="4" w:space="0" w:color="auto"/>
            </w:tcBorders>
            <w:vAlign w:val="bottom"/>
          </w:tcPr>
          <w:p w14:paraId="34661DF4" w14:textId="7BDC8AD9"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SES respondents </w:t>
            </w:r>
            <w:proofErr w:type="gramStart"/>
            <w:r w:rsidRPr="00E13525">
              <w:rPr>
                <w:rFonts w:ascii="Arial" w:hAnsi="Arial" w:cs="Arial"/>
                <w:color w:val="000000" w:themeColor="text1"/>
              </w:rPr>
              <w:t>International</w:t>
            </w:r>
            <w:proofErr w:type="gramEnd"/>
            <w:r w:rsidRPr="00E13525">
              <w:rPr>
                <w:rFonts w:ascii="Arial" w:hAnsi="Arial" w:cs="Arial"/>
                <w:color w:val="000000" w:themeColor="text1"/>
              </w:rPr>
              <w:t xml:space="preserve"> </w:t>
            </w:r>
            <w:r w:rsidR="00821227" w:rsidRPr="00DD247F">
              <w:rPr>
                <w:rFonts w:ascii="Arial" w:hAnsi="Arial" w:cs="Arial"/>
                <w:b w:val="0"/>
                <w:bCs w:val="0"/>
                <w:color w:val="000000" w:themeColor="text1"/>
              </w:rPr>
              <w:t>n</w:t>
            </w:r>
          </w:p>
        </w:tc>
        <w:tc>
          <w:tcPr>
            <w:tcW w:w="391" w:type="pct"/>
            <w:tcBorders>
              <w:top w:val="single" w:sz="4" w:space="0" w:color="auto"/>
              <w:left w:val="single" w:sz="4" w:space="0" w:color="auto"/>
              <w:bottom w:val="single" w:sz="4" w:space="0" w:color="auto"/>
              <w:right w:val="single" w:sz="4" w:space="0" w:color="auto"/>
            </w:tcBorders>
            <w:vAlign w:val="bottom"/>
          </w:tcPr>
          <w:p w14:paraId="4C97E58B" w14:textId="46038322" w:rsidR="00821227" w:rsidRPr="00E13525" w:rsidRDefault="00DD247F" w:rsidP="00A43B35">
            <w:pPr>
              <w:pStyle w:val="zz"/>
              <w:framePr w:wrap="around"/>
              <w:spacing w:before="60" w:after="60"/>
              <w:rPr>
                <w:rFonts w:ascii="Arial" w:hAnsi="Arial" w:cs="Arial"/>
                <w:color w:val="000000" w:themeColor="text1"/>
              </w:rPr>
            </w:pPr>
            <w:r w:rsidRPr="00E13525">
              <w:rPr>
                <w:rFonts w:ascii="Arial" w:hAnsi="Arial" w:cs="Arial"/>
                <w:color w:val="000000" w:themeColor="text1"/>
              </w:rPr>
              <w:t xml:space="preserve">SES respondents International </w:t>
            </w:r>
            <w:r w:rsidR="00821227" w:rsidRPr="00E13525">
              <w:rPr>
                <w:rFonts w:ascii="Arial" w:hAnsi="Arial" w:cs="Arial"/>
                <w:color w:val="000000" w:themeColor="text1"/>
              </w:rPr>
              <w:t>%</w:t>
            </w:r>
          </w:p>
        </w:tc>
      </w:tr>
      <w:tr w:rsidR="00217865" w:rsidRPr="00E13525" w14:paraId="61236898"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BF31016"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Australian Catholic University</w:t>
            </w:r>
          </w:p>
        </w:tc>
        <w:tc>
          <w:tcPr>
            <w:tcW w:w="391" w:type="pct"/>
            <w:tcBorders>
              <w:top w:val="single" w:sz="4" w:space="0" w:color="auto"/>
              <w:left w:val="single" w:sz="4" w:space="0" w:color="auto"/>
              <w:bottom w:val="single" w:sz="4" w:space="0" w:color="auto"/>
              <w:right w:val="single" w:sz="4" w:space="0" w:color="auto"/>
            </w:tcBorders>
            <w:vAlign w:val="center"/>
          </w:tcPr>
          <w:p w14:paraId="56BCCBD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14,197</w:t>
            </w:r>
          </w:p>
        </w:tc>
        <w:tc>
          <w:tcPr>
            <w:tcW w:w="393" w:type="pct"/>
            <w:tcBorders>
              <w:top w:val="single" w:sz="4" w:space="0" w:color="auto"/>
              <w:left w:val="single" w:sz="4" w:space="0" w:color="auto"/>
              <w:bottom w:val="single" w:sz="4" w:space="0" w:color="auto"/>
              <w:right w:val="single" w:sz="4" w:space="0" w:color="auto"/>
            </w:tcBorders>
            <w:vAlign w:val="center"/>
          </w:tcPr>
          <w:p w14:paraId="23E6067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88.9</w:t>
            </w:r>
          </w:p>
        </w:tc>
        <w:tc>
          <w:tcPr>
            <w:tcW w:w="392" w:type="pct"/>
            <w:tcBorders>
              <w:top w:val="single" w:sz="4" w:space="0" w:color="auto"/>
              <w:left w:val="single" w:sz="4" w:space="0" w:color="auto"/>
              <w:bottom w:val="single" w:sz="4" w:space="0" w:color="auto"/>
              <w:right w:val="single" w:sz="4" w:space="0" w:color="auto"/>
            </w:tcBorders>
            <w:vAlign w:val="center"/>
          </w:tcPr>
          <w:p w14:paraId="4A932F5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1,775</w:t>
            </w:r>
          </w:p>
        </w:tc>
        <w:tc>
          <w:tcPr>
            <w:tcW w:w="393" w:type="pct"/>
            <w:tcBorders>
              <w:top w:val="single" w:sz="4" w:space="0" w:color="auto"/>
              <w:left w:val="single" w:sz="4" w:space="0" w:color="auto"/>
              <w:bottom w:val="single" w:sz="4" w:space="0" w:color="auto"/>
              <w:right w:val="single" w:sz="4" w:space="0" w:color="auto"/>
            </w:tcBorders>
            <w:vAlign w:val="center"/>
          </w:tcPr>
          <w:p w14:paraId="0B8BFF3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11.1</w:t>
            </w:r>
          </w:p>
        </w:tc>
        <w:tc>
          <w:tcPr>
            <w:tcW w:w="391" w:type="pct"/>
            <w:tcBorders>
              <w:top w:val="single" w:sz="4" w:space="0" w:color="auto"/>
              <w:left w:val="single" w:sz="4" w:space="0" w:color="auto"/>
              <w:bottom w:val="single" w:sz="4" w:space="0" w:color="auto"/>
              <w:right w:val="single" w:sz="4" w:space="0" w:color="auto"/>
            </w:tcBorders>
            <w:vAlign w:val="center"/>
          </w:tcPr>
          <w:p w14:paraId="14CA95F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5,323</w:t>
            </w:r>
          </w:p>
        </w:tc>
        <w:tc>
          <w:tcPr>
            <w:tcW w:w="392" w:type="pct"/>
            <w:tcBorders>
              <w:top w:val="single" w:sz="4" w:space="0" w:color="auto"/>
              <w:left w:val="single" w:sz="4" w:space="0" w:color="auto"/>
              <w:bottom w:val="single" w:sz="4" w:space="0" w:color="auto"/>
              <w:right w:val="single" w:sz="4" w:space="0" w:color="auto"/>
            </w:tcBorders>
            <w:vAlign w:val="center"/>
          </w:tcPr>
          <w:p w14:paraId="3AE79B9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87.5</w:t>
            </w:r>
          </w:p>
        </w:tc>
        <w:tc>
          <w:tcPr>
            <w:tcW w:w="392" w:type="pct"/>
            <w:tcBorders>
              <w:top w:val="single" w:sz="4" w:space="0" w:color="auto"/>
              <w:left w:val="single" w:sz="4" w:space="0" w:color="auto"/>
              <w:bottom w:val="single" w:sz="4" w:space="0" w:color="auto"/>
              <w:right w:val="single" w:sz="4" w:space="0" w:color="auto"/>
            </w:tcBorders>
            <w:vAlign w:val="center"/>
          </w:tcPr>
          <w:p w14:paraId="6248C38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761</w:t>
            </w:r>
          </w:p>
        </w:tc>
        <w:tc>
          <w:tcPr>
            <w:tcW w:w="391" w:type="pct"/>
            <w:tcBorders>
              <w:top w:val="single" w:sz="4" w:space="0" w:color="auto"/>
              <w:left w:val="single" w:sz="4" w:space="0" w:color="auto"/>
              <w:bottom w:val="single" w:sz="4" w:space="0" w:color="auto"/>
              <w:right w:val="single" w:sz="4" w:space="0" w:color="auto"/>
            </w:tcBorders>
            <w:vAlign w:val="center"/>
          </w:tcPr>
          <w:p w14:paraId="1C82CDF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12.5</w:t>
            </w:r>
          </w:p>
        </w:tc>
      </w:tr>
      <w:tr w:rsidR="00217865" w:rsidRPr="00E13525" w14:paraId="22620716"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6708B74"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lastRenderedPageBreak/>
              <w:t>Avondale University</w:t>
            </w:r>
          </w:p>
        </w:tc>
        <w:tc>
          <w:tcPr>
            <w:tcW w:w="391" w:type="pct"/>
            <w:tcBorders>
              <w:top w:val="single" w:sz="4" w:space="0" w:color="auto"/>
              <w:left w:val="single" w:sz="4" w:space="0" w:color="auto"/>
              <w:bottom w:val="single" w:sz="4" w:space="0" w:color="auto"/>
              <w:right w:val="single" w:sz="4" w:space="0" w:color="auto"/>
            </w:tcBorders>
            <w:vAlign w:val="center"/>
          </w:tcPr>
          <w:p w14:paraId="46A29AC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356</w:t>
            </w:r>
          </w:p>
        </w:tc>
        <w:tc>
          <w:tcPr>
            <w:tcW w:w="393" w:type="pct"/>
            <w:tcBorders>
              <w:top w:val="single" w:sz="4" w:space="0" w:color="auto"/>
              <w:left w:val="single" w:sz="4" w:space="0" w:color="auto"/>
              <w:bottom w:val="single" w:sz="4" w:space="0" w:color="auto"/>
              <w:right w:val="single" w:sz="4" w:space="0" w:color="auto"/>
            </w:tcBorders>
            <w:vAlign w:val="center"/>
          </w:tcPr>
          <w:p w14:paraId="6717F87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93.2</w:t>
            </w:r>
          </w:p>
        </w:tc>
        <w:tc>
          <w:tcPr>
            <w:tcW w:w="392" w:type="pct"/>
            <w:tcBorders>
              <w:top w:val="single" w:sz="4" w:space="0" w:color="auto"/>
              <w:left w:val="single" w:sz="4" w:space="0" w:color="auto"/>
              <w:bottom w:val="single" w:sz="4" w:space="0" w:color="auto"/>
              <w:right w:val="single" w:sz="4" w:space="0" w:color="auto"/>
            </w:tcBorders>
            <w:vAlign w:val="center"/>
          </w:tcPr>
          <w:p w14:paraId="1DA3CDF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w:t>
            </w:r>
          </w:p>
        </w:tc>
        <w:tc>
          <w:tcPr>
            <w:tcW w:w="393" w:type="pct"/>
            <w:tcBorders>
              <w:top w:val="single" w:sz="4" w:space="0" w:color="auto"/>
              <w:left w:val="single" w:sz="4" w:space="0" w:color="auto"/>
              <w:bottom w:val="single" w:sz="4" w:space="0" w:color="auto"/>
              <w:right w:val="single" w:sz="4" w:space="0" w:color="auto"/>
            </w:tcBorders>
            <w:vAlign w:val="center"/>
          </w:tcPr>
          <w:p w14:paraId="3021435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6.8</w:t>
            </w:r>
          </w:p>
        </w:tc>
        <w:tc>
          <w:tcPr>
            <w:tcW w:w="391" w:type="pct"/>
            <w:tcBorders>
              <w:top w:val="single" w:sz="4" w:space="0" w:color="auto"/>
              <w:left w:val="single" w:sz="4" w:space="0" w:color="auto"/>
              <w:bottom w:val="single" w:sz="4" w:space="0" w:color="auto"/>
              <w:right w:val="single" w:sz="4" w:space="0" w:color="auto"/>
            </w:tcBorders>
            <w:vAlign w:val="center"/>
          </w:tcPr>
          <w:p w14:paraId="072031F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148</w:t>
            </w:r>
          </w:p>
        </w:tc>
        <w:tc>
          <w:tcPr>
            <w:tcW w:w="392" w:type="pct"/>
            <w:tcBorders>
              <w:top w:val="single" w:sz="4" w:space="0" w:color="auto"/>
              <w:left w:val="single" w:sz="4" w:space="0" w:color="auto"/>
              <w:bottom w:val="single" w:sz="4" w:space="0" w:color="auto"/>
              <w:right w:val="single" w:sz="4" w:space="0" w:color="auto"/>
            </w:tcBorders>
            <w:vAlign w:val="center"/>
          </w:tcPr>
          <w:p w14:paraId="7929019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93.1</w:t>
            </w:r>
          </w:p>
        </w:tc>
        <w:tc>
          <w:tcPr>
            <w:tcW w:w="392" w:type="pct"/>
            <w:tcBorders>
              <w:top w:val="single" w:sz="4" w:space="0" w:color="auto"/>
              <w:left w:val="single" w:sz="4" w:space="0" w:color="auto"/>
              <w:bottom w:val="single" w:sz="4" w:space="0" w:color="auto"/>
              <w:right w:val="single" w:sz="4" w:space="0" w:color="auto"/>
            </w:tcBorders>
            <w:vAlign w:val="center"/>
          </w:tcPr>
          <w:p w14:paraId="352F785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w:t>
            </w:r>
          </w:p>
        </w:tc>
        <w:tc>
          <w:tcPr>
            <w:tcW w:w="391" w:type="pct"/>
            <w:tcBorders>
              <w:top w:val="single" w:sz="4" w:space="0" w:color="auto"/>
              <w:left w:val="single" w:sz="4" w:space="0" w:color="auto"/>
              <w:bottom w:val="single" w:sz="4" w:space="0" w:color="auto"/>
              <w:right w:val="single" w:sz="4" w:space="0" w:color="auto"/>
            </w:tcBorders>
            <w:vAlign w:val="center"/>
          </w:tcPr>
          <w:p w14:paraId="7928842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6.9</w:t>
            </w:r>
          </w:p>
        </w:tc>
      </w:tr>
      <w:tr w:rsidR="00217865" w:rsidRPr="00E13525" w14:paraId="1FC9556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5B69EDA"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Bond University</w:t>
            </w:r>
          </w:p>
        </w:tc>
        <w:tc>
          <w:tcPr>
            <w:tcW w:w="391" w:type="pct"/>
            <w:tcBorders>
              <w:top w:val="single" w:sz="4" w:space="0" w:color="auto"/>
              <w:left w:val="single" w:sz="4" w:space="0" w:color="auto"/>
              <w:bottom w:val="single" w:sz="4" w:space="0" w:color="auto"/>
              <w:right w:val="single" w:sz="4" w:space="0" w:color="auto"/>
            </w:tcBorders>
            <w:vAlign w:val="center"/>
          </w:tcPr>
          <w:p w14:paraId="69F8CC1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1,781</w:t>
            </w:r>
          </w:p>
        </w:tc>
        <w:tc>
          <w:tcPr>
            <w:tcW w:w="393" w:type="pct"/>
            <w:tcBorders>
              <w:top w:val="single" w:sz="4" w:space="0" w:color="auto"/>
              <w:left w:val="single" w:sz="4" w:space="0" w:color="auto"/>
              <w:bottom w:val="single" w:sz="4" w:space="0" w:color="auto"/>
              <w:right w:val="single" w:sz="4" w:space="0" w:color="auto"/>
            </w:tcBorders>
            <w:vAlign w:val="center"/>
          </w:tcPr>
          <w:p w14:paraId="08BA5F5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85.7</w:t>
            </w:r>
          </w:p>
        </w:tc>
        <w:tc>
          <w:tcPr>
            <w:tcW w:w="392" w:type="pct"/>
            <w:tcBorders>
              <w:top w:val="single" w:sz="4" w:space="0" w:color="auto"/>
              <w:left w:val="single" w:sz="4" w:space="0" w:color="auto"/>
              <w:bottom w:val="single" w:sz="4" w:space="0" w:color="auto"/>
              <w:right w:val="single" w:sz="4" w:space="0" w:color="auto"/>
            </w:tcBorders>
            <w:vAlign w:val="center"/>
          </w:tcPr>
          <w:p w14:paraId="70E8E71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298</w:t>
            </w:r>
          </w:p>
        </w:tc>
        <w:tc>
          <w:tcPr>
            <w:tcW w:w="393" w:type="pct"/>
            <w:tcBorders>
              <w:top w:val="single" w:sz="4" w:space="0" w:color="auto"/>
              <w:left w:val="single" w:sz="4" w:space="0" w:color="auto"/>
              <w:bottom w:val="single" w:sz="4" w:space="0" w:color="auto"/>
              <w:right w:val="single" w:sz="4" w:space="0" w:color="auto"/>
            </w:tcBorders>
            <w:vAlign w:val="center"/>
          </w:tcPr>
          <w:p w14:paraId="31F6770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14.3</w:t>
            </w:r>
          </w:p>
        </w:tc>
        <w:tc>
          <w:tcPr>
            <w:tcW w:w="391" w:type="pct"/>
            <w:tcBorders>
              <w:top w:val="single" w:sz="4" w:space="0" w:color="auto"/>
              <w:left w:val="single" w:sz="4" w:space="0" w:color="auto"/>
              <w:bottom w:val="single" w:sz="4" w:space="0" w:color="auto"/>
              <w:right w:val="single" w:sz="4" w:space="0" w:color="auto"/>
            </w:tcBorders>
            <w:vAlign w:val="center"/>
          </w:tcPr>
          <w:p w14:paraId="57415CB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509</w:t>
            </w:r>
          </w:p>
        </w:tc>
        <w:tc>
          <w:tcPr>
            <w:tcW w:w="392" w:type="pct"/>
            <w:tcBorders>
              <w:top w:val="single" w:sz="4" w:space="0" w:color="auto"/>
              <w:left w:val="single" w:sz="4" w:space="0" w:color="auto"/>
              <w:bottom w:val="single" w:sz="4" w:space="0" w:color="auto"/>
              <w:right w:val="single" w:sz="4" w:space="0" w:color="auto"/>
            </w:tcBorders>
            <w:vAlign w:val="center"/>
          </w:tcPr>
          <w:p w14:paraId="018F17D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84.3</w:t>
            </w:r>
          </w:p>
        </w:tc>
        <w:tc>
          <w:tcPr>
            <w:tcW w:w="392" w:type="pct"/>
            <w:tcBorders>
              <w:top w:val="single" w:sz="4" w:space="0" w:color="auto"/>
              <w:left w:val="single" w:sz="4" w:space="0" w:color="auto"/>
              <w:bottom w:val="single" w:sz="4" w:space="0" w:color="auto"/>
              <w:right w:val="single" w:sz="4" w:space="0" w:color="auto"/>
            </w:tcBorders>
            <w:vAlign w:val="center"/>
          </w:tcPr>
          <w:p w14:paraId="6992B63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95</w:t>
            </w:r>
          </w:p>
        </w:tc>
        <w:tc>
          <w:tcPr>
            <w:tcW w:w="391" w:type="pct"/>
            <w:tcBorders>
              <w:top w:val="single" w:sz="4" w:space="0" w:color="auto"/>
              <w:left w:val="single" w:sz="4" w:space="0" w:color="auto"/>
              <w:bottom w:val="single" w:sz="4" w:space="0" w:color="auto"/>
              <w:right w:val="single" w:sz="4" w:space="0" w:color="auto"/>
            </w:tcBorders>
            <w:vAlign w:val="center"/>
          </w:tcPr>
          <w:p w14:paraId="3C65931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15.7</w:t>
            </w:r>
          </w:p>
        </w:tc>
      </w:tr>
      <w:tr w:rsidR="00217865" w:rsidRPr="00E13525" w14:paraId="17959B0D"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9DE9ED9"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Central Queensland University</w:t>
            </w:r>
          </w:p>
        </w:tc>
        <w:tc>
          <w:tcPr>
            <w:tcW w:w="391" w:type="pct"/>
            <w:tcBorders>
              <w:top w:val="single" w:sz="4" w:space="0" w:color="auto"/>
              <w:left w:val="single" w:sz="4" w:space="0" w:color="auto"/>
              <w:bottom w:val="single" w:sz="4" w:space="0" w:color="auto"/>
              <w:right w:val="single" w:sz="4" w:space="0" w:color="auto"/>
            </w:tcBorders>
            <w:vAlign w:val="center"/>
          </w:tcPr>
          <w:p w14:paraId="3C80AE6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6,282</w:t>
            </w:r>
          </w:p>
        </w:tc>
        <w:tc>
          <w:tcPr>
            <w:tcW w:w="393" w:type="pct"/>
            <w:tcBorders>
              <w:top w:val="single" w:sz="4" w:space="0" w:color="auto"/>
              <w:left w:val="single" w:sz="4" w:space="0" w:color="auto"/>
              <w:bottom w:val="single" w:sz="4" w:space="0" w:color="auto"/>
              <w:right w:val="single" w:sz="4" w:space="0" w:color="auto"/>
            </w:tcBorders>
            <w:vAlign w:val="center"/>
          </w:tcPr>
          <w:p w14:paraId="2FB0129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93.4</w:t>
            </w:r>
          </w:p>
        </w:tc>
        <w:tc>
          <w:tcPr>
            <w:tcW w:w="392" w:type="pct"/>
            <w:tcBorders>
              <w:top w:val="single" w:sz="4" w:space="0" w:color="auto"/>
              <w:left w:val="single" w:sz="4" w:space="0" w:color="auto"/>
              <w:bottom w:val="single" w:sz="4" w:space="0" w:color="auto"/>
              <w:right w:val="single" w:sz="4" w:space="0" w:color="auto"/>
            </w:tcBorders>
            <w:vAlign w:val="center"/>
          </w:tcPr>
          <w:p w14:paraId="10C51A6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443</w:t>
            </w:r>
          </w:p>
        </w:tc>
        <w:tc>
          <w:tcPr>
            <w:tcW w:w="393" w:type="pct"/>
            <w:tcBorders>
              <w:top w:val="single" w:sz="4" w:space="0" w:color="auto"/>
              <w:left w:val="single" w:sz="4" w:space="0" w:color="auto"/>
              <w:bottom w:val="single" w:sz="4" w:space="0" w:color="auto"/>
              <w:right w:val="single" w:sz="4" w:space="0" w:color="auto"/>
            </w:tcBorders>
            <w:vAlign w:val="center"/>
          </w:tcPr>
          <w:p w14:paraId="749266B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6.6</w:t>
            </w:r>
          </w:p>
        </w:tc>
        <w:tc>
          <w:tcPr>
            <w:tcW w:w="391" w:type="pct"/>
            <w:tcBorders>
              <w:top w:val="single" w:sz="4" w:space="0" w:color="auto"/>
              <w:left w:val="single" w:sz="4" w:space="0" w:color="auto"/>
              <w:bottom w:val="single" w:sz="4" w:space="0" w:color="auto"/>
              <w:right w:val="single" w:sz="4" w:space="0" w:color="auto"/>
            </w:tcBorders>
            <w:vAlign w:val="center"/>
          </w:tcPr>
          <w:p w14:paraId="2F7C368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2,771</w:t>
            </w:r>
          </w:p>
        </w:tc>
        <w:tc>
          <w:tcPr>
            <w:tcW w:w="392" w:type="pct"/>
            <w:tcBorders>
              <w:top w:val="single" w:sz="4" w:space="0" w:color="auto"/>
              <w:left w:val="single" w:sz="4" w:space="0" w:color="auto"/>
              <w:bottom w:val="single" w:sz="4" w:space="0" w:color="auto"/>
              <w:right w:val="single" w:sz="4" w:space="0" w:color="auto"/>
            </w:tcBorders>
            <w:vAlign w:val="center"/>
          </w:tcPr>
          <w:p w14:paraId="4B44B92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95.7</w:t>
            </w:r>
          </w:p>
        </w:tc>
        <w:tc>
          <w:tcPr>
            <w:tcW w:w="392" w:type="pct"/>
            <w:tcBorders>
              <w:top w:val="single" w:sz="4" w:space="0" w:color="auto"/>
              <w:left w:val="single" w:sz="4" w:space="0" w:color="auto"/>
              <w:bottom w:val="single" w:sz="4" w:space="0" w:color="auto"/>
              <w:right w:val="single" w:sz="4" w:space="0" w:color="auto"/>
            </w:tcBorders>
            <w:vAlign w:val="center"/>
          </w:tcPr>
          <w:p w14:paraId="2680CEE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126</w:t>
            </w:r>
          </w:p>
        </w:tc>
        <w:tc>
          <w:tcPr>
            <w:tcW w:w="391" w:type="pct"/>
            <w:tcBorders>
              <w:top w:val="single" w:sz="4" w:space="0" w:color="auto"/>
              <w:left w:val="single" w:sz="4" w:space="0" w:color="auto"/>
              <w:bottom w:val="single" w:sz="4" w:space="0" w:color="auto"/>
              <w:right w:val="single" w:sz="4" w:space="0" w:color="auto"/>
            </w:tcBorders>
            <w:vAlign w:val="center"/>
          </w:tcPr>
          <w:p w14:paraId="368E992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4.3</w:t>
            </w:r>
          </w:p>
        </w:tc>
      </w:tr>
      <w:tr w:rsidR="00217865" w:rsidRPr="00E13525" w14:paraId="5F2B3AE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169F233"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Charles Darwin University</w:t>
            </w:r>
          </w:p>
        </w:tc>
        <w:tc>
          <w:tcPr>
            <w:tcW w:w="391" w:type="pct"/>
            <w:tcBorders>
              <w:top w:val="single" w:sz="4" w:space="0" w:color="auto"/>
              <w:left w:val="single" w:sz="4" w:space="0" w:color="auto"/>
              <w:bottom w:val="single" w:sz="4" w:space="0" w:color="auto"/>
              <w:right w:val="single" w:sz="4" w:space="0" w:color="auto"/>
            </w:tcBorders>
            <w:vAlign w:val="center"/>
          </w:tcPr>
          <w:p w14:paraId="387D7C5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3,473</w:t>
            </w:r>
          </w:p>
        </w:tc>
        <w:tc>
          <w:tcPr>
            <w:tcW w:w="393" w:type="pct"/>
            <w:tcBorders>
              <w:top w:val="single" w:sz="4" w:space="0" w:color="auto"/>
              <w:left w:val="single" w:sz="4" w:space="0" w:color="auto"/>
              <w:bottom w:val="single" w:sz="4" w:space="0" w:color="auto"/>
              <w:right w:val="single" w:sz="4" w:space="0" w:color="auto"/>
            </w:tcBorders>
            <w:vAlign w:val="center"/>
          </w:tcPr>
          <w:p w14:paraId="41192D4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86.0</w:t>
            </w:r>
          </w:p>
        </w:tc>
        <w:tc>
          <w:tcPr>
            <w:tcW w:w="392" w:type="pct"/>
            <w:tcBorders>
              <w:top w:val="single" w:sz="4" w:space="0" w:color="auto"/>
              <w:left w:val="single" w:sz="4" w:space="0" w:color="auto"/>
              <w:bottom w:val="single" w:sz="4" w:space="0" w:color="auto"/>
              <w:right w:val="single" w:sz="4" w:space="0" w:color="auto"/>
            </w:tcBorders>
            <w:vAlign w:val="center"/>
          </w:tcPr>
          <w:p w14:paraId="7DEB557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567</w:t>
            </w:r>
          </w:p>
        </w:tc>
        <w:tc>
          <w:tcPr>
            <w:tcW w:w="393" w:type="pct"/>
            <w:tcBorders>
              <w:top w:val="single" w:sz="4" w:space="0" w:color="auto"/>
              <w:left w:val="single" w:sz="4" w:space="0" w:color="auto"/>
              <w:bottom w:val="single" w:sz="4" w:space="0" w:color="auto"/>
              <w:right w:val="single" w:sz="4" w:space="0" w:color="auto"/>
            </w:tcBorders>
            <w:vAlign w:val="center"/>
          </w:tcPr>
          <w:p w14:paraId="483B5B9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14.0</w:t>
            </w:r>
          </w:p>
        </w:tc>
        <w:tc>
          <w:tcPr>
            <w:tcW w:w="391" w:type="pct"/>
            <w:tcBorders>
              <w:top w:val="single" w:sz="4" w:space="0" w:color="auto"/>
              <w:left w:val="single" w:sz="4" w:space="0" w:color="auto"/>
              <w:bottom w:val="single" w:sz="4" w:space="0" w:color="auto"/>
              <w:right w:val="single" w:sz="4" w:space="0" w:color="auto"/>
            </w:tcBorders>
            <w:vAlign w:val="center"/>
          </w:tcPr>
          <w:p w14:paraId="2834F50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1,333</w:t>
            </w:r>
          </w:p>
        </w:tc>
        <w:tc>
          <w:tcPr>
            <w:tcW w:w="392" w:type="pct"/>
            <w:tcBorders>
              <w:top w:val="single" w:sz="4" w:space="0" w:color="auto"/>
              <w:left w:val="single" w:sz="4" w:space="0" w:color="auto"/>
              <w:bottom w:val="single" w:sz="4" w:space="0" w:color="auto"/>
              <w:right w:val="single" w:sz="4" w:space="0" w:color="auto"/>
            </w:tcBorders>
            <w:vAlign w:val="center"/>
          </w:tcPr>
          <w:p w14:paraId="12A943E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87.6</w:t>
            </w:r>
          </w:p>
        </w:tc>
        <w:tc>
          <w:tcPr>
            <w:tcW w:w="392" w:type="pct"/>
            <w:tcBorders>
              <w:top w:val="single" w:sz="4" w:space="0" w:color="auto"/>
              <w:left w:val="single" w:sz="4" w:space="0" w:color="auto"/>
              <w:bottom w:val="single" w:sz="4" w:space="0" w:color="auto"/>
              <w:right w:val="single" w:sz="4" w:space="0" w:color="auto"/>
            </w:tcBorders>
            <w:vAlign w:val="center"/>
          </w:tcPr>
          <w:p w14:paraId="029F6C8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189</w:t>
            </w:r>
          </w:p>
        </w:tc>
        <w:tc>
          <w:tcPr>
            <w:tcW w:w="391" w:type="pct"/>
            <w:tcBorders>
              <w:top w:val="single" w:sz="4" w:space="0" w:color="auto"/>
              <w:left w:val="single" w:sz="4" w:space="0" w:color="auto"/>
              <w:bottom w:val="single" w:sz="4" w:space="0" w:color="auto"/>
              <w:right w:val="single" w:sz="4" w:space="0" w:color="auto"/>
            </w:tcBorders>
            <w:vAlign w:val="center"/>
          </w:tcPr>
          <w:p w14:paraId="391469C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12.4</w:t>
            </w:r>
          </w:p>
        </w:tc>
      </w:tr>
      <w:tr w:rsidR="00217865" w:rsidRPr="00E13525" w14:paraId="45A0A1FA"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880B76C"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Charles Sturt University</w:t>
            </w:r>
          </w:p>
        </w:tc>
        <w:tc>
          <w:tcPr>
            <w:tcW w:w="391" w:type="pct"/>
            <w:tcBorders>
              <w:top w:val="single" w:sz="4" w:space="0" w:color="auto"/>
              <w:left w:val="single" w:sz="4" w:space="0" w:color="auto"/>
              <w:bottom w:val="single" w:sz="4" w:space="0" w:color="auto"/>
              <w:right w:val="single" w:sz="4" w:space="0" w:color="auto"/>
            </w:tcBorders>
            <w:vAlign w:val="center"/>
          </w:tcPr>
          <w:p w14:paraId="1D09607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9,684</w:t>
            </w:r>
          </w:p>
        </w:tc>
        <w:tc>
          <w:tcPr>
            <w:tcW w:w="393" w:type="pct"/>
            <w:tcBorders>
              <w:top w:val="single" w:sz="4" w:space="0" w:color="auto"/>
              <w:left w:val="single" w:sz="4" w:space="0" w:color="auto"/>
              <w:bottom w:val="single" w:sz="4" w:space="0" w:color="auto"/>
              <w:right w:val="single" w:sz="4" w:space="0" w:color="auto"/>
            </w:tcBorders>
            <w:vAlign w:val="center"/>
          </w:tcPr>
          <w:p w14:paraId="0BC73C0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98.1</w:t>
            </w:r>
          </w:p>
        </w:tc>
        <w:tc>
          <w:tcPr>
            <w:tcW w:w="392" w:type="pct"/>
            <w:tcBorders>
              <w:top w:val="single" w:sz="4" w:space="0" w:color="auto"/>
              <w:left w:val="single" w:sz="4" w:space="0" w:color="auto"/>
              <w:bottom w:val="single" w:sz="4" w:space="0" w:color="auto"/>
              <w:right w:val="single" w:sz="4" w:space="0" w:color="auto"/>
            </w:tcBorders>
            <w:vAlign w:val="center"/>
          </w:tcPr>
          <w:p w14:paraId="7555CCB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185</w:t>
            </w:r>
          </w:p>
        </w:tc>
        <w:tc>
          <w:tcPr>
            <w:tcW w:w="393" w:type="pct"/>
            <w:tcBorders>
              <w:top w:val="single" w:sz="4" w:space="0" w:color="auto"/>
              <w:left w:val="single" w:sz="4" w:space="0" w:color="auto"/>
              <w:bottom w:val="single" w:sz="4" w:space="0" w:color="auto"/>
              <w:right w:val="single" w:sz="4" w:space="0" w:color="auto"/>
            </w:tcBorders>
            <w:vAlign w:val="center"/>
          </w:tcPr>
          <w:p w14:paraId="779BD7A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1.9</w:t>
            </w:r>
          </w:p>
        </w:tc>
        <w:tc>
          <w:tcPr>
            <w:tcW w:w="391" w:type="pct"/>
            <w:tcBorders>
              <w:top w:val="single" w:sz="4" w:space="0" w:color="auto"/>
              <w:left w:val="single" w:sz="4" w:space="0" w:color="auto"/>
              <w:bottom w:val="single" w:sz="4" w:space="0" w:color="auto"/>
              <w:right w:val="single" w:sz="4" w:space="0" w:color="auto"/>
            </w:tcBorders>
            <w:vAlign w:val="center"/>
          </w:tcPr>
          <w:p w14:paraId="30AD2B0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3,669</w:t>
            </w:r>
          </w:p>
        </w:tc>
        <w:tc>
          <w:tcPr>
            <w:tcW w:w="392" w:type="pct"/>
            <w:tcBorders>
              <w:top w:val="single" w:sz="4" w:space="0" w:color="auto"/>
              <w:left w:val="single" w:sz="4" w:space="0" w:color="auto"/>
              <w:bottom w:val="single" w:sz="4" w:space="0" w:color="auto"/>
              <w:right w:val="single" w:sz="4" w:space="0" w:color="auto"/>
            </w:tcBorders>
            <w:vAlign w:val="center"/>
          </w:tcPr>
          <w:p w14:paraId="7E57E9F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98.2</w:t>
            </w:r>
          </w:p>
        </w:tc>
        <w:tc>
          <w:tcPr>
            <w:tcW w:w="392" w:type="pct"/>
            <w:tcBorders>
              <w:top w:val="single" w:sz="4" w:space="0" w:color="auto"/>
              <w:left w:val="single" w:sz="4" w:space="0" w:color="auto"/>
              <w:bottom w:val="single" w:sz="4" w:space="0" w:color="auto"/>
              <w:right w:val="single" w:sz="4" w:space="0" w:color="auto"/>
            </w:tcBorders>
            <w:vAlign w:val="center"/>
          </w:tcPr>
          <w:p w14:paraId="0DB81E8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69</w:t>
            </w:r>
          </w:p>
        </w:tc>
        <w:tc>
          <w:tcPr>
            <w:tcW w:w="391" w:type="pct"/>
            <w:tcBorders>
              <w:top w:val="single" w:sz="4" w:space="0" w:color="auto"/>
              <w:left w:val="single" w:sz="4" w:space="0" w:color="auto"/>
              <w:bottom w:val="single" w:sz="4" w:space="0" w:color="auto"/>
              <w:right w:val="single" w:sz="4" w:space="0" w:color="auto"/>
            </w:tcBorders>
            <w:vAlign w:val="center"/>
          </w:tcPr>
          <w:p w14:paraId="6B76BF9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w:t>
            </w:r>
          </w:p>
        </w:tc>
      </w:tr>
      <w:tr w:rsidR="00217865" w:rsidRPr="00E13525" w14:paraId="41324E4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E72CE8F"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Curtin University</w:t>
            </w:r>
          </w:p>
        </w:tc>
        <w:tc>
          <w:tcPr>
            <w:tcW w:w="391" w:type="pct"/>
            <w:tcBorders>
              <w:top w:val="single" w:sz="4" w:space="0" w:color="auto"/>
              <w:left w:val="single" w:sz="4" w:space="0" w:color="auto"/>
              <w:bottom w:val="single" w:sz="4" w:space="0" w:color="auto"/>
              <w:right w:val="single" w:sz="4" w:space="0" w:color="auto"/>
            </w:tcBorders>
            <w:vAlign w:val="center"/>
          </w:tcPr>
          <w:p w14:paraId="556B1C8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14,161</w:t>
            </w:r>
          </w:p>
        </w:tc>
        <w:tc>
          <w:tcPr>
            <w:tcW w:w="393" w:type="pct"/>
            <w:tcBorders>
              <w:top w:val="single" w:sz="4" w:space="0" w:color="auto"/>
              <w:left w:val="single" w:sz="4" w:space="0" w:color="auto"/>
              <w:bottom w:val="single" w:sz="4" w:space="0" w:color="auto"/>
              <w:right w:val="single" w:sz="4" w:space="0" w:color="auto"/>
            </w:tcBorders>
            <w:vAlign w:val="center"/>
          </w:tcPr>
          <w:p w14:paraId="0931C24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89.1</w:t>
            </w:r>
          </w:p>
        </w:tc>
        <w:tc>
          <w:tcPr>
            <w:tcW w:w="392" w:type="pct"/>
            <w:tcBorders>
              <w:top w:val="single" w:sz="4" w:space="0" w:color="auto"/>
              <w:left w:val="single" w:sz="4" w:space="0" w:color="auto"/>
              <w:bottom w:val="single" w:sz="4" w:space="0" w:color="auto"/>
              <w:right w:val="single" w:sz="4" w:space="0" w:color="auto"/>
            </w:tcBorders>
            <w:vAlign w:val="center"/>
          </w:tcPr>
          <w:p w14:paraId="54F60A5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1,741</w:t>
            </w:r>
          </w:p>
        </w:tc>
        <w:tc>
          <w:tcPr>
            <w:tcW w:w="393" w:type="pct"/>
            <w:tcBorders>
              <w:top w:val="single" w:sz="4" w:space="0" w:color="auto"/>
              <w:left w:val="single" w:sz="4" w:space="0" w:color="auto"/>
              <w:bottom w:val="single" w:sz="4" w:space="0" w:color="auto"/>
              <w:right w:val="single" w:sz="4" w:space="0" w:color="auto"/>
            </w:tcBorders>
            <w:vAlign w:val="center"/>
          </w:tcPr>
          <w:p w14:paraId="7DF74D1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10.9</w:t>
            </w:r>
          </w:p>
        </w:tc>
        <w:tc>
          <w:tcPr>
            <w:tcW w:w="391" w:type="pct"/>
            <w:tcBorders>
              <w:top w:val="single" w:sz="4" w:space="0" w:color="auto"/>
              <w:left w:val="single" w:sz="4" w:space="0" w:color="auto"/>
              <w:bottom w:val="single" w:sz="4" w:space="0" w:color="auto"/>
              <w:right w:val="single" w:sz="4" w:space="0" w:color="auto"/>
            </w:tcBorders>
            <w:vAlign w:val="center"/>
          </w:tcPr>
          <w:p w14:paraId="1355995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4,608</w:t>
            </w:r>
          </w:p>
        </w:tc>
        <w:tc>
          <w:tcPr>
            <w:tcW w:w="392" w:type="pct"/>
            <w:tcBorders>
              <w:top w:val="single" w:sz="4" w:space="0" w:color="auto"/>
              <w:left w:val="single" w:sz="4" w:space="0" w:color="auto"/>
              <w:bottom w:val="single" w:sz="4" w:space="0" w:color="auto"/>
              <w:right w:val="single" w:sz="4" w:space="0" w:color="auto"/>
            </w:tcBorders>
            <w:vAlign w:val="center"/>
          </w:tcPr>
          <w:p w14:paraId="55E86FC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88.5</w:t>
            </w:r>
          </w:p>
        </w:tc>
        <w:tc>
          <w:tcPr>
            <w:tcW w:w="392" w:type="pct"/>
            <w:tcBorders>
              <w:top w:val="single" w:sz="4" w:space="0" w:color="auto"/>
              <w:left w:val="single" w:sz="4" w:space="0" w:color="auto"/>
              <w:bottom w:val="single" w:sz="4" w:space="0" w:color="auto"/>
              <w:right w:val="single" w:sz="4" w:space="0" w:color="auto"/>
            </w:tcBorders>
            <w:vAlign w:val="center"/>
          </w:tcPr>
          <w:p w14:paraId="51140E1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597</w:t>
            </w:r>
          </w:p>
        </w:tc>
        <w:tc>
          <w:tcPr>
            <w:tcW w:w="391" w:type="pct"/>
            <w:tcBorders>
              <w:top w:val="single" w:sz="4" w:space="0" w:color="auto"/>
              <w:left w:val="single" w:sz="4" w:space="0" w:color="auto"/>
              <w:bottom w:val="single" w:sz="4" w:space="0" w:color="auto"/>
              <w:right w:val="single" w:sz="4" w:space="0" w:color="auto"/>
            </w:tcBorders>
            <w:vAlign w:val="center"/>
          </w:tcPr>
          <w:p w14:paraId="096D4D1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11.5</w:t>
            </w:r>
          </w:p>
        </w:tc>
      </w:tr>
      <w:tr w:rsidR="00217865" w:rsidRPr="00E13525" w14:paraId="0B229E1D"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1F2EAF7"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Deakin University</w:t>
            </w:r>
          </w:p>
        </w:tc>
        <w:tc>
          <w:tcPr>
            <w:tcW w:w="391" w:type="pct"/>
            <w:tcBorders>
              <w:top w:val="single" w:sz="4" w:space="0" w:color="auto"/>
              <w:left w:val="single" w:sz="4" w:space="0" w:color="auto"/>
              <w:bottom w:val="single" w:sz="4" w:space="0" w:color="auto"/>
              <w:right w:val="single" w:sz="4" w:space="0" w:color="auto"/>
            </w:tcBorders>
            <w:vAlign w:val="center"/>
          </w:tcPr>
          <w:p w14:paraId="1F2CDD6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12,775</w:t>
            </w:r>
          </w:p>
        </w:tc>
        <w:tc>
          <w:tcPr>
            <w:tcW w:w="393" w:type="pct"/>
            <w:tcBorders>
              <w:top w:val="single" w:sz="4" w:space="0" w:color="auto"/>
              <w:left w:val="single" w:sz="4" w:space="0" w:color="auto"/>
              <w:bottom w:val="single" w:sz="4" w:space="0" w:color="auto"/>
              <w:right w:val="single" w:sz="4" w:space="0" w:color="auto"/>
            </w:tcBorders>
            <w:vAlign w:val="center"/>
          </w:tcPr>
          <w:p w14:paraId="1736597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88.0</w:t>
            </w:r>
          </w:p>
        </w:tc>
        <w:tc>
          <w:tcPr>
            <w:tcW w:w="392" w:type="pct"/>
            <w:tcBorders>
              <w:top w:val="single" w:sz="4" w:space="0" w:color="auto"/>
              <w:left w:val="single" w:sz="4" w:space="0" w:color="auto"/>
              <w:bottom w:val="single" w:sz="4" w:space="0" w:color="auto"/>
              <w:right w:val="single" w:sz="4" w:space="0" w:color="auto"/>
            </w:tcBorders>
            <w:vAlign w:val="center"/>
          </w:tcPr>
          <w:p w14:paraId="1B12E1A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1,747</w:t>
            </w:r>
          </w:p>
        </w:tc>
        <w:tc>
          <w:tcPr>
            <w:tcW w:w="393" w:type="pct"/>
            <w:tcBorders>
              <w:top w:val="single" w:sz="4" w:space="0" w:color="auto"/>
              <w:left w:val="single" w:sz="4" w:space="0" w:color="auto"/>
              <w:bottom w:val="single" w:sz="4" w:space="0" w:color="auto"/>
              <w:right w:val="single" w:sz="4" w:space="0" w:color="auto"/>
            </w:tcBorders>
            <w:vAlign w:val="center"/>
          </w:tcPr>
          <w:p w14:paraId="3E68939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12.0</w:t>
            </w:r>
          </w:p>
        </w:tc>
        <w:tc>
          <w:tcPr>
            <w:tcW w:w="391" w:type="pct"/>
            <w:tcBorders>
              <w:top w:val="single" w:sz="4" w:space="0" w:color="auto"/>
              <w:left w:val="single" w:sz="4" w:space="0" w:color="auto"/>
              <w:bottom w:val="single" w:sz="4" w:space="0" w:color="auto"/>
              <w:right w:val="single" w:sz="4" w:space="0" w:color="auto"/>
            </w:tcBorders>
            <w:vAlign w:val="center"/>
          </w:tcPr>
          <w:p w14:paraId="4CF22D3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4,319</w:t>
            </w:r>
          </w:p>
        </w:tc>
        <w:tc>
          <w:tcPr>
            <w:tcW w:w="392" w:type="pct"/>
            <w:tcBorders>
              <w:top w:val="single" w:sz="4" w:space="0" w:color="auto"/>
              <w:left w:val="single" w:sz="4" w:space="0" w:color="auto"/>
              <w:bottom w:val="single" w:sz="4" w:space="0" w:color="auto"/>
              <w:right w:val="single" w:sz="4" w:space="0" w:color="auto"/>
            </w:tcBorders>
            <w:vAlign w:val="center"/>
          </w:tcPr>
          <w:p w14:paraId="01BC92E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89.0</w:t>
            </w:r>
          </w:p>
        </w:tc>
        <w:tc>
          <w:tcPr>
            <w:tcW w:w="392" w:type="pct"/>
            <w:tcBorders>
              <w:top w:val="single" w:sz="4" w:space="0" w:color="auto"/>
              <w:left w:val="single" w:sz="4" w:space="0" w:color="auto"/>
              <w:bottom w:val="single" w:sz="4" w:space="0" w:color="auto"/>
              <w:right w:val="single" w:sz="4" w:space="0" w:color="auto"/>
            </w:tcBorders>
            <w:vAlign w:val="center"/>
          </w:tcPr>
          <w:p w14:paraId="3A5BB90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534</w:t>
            </w:r>
          </w:p>
        </w:tc>
        <w:tc>
          <w:tcPr>
            <w:tcW w:w="391" w:type="pct"/>
            <w:tcBorders>
              <w:top w:val="single" w:sz="4" w:space="0" w:color="auto"/>
              <w:left w:val="single" w:sz="4" w:space="0" w:color="auto"/>
              <w:bottom w:val="single" w:sz="4" w:space="0" w:color="auto"/>
              <w:right w:val="single" w:sz="4" w:space="0" w:color="auto"/>
            </w:tcBorders>
            <w:vAlign w:val="center"/>
          </w:tcPr>
          <w:p w14:paraId="6BD5FB9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11.0</w:t>
            </w:r>
          </w:p>
        </w:tc>
      </w:tr>
      <w:tr w:rsidR="00217865" w:rsidRPr="00E13525" w14:paraId="0F46F0E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A187D8D"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Edith Cowan University</w:t>
            </w:r>
          </w:p>
        </w:tc>
        <w:tc>
          <w:tcPr>
            <w:tcW w:w="391" w:type="pct"/>
            <w:tcBorders>
              <w:top w:val="single" w:sz="4" w:space="0" w:color="auto"/>
              <w:left w:val="single" w:sz="4" w:space="0" w:color="auto"/>
              <w:bottom w:val="single" w:sz="4" w:space="0" w:color="auto"/>
              <w:right w:val="single" w:sz="4" w:space="0" w:color="auto"/>
            </w:tcBorders>
            <w:vAlign w:val="center"/>
          </w:tcPr>
          <w:p w14:paraId="28955AD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9,306</w:t>
            </w:r>
          </w:p>
        </w:tc>
        <w:tc>
          <w:tcPr>
            <w:tcW w:w="393" w:type="pct"/>
            <w:tcBorders>
              <w:top w:val="single" w:sz="4" w:space="0" w:color="auto"/>
              <w:left w:val="single" w:sz="4" w:space="0" w:color="auto"/>
              <w:bottom w:val="single" w:sz="4" w:space="0" w:color="auto"/>
              <w:right w:val="single" w:sz="4" w:space="0" w:color="auto"/>
            </w:tcBorders>
            <w:vAlign w:val="center"/>
          </w:tcPr>
          <w:p w14:paraId="04CAFB6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86.8</w:t>
            </w:r>
          </w:p>
        </w:tc>
        <w:tc>
          <w:tcPr>
            <w:tcW w:w="392" w:type="pct"/>
            <w:tcBorders>
              <w:top w:val="single" w:sz="4" w:space="0" w:color="auto"/>
              <w:left w:val="single" w:sz="4" w:space="0" w:color="auto"/>
              <w:bottom w:val="single" w:sz="4" w:space="0" w:color="auto"/>
              <w:right w:val="single" w:sz="4" w:space="0" w:color="auto"/>
            </w:tcBorders>
            <w:vAlign w:val="center"/>
          </w:tcPr>
          <w:p w14:paraId="7A1B0CE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1,418</w:t>
            </w:r>
          </w:p>
        </w:tc>
        <w:tc>
          <w:tcPr>
            <w:tcW w:w="393" w:type="pct"/>
            <w:tcBorders>
              <w:top w:val="single" w:sz="4" w:space="0" w:color="auto"/>
              <w:left w:val="single" w:sz="4" w:space="0" w:color="auto"/>
              <w:bottom w:val="single" w:sz="4" w:space="0" w:color="auto"/>
              <w:right w:val="single" w:sz="4" w:space="0" w:color="auto"/>
            </w:tcBorders>
            <w:vAlign w:val="center"/>
          </w:tcPr>
          <w:p w14:paraId="7ACA26F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13.2</w:t>
            </w:r>
          </w:p>
        </w:tc>
        <w:tc>
          <w:tcPr>
            <w:tcW w:w="391" w:type="pct"/>
            <w:tcBorders>
              <w:top w:val="single" w:sz="4" w:space="0" w:color="auto"/>
              <w:left w:val="single" w:sz="4" w:space="0" w:color="auto"/>
              <w:bottom w:val="single" w:sz="4" w:space="0" w:color="auto"/>
              <w:right w:val="single" w:sz="4" w:space="0" w:color="auto"/>
            </w:tcBorders>
            <w:vAlign w:val="center"/>
          </w:tcPr>
          <w:p w14:paraId="3845F57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3,950</w:t>
            </w:r>
          </w:p>
        </w:tc>
        <w:tc>
          <w:tcPr>
            <w:tcW w:w="392" w:type="pct"/>
            <w:tcBorders>
              <w:top w:val="single" w:sz="4" w:space="0" w:color="auto"/>
              <w:left w:val="single" w:sz="4" w:space="0" w:color="auto"/>
              <w:bottom w:val="single" w:sz="4" w:space="0" w:color="auto"/>
              <w:right w:val="single" w:sz="4" w:space="0" w:color="auto"/>
            </w:tcBorders>
            <w:vAlign w:val="center"/>
          </w:tcPr>
          <w:p w14:paraId="6EE6124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87.6</w:t>
            </w:r>
          </w:p>
        </w:tc>
        <w:tc>
          <w:tcPr>
            <w:tcW w:w="392" w:type="pct"/>
            <w:tcBorders>
              <w:top w:val="single" w:sz="4" w:space="0" w:color="auto"/>
              <w:left w:val="single" w:sz="4" w:space="0" w:color="auto"/>
              <w:bottom w:val="single" w:sz="4" w:space="0" w:color="auto"/>
              <w:right w:val="single" w:sz="4" w:space="0" w:color="auto"/>
            </w:tcBorders>
            <w:vAlign w:val="center"/>
          </w:tcPr>
          <w:p w14:paraId="0B57C49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558</w:t>
            </w:r>
          </w:p>
        </w:tc>
        <w:tc>
          <w:tcPr>
            <w:tcW w:w="391" w:type="pct"/>
            <w:tcBorders>
              <w:top w:val="single" w:sz="4" w:space="0" w:color="auto"/>
              <w:left w:val="single" w:sz="4" w:space="0" w:color="auto"/>
              <w:bottom w:val="single" w:sz="4" w:space="0" w:color="auto"/>
              <w:right w:val="single" w:sz="4" w:space="0" w:color="auto"/>
            </w:tcBorders>
            <w:vAlign w:val="center"/>
          </w:tcPr>
          <w:p w14:paraId="411CF74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12.4</w:t>
            </w:r>
          </w:p>
        </w:tc>
      </w:tr>
      <w:tr w:rsidR="00217865" w:rsidRPr="00E13525" w14:paraId="0D1DFA4C"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F958C4A"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Federation University Australia</w:t>
            </w:r>
          </w:p>
        </w:tc>
        <w:tc>
          <w:tcPr>
            <w:tcW w:w="391" w:type="pct"/>
            <w:tcBorders>
              <w:top w:val="single" w:sz="4" w:space="0" w:color="auto"/>
              <w:left w:val="single" w:sz="4" w:space="0" w:color="auto"/>
              <w:bottom w:val="single" w:sz="4" w:space="0" w:color="auto"/>
              <w:right w:val="single" w:sz="4" w:space="0" w:color="auto"/>
            </w:tcBorders>
            <w:vAlign w:val="center"/>
          </w:tcPr>
          <w:p w14:paraId="1733C4B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3,987</w:t>
            </w:r>
          </w:p>
        </w:tc>
        <w:tc>
          <w:tcPr>
            <w:tcW w:w="393" w:type="pct"/>
            <w:tcBorders>
              <w:top w:val="single" w:sz="4" w:space="0" w:color="auto"/>
              <w:left w:val="single" w:sz="4" w:space="0" w:color="auto"/>
              <w:bottom w:val="single" w:sz="4" w:space="0" w:color="auto"/>
              <w:right w:val="single" w:sz="4" w:space="0" w:color="auto"/>
            </w:tcBorders>
            <w:vAlign w:val="center"/>
          </w:tcPr>
          <w:p w14:paraId="380E14B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77.9</w:t>
            </w:r>
          </w:p>
        </w:tc>
        <w:tc>
          <w:tcPr>
            <w:tcW w:w="392" w:type="pct"/>
            <w:tcBorders>
              <w:top w:val="single" w:sz="4" w:space="0" w:color="auto"/>
              <w:left w:val="single" w:sz="4" w:space="0" w:color="auto"/>
              <w:bottom w:val="single" w:sz="4" w:space="0" w:color="auto"/>
              <w:right w:val="single" w:sz="4" w:space="0" w:color="auto"/>
            </w:tcBorders>
            <w:vAlign w:val="center"/>
          </w:tcPr>
          <w:p w14:paraId="0F3D9CD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1,131</w:t>
            </w:r>
          </w:p>
        </w:tc>
        <w:tc>
          <w:tcPr>
            <w:tcW w:w="393" w:type="pct"/>
            <w:tcBorders>
              <w:top w:val="single" w:sz="4" w:space="0" w:color="auto"/>
              <w:left w:val="single" w:sz="4" w:space="0" w:color="auto"/>
              <w:bottom w:val="single" w:sz="4" w:space="0" w:color="auto"/>
              <w:right w:val="single" w:sz="4" w:space="0" w:color="auto"/>
            </w:tcBorders>
            <w:vAlign w:val="center"/>
          </w:tcPr>
          <w:p w14:paraId="49B63D8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22.1</w:t>
            </w:r>
          </w:p>
        </w:tc>
        <w:tc>
          <w:tcPr>
            <w:tcW w:w="391" w:type="pct"/>
            <w:tcBorders>
              <w:top w:val="single" w:sz="4" w:space="0" w:color="auto"/>
              <w:left w:val="single" w:sz="4" w:space="0" w:color="auto"/>
              <w:bottom w:val="single" w:sz="4" w:space="0" w:color="auto"/>
              <w:right w:val="single" w:sz="4" w:space="0" w:color="auto"/>
            </w:tcBorders>
            <w:vAlign w:val="center"/>
          </w:tcPr>
          <w:p w14:paraId="6F62DC3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1,487</w:t>
            </w:r>
          </w:p>
        </w:tc>
        <w:tc>
          <w:tcPr>
            <w:tcW w:w="392" w:type="pct"/>
            <w:tcBorders>
              <w:top w:val="single" w:sz="4" w:space="0" w:color="auto"/>
              <w:left w:val="single" w:sz="4" w:space="0" w:color="auto"/>
              <w:bottom w:val="single" w:sz="4" w:space="0" w:color="auto"/>
              <w:right w:val="single" w:sz="4" w:space="0" w:color="auto"/>
            </w:tcBorders>
            <w:vAlign w:val="center"/>
          </w:tcPr>
          <w:p w14:paraId="3EA8614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82.6</w:t>
            </w:r>
          </w:p>
        </w:tc>
        <w:tc>
          <w:tcPr>
            <w:tcW w:w="392" w:type="pct"/>
            <w:tcBorders>
              <w:top w:val="single" w:sz="4" w:space="0" w:color="auto"/>
              <w:left w:val="single" w:sz="4" w:space="0" w:color="auto"/>
              <w:bottom w:val="single" w:sz="4" w:space="0" w:color="auto"/>
              <w:right w:val="single" w:sz="4" w:space="0" w:color="auto"/>
            </w:tcBorders>
            <w:vAlign w:val="center"/>
          </w:tcPr>
          <w:p w14:paraId="5CA905D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313</w:t>
            </w:r>
          </w:p>
        </w:tc>
        <w:tc>
          <w:tcPr>
            <w:tcW w:w="391" w:type="pct"/>
            <w:tcBorders>
              <w:top w:val="single" w:sz="4" w:space="0" w:color="auto"/>
              <w:left w:val="single" w:sz="4" w:space="0" w:color="auto"/>
              <w:bottom w:val="single" w:sz="4" w:space="0" w:color="auto"/>
              <w:right w:val="single" w:sz="4" w:space="0" w:color="auto"/>
            </w:tcBorders>
            <w:vAlign w:val="center"/>
          </w:tcPr>
          <w:p w14:paraId="5B52A8A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17.4</w:t>
            </w:r>
          </w:p>
        </w:tc>
      </w:tr>
      <w:tr w:rsidR="00217865" w:rsidRPr="00E13525" w14:paraId="5D20A7B4"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217FC57"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Flinders University</w:t>
            </w:r>
          </w:p>
        </w:tc>
        <w:tc>
          <w:tcPr>
            <w:tcW w:w="391" w:type="pct"/>
            <w:tcBorders>
              <w:top w:val="single" w:sz="4" w:space="0" w:color="auto"/>
              <w:left w:val="single" w:sz="4" w:space="0" w:color="auto"/>
              <w:bottom w:val="single" w:sz="4" w:space="0" w:color="auto"/>
              <w:right w:val="single" w:sz="4" w:space="0" w:color="auto"/>
            </w:tcBorders>
            <w:vAlign w:val="center"/>
          </w:tcPr>
          <w:p w14:paraId="7D38816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7,815</w:t>
            </w:r>
          </w:p>
        </w:tc>
        <w:tc>
          <w:tcPr>
            <w:tcW w:w="393" w:type="pct"/>
            <w:tcBorders>
              <w:top w:val="single" w:sz="4" w:space="0" w:color="auto"/>
              <w:left w:val="single" w:sz="4" w:space="0" w:color="auto"/>
              <w:bottom w:val="single" w:sz="4" w:space="0" w:color="auto"/>
              <w:right w:val="single" w:sz="4" w:space="0" w:color="auto"/>
            </w:tcBorders>
            <w:vAlign w:val="center"/>
          </w:tcPr>
          <w:p w14:paraId="7BCA1B0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86.6</w:t>
            </w:r>
          </w:p>
        </w:tc>
        <w:tc>
          <w:tcPr>
            <w:tcW w:w="392" w:type="pct"/>
            <w:tcBorders>
              <w:top w:val="single" w:sz="4" w:space="0" w:color="auto"/>
              <w:left w:val="single" w:sz="4" w:space="0" w:color="auto"/>
              <w:bottom w:val="single" w:sz="4" w:space="0" w:color="auto"/>
              <w:right w:val="single" w:sz="4" w:space="0" w:color="auto"/>
            </w:tcBorders>
            <w:vAlign w:val="center"/>
          </w:tcPr>
          <w:p w14:paraId="137C7D4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1,213</w:t>
            </w:r>
          </w:p>
        </w:tc>
        <w:tc>
          <w:tcPr>
            <w:tcW w:w="393" w:type="pct"/>
            <w:tcBorders>
              <w:top w:val="single" w:sz="4" w:space="0" w:color="auto"/>
              <w:left w:val="single" w:sz="4" w:space="0" w:color="auto"/>
              <w:bottom w:val="single" w:sz="4" w:space="0" w:color="auto"/>
              <w:right w:val="single" w:sz="4" w:space="0" w:color="auto"/>
            </w:tcBorders>
            <w:vAlign w:val="center"/>
          </w:tcPr>
          <w:p w14:paraId="29DF694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13.4</w:t>
            </w:r>
          </w:p>
        </w:tc>
        <w:tc>
          <w:tcPr>
            <w:tcW w:w="391" w:type="pct"/>
            <w:tcBorders>
              <w:top w:val="single" w:sz="4" w:space="0" w:color="auto"/>
              <w:left w:val="single" w:sz="4" w:space="0" w:color="auto"/>
              <w:bottom w:val="single" w:sz="4" w:space="0" w:color="auto"/>
              <w:right w:val="single" w:sz="4" w:space="0" w:color="auto"/>
            </w:tcBorders>
            <w:vAlign w:val="center"/>
          </w:tcPr>
          <w:p w14:paraId="7AD7C4F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2,578</w:t>
            </w:r>
          </w:p>
        </w:tc>
        <w:tc>
          <w:tcPr>
            <w:tcW w:w="392" w:type="pct"/>
            <w:tcBorders>
              <w:top w:val="single" w:sz="4" w:space="0" w:color="auto"/>
              <w:left w:val="single" w:sz="4" w:space="0" w:color="auto"/>
              <w:bottom w:val="single" w:sz="4" w:space="0" w:color="auto"/>
              <w:right w:val="single" w:sz="4" w:space="0" w:color="auto"/>
            </w:tcBorders>
            <w:vAlign w:val="center"/>
          </w:tcPr>
          <w:p w14:paraId="42AC9D6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87.5</w:t>
            </w:r>
          </w:p>
        </w:tc>
        <w:tc>
          <w:tcPr>
            <w:tcW w:w="392" w:type="pct"/>
            <w:tcBorders>
              <w:top w:val="single" w:sz="4" w:space="0" w:color="auto"/>
              <w:left w:val="single" w:sz="4" w:space="0" w:color="auto"/>
              <w:bottom w:val="single" w:sz="4" w:space="0" w:color="auto"/>
              <w:right w:val="single" w:sz="4" w:space="0" w:color="auto"/>
            </w:tcBorders>
            <w:vAlign w:val="center"/>
          </w:tcPr>
          <w:p w14:paraId="731EAE7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368</w:t>
            </w:r>
          </w:p>
        </w:tc>
        <w:tc>
          <w:tcPr>
            <w:tcW w:w="391" w:type="pct"/>
            <w:tcBorders>
              <w:top w:val="single" w:sz="4" w:space="0" w:color="auto"/>
              <w:left w:val="single" w:sz="4" w:space="0" w:color="auto"/>
              <w:bottom w:val="single" w:sz="4" w:space="0" w:color="auto"/>
              <w:right w:val="single" w:sz="4" w:space="0" w:color="auto"/>
            </w:tcBorders>
            <w:vAlign w:val="center"/>
          </w:tcPr>
          <w:p w14:paraId="7B17DA5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12.5</w:t>
            </w:r>
          </w:p>
        </w:tc>
      </w:tr>
      <w:tr w:rsidR="00217865" w:rsidRPr="00E13525" w14:paraId="4839C50F"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8CE8BB7"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Griffith University</w:t>
            </w:r>
          </w:p>
        </w:tc>
        <w:tc>
          <w:tcPr>
            <w:tcW w:w="391" w:type="pct"/>
            <w:tcBorders>
              <w:top w:val="single" w:sz="4" w:space="0" w:color="auto"/>
              <w:left w:val="single" w:sz="4" w:space="0" w:color="auto"/>
              <w:bottom w:val="single" w:sz="4" w:space="0" w:color="auto"/>
              <w:right w:val="single" w:sz="4" w:space="0" w:color="auto"/>
            </w:tcBorders>
            <w:vAlign w:val="center"/>
          </w:tcPr>
          <w:p w14:paraId="36D2D7D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17,221</w:t>
            </w:r>
          </w:p>
        </w:tc>
        <w:tc>
          <w:tcPr>
            <w:tcW w:w="393" w:type="pct"/>
            <w:tcBorders>
              <w:top w:val="single" w:sz="4" w:space="0" w:color="auto"/>
              <w:left w:val="single" w:sz="4" w:space="0" w:color="auto"/>
              <w:bottom w:val="single" w:sz="4" w:space="0" w:color="auto"/>
              <w:right w:val="single" w:sz="4" w:space="0" w:color="auto"/>
            </w:tcBorders>
            <w:vAlign w:val="center"/>
          </w:tcPr>
          <w:p w14:paraId="51AEAC8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87.0</w:t>
            </w:r>
          </w:p>
        </w:tc>
        <w:tc>
          <w:tcPr>
            <w:tcW w:w="392" w:type="pct"/>
            <w:tcBorders>
              <w:top w:val="single" w:sz="4" w:space="0" w:color="auto"/>
              <w:left w:val="single" w:sz="4" w:space="0" w:color="auto"/>
              <w:bottom w:val="single" w:sz="4" w:space="0" w:color="auto"/>
              <w:right w:val="single" w:sz="4" w:space="0" w:color="auto"/>
            </w:tcBorders>
            <w:vAlign w:val="center"/>
          </w:tcPr>
          <w:p w14:paraId="351D2F4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2,571</w:t>
            </w:r>
          </w:p>
        </w:tc>
        <w:tc>
          <w:tcPr>
            <w:tcW w:w="393" w:type="pct"/>
            <w:tcBorders>
              <w:top w:val="single" w:sz="4" w:space="0" w:color="auto"/>
              <w:left w:val="single" w:sz="4" w:space="0" w:color="auto"/>
              <w:bottom w:val="single" w:sz="4" w:space="0" w:color="auto"/>
              <w:right w:val="single" w:sz="4" w:space="0" w:color="auto"/>
            </w:tcBorders>
            <w:vAlign w:val="center"/>
          </w:tcPr>
          <w:p w14:paraId="3BAA884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13.0</w:t>
            </w:r>
          </w:p>
        </w:tc>
        <w:tc>
          <w:tcPr>
            <w:tcW w:w="391" w:type="pct"/>
            <w:tcBorders>
              <w:top w:val="single" w:sz="4" w:space="0" w:color="auto"/>
              <w:left w:val="single" w:sz="4" w:space="0" w:color="auto"/>
              <w:bottom w:val="single" w:sz="4" w:space="0" w:color="auto"/>
              <w:right w:val="single" w:sz="4" w:space="0" w:color="auto"/>
            </w:tcBorders>
            <w:vAlign w:val="center"/>
          </w:tcPr>
          <w:p w14:paraId="183B30C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5,803</w:t>
            </w:r>
          </w:p>
        </w:tc>
        <w:tc>
          <w:tcPr>
            <w:tcW w:w="392" w:type="pct"/>
            <w:tcBorders>
              <w:top w:val="single" w:sz="4" w:space="0" w:color="auto"/>
              <w:left w:val="single" w:sz="4" w:space="0" w:color="auto"/>
              <w:bottom w:val="single" w:sz="4" w:space="0" w:color="auto"/>
              <w:right w:val="single" w:sz="4" w:space="0" w:color="auto"/>
            </w:tcBorders>
            <w:vAlign w:val="center"/>
          </w:tcPr>
          <w:p w14:paraId="31CB67D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87.5</w:t>
            </w:r>
          </w:p>
        </w:tc>
        <w:tc>
          <w:tcPr>
            <w:tcW w:w="392" w:type="pct"/>
            <w:tcBorders>
              <w:top w:val="single" w:sz="4" w:space="0" w:color="auto"/>
              <w:left w:val="single" w:sz="4" w:space="0" w:color="auto"/>
              <w:bottom w:val="single" w:sz="4" w:space="0" w:color="auto"/>
              <w:right w:val="single" w:sz="4" w:space="0" w:color="auto"/>
            </w:tcBorders>
            <w:vAlign w:val="center"/>
          </w:tcPr>
          <w:p w14:paraId="635A536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827</w:t>
            </w:r>
          </w:p>
        </w:tc>
        <w:tc>
          <w:tcPr>
            <w:tcW w:w="391" w:type="pct"/>
            <w:tcBorders>
              <w:top w:val="single" w:sz="4" w:space="0" w:color="auto"/>
              <w:left w:val="single" w:sz="4" w:space="0" w:color="auto"/>
              <w:bottom w:val="single" w:sz="4" w:space="0" w:color="auto"/>
              <w:right w:val="single" w:sz="4" w:space="0" w:color="auto"/>
            </w:tcBorders>
            <w:vAlign w:val="center"/>
          </w:tcPr>
          <w:p w14:paraId="1B3E832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12.5</w:t>
            </w:r>
          </w:p>
        </w:tc>
      </w:tr>
      <w:tr w:rsidR="00217865" w:rsidRPr="00E13525" w14:paraId="5D1748B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B49A724"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James Cook University</w:t>
            </w:r>
          </w:p>
        </w:tc>
        <w:tc>
          <w:tcPr>
            <w:tcW w:w="391" w:type="pct"/>
            <w:tcBorders>
              <w:top w:val="single" w:sz="4" w:space="0" w:color="auto"/>
              <w:left w:val="single" w:sz="4" w:space="0" w:color="auto"/>
              <w:bottom w:val="single" w:sz="4" w:space="0" w:color="auto"/>
              <w:right w:val="single" w:sz="4" w:space="0" w:color="auto"/>
            </w:tcBorders>
            <w:vAlign w:val="center"/>
          </w:tcPr>
          <w:p w14:paraId="039DEFF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4,873</w:t>
            </w:r>
          </w:p>
        </w:tc>
        <w:tc>
          <w:tcPr>
            <w:tcW w:w="393" w:type="pct"/>
            <w:tcBorders>
              <w:top w:val="single" w:sz="4" w:space="0" w:color="auto"/>
              <w:left w:val="single" w:sz="4" w:space="0" w:color="auto"/>
              <w:bottom w:val="single" w:sz="4" w:space="0" w:color="auto"/>
              <w:right w:val="single" w:sz="4" w:space="0" w:color="auto"/>
            </w:tcBorders>
            <w:vAlign w:val="center"/>
          </w:tcPr>
          <w:p w14:paraId="5D0C839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88.6</w:t>
            </w:r>
          </w:p>
        </w:tc>
        <w:tc>
          <w:tcPr>
            <w:tcW w:w="392" w:type="pct"/>
            <w:tcBorders>
              <w:top w:val="single" w:sz="4" w:space="0" w:color="auto"/>
              <w:left w:val="single" w:sz="4" w:space="0" w:color="auto"/>
              <w:bottom w:val="single" w:sz="4" w:space="0" w:color="auto"/>
              <w:right w:val="single" w:sz="4" w:space="0" w:color="auto"/>
            </w:tcBorders>
            <w:vAlign w:val="center"/>
          </w:tcPr>
          <w:p w14:paraId="4420368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628</w:t>
            </w:r>
          </w:p>
        </w:tc>
        <w:tc>
          <w:tcPr>
            <w:tcW w:w="393" w:type="pct"/>
            <w:tcBorders>
              <w:top w:val="single" w:sz="4" w:space="0" w:color="auto"/>
              <w:left w:val="single" w:sz="4" w:space="0" w:color="auto"/>
              <w:bottom w:val="single" w:sz="4" w:space="0" w:color="auto"/>
              <w:right w:val="single" w:sz="4" w:space="0" w:color="auto"/>
            </w:tcBorders>
            <w:vAlign w:val="center"/>
          </w:tcPr>
          <w:p w14:paraId="22D8C59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11.4</w:t>
            </w:r>
          </w:p>
        </w:tc>
        <w:tc>
          <w:tcPr>
            <w:tcW w:w="391" w:type="pct"/>
            <w:tcBorders>
              <w:top w:val="single" w:sz="4" w:space="0" w:color="auto"/>
              <w:left w:val="single" w:sz="4" w:space="0" w:color="auto"/>
              <w:bottom w:val="single" w:sz="4" w:space="0" w:color="auto"/>
              <w:right w:val="single" w:sz="4" w:space="0" w:color="auto"/>
            </w:tcBorders>
            <w:vAlign w:val="center"/>
          </w:tcPr>
          <w:p w14:paraId="7121F97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1,807</w:t>
            </w:r>
          </w:p>
        </w:tc>
        <w:tc>
          <w:tcPr>
            <w:tcW w:w="392" w:type="pct"/>
            <w:tcBorders>
              <w:top w:val="single" w:sz="4" w:space="0" w:color="auto"/>
              <w:left w:val="single" w:sz="4" w:space="0" w:color="auto"/>
              <w:bottom w:val="single" w:sz="4" w:space="0" w:color="auto"/>
              <w:right w:val="single" w:sz="4" w:space="0" w:color="auto"/>
            </w:tcBorders>
            <w:vAlign w:val="center"/>
          </w:tcPr>
          <w:p w14:paraId="3F6B42F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87.6</w:t>
            </w:r>
          </w:p>
        </w:tc>
        <w:tc>
          <w:tcPr>
            <w:tcW w:w="392" w:type="pct"/>
            <w:tcBorders>
              <w:top w:val="single" w:sz="4" w:space="0" w:color="auto"/>
              <w:left w:val="single" w:sz="4" w:space="0" w:color="auto"/>
              <w:bottom w:val="single" w:sz="4" w:space="0" w:color="auto"/>
              <w:right w:val="single" w:sz="4" w:space="0" w:color="auto"/>
            </w:tcBorders>
            <w:vAlign w:val="center"/>
          </w:tcPr>
          <w:p w14:paraId="10F59CC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255</w:t>
            </w:r>
          </w:p>
        </w:tc>
        <w:tc>
          <w:tcPr>
            <w:tcW w:w="391" w:type="pct"/>
            <w:tcBorders>
              <w:top w:val="single" w:sz="4" w:space="0" w:color="auto"/>
              <w:left w:val="single" w:sz="4" w:space="0" w:color="auto"/>
              <w:bottom w:val="single" w:sz="4" w:space="0" w:color="auto"/>
              <w:right w:val="single" w:sz="4" w:space="0" w:color="auto"/>
            </w:tcBorders>
            <w:vAlign w:val="center"/>
          </w:tcPr>
          <w:p w14:paraId="398C795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12.4</w:t>
            </w:r>
          </w:p>
        </w:tc>
      </w:tr>
      <w:tr w:rsidR="00217865" w:rsidRPr="00E13525" w14:paraId="7CDD4DAF"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14E1722"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La Trobe University</w:t>
            </w:r>
          </w:p>
        </w:tc>
        <w:tc>
          <w:tcPr>
            <w:tcW w:w="391" w:type="pct"/>
            <w:tcBorders>
              <w:top w:val="single" w:sz="4" w:space="0" w:color="auto"/>
              <w:left w:val="single" w:sz="4" w:space="0" w:color="auto"/>
              <w:bottom w:val="single" w:sz="4" w:space="0" w:color="auto"/>
              <w:right w:val="single" w:sz="4" w:space="0" w:color="auto"/>
            </w:tcBorders>
            <w:vAlign w:val="center"/>
          </w:tcPr>
          <w:p w14:paraId="0BDA4E1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13,179</w:t>
            </w:r>
          </w:p>
        </w:tc>
        <w:tc>
          <w:tcPr>
            <w:tcW w:w="393" w:type="pct"/>
            <w:tcBorders>
              <w:top w:val="single" w:sz="4" w:space="0" w:color="auto"/>
              <w:left w:val="single" w:sz="4" w:space="0" w:color="auto"/>
              <w:bottom w:val="single" w:sz="4" w:space="0" w:color="auto"/>
              <w:right w:val="single" w:sz="4" w:space="0" w:color="auto"/>
            </w:tcBorders>
            <w:vAlign w:val="center"/>
          </w:tcPr>
          <w:p w14:paraId="50F2A0E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89.1</w:t>
            </w:r>
          </w:p>
        </w:tc>
        <w:tc>
          <w:tcPr>
            <w:tcW w:w="392" w:type="pct"/>
            <w:tcBorders>
              <w:top w:val="single" w:sz="4" w:space="0" w:color="auto"/>
              <w:left w:val="single" w:sz="4" w:space="0" w:color="auto"/>
              <w:bottom w:val="single" w:sz="4" w:space="0" w:color="auto"/>
              <w:right w:val="single" w:sz="4" w:space="0" w:color="auto"/>
            </w:tcBorders>
            <w:vAlign w:val="center"/>
          </w:tcPr>
          <w:p w14:paraId="07144C0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1,608</w:t>
            </w:r>
          </w:p>
        </w:tc>
        <w:tc>
          <w:tcPr>
            <w:tcW w:w="393" w:type="pct"/>
            <w:tcBorders>
              <w:top w:val="single" w:sz="4" w:space="0" w:color="auto"/>
              <w:left w:val="single" w:sz="4" w:space="0" w:color="auto"/>
              <w:bottom w:val="single" w:sz="4" w:space="0" w:color="auto"/>
              <w:right w:val="single" w:sz="4" w:space="0" w:color="auto"/>
            </w:tcBorders>
            <w:vAlign w:val="center"/>
          </w:tcPr>
          <w:p w14:paraId="30B5C7F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10.9</w:t>
            </w:r>
          </w:p>
        </w:tc>
        <w:tc>
          <w:tcPr>
            <w:tcW w:w="391" w:type="pct"/>
            <w:tcBorders>
              <w:top w:val="single" w:sz="4" w:space="0" w:color="auto"/>
              <w:left w:val="single" w:sz="4" w:space="0" w:color="auto"/>
              <w:bottom w:val="single" w:sz="4" w:space="0" w:color="auto"/>
              <w:right w:val="single" w:sz="4" w:space="0" w:color="auto"/>
            </w:tcBorders>
            <w:vAlign w:val="center"/>
          </w:tcPr>
          <w:p w14:paraId="48C6232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4,608</w:t>
            </w:r>
          </w:p>
        </w:tc>
        <w:tc>
          <w:tcPr>
            <w:tcW w:w="392" w:type="pct"/>
            <w:tcBorders>
              <w:top w:val="single" w:sz="4" w:space="0" w:color="auto"/>
              <w:left w:val="single" w:sz="4" w:space="0" w:color="auto"/>
              <w:bottom w:val="single" w:sz="4" w:space="0" w:color="auto"/>
              <w:right w:val="single" w:sz="4" w:space="0" w:color="auto"/>
            </w:tcBorders>
            <w:vAlign w:val="center"/>
          </w:tcPr>
          <w:p w14:paraId="743E8A3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91.4</w:t>
            </w:r>
          </w:p>
        </w:tc>
        <w:tc>
          <w:tcPr>
            <w:tcW w:w="392" w:type="pct"/>
            <w:tcBorders>
              <w:top w:val="single" w:sz="4" w:space="0" w:color="auto"/>
              <w:left w:val="single" w:sz="4" w:space="0" w:color="auto"/>
              <w:bottom w:val="single" w:sz="4" w:space="0" w:color="auto"/>
              <w:right w:val="single" w:sz="4" w:space="0" w:color="auto"/>
            </w:tcBorders>
            <w:vAlign w:val="center"/>
          </w:tcPr>
          <w:p w14:paraId="1E4A63E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434</w:t>
            </w:r>
          </w:p>
        </w:tc>
        <w:tc>
          <w:tcPr>
            <w:tcW w:w="391" w:type="pct"/>
            <w:tcBorders>
              <w:top w:val="single" w:sz="4" w:space="0" w:color="auto"/>
              <w:left w:val="single" w:sz="4" w:space="0" w:color="auto"/>
              <w:bottom w:val="single" w:sz="4" w:space="0" w:color="auto"/>
              <w:right w:val="single" w:sz="4" w:space="0" w:color="auto"/>
            </w:tcBorders>
            <w:vAlign w:val="center"/>
          </w:tcPr>
          <w:p w14:paraId="26E6BC9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8.6</w:t>
            </w:r>
          </w:p>
        </w:tc>
      </w:tr>
      <w:tr w:rsidR="00217865" w:rsidRPr="00E13525" w14:paraId="1A5324BA"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0FA1D32"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Macquarie University</w:t>
            </w:r>
          </w:p>
        </w:tc>
        <w:tc>
          <w:tcPr>
            <w:tcW w:w="391" w:type="pct"/>
            <w:tcBorders>
              <w:top w:val="single" w:sz="4" w:space="0" w:color="auto"/>
              <w:left w:val="single" w:sz="4" w:space="0" w:color="auto"/>
              <w:bottom w:val="single" w:sz="4" w:space="0" w:color="auto"/>
              <w:right w:val="single" w:sz="4" w:space="0" w:color="auto"/>
            </w:tcBorders>
            <w:vAlign w:val="center"/>
          </w:tcPr>
          <w:p w14:paraId="263EF34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15,802</w:t>
            </w:r>
          </w:p>
        </w:tc>
        <w:tc>
          <w:tcPr>
            <w:tcW w:w="393" w:type="pct"/>
            <w:tcBorders>
              <w:top w:val="single" w:sz="4" w:space="0" w:color="auto"/>
              <w:left w:val="single" w:sz="4" w:space="0" w:color="auto"/>
              <w:bottom w:val="single" w:sz="4" w:space="0" w:color="auto"/>
              <w:right w:val="single" w:sz="4" w:space="0" w:color="auto"/>
            </w:tcBorders>
            <w:vAlign w:val="center"/>
          </w:tcPr>
          <w:p w14:paraId="5808157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86.0</w:t>
            </w:r>
          </w:p>
        </w:tc>
        <w:tc>
          <w:tcPr>
            <w:tcW w:w="392" w:type="pct"/>
            <w:tcBorders>
              <w:top w:val="single" w:sz="4" w:space="0" w:color="auto"/>
              <w:left w:val="single" w:sz="4" w:space="0" w:color="auto"/>
              <w:bottom w:val="single" w:sz="4" w:space="0" w:color="auto"/>
              <w:right w:val="single" w:sz="4" w:space="0" w:color="auto"/>
            </w:tcBorders>
            <w:vAlign w:val="center"/>
          </w:tcPr>
          <w:p w14:paraId="492CE0F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2,579</w:t>
            </w:r>
          </w:p>
        </w:tc>
        <w:tc>
          <w:tcPr>
            <w:tcW w:w="393" w:type="pct"/>
            <w:tcBorders>
              <w:top w:val="single" w:sz="4" w:space="0" w:color="auto"/>
              <w:left w:val="single" w:sz="4" w:space="0" w:color="auto"/>
              <w:bottom w:val="single" w:sz="4" w:space="0" w:color="auto"/>
              <w:right w:val="single" w:sz="4" w:space="0" w:color="auto"/>
            </w:tcBorders>
            <w:vAlign w:val="center"/>
          </w:tcPr>
          <w:p w14:paraId="59BFDA1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14.0</w:t>
            </w:r>
          </w:p>
        </w:tc>
        <w:tc>
          <w:tcPr>
            <w:tcW w:w="391" w:type="pct"/>
            <w:tcBorders>
              <w:top w:val="single" w:sz="4" w:space="0" w:color="auto"/>
              <w:left w:val="single" w:sz="4" w:space="0" w:color="auto"/>
              <w:bottom w:val="single" w:sz="4" w:space="0" w:color="auto"/>
              <w:right w:val="single" w:sz="4" w:space="0" w:color="auto"/>
            </w:tcBorders>
            <w:vAlign w:val="center"/>
          </w:tcPr>
          <w:p w14:paraId="301EAD8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5,437</w:t>
            </w:r>
          </w:p>
        </w:tc>
        <w:tc>
          <w:tcPr>
            <w:tcW w:w="392" w:type="pct"/>
            <w:tcBorders>
              <w:top w:val="single" w:sz="4" w:space="0" w:color="auto"/>
              <w:left w:val="single" w:sz="4" w:space="0" w:color="auto"/>
              <w:bottom w:val="single" w:sz="4" w:space="0" w:color="auto"/>
              <w:right w:val="single" w:sz="4" w:space="0" w:color="auto"/>
            </w:tcBorders>
            <w:vAlign w:val="center"/>
          </w:tcPr>
          <w:p w14:paraId="23F4C41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85.2</w:t>
            </w:r>
          </w:p>
        </w:tc>
        <w:tc>
          <w:tcPr>
            <w:tcW w:w="392" w:type="pct"/>
            <w:tcBorders>
              <w:top w:val="single" w:sz="4" w:space="0" w:color="auto"/>
              <w:left w:val="single" w:sz="4" w:space="0" w:color="auto"/>
              <w:bottom w:val="single" w:sz="4" w:space="0" w:color="auto"/>
              <w:right w:val="single" w:sz="4" w:space="0" w:color="auto"/>
            </w:tcBorders>
            <w:vAlign w:val="center"/>
          </w:tcPr>
          <w:p w14:paraId="0013F70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944</w:t>
            </w:r>
          </w:p>
        </w:tc>
        <w:tc>
          <w:tcPr>
            <w:tcW w:w="391" w:type="pct"/>
            <w:tcBorders>
              <w:top w:val="single" w:sz="4" w:space="0" w:color="auto"/>
              <w:left w:val="single" w:sz="4" w:space="0" w:color="auto"/>
              <w:bottom w:val="single" w:sz="4" w:space="0" w:color="auto"/>
              <w:right w:val="single" w:sz="4" w:space="0" w:color="auto"/>
            </w:tcBorders>
            <w:vAlign w:val="center"/>
          </w:tcPr>
          <w:p w14:paraId="18F8C2B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14.8</w:t>
            </w:r>
          </w:p>
        </w:tc>
      </w:tr>
      <w:tr w:rsidR="00217865" w:rsidRPr="00E13525" w14:paraId="088231D2"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2B4BBD3"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Monash University</w:t>
            </w:r>
          </w:p>
        </w:tc>
        <w:tc>
          <w:tcPr>
            <w:tcW w:w="391" w:type="pct"/>
            <w:tcBorders>
              <w:top w:val="single" w:sz="4" w:space="0" w:color="auto"/>
              <w:left w:val="single" w:sz="4" w:space="0" w:color="auto"/>
              <w:bottom w:val="single" w:sz="4" w:space="0" w:color="auto"/>
              <w:right w:val="single" w:sz="4" w:space="0" w:color="auto"/>
            </w:tcBorders>
            <w:vAlign w:val="center"/>
          </w:tcPr>
          <w:p w14:paraId="6A963D2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21,877</w:t>
            </w:r>
          </w:p>
        </w:tc>
        <w:tc>
          <w:tcPr>
            <w:tcW w:w="393" w:type="pct"/>
            <w:tcBorders>
              <w:top w:val="single" w:sz="4" w:space="0" w:color="auto"/>
              <w:left w:val="single" w:sz="4" w:space="0" w:color="auto"/>
              <w:bottom w:val="single" w:sz="4" w:space="0" w:color="auto"/>
              <w:right w:val="single" w:sz="4" w:space="0" w:color="auto"/>
            </w:tcBorders>
            <w:vAlign w:val="center"/>
          </w:tcPr>
          <w:p w14:paraId="20B5BF7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71.2</w:t>
            </w:r>
          </w:p>
        </w:tc>
        <w:tc>
          <w:tcPr>
            <w:tcW w:w="392" w:type="pct"/>
            <w:tcBorders>
              <w:top w:val="single" w:sz="4" w:space="0" w:color="auto"/>
              <w:left w:val="single" w:sz="4" w:space="0" w:color="auto"/>
              <w:bottom w:val="single" w:sz="4" w:space="0" w:color="auto"/>
              <w:right w:val="single" w:sz="4" w:space="0" w:color="auto"/>
            </w:tcBorders>
            <w:vAlign w:val="center"/>
          </w:tcPr>
          <w:p w14:paraId="777FD20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8,869</w:t>
            </w:r>
          </w:p>
        </w:tc>
        <w:tc>
          <w:tcPr>
            <w:tcW w:w="393" w:type="pct"/>
            <w:tcBorders>
              <w:top w:val="single" w:sz="4" w:space="0" w:color="auto"/>
              <w:left w:val="single" w:sz="4" w:space="0" w:color="auto"/>
              <w:bottom w:val="single" w:sz="4" w:space="0" w:color="auto"/>
              <w:right w:val="single" w:sz="4" w:space="0" w:color="auto"/>
            </w:tcBorders>
            <w:vAlign w:val="center"/>
          </w:tcPr>
          <w:p w14:paraId="7DA982E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28.8</w:t>
            </w:r>
          </w:p>
        </w:tc>
        <w:tc>
          <w:tcPr>
            <w:tcW w:w="391" w:type="pct"/>
            <w:tcBorders>
              <w:top w:val="single" w:sz="4" w:space="0" w:color="auto"/>
              <w:left w:val="single" w:sz="4" w:space="0" w:color="auto"/>
              <w:bottom w:val="single" w:sz="4" w:space="0" w:color="auto"/>
              <w:right w:val="single" w:sz="4" w:space="0" w:color="auto"/>
            </w:tcBorders>
            <w:vAlign w:val="center"/>
          </w:tcPr>
          <w:p w14:paraId="6B0EC2E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7,303</w:t>
            </w:r>
          </w:p>
        </w:tc>
        <w:tc>
          <w:tcPr>
            <w:tcW w:w="392" w:type="pct"/>
            <w:tcBorders>
              <w:top w:val="single" w:sz="4" w:space="0" w:color="auto"/>
              <w:left w:val="single" w:sz="4" w:space="0" w:color="auto"/>
              <w:bottom w:val="single" w:sz="4" w:space="0" w:color="auto"/>
              <w:right w:val="single" w:sz="4" w:space="0" w:color="auto"/>
            </w:tcBorders>
            <w:vAlign w:val="center"/>
          </w:tcPr>
          <w:p w14:paraId="30574D8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74.8</w:t>
            </w:r>
          </w:p>
        </w:tc>
        <w:tc>
          <w:tcPr>
            <w:tcW w:w="392" w:type="pct"/>
            <w:tcBorders>
              <w:top w:val="single" w:sz="4" w:space="0" w:color="auto"/>
              <w:left w:val="single" w:sz="4" w:space="0" w:color="auto"/>
              <w:bottom w:val="single" w:sz="4" w:space="0" w:color="auto"/>
              <w:right w:val="single" w:sz="4" w:space="0" w:color="auto"/>
            </w:tcBorders>
            <w:vAlign w:val="center"/>
          </w:tcPr>
          <w:p w14:paraId="20458CB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2,454</w:t>
            </w:r>
          </w:p>
        </w:tc>
        <w:tc>
          <w:tcPr>
            <w:tcW w:w="391" w:type="pct"/>
            <w:tcBorders>
              <w:top w:val="single" w:sz="4" w:space="0" w:color="auto"/>
              <w:left w:val="single" w:sz="4" w:space="0" w:color="auto"/>
              <w:bottom w:val="single" w:sz="4" w:space="0" w:color="auto"/>
              <w:right w:val="single" w:sz="4" w:space="0" w:color="auto"/>
            </w:tcBorders>
            <w:vAlign w:val="center"/>
          </w:tcPr>
          <w:p w14:paraId="2733C7B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25.2</w:t>
            </w:r>
          </w:p>
        </w:tc>
      </w:tr>
      <w:tr w:rsidR="00217865" w:rsidRPr="00E13525" w14:paraId="73B8236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5BDF373"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Murdoch University</w:t>
            </w:r>
          </w:p>
        </w:tc>
        <w:tc>
          <w:tcPr>
            <w:tcW w:w="391" w:type="pct"/>
            <w:tcBorders>
              <w:top w:val="single" w:sz="4" w:space="0" w:color="auto"/>
              <w:left w:val="single" w:sz="4" w:space="0" w:color="auto"/>
              <w:bottom w:val="single" w:sz="4" w:space="0" w:color="auto"/>
              <w:right w:val="single" w:sz="4" w:space="0" w:color="auto"/>
            </w:tcBorders>
            <w:vAlign w:val="center"/>
          </w:tcPr>
          <w:p w14:paraId="6331320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3,934</w:t>
            </w:r>
          </w:p>
        </w:tc>
        <w:tc>
          <w:tcPr>
            <w:tcW w:w="393" w:type="pct"/>
            <w:tcBorders>
              <w:top w:val="single" w:sz="4" w:space="0" w:color="auto"/>
              <w:left w:val="single" w:sz="4" w:space="0" w:color="auto"/>
              <w:bottom w:val="single" w:sz="4" w:space="0" w:color="auto"/>
              <w:right w:val="single" w:sz="4" w:space="0" w:color="auto"/>
            </w:tcBorders>
            <w:vAlign w:val="center"/>
          </w:tcPr>
          <w:p w14:paraId="715A348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83.9</w:t>
            </w:r>
          </w:p>
        </w:tc>
        <w:tc>
          <w:tcPr>
            <w:tcW w:w="392" w:type="pct"/>
            <w:tcBorders>
              <w:top w:val="single" w:sz="4" w:space="0" w:color="auto"/>
              <w:left w:val="single" w:sz="4" w:space="0" w:color="auto"/>
              <w:bottom w:val="single" w:sz="4" w:space="0" w:color="auto"/>
              <w:right w:val="single" w:sz="4" w:space="0" w:color="auto"/>
            </w:tcBorders>
            <w:vAlign w:val="center"/>
          </w:tcPr>
          <w:p w14:paraId="2C9DF90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754</w:t>
            </w:r>
          </w:p>
        </w:tc>
        <w:tc>
          <w:tcPr>
            <w:tcW w:w="393" w:type="pct"/>
            <w:tcBorders>
              <w:top w:val="single" w:sz="4" w:space="0" w:color="auto"/>
              <w:left w:val="single" w:sz="4" w:space="0" w:color="auto"/>
              <w:bottom w:val="single" w:sz="4" w:space="0" w:color="auto"/>
              <w:right w:val="single" w:sz="4" w:space="0" w:color="auto"/>
            </w:tcBorders>
            <w:vAlign w:val="center"/>
          </w:tcPr>
          <w:p w14:paraId="4367879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16.1</w:t>
            </w:r>
          </w:p>
        </w:tc>
        <w:tc>
          <w:tcPr>
            <w:tcW w:w="391" w:type="pct"/>
            <w:tcBorders>
              <w:top w:val="single" w:sz="4" w:space="0" w:color="auto"/>
              <w:left w:val="single" w:sz="4" w:space="0" w:color="auto"/>
              <w:bottom w:val="single" w:sz="4" w:space="0" w:color="auto"/>
              <w:right w:val="single" w:sz="4" w:space="0" w:color="auto"/>
            </w:tcBorders>
            <w:vAlign w:val="center"/>
          </w:tcPr>
          <w:p w14:paraId="75C983F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1,299</w:t>
            </w:r>
          </w:p>
        </w:tc>
        <w:tc>
          <w:tcPr>
            <w:tcW w:w="392" w:type="pct"/>
            <w:tcBorders>
              <w:top w:val="single" w:sz="4" w:space="0" w:color="auto"/>
              <w:left w:val="single" w:sz="4" w:space="0" w:color="auto"/>
              <w:bottom w:val="single" w:sz="4" w:space="0" w:color="auto"/>
              <w:right w:val="single" w:sz="4" w:space="0" w:color="auto"/>
            </w:tcBorders>
            <w:vAlign w:val="center"/>
          </w:tcPr>
          <w:p w14:paraId="4ED8B24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81.9</w:t>
            </w:r>
          </w:p>
        </w:tc>
        <w:tc>
          <w:tcPr>
            <w:tcW w:w="392" w:type="pct"/>
            <w:tcBorders>
              <w:top w:val="single" w:sz="4" w:space="0" w:color="auto"/>
              <w:left w:val="single" w:sz="4" w:space="0" w:color="auto"/>
              <w:bottom w:val="single" w:sz="4" w:space="0" w:color="auto"/>
              <w:right w:val="single" w:sz="4" w:space="0" w:color="auto"/>
            </w:tcBorders>
            <w:vAlign w:val="center"/>
          </w:tcPr>
          <w:p w14:paraId="6A3D6C3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288</w:t>
            </w:r>
          </w:p>
        </w:tc>
        <w:tc>
          <w:tcPr>
            <w:tcW w:w="391" w:type="pct"/>
            <w:tcBorders>
              <w:top w:val="single" w:sz="4" w:space="0" w:color="auto"/>
              <w:left w:val="single" w:sz="4" w:space="0" w:color="auto"/>
              <w:bottom w:val="single" w:sz="4" w:space="0" w:color="auto"/>
              <w:right w:val="single" w:sz="4" w:space="0" w:color="auto"/>
            </w:tcBorders>
            <w:vAlign w:val="center"/>
          </w:tcPr>
          <w:p w14:paraId="516D934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18.1</w:t>
            </w:r>
          </w:p>
        </w:tc>
      </w:tr>
      <w:tr w:rsidR="00217865" w:rsidRPr="00E13525" w14:paraId="0C6ADF5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A33C025"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Queensland University of Technology</w:t>
            </w:r>
          </w:p>
        </w:tc>
        <w:tc>
          <w:tcPr>
            <w:tcW w:w="391" w:type="pct"/>
            <w:tcBorders>
              <w:top w:val="single" w:sz="4" w:space="0" w:color="auto"/>
              <w:left w:val="single" w:sz="4" w:space="0" w:color="auto"/>
              <w:bottom w:val="single" w:sz="4" w:space="0" w:color="auto"/>
              <w:right w:val="single" w:sz="4" w:space="0" w:color="auto"/>
            </w:tcBorders>
            <w:vAlign w:val="center"/>
          </w:tcPr>
          <w:p w14:paraId="2E5F4A7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15,245</w:t>
            </w:r>
          </w:p>
        </w:tc>
        <w:tc>
          <w:tcPr>
            <w:tcW w:w="393" w:type="pct"/>
            <w:tcBorders>
              <w:top w:val="single" w:sz="4" w:space="0" w:color="auto"/>
              <w:left w:val="single" w:sz="4" w:space="0" w:color="auto"/>
              <w:bottom w:val="single" w:sz="4" w:space="0" w:color="auto"/>
              <w:right w:val="single" w:sz="4" w:space="0" w:color="auto"/>
            </w:tcBorders>
            <w:vAlign w:val="center"/>
          </w:tcPr>
          <w:p w14:paraId="18B7CCC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88.4</w:t>
            </w:r>
          </w:p>
        </w:tc>
        <w:tc>
          <w:tcPr>
            <w:tcW w:w="392" w:type="pct"/>
            <w:tcBorders>
              <w:top w:val="single" w:sz="4" w:space="0" w:color="auto"/>
              <w:left w:val="single" w:sz="4" w:space="0" w:color="auto"/>
              <w:bottom w:val="single" w:sz="4" w:space="0" w:color="auto"/>
              <w:right w:val="single" w:sz="4" w:space="0" w:color="auto"/>
            </w:tcBorders>
            <w:vAlign w:val="center"/>
          </w:tcPr>
          <w:p w14:paraId="5E37040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2,008</w:t>
            </w:r>
          </w:p>
        </w:tc>
        <w:tc>
          <w:tcPr>
            <w:tcW w:w="393" w:type="pct"/>
            <w:tcBorders>
              <w:top w:val="single" w:sz="4" w:space="0" w:color="auto"/>
              <w:left w:val="single" w:sz="4" w:space="0" w:color="auto"/>
              <w:bottom w:val="single" w:sz="4" w:space="0" w:color="auto"/>
              <w:right w:val="single" w:sz="4" w:space="0" w:color="auto"/>
            </w:tcBorders>
            <w:vAlign w:val="center"/>
          </w:tcPr>
          <w:p w14:paraId="7FA3047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11.6</w:t>
            </w:r>
          </w:p>
        </w:tc>
        <w:tc>
          <w:tcPr>
            <w:tcW w:w="391" w:type="pct"/>
            <w:tcBorders>
              <w:top w:val="single" w:sz="4" w:space="0" w:color="auto"/>
              <w:left w:val="single" w:sz="4" w:space="0" w:color="auto"/>
              <w:bottom w:val="single" w:sz="4" w:space="0" w:color="auto"/>
              <w:right w:val="single" w:sz="4" w:space="0" w:color="auto"/>
            </w:tcBorders>
            <w:vAlign w:val="center"/>
          </w:tcPr>
          <w:p w14:paraId="2BEF4DB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5,212</w:t>
            </w:r>
          </w:p>
        </w:tc>
        <w:tc>
          <w:tcPr>
            <w:tcW w:w="392" w:type="pct"/>
            <w:tcBorders>
              <w:top w:val="single" w:sz="4" w:space="0" w:color="auto"/>
              <w:left w:val="single" w:sz="4" w:space="0" w:color="auto"/>
              <w:bottom w:val="single" w:sz="4" w:space="0" w:color="auto"/>
              <w:right w:val="single" w:sz="4" w:space="0" w:color="auto"/>
            </w:tcBorders>
            <w:vAlign w:val="center"/>
          </w:tcPr>
          <w:p w14:paraId="1684D1A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88.7</w:t>
            </w:r>
          </w:p>
        </w:tc>
        <w:tc>
          <w:tcPr>
            <w:tcW w:w="392" w:type="pct"/>
            <w:tcBorders>
              <w:top w:val="single" w:sz="4" w:space="0" w:color="auto"/>
              <w:left w:val="single" w:sz="4" w:space="0" w:color="auto"/>
              <w:bottom w:val="single" w:sz="4" w:space="0" w:color="auto"/>
              <w:right w:val="single" w:sz="4" w:space="0" w:color="auto"/>
            </w:tcBorders>
            <w:vAlign w:val="center"/>
          </w:tcPr>
          <w:p w14:paraId="006ABBC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661</w:t>
            </w:r>
          </w:p>
        </w:tc>
        <w:tc>
          <w:tcPr>
            <w:tcW w:w="391" w:type="pct"/>
            <w:tcBorders>
              <w:top w:val="single" w:sz="4" w:space="0" w:color="auto"/>
              <w:left w:val="single" w:sz="4" w:space="0" w:color="auto"/>
              <w:bottom w:val="single" w:sz="4" w:space="0" w:color="auto"/>
              <w:right w:val="single" w:sz="4" w:space="0" w:color="auto"/>
            </w:tcBorders>
            <w:vAlign w:val="center"/>
          </w:tcPr>
          <w:p w14:paraId="19B33E5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11.3</w:t>
            </w:r>
          </w:p>
        </w:tc>
      </w:tr>
      <w:tr w:rsidR="00217865" w:rsidRPr="00E13525" w14:paraId="72A7AB73"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B0765EF"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RMIT University</w:t>
            </w:r>
          </w:p>
        </w:tc>
        <w:tc>
          <w:tcPr>
            <w:tcW w:w="391" w:type="pct"/>
            <w:tcBorders>
              <w:top w:val="single" w:sz="4" w:space="0" w:color="auto"/>
              <w:left w:val="single" w:sz="4" w:space="0" w:color="auto"/>
              <w:bottom w:val="single" w:sz="4" w:space="0" w:color="auto"/>
              <w:right w:val="single" w:sz="4" w:space="0" w:color="auto"/>
            </w:tcBorders>
            <w:vAlign w:val="center"/>
          </w:tcPr>
          <w:p w14:paraId="65DE690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16,722</w:t>
            </w:r>
          </w:p>
        </w:tc>
        <w:tc>
          <w:tcPr>
            <w:tcW w:w="393" w:type="pct"/>
            <w:tcBorders>
              <w:top w:val="single" w:sz="4" w:space="0" w:color="auto"/>
              <w:left w:val="single" w:sz="4" w:space="0" w:color="auto"/>
              <w:bottom w:val="single" w:sz="4" w:space="0" w:color="auto"/>
              <w:right w:val="single" w:sz="4" w:space="0" w:color="auto"/>
            </w:tcBorders>
            <w:vAlign w:val="center"/>
          </w:tcPr>
          <w:p w14:paraId="2070736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74.6</w:t>
            </w:r>
          </w:p>
        </w:tc>
        <w:tc>
          <w:tcPr>
            <w:tcW w:w="392" w:type="pct"/>
            <w:tcBorders>
              <w:top w:val="single" w:sz="4" w:space="0" w:color="auto"/>
              <w:left w:val="single" w:sz="4" w:space="0" w:color="auto"/>
              <w:bottom w:val="single" w:sz="4" w:space="0" w:color="auto"/>
              <w:right w:val="single" w:sz="4" w:space="0" w:color="auto"/>
            </w:tcBorders>
            <w:vAlign w:val="center"/>
          </w:tcPr>
          <w:p w14:paraId="15074CC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5,690</w:t>
            </w:r>
          </w:p>
        </w:tc>
        <w:tc>
          <w:tcPr>
            <w:tcW w:w="393" w:type="pct"/>
            <w:tcBorders>
              <w:top w:val="single" w:sz="4" w:space="0" w:color="auto"/>
              <w:left w:val="single" w:sz="4" w:space="0" w:color="auto"/>
              <w:bottom w:val="single" w:sz="4" w:space="0" w:color="auto"/>
              <w:right w:val="single" w:sz="4" w:space="0" w:color="auto"/>
            </w:tcBorders>
            <w:vAlign w:val="center"/>
          </w:tcPr>
          <w:p w14:paraId="5418F70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25.4</w:t>
            </w:r>
          </w:p>
        </w:tc>
        <w:tc>
          <w:tcPr>
            <w:tcW w:w="391" w:type="pct"/>
            <w:tcBorders>
              <w:top w:val="single" w:sz="4" w:space="0" w:color="auto"/>
              <w:left w:val="single" w:sz="4" w:space="0" w:color="auto"/>
              <w:bottom w:val="single" w:sz="4" w:space="0" w:color="auto"/>
              <w:right w:val="single" w:sz="4" w:space="0" w:color="auto"/>
            </w:tcBorders>
            <w:vAlign w:val="center"/>
          </w:tcPr>
          <w:p w14:paraId="5CCADDF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3,727</w:t>
            </w:r>
          </w:p>
        </w:tc>
        <w:tc>
          <w:tcPr>
            <w:tcW w:w="392" w:type="pct"/>
            <w:tcBorders>
              <w:top w:val="single" w:sz="4" w:space="0" w:color="auto"/>
              <w:left w:val="single" w:sz="4" w:space="0" w:color="auto"/>
              <w:bottom w:val="single" w:sz="4" w:space="0" w:color="auto"/>
              <w:right w:val="single" w:sz="4" w:space="0" w:color="auto"/>
            </w:tcBorders>
            <w:vAlign w:val="center"/>
          </w:tcPr>
          <w:p w14:paraId="6DB1BBD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79.0</w:t>
            </w:r>
          </w:p>
        </w:tc>
        <w:tc>
          <w:tcPr>
            <w:tcW w:w="392" w:type="pct"/>
            <w:tcBorders>
              <w:top w:val="single" w:sz="4" w:space="0" w:color="auto"/>
              <w:left w:val="single" w:sz="4" w:space="0" w:color="auto"/>
              <w:bottom w:val="single" w:sz="4" w:space="0" w:color="auto"/>
              <w:right w:val="single" w:sz="4" w:space="0" w:color="auto"/>
            </w:tcBorders>
            <w:vAlign w:val="center"/>
          </w:tcPr>
          <w:p w14:paraId="568138D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990</w:t>
            </w:r>
          </w:p>
        </w:tc>
        <w:tc>
          <w:tcPr>
            <w:tcW w:w="391" w:type="pct"/>
            <w:tcBorders>
              <w:top w:val="single" w:sz="4" w:space="0" w:color="auto"/>
              <w:left w:val="single" w:sz="4" w:space="0" w:color="auto"/>
              <w:bottom w:val="single" w:sz="4" w:space="0" w:color="auto"/>
              <w:right w:val="single" w:sz="4" w:space="0" w:color="auto"/>
            </w:tcBorders>
            <w:vAlign w:val="center"/>
          </w:tcPr>
          <w:p w14:paraId="366F9B5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21.0</w:t>
            </w:r>
          </w:p>
        </w:tc>
      </w:tr>
      <w:tr w:rsidR="00217865" w:rsidRPr="00E13525" w14:paraId="3E1BB296"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569603A"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Southern Cross University</w:t>
            </w:r>
          </w:p>
        </w:tc>
        <w:tc>
          <w:tcPr>
            <w:tcW w:w="391" w:type="pct"/>
            <w:tcBorders>
              <w:top w:val="single" w:sz="4" w:space="0" w:color="auto"/>
              <w:left w:val="single" w:sz="4" w:space="0" w:color="auto"/>
              <w:bottom w:val="single" w:sz="4" w:space="0" w:color="auto"/>
              <w:right w:val="single" w:sz="4" w:space="0" w:color="auto"/>
            </w:tcBorders>
            <w:vAlign w:val="center"/>
          </w:tcPr>
          <w:p w14:paraId="569D57E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4,056</w:t>
            </w:r>
          </w:p>
        </w:tc>
        <w:tc>
          <w:tcPr>
            <w:tcW w:w="393" w:type="pct"/>
            <w:tcBorders>
              <w:top w:val="single" w:sz="4" w:space="0" w:color="auto"/>
              <w:left w:val="single" w:sz="4" w:space="0" w:color="auto"/>
              <w:bottom w:val="single" w:sz="4" w:space="0" w:color="auto"/>
              <w:right w:val="single" w:sz="4" w:space="0" w:color="auto"/>
            </w:tcBorders>
            <w:vAlign w:val="center"/>
          </w:tcPr>
          <w:p w14:paraId="6D411F2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89.1</w:t>
            </w:r>
          </w:p>
        </w:tc>
        <w:tc>
          <w:tcPr>
            <w:tcW w:w="392" w:type="pct"/>
            <w:tcBorders>
              <w:top w:val="single" w:sz="4" w:space="0" w:color="auto"/>
              <w:left w:val="single" w:sz="4" w:space="0" w:color="auto"/>
              <w:bottom w:val="single" w:sz="4" w:space="0" w:color="auto"/>
              <w:right w:val="single" w:sz="4" w:space="0" w:color="auto"/>
            </w:tcBorders>
            <w:vAlign w:val="center"/>
          </w:tcPr>
          <w:p w14:paraId="7655729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498</w:t>
            </w:r>
          </w:p>
        </w:tc>
        <w:tc>
          <w:tcPr>
            <w:tcW w:w="393" w:type="pct"/>
            <w:tcBorders>
              <w:top w:val="single" w:sz="4" w:space="0" w:color="auto"/>
              <w:left w:val="single" w:sz="4" w:space="0" w:color="auto"/>
              <w:bottom w:val="single" w:sz="4" w:space="0" w:color="auto"/>
              <w:right w:val="single" w:sz="4" w:space="0" w:color="auto"/>
            </w:tcBorders>
            <w:vAlign w:val="center"/>
          </w:tcPr>
          <w:p w14:paraId="4719C6B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10.9</w:t>
            </w:r>
          </w:p>
        </w:tc>
        <w:tc>
          <w:tcPr>
            <w:tcW w:w="391" w:type="pct"/>
            <w:tcBorders>
              <w:top w:val="single" w:sz="4" w:space="0" w:color="auto"/>
              <w:left w:val="single" w:sz="4" w:space="0" w:color="auto"/>
              <w:bottom w:val="single" w:sz="4" w:space="0" w:color="auto"/>
              <w:right w:val="single" w:sz="4" w:space="0" w:color="auto"/>
            </w:tcBorders>
            <w:vAlign w:val="center"/>
          </w:tcPr>
          <w:p w14:paraId="42E9862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1,534</w:t>
            </w:r>
          </w:p>
        </w:tc>
        <w:tc>
          <w:tcPr>
            <w:tcW w:w="392" w:type="pct"/>
            <w:tcBorders>
              <w:top w:val="single" w:sz="4" w:space="0" w:color="auto"/>
              <w:left w:val="single" w:sz="4" w:space="0" w:color="auto"/>
              <w:bottom w:val="single" w:sz="4" w:space="0" w:color="auto"/>
              <w:right w:val="single" w:sz="4" w:space="0" w:color="auto"/>
            </w:tcBorders>
            <w:vAlign w:val="center"/>
          </w:tcPr>
          <w:p w14:paraId="13CBF23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91.1</w:t>
            </w:r>
          </w:p>
        </w:tc>
        <w:tc>
          <w:tcPr>
            <w:tcW w:w="392" w:type="pct"/>
            <w:tcBorders>
              <w:top w:val="single" w:sz="4" w:space="0" w:color="auto"/>
              <w:left w:val="single" w:sz="4" w:space="0" w:color="auto"/>
              <w:bottom w:val="single" w:sz="4" w:space="0" w:color="auto"/>
              <w:right w:val="single" w:sz="4" w:space="0" w:color="auto"/>
            </w:tcBorders>
            <w:vAlign w:val="center"/>
          </w:tcPr>
          <w:p w14:paraId="1218DBD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149</w:t>
            </w:r>
          </w:p>
        </w:tc>
        <w:tc>
          <w:tcPr>
            <w:tcW w:w="391" w:type="pct"/>
            <w:tcBorders>
              <w:top w:val="single" w:sz="4" w:space="0" w:color="auto"/>
              <w:left w:val="single" w:sz="4" w:space="0" w:color="auto"/>
              <w:bottom w:val="single" w:sz="4" w:space="0" w:color="auto"/>
              <w:right w:val="single" w:sz="4" w:space="0" w:color="auto"/>
            </w:tcBorders>
            <w:vAlign w:val="center"/>
          </w:tcPr>
          <w:p w14:paraId="5EB76E9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8.9</w:t>
            </w:r>
          </w:p>
        </w:tc>
      </w:tr>
      <w:tr w:rsidR="00217865" w:rsidRPr="00E13525" w14:paraId="6BD21C3A"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79F02C0"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Swinburne University of Technology</w:t>
            </w:r>
          </w:p>
        </w:tc>
        <w:tc>
          <w:tcPr>
            <w:tcW w:w="391" w:type="pct"/>
            <w:tcBorders>
              <w:top w:val="single" w:sz="4" w:space="0" w:color="auto"/>
              <w:left w:val="single" w:sz="4" w:space="0" w:color="auto"/>
              <w:bottom w:val="single" w:sz="4" w:space="0" w:color="auto"/>
              <w:right w:val="single" w:sz="4" w:space="0" w:color="auto"/>
            </w:tcBorders>
            <w:vAlign w:val="center"/>
          </w:tcPr>
          <w:p w14:paraId="3A396CE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12,890</w:t>
            </w:r>
          </w:p>
        </w:tc>
        <w:tc>
          <w:tcPr>
            <w:tcW w:w="393" w:type="pct"/>
            <w:tcBorders>
              <w:top w:val="single" w:sz="4" w:space="0" w:color="auto"/>
              <w:left w:val="single" w:sz="4" w:space="0" w:color="auto"/>
              <w:bottom w:val="single" w:sz="4" w:space="0" w:color="auto"/>
              <w:right w:val="single" w:sz="4" w:space="0" w:color="auto"/>
            </w:tcBorders>
            <w:vAlign w:val="center"/>
          </w:tcPr>
          <w:p w14:paraId="4814662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84.7</w:t>
            </w:r>
          </w:p>
        </w:tc>
        <w:tc>
          <w:tcPr>
            <w:tcW w:w="392" w:type="pct"/>
            <w:tcBorders>
              <w:top w:val="single" w:sz="4" w:space="0" w:color="auto"/>
              <w:left w:val="single" w:sz="4" w:space="0" w:color="auto"/>
              <w:bottom w:val="single" w:sz="4" w:space="0" w:color="auto"/>
              <w:right w:val="single" w:sz="4" w:space="0" w:color="auto"/>
            </w:tcBorders>
            <w:vAlign w:val="center"/>
          </w:tcPr>
          <w:p w14:paraId="51A0173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2,325</w:t>
            </w:r>
          </w:p>
        </w:tc>
        <w:tc>
          <w:tcPr>
            <w:tcW w:w="393" w:type="pct"/>
            <w:tcBorders>
              <w:top w:val="single" w:sz="4" w:space="0" w:color="auto"/>
              <w:left w:val="single" w:sz="4" w:space="0" w:color="auto"/>
              <w:bottom w:val="single" w:sz="4" w:space="0" w:color="auto"/>
              <w:right w:val="single" w:sz="4" w:space="0" w:color="auto"/>
            </w:tcBorders>
            <w:vAlign w:val="center"/>
          </w:tcPr>
          <w:p w14:paraId="05A7C7D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15.3</w:t>
            </w:r>
          </w:p>
        </w:tc>
        <w:tc>
          <w:tcPr>
            <w:tcW w:w="391" w:type="pct"/>
            <w:tcBorders>
              <w:top w:val="single" w:sz="4" w:space="0" w:color="auto"/>
              <w:left w:val="single" w:sz="4" w:space="0" w:color="auto"/>
              <w:bottom w:val="single" w:sz="4" w:space="0" w:color="auto"/>
              <w:right w:val="single" w:sz="4" w:space="0" w:color="auto"/>
            </w:tcBorders>
            <w:vAlign w:val="center"/>
          </w:tcPr>
          <w:p w14:paraId="10AB412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4,521</w:t>
            </w:r>
          </w:p>
        </w:tc>
        <w:tc>
          <w:tcPr>
            <w:tcW w:w="392" w:type="pct"/>
            <w:tcBorders>
              <w:top w:val="single" w:sz="4" w:space="0" w:color="auto"/>
              <w:left w:val="single" w:sz="4" w:space="0" w:color="auto"/>
              <w:bottom w:val="single" w:sz="4" w:space="0" w:color="auto"/>
              <w:right w:val="single" w:sz="4" w:space="0" w:color="auto"/>
            </w:tcBorders>
            <w:vAlign w:val="center"/>
          </w:tcPr>
          <w:p w14:paraId="14F037A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85.4</w:t>
            </w:r>
          </w:p>
        </w:tc>
        <w:tc>
          <w:tcPr>
            <w:tcW w:w="392" w:type="pct"/>
            <w:tcBorders>
              <w:top w:val="single" w:sz="4" w:space="0" w:color="auto"/>
              <w:left w:val="single" w:sz="4" w:space="0" w:color="auto"/>
              <w:bottom w:val="single" w:sz="4" w:space="0" w:color="auto"/>
              <w:right w:val="single" w:sz="4" w:space="0" w:color="auto"/>
            </w:tcBorders>
            <w:vAlign w:val="center"/>
          </w:tcPr>
          <w:p w14:paraId="5E941FD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775</w:t>
            </w:r>
          </w:p>
        </w:tc>
        <w:tc>
          <w:tcPr>
            <w:tcW w:w="391" w:type="pct"/>
            <w:tcBorders>
              <w:top w:val="single" w:sz="4" w:space="0" w:color="auto"/>
              <w:left w:val="single" w:sz="4" w:space="0" w:color="auto"/>
              <w:bottom w:val="single" w:sz="4" w:space="0" w:color="auto"/>
              <w:right w:val="single" w:sz="4" w:space="0" w:color="auto"/>
            </w:tcBorders>
            <w:vAlign w:val="center"/>
          </w:tcPr>
          <w:p w14:paraId="739665F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14.6</w:t>
            </w:r>
          </w:p>
        </w:tc>
      </w:tr>
      <w:tr w:rsidR="00217865" w:rsidRPr="00E13525" w14:paraId="53382A9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691CE22"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Australian National University</w:t>
            </w:r>
          </w:p>
        </w:tc>
        <w:tc>
          <w:tcPr>
            <w:tcW w:w="391" w:type="pct"/>
            <w:tcBorders>
              <w:top w:val="single" w:sz="4" w:space="0" w:color="auto"/>
              <w:left w:val="single" w:sz="4" w:space="0" w:color="auto"/>
              <w:bottom w:val="single" w:sz="4" w:space="0" w:color="auto"/>
              <w:right w:val="single" w:sz="4" w:space="0" w:color="auto"/>
            </w:tcBorders>
            <w:vAlign w:val="center"/>
          </w:tcPr>
          <w:p w14:paraId="529DF24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4,571</w:t>
            </w:r>
          </w:p>
        </w:tc>
        <w:tc>
          <w:tcPr>
            <w:tcW w:w="393" w:type="pct"/>
            <w:tcBorders>
              <w:top w:val="single" w:sz="4" w:space="0" w:color="auto"/>
              <w:left w:val="single" w:sz="4" w:space="0" w:color="auto"/>
              <w:bottom w:val="single" w:sz="4" w:space="0" w:color="auto"/>
              <w:right w:val="single" w:sz="4" w:space="0" w:color="auto"/>
            </w:tcBorders>
            <w:vAlign w:val="center"/>
          </w:tcPr>
          <w:p w14:paraId="106548D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83.2</w:t>
            </w:r>
          </w:p>
        </w:tc>
        <w:tc>
          <w:tcPr>
            <w:tcW w:w="392" w:type="pct"/>
            <w:tcBorders>
              <w:top w:val="single" w:sz="4" w:space="0" w:color="auto"/>
              <w:left w:val="single" w:sz="4" w:space="0" w:color="auto"/>
              <w:bottom w:val="single" w:sz="4" w:space="0" w:color="auto"/>
              <w:right w:val="single" w:sz="4" w:space="0" w:color="auto"/>
            </w:tcBorders>
            <w:vAlign w:val="center"/>
          </w:tcPr>
          <w:p w14:paraId="18A93EC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926</w:t>
            </w:r>
          </w:p>
        </w:tc>
        <w:tc>
          <w:tcPr>
            <w:tcW w:w="393" w:type="pct"/>
            <w:tcBorders>
              <w:top w:val="single" w:sz="4" w:space="0" w:color="auto"/>
              <w:left w:val="single" w:sz="4" w:space="0" w:color="auto"/>
              <w:bottom w:val="single" w:sz="4" w:space="0" w:color="auto"/>
              <w:right w:val="single" w:sz="4" w:space="0" w:color="auto"/>
            </w:tcBorders>
            <w:vAlign w:val="center"/>
          </w:tcPr>
          <w:p w14:paraId="2FD9E86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16.8</w:t>
            </w:r>
          </w:p>
        </w:tc>
        <w:tc>
          <w:tcPr>
            <w:tcW w:w="391" w:type="pct"/>
            <w:tcBorders>
              <w:top w:val="single" w:sz="4" w:space="0" w:color="auto"/>
              <w:left w:val="single" w:sz="4" w:space="0" w:color="auto"/>
              <w:bottom w:val="single" w:sz="4" w:space="0" w:color="auto"/>
              <w:right w:val="single" w:sz="4" w:space="0" w:color="auto"/>
            </w:tcBorders>
            <w:vAlign w:val="center"/>
          </w:tcPr>
          <w:p w14:paraId="55B5934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1,658</w:t>
            </w:r>
          </w:p>
        </w:tc>
        <w:tc>
          <w:tcPr>
            <w:tcW w:w="392" w:type="pct"/>
            <w:tcBorders>
              <w:top w:val="single" w:sz="4" w:space="0" w:color="auto"/>
              <w:left w:val="single" w:sz="4" w:space="0" w:color="auto"/>
              <w:bottom w:val="single" w:sz="4" w:space="0" w:color="auto"/>
              <w:right w:val="single" w:sz="4" w:space="0" w:color="auto"/>
            </w:tcBorders>
            <w:vAlign w:val="center"/>
          </w:tcPr>
          <w:p w14:paraId="31DFFF2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85.8</w:t>
            </w:r>
          </w:p>
        </w:tc>
        <w:tc>
          <w:tcPr>
            <w:tcW w:w="392" w:type="pct"/>
            <w:tcBorders>
              <w:top w:val="single" w:sz="4" w:space="0" w:color="auto"/>
              <w:left w:val="single" w:sz="4" w:space="0" w:color="auto"/>
              <w:bottom w:val="single" w:sz="4" w:space="0" w:color="auto"/>
              <w:right w:val="single" w:sz="4" w:space="0" w:color="auto"/>
            </w:tcBorders>
            <w:vAlign w:val="center"/>
          </w:tcPr>
          <w:p w14:paraId="794C7EB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274</w:t>
            </w:r>
          </w:p>
        </w:tc>
        <w:tc>
          <w:tcPr>
            <w:tcW w:w="391" w:type="pct"/>
            <w:tcBorders>
              <w:top w:val="single" w:sz="4" w:space="0" w:color="auto"/>
              <w:left w:val="single" w:sz="4" w:space="0" w:color="auto"/>
              <w:bottom w:val="single" w:sz="4" w:space="0" w:color="auto"/>
              <w:right w:val="single" w:sz="4" w:space="0" w:color="auto"/>
            </w:tcBorders>
            <w:vAlign w:val="center"/>
          </w:tcPr>
          <w:p w14:paraId="06A7175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14.2</w:t>
            </w:r>
          </w:p>
        </w:tc>
      </w:tr>
      <w:tr w:rsidR="00217865" w:rsidRPr="00E13525" w14:paraId="287A00F4"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CC7D574"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Adelaide</w:t>
            </w:r>
          </w:p>
        </w:tc>
        <w:tc>
          <w:tcPr>
            <w:tcW w:w="391" w:type="pct"/>
            <w:tcBorders>
              <w:top w:val="single" w:sz="4" w:space="0" w:color="auto"/>
              <w:left w:val="single" w:sz="4" w:space="0" w:color="auto"/>
              <w:bottom w:val="single" w:sz="4" w:space="0" w:color="auto"/>
              <w:right w:val="single" w:sz="4" w:space="0" w:color="auto"/>
            </w:tcBorders>
            <w:vAlign w:val="center"/>
          </w:tcPr>
          <w:p w14:paraId="095485C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5,977</w:t>
            </w:r>
          </w:p>
        </w:tc>
        <w:tc>
          <w:tcPr>
            <w:tcW w:w="393" w:type="pct"/>
            <w:tcBorders>
              <w:top w:val="single" w:sz="4" w:space="0" w:color="auto"/>
              <w:left w:val="single" w:sz="4" w:space="0" w:color="auto"/>
              <w:bottom w:val="single" w:sz="4" w:space="0" w:color="auto"/>
              <w:right w:val="single" w:sz="4" w:space="0" w:color="auto"/>
            </w:tcBorders>
            <w:vAlign w:val="center"/>
          </w:tcPr>
          <w:p w14:paraId="0A9C02F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82.4</w:t>
            </w:r>
          </w:p>
        </w:tc>
        <w:tc>
          <w:tcPr>
            <w:tcW w:w="392" w:type="pct"/>
            <w:tcBorders>
              <w:top w:val="single" w:sz="4" w:space="0" w:color="auto"/>
              <w:left w:val="single" w:sz="4" w:space="0" w:color="auto"/>
              <w:bottom w:val="single" w:sz="4" w:space="0" w:color="auto"/>
              <w:right w:val="single" w:sz="4" w:space="0" w:color="auto"/>
            </w:tcBorders>
            <w:vAlign w:val="center"/>
          </w:tcPr>
          <w:p w14:paraId="1E29E2D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1,281</w:t>
            </w:r>
          </w:p>
        </w:tc>
        <w:tc>
          <w:tcPr>
            <w:tcW w:w="393" w:type="pct"/>
            <w:tcBorders>
              <w:top w:val="single" w:sz="4" w:space="0" w:color="auto"/>
              <w:left w:val="single" w:sz="4" w:space="0" w:color="auto"/>
              <w:bottom w:val="single" w:sz="4" w:space="0" w:color="auto"/>
              <w:right w:val="single" w:sz="4" w:space="0" w:color="auto"/>
            </w:tcBorders>
            <w:vAlign w:val="center"/>
          </w:tcPr>
          <w:p w14:paraId="47F045A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17.6</w:t>
            </w:r>
          </w:p>
        </w:tc>
        <w:tc>
          <w:tcPr>
            <w:tcW w:w="391" w:type="pct"/>
            <w:tcBorders>
              <w:top w:val="single" w:sz="4" w:space="0" w:color="auto"/>
              <w:left w:val="single" w:sz="4" w:space="0" w:color="auto"/>
              <w:bottom w:val="single" w:sz="4" w:space="0" w:color="auto"/>
              <w:right w:val="single" w:sz="4" w:space="0" w:color="auto"/>
            </w:tcBorders>
            <w:vAlign w:val="center"/>
          </w:tcPr>
          <w:p w14:paraId="67ACA83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2,224</w:t>
            </w:r>
          </w:p>
        </w:tc>
        <w:tc>
          <w:tcPr>
            <w:tcW w:w="392" w:type="pct"/>
            <w:tcBorders>
              <w:top w:val="single" w:sz="4" w:space="0" w:color="auto"/>
              <w:left w:val="single" w:sz="4" w:space="0" w:color="auto"/>
              <w:bottom w:val="single" w:sz="4" w:space="0" w:color="auto"/>
              <w:right w:val="single" w:sz="4" w:space="0" w:color="auto"/>
            </w:tcBorders>
            <w:vAlign w:val="center"/>
          </w:tcPr>
          <w:p w14:paraId="65BE986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84.2</w:t>
            </w:r>
          </w:p>
        </w:tc>
        <w:tc>
          <w:tcPr>
            <w:tcW w:w="392" w:type="pct"/>
            <w:tcBorders>
              <w:top w:val="single" w:sz="4" w:space="0" w:color="auto"/>
              <w:left w:val="single" w:sz="4" w:space="0" w:color="auto"/>
              <w:bottom w:val="single" w:sz="4" w:space="0" w:color="auto"/>
              <w:right w:val="single" w:sz="4" w:space="0" w:color="auto"/>
            </w:tcBorders>
            <w:vAlign w:val="center"/>
          </w:tcPr>
          <w:p w14:paraId="5BE89CE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417</w:t>
            </w:r>
          </w:p>
        </w:tc>
        <w:tc>
          <w:tcPr>
            <w:tcW w:w="391" w:type="pct"/>
            <w:tcBorders>
              <w:top w:val="single" w:sz="4" w:space="0" w:color="auto"/>
              <w:left w:val="single" w:sz="4" w:space="0" w:color="auto"/>
              <w:bottom w:val="single" w:sz="4" w:space="0" w:color="auto"/>
              <w:right w:val="single" w:sz="4" w:space="0" w:color="auto"/>
            </w:tcBorders>
            <w:vAlign w:val="center"/>
          </w:tcPr>
          <w:p w14:paraId="05D71CD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15.8</w:t>
            </w:r>
          </w:p>
        </w:tc>
      </w:tr>
      <w:tr w:rsidR="00217865" w:rsidRPr="00E13525" w14:paraId="6B13D2C2"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B8367DB"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Melbourne</w:t>
            </w:r>
          </w:p>
        </w:tc>
        <w:tc>
          <w:tcPr>
            <w:tcW w:w="391" w:type="pct"/>
            <w:tcBorders>
              <w:top w:val="single" w:sz="4" w:space="0" w:color="auto"/>
              <w:left w:val="single" w:sz="4" w:space="0" w:color="auto"/>
              <w:bottom w:val="single" w:sz="4" w:space="0" w:color="auto"/>
              <w:right w:val="single" w:sz="4" w:space="0" w:color="auto"/>
            </w:tcBorders>
            <w:vAlign w:val="center"/>
          </w:tcPr>
          <w:p w14:paraId="2B3426E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6,707</w:t>
            </w:r>
          </w:p>
        </w:tc>
        <w:tc>
          <w:tcPr>
            <w:tcW w:w="393" w:type="pct"/>
            <w:tcBorders>
              <w:top w:val="single" w:sz="4" w:space="0" w:color="auto"/>
              <w:left w:val="single" w:sz="4" w:space="0" w:color="auto"/>
              <w:bottom w:val="single" w:sz="4" w:space="0" w:color="auto"/>
              <w:right w:val="single" w:sz="4" w:space="0" w:color="auto"/>
            </w:tcBorders>
            <w:vAlign w:val="center"/>
          </w:tcPr>
          <w:p w14:paraId="0AC47C5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71.9</w:t>
            </w:r>
          </w:p>
        </w:tc>
        <w:tc>
          <w:tcPr>
            <w:tcW w:w="392" w:type="pct"/>
            <w:tcBorders>
              <w:top w:val="single" w:sz="4" w:space="0" w:color="auto"/>
              <w:left w:val="single" w:sz="4" w:space="0" w:color="auto"/>
              <w:bottom w:val="single" w:sz="4" w:space="0" w:color="auto"/>
              <w:right w:val="single" w:sz="4" w:space="0" w:color="auto"/>
            </w:tcBorders>
            <w:vAlign w:val="center"/>
          </w:tcPr>
          <w:p w14:paraId="2EE350C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2,625</w:t>
            </w:r>
          </w:p>
        </w:tc>
        <w:tc>
          <w:tcPr>
            <w:tcW w:w="393" w:type="pct"/>
            <w:tcBorders>
              <w:top w:val="single" w:sz="4" w:space="0" w:color="auto"/>
              <w:left w:val="single" w:sz="4" w:space="0" w:color="auto"/>
              <w:bottom w:val="single" w:sz="4" w:space="0" w:color="auto"/>
              <w:right w:val="single" w:sz="4" w:space="0" w:color="auto"/>
            </w:tcBorders>
            <w:vAlign w:val="center"/>
          </w:tcPr>
          <w:p w14:paraId="619EB21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28.1</w:t>
            </w:r>
          </w:p>
        </w:tc>
        <w:tc>
          <w:tcPr>
            <w:tcW w:w="391" w:type="pct"/>
            <w:tcBorders>
              <w:top w:val="single" w:sz="4" w:space="0" w:color="auto"/>
              <w:left w:val="single" w:sz="4" w:space="0" w:color="auto"/>
              <w:bottom w:val="single" w:sz="4" w:space="0" w:color="auto"/>
              <w:right w:val="single" w:sz="4" w:space="0" w:color="auto"/>
            </w:tcBorders>
            <w:vAlign w:val="center"/>
          </w:tcPr>
          <w:p w14:paraId="2023075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2,801</w:t>
            </w:r>
          </w:p>
        </w:tc>
        <w:tc>
          <w:tcPr>
            <w:tcW w:w="392" w:type="pct"/>
            <w:tcBorders>
              <w:top w:val="single" w:sz="4" w:space="0" w:color="auto"/>
              <w:left w:val="single" w:sz="4" w:space="0" w:color="auto"/>
              <w:bottom w:val="single" w:sz="4" w:space="0" w:color="auto"/>
              <w:right w:val="single" w:sz="4" w:space="0" w:color="auto"/>
            </w:tcBorders>
            <w:vAlign w:val="center"/>
          </w:tcPr>
          <w:p w14:paraId="7ADDF03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75.0</w:t>
            </w:r>
          </w:p>
        </w:tc>
        <w:tc>
          <w:tcPr>
            <w:tcW w:w="392" w:type="pct"/>
            <w:tcBorders>
              <w:top w:val="single" w:sz="4" w:space="0" w:color="auto"/>
              <w:left w:val="single" w:sz="4" w:space="0" w:color="auto"/>
              <w:bottom w:val="single" w:sz="4" w:space="0" w:color="auto"/>
              <w:right w:val="single" w:sz="4" w:space="0" w:color="auto"/>
            </w:tcBorders>
            <w:vAlign w:val="center"/>
          </w:tcPr>
          <w:p w14:paraId="2F557D1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934</w:t>
            </w:r>
          </w:p>
        </w:tc>
        <w:tc>
          <w:tcPr>
            <w:tcW w:w="391" w:type="pct"/>
            <w:tcBorders>
              <w:top w:val="single" w:sz="4" w:space="0" w:color="auto"/>
              <w:left w:val="single" w:sz="4" w:space="0" w:color="auto"/>
              <w:bottom w:val="single" w:sz="4" w:space="0" w:color="auto"/>
              <w:right w:val="single" w:sz="4" w:space="0" w:color="auto"/>
            </w:tcBorders>
            <w:vAlign w:val="center"/>
          </w:tcPr>
          <w:p w14:paraId="7DACD92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25.0</w:t>
            </w:r>
          </w:p>
        </w:tc>
      </w:tr>
      <w:tr w:rsidR="00217865" w:rsidRPr="00E13525" w14:paraId="73B5C359"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28946CC"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Notre Dame Australia</w:t>
            </w:r>
          </w:p>
        </w:tc>
        <w:tc>
          <w:tcPr>
            <w:tcW w:w="391" w:type="pct"/>
            <w:tcBorders>
              <w:top w:val="single" w:sz="4" w:space="0" w:color="auto"/>
              <w:left w:val="single" w:sz="4" w:space="0" w:color="auto"/>
              <w:bottom w:val="single" w:sz="4" w:space="0" w:color="auto"/>
              <w:right w:val="single" w:sz="4" w:space="0" w:color="auto"/>
            </w:tcBorders>
            <w:vAlign w:val="center"/>
          </w:tcPr>
          <w:p w14:paraId="176DF6B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4,043</w:t>
            </w:r>
          </w:p>
        </w:tc>
        <w:tc>
          <w:tcPr>
            <w:tcW w:w="393" w:type="pct"/>
            <w:tcBorders>
              <w:top w:val="single" w:sz="4" w:space="0" w:color="auto"/>
              <w:left w:val="single" w:sz="4" w:space="0" w:color="auto"/>
              <w:bottom w:val="single" w:sz="4" w:space="0" w:color="auto"/>
              <w:right w:val="single" w:sz="4" w:space="0" w:color="auto"/>
            </w:tcBorders>
            <w:vAlign w:val="center"/>
          </w:tcPr>
          <w:p w14:paraId="709EDF5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95.8</w:t>
            </w:r>
          </w:p>
        </w:tc>
        <w:tc>
          <w:tcPr>
            <w:tcW w:w="392" w:type="pct"/>
            <w:tcBorders>
              <w:top w:val="single" w:sz="4" w:space="0" w:color="auto"/>
              <w:left w:val="single" w:sz="4" w:space="0" w:color="auto"/>
              <w:bottom w:val="single" w:sz="4" w:space="0" w:color="auto"/>
              <w:right w:val="single" w:sz="4" w:space="0" w:color="auto"/>
            </w:tcBorders>
            <w:vAlign w:val="center"/>
          </w:tcPr>
          <w:p w14:paraId="19EBC98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176</w:t>
            </w:r>
          </w:p>
        </w:tc>
        <w:tc>
          <w:tcPr>
            <w:tcW w:w="393" w:type="pct"/>
            <w:tcBorders>
              <w:top w:val="single" w:sz="4" w:space="0" w:color="auto"/>
              <w:left w:val="single" w:sz="4" w:space="0" w:color="auto"/>
              <w:bottom w:val="single" w:sz="4" w:space="0" w:color="auto"/>
              <w:right w:val="single" w:sz="4" w:space="0" w:color="auto"/>
            </w:tcBorders>
            <w:vAlign w:val="center"/>
          </w:tcPr>
          <w:p w14:paraId="05A00D4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4.2</w:t>
            </w:r>
          </w:p>
        </w:tc>
        <w:tc>
          <w:tcPr>
            <w:tcW w:w="391" w:type="pct"/>
            <w:tcBorders>
              <w:top w:val="single" w:sz="4" w:space="0" w:color="auto"/>
              <w:left w:val="single" w:sz="4" w:space="0" w:color="auto"/>
              <w:bottom w:val="single" w:sz="4" w:space="0" w:color="auto"/>
              <w:right w:val="single" w:sz="4" w:space="0" w:color="auto"/>
            </w:tcBorders>
            <w:vAlign w:val="center"/>
          </w:tcPr>
          <w:p w14:paraId="682920B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1,666</w:t>
            </w:r>
          </w:p>
        </w:tc>
        <w:tc>
          <w:tcPr>
            <w:tcW w:w="392" w:type="pct"/>
            <w:tcBorders>
              <w:top w:val="single" w:sz="4" w:space="0" w:color="auto"/>
              <w:left w:val="single" w:sz="4" w:space="0" w:color="auto"/>
              <w:bottom w:val="single" w:sz="4" w:space="0" w:color="auto"/>
              <w:right w:val="single" w:sz="4" w:space="0" w:color="auto"/>
            </w:tcBorders>
            <w:vAlign w:val="center"/>
          </w:tcPr>
          <w:p w14:paraId="0CD9363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95.6</w:t>
            </w:r>
          </w:p>
        </w:tc>
        <w:tc>
          <w:tcPr>
            <w:tcW w:w="392" w:type="pct"/>
            <w:tcBorders>
              <w:top w:val="single" w:sz="4" w:space="0" w:color="auto"/>
              <w:left w:val="single" w:sz="4" w:space="0" w:color="auto"/>
              <w:bottom w:val="single" w:sz="4" w:space="0" w:color="auto"/>
              <w:right w:val="single" w:sz="4" w:space="0" w:color="auto"/>
            </w:tcBorders>
            <w:vAlign w:val="center"/>
          </w:tcPr>
          <w:p w14:paraId="0400DF9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77</w:t>
            </w:r>
          </w:p>
        </w:tc>
        <w:tc>
          <w:tcPr>
            <w:tcW w:w="391" w:type="pct"/>
            <w:tcBorders>
              <w:top w:val="single" w:sz="4" w:space="0" w:color="auto"/>
              <w:left w:val="single" w:sz="4" w:space="0" w:color="auto"/>
              <w:bottom w:val="single" w:sz="4" w:space="0" w:color="auto"/>
              <w:right w:val="single" w:sz="4" w:space="0" w:color="auto"/>
            </w:tcBorders>
            <w:vAlign w:val="center"/>
          </w:tcPr>
          <w:p w14:paraId="308EDCB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4.4</w:t>
            </w:r>
          </w:p>
        </w:tc>
      </w:tr>
      <w:tr w:rsidR="00217865" w:rsidRPr="00E13525" w14:paraId="04B37A45"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F1424FF"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lastRenderedPageBreak/>
              <w:t>The University of Queensland</w:t>
            </w:r>
          </w:p>
        </w:tc>
        <w:tc>
          <w:tcPr>
            <w:tcW w:w="391" w:type="pct"/>
            <w:tcBorders>
              <w:top w:val="single" w:sz="4" w:space="0" w:color="auto"/>
              <w:left w:val="single" w:sz="4" w:space="0" w:color="auto"/>
              <w:bottom w:val="single" w:sz="4" w:space="0" w:color="auto"/>
              <w:right w:val="single" w:sz="4" w:space="0" w:color="auto"/>
            </w:tcBorders>
            <w:vAlign w:val="center"/>
          </w:tcPr>
          <w:p w14:paraId="62DC014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12,693</w:t>
            </w:r>
          </w:p>
        </w:tc>
        <w:tc>
          <w:tcPr>
            <w:tcW w:w="393" w:type="pct"/>
            <w:tcBorders>
              <w:top w:val="single" w:sz="4" w:space="0" w:color="auto"/>
              <w:left w:val="single" w:sz="4" w:space="0" w:color="auto"/>
              <w:bottom w:val="single" w:sz="4" w:space="0" w:color="auto"/>
              <w:right w:val="single" w:sz="4" w:space="0" w:color="auto"/>
            </w:tcBorders>
            <w:vAlign w:val="center"/>
          </w:tcPr>
          <w:p w14:paraId="2D292AC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73.4</w:t>
            </w:r>
          </w:p>
        </w:tc>
        <w:tc>
          <w:tcPr>
            <w:tcW w:w="392" w:type="pct"/>
            <w:tcBorders>
              <w:top w:val="single" w:sz="4" w:space="0" w:color="auto"/>
              <w:left w:val="single" w:sz="4" w:space="0" w:color="auto"/>
              <w:bottom w:val="single" w:sz="4" w:space="0" w:color="auto"/>
              <w:right w:val="single" w:sz="4" w:space="0" w:color="auto"/>
            </w:tcBorders>
            <w:vAlign w:val="center"/>
          </w:tcPr>
          <w:p w14:paraId="1F5ADA0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4,605</w:t>
            </w:r>
          </w:p>
        </w:tc>
        <w:tc>
          <w:tcPr>
            <w:tcW w:w="393" w:type="pct"/>
            <w:tcBorders>
              <w:top w:val="single" w:sz="4" w:space="0" w:color="auto"/>
              <w:left w:val="single" w:sz="4" w:space="0" w:color="auto"/>
              <w:bottom w:val="single" w:sz="4" w:space="0" w:color="auto"/>
              <w:right w:val="single" w:sz="4" w:space="0" w:color="auto"/>
            </w:tcBorders>
            <w:vAlign w:val="center"/>
          </w:tcPr>
          <w:p w14:paraId="7B6C02A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26.6</w:t>
            </w:r>
          </w:p>
        </w:tc>
        <w:tc>
          <w:tcPr>
            <w:tcW w:w="391" w:type="pct"/>
            <w:tcBorders>
              <w:top w:val="single" w:sz="4" w:space="0" w:color="auto"/>
              <w:left w:val="single" w:sz="4" w:space="0" w:color="auto"/>
              <w:bottom w:val="single" w:sz="4" w:space="0" w:color="auto"/>
              <w:right w:val="single" w:sz="4" w:space="0" w:color="auto"/>
            </w:tcBorders>
            <w:vAlign w:val="center"/>
          </w:tcPr>
          <w:p w14:paraId="79AFC4D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4,262</w:t>
            </w:r>
          </w:p>
        </w:tc>
        <w:tc>
          <w:tcPr>
            <w:tcW w:w="392" w:type="pct"/>
            <w:tcBorders>
              <w:top w:val="single" w:sz="4" w:space="0" w:color="auto"/>
              <w:left w:val="single" w:sz="4" w:space="0" w:color="auto"/>
              <w:bottom w:val="single" w:sz="4" w:space="0" w:color="auto"/>
              <w:right w:val="single" w:sz="4" w:space="0" w:color="auto"/>
            </w:tcBorders>
            <w:vAlign w:val="center"/>
          </w:tcPr>
          <w:p w14:paraId="67207BF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80.2</w:t>
            </w:r>
          </w:p>
        </w:tc>
        <w:tc>
          <w:tcPr>
            <w:tcW w:w="392" w:type="pct"/>
            <w:tcBorders>
              <w:top w:val="single" w:sz="4" w:space="0" w:color="auto"/>
              <w:left w:val="single" w:sz="4" w:space="0" w:color="auto"/>
              <w:bottom w:val="single" w:sz="4" w:space="0" w:color="auto"/>
              <w:right w:val="single" w:sz="4" w:space="0" w:color="auto"/>
            </w:tcBorders>
            <w:vAlign w:val="center"/>
          </w:tcPr>
          <w:p w14:paraId="6441CF8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1,054</w:t>
            </w:r>
          </w:p>
        </w:tc>
        <w:tc>
          <w:tcPr>
            <w:tcW w:w="391" w:type="pct"/>
            <w:tcBorders>
              <w:top w:val="single" w:sz="4" w:space="0" w:color="auto"/>
              <w:left w:val="single" w:sz="4" w:space="0" w:color="auto"/>
              <w:bottom w:val="single" w:sz="4" w:space="0" w:color="auto"/>
              <w:right w:val="single" w:sz="4" w:space="0" w:color="auto"/>
            </w:tcBorders>
            <w:vAlign w:val="center"/>
          </w:tcPr>
          <w:p w14:paraId="4BC2A15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19.8</w:t>
            </w:r>
          </w:p>
        </w:tc>
      </w:tr>
      <w:tr w:rsidR="00217865" w:rsidRPr="00E13525" w14:paraId="2D5F8105"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466545F"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South Australia</w:t>
            </w:r>
          </w:p>
        </w:tc>
        <w:tc>
          <w:tcPr>
            <w:tcW w:w="391" w:type="pct"/>
            <w:tcBorders>
              <w:top w:val="single" w:sz="4" w:space="0" w:color="auto"/>
              <w:left w:val="single" w:sz="4" w:space="0" w:color="auto"/>
              <w:bottom w:val="single" w:sz="4" w:space="0" w:color="auto"/>
              <w:right w:val="single" w:sz="4" w:space="0" w:color="auto"/>
            </w:tcBorders>
            <w:vAlign w:val="center"/>
          </w:tcPr>
          <w:p w14:paraId="14BFC04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11,205</w:t>
            </w:r>
          </w:p>
        </w:tc>
        <w:tc>
          <w:tcPr>
            <w:tcW w:w="393" w:type="pct"/>
            <w:tcBorders>
              <w:top w:val="single" w:sz="4" w:space="0" w:color="auto"/>
              <w:left w:val="single" w:sz="4" w:space="0" w:color="auto"/>
              <w:bottom w:val="single" w:sz="4" w:space="0" w:color="auto"/>
              <w:right w:val="single" w:sz="4" w:space="0" w:color="auto"/>
            </w:tcBorders>
            <w:vAlign w:val="center"/>
          </w:tcPr>
          <w:p w14:paraId="1B3FBF0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84.9</w:t>
            </w:r>
          </w:p>
        </w:tc>
        <w:tc>
          <w:tcPr>
            <w:tcW w:w="392" w:type="pct"/>
            <w:tcBorders>
              <w:top w:val="single" w:sz="4" w:space="0" w:color="auto"/>
              <w:left w:val="single" w:sz="4" w:space="0" w:color="auto"/>
              <w:bottom w:val="single" w:sz="4" w:space="0" w:color="auto"/>
              <w:right w:val="single" w:sz="4" w:space="0" w:color="auto"/>
            </w:tcBorders>
            <w:vAlign w:val="center"/>
          </w:tcPr>
          <w:p w14:paraId="778F5C1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1,994</w:t>
            </w:r>
          </w:p>
        </w:tc>
        <w:tc>
          <w:tcPr>
            <w:tcW w:w="393" w:type="pct"/>
            <w:tcBorders>
              <w:top w:val="single" w:sz="4" w:space="0" w:color="auto"/>
              <w:left w:val="single" w:sz="4" w:space="0" w:color="auto"/>
              <w:bottom w:val="single" w:sz="4" w:space="0" w:color="auto"/>
              <w:right w:val="single" w:sz="4" w:space="0" w:color="auto"/>
            </w:tcBorders>
            <w:vAlign w:val="center"/>
          </w:tcPr>
          <w:p w14:paraId="51CC7FD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15.1</w:t>
            </w:r>
          </w:p>
        </w:tc>
        <w:tc>
          <w:tcPr>
            <w:tcW w:w="391" w:type="pct"/>
            <w:tcBorders>
              <w:top w:val="single" w:sz="4" w:space="0" w:color="auto"/>
              <w:left w:val="single" w:sz="4" w:space="0" w:color="auto"/>
              <w:bottom w:val="single" w:sz="4" w:space="0" w:color="auto"/>
              <w:right w:val="single" w:sz="4" w:space="0" w:color="auto"/>
            </w:tcBorders>
            <w:vAlign w:val="center"/>
          </w:tcPr>
          <w:p w14:paraId="2D51892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3,750</w:t>
            </w:r>
          </w:p>
        </w:tc>
        <w:tc>
          <w:tcPr>
            <w:tcW w:w="392" w:type="pct"/>
            <w:tcBorders>
              <w:top w:val="single" w:sz="4" w:space="0" w:color="auto"/>
              <w:left w:val="single" w:sz="4" w:space="0" w:color="auto"/>
              <w:bottom w:val="single" w:sz="4" w:space="0" w:color="auto"/>
              <w:right w:val="single" w:sz="4" w:space="0" w:color="auto"/>
            </w:tcBorders>
            <w:vAlign w:val="center"/>
          </w:tcPr>
          <w:p w14:paraId="2C07E83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84.9</w:t>
            </w:r>
          </w:p>
        </w:tc>
        <w:tc>
          <w:tcPr>
            <w:tcW w:w="392" w:type="pct"/>
            <w:tcBorders>
              <w:top w:val="single" w:sz="4" w:space="0" w:color="auto"/>
              <w:left w:val="single" w:sz="4" w:space="0" w:color="auto"/>
              <w:bottom w:val="single" w:sz="4" w:space="0" w:color="auto"/>
              <w:right w:val="single" w:sz="4" w:space="0" w:color="auto"/>
            </w:tcBorders>
            <w:vAlign w:val="center"/>
          </w:tcPr>
          <w:p w14:paraId="4664B5F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665</w:t>
            </w:r>
          </w:p>
        </w:tc>
        <w:tc>
          <w:tcPr>
            <w:tcW w:w="391" w:type="pct"/>
            <w:tcBorders>
              <w:top w:val="single" w:sz="4" w:space="0" w:color="auto"/>
              <w:left w:val="single" w:sz="4" w:space="0" w:color="auto"/>
              <w:bottom w:val="single" w:sz="4" w:space="0" w:color="auto"/>
              <w:right w:val="single" w:sz="4" w:space="0" w:color="auto"/>
            </w:tcBorders>
            <w:vAlign w:val="center"/>
          </w:tcPr>
          <w:p w14:paraId="20A6783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15.1</w:t>
            </w:r>
          </w:p>
        </w:tc>
      </w:tr>
      <w:tr w:rsidR="00217865" w:rsidRPr="00E13525" w14:paraId="2C76BA06"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3E573E2"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Sydney</w:t>
            </w:r>
          </w:p>
        </w:tc>
        <w:tc>
          <w:tcPr>
            <w:tcW w:w="391" w:type="pct"/>
            <w:tcBorders>
              <w:top w:val="single" w:sz="4" w:space="0" w:color="auto"/>
              <w:left w:val="single" w:sz="4" w:space="0" w:color="auto"/>
              <w:bottom w:val="single" w:sz="4" w:space="0" w:color="auto"/>
              <w:right w:val="single" w:sz="4" w:space="0" w:color="auto"/>
            </w:tcBorders>
            <w:vAlign w:val="center"/>
          </w:tcPr>
          <w:p w14:paraId="549B817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10,741</w:t>
            </w:r>
          </w:p>
        </w:tc>
        <w:tc>
          <w:tcPr>
            <w:tcW w:w="393" w:type="pct"/>
            <w:tcBorders>
              <w:top w:val="single" w:sz="4" w:space="0" w:color="auto"/>
              <w:left w:val="single" w:sz="4" w:space="0" w:color="auto"/>
              <w:bottom w:val="single" w:sz="4" w:space="0" w:color="auto"/>
              <w:right w:val="single" w:sz="4" w:space="0" w:color="auto"/>
            </w:tcBorders>
            <w:vAlign w:val="center"/>
          </w:tcPr>
          <w:p w14:paraId="6CC370D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63.6</w:t>
            </w:r>
          </w:p>
        </w:tc>
        <w:tc>
          <w:tcPr>
            <w:tcW w:w="392" w:type="pct"/>
            <w:tcBorders>
              <w:top w:val="single" w:sz="4" w:space="0" w:color="auto"/>
              <w:left w:val="single" w:sz="4" w:space="0" w:color="auto"/>
              <w:bottom w:val="single" w:sz="4" w:space="0" w:color="auto"/>
              <w:right w:val="single" w:sz="4" w:space="0" w:color="auto"/>
            </w:tcBorders>
            <w:vAlign w:val="center"/>
          </w:tcPr>
          <w:p w14:paraId="20CC356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6,154</w:t>
            </w:r>
          </w:p>
        </w:tc>
        <w:tc>
          <w:tcPr>
            <w:tcW w:w="393" w:type="pct"/>
            <w:tcBorders>
              <w:top w:val="single" w:sz="4" w:space="0" w:color="auto"/>
              <w:left w:val="single" w:sz="4" w:space="0" w:color="auto"/>
              <w:bottom w:val="single" w:sz="4" w:space="0" w:color="auto"/>
              <w:right w:val="single" w:sz="4" w:space="0" w:color="auto"/>
            </w:tcBorders>
            <w:vAlign w:val="center"/>
          </w:tcPr>
          <w:p w14:paraId="5528A54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36.4</w:t>
            </w:r>
          </w:p>
        </w:tc>
        <w:tc>
          <w:tcPr>
            <w:tcW w:w="391" w:type="pct"/>
            <w:tcBorders>
              <w:top w:val="single" w:sz="4" w:space="0" w:color="auto"/>
              <w:left w:val="single" w:sz="4" w:space="0" w:color="auto"/>
              <w:bottom w:val="single" w:sz="4" w:space="0" w:color="auto"/>
              <w:right w:val="single" w:sz="4" w:space="0" w:color="auto"/>
            </w:tcBorders>
            <w:vAlign w:val="center"/>
          </w:tcPr>
          <w:p w14:paraId="135962D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3,629</w:t>
            </w:r>
          </w:p>
        </w:tc>
        <w:tc>
          <w:tcPr>
            <w:tcW w:w="392" w:type="pct"/>
            <w:tcBorders>
              <w:top w:val="single" w:sz="4" w:space="0" w:color="auto"/>
              <w:left w:val="single" w:sz="4" w:space="0" w:color="auto"/>
              <w:bottom w:val="single" w:sz="4" w:space="0" w:color="auto"/>
              <w:right w:val="single" w:sz="4" w:space="0" w:color="auto"/>
            </w:tcBorders>
            <w:vAlign w:val="center"/>
          </w:tcPr>
          <w:p w14:paraId="6732C2D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75.8</w:t>
            </w:r>
          </w:p>
        </w:tc>
        <w:tc>
          <w:tcPr>
            <w:tcW w:w="392" w:type="pct"/>
            <w:tcBorders>
              <w:top w:val="single" w:sz="4" w:space="0" w:color="auto"/>
              <w:left w:val="single" w:sz="4" w:space="0" w:color="auto"/>
              <w:bottom w:val="single" w:sz="4" w:space="0" w:color="auto"/>
              <w:right w:val="single" w:sz="4" w:space="0" w:color="auto"/>
            </w:tcBorders>
            <w:vAlign w:val="center"/>
          </w:tcPr>
          <w:p w14:paraId="2169133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1,157</w:t>
            </w:r>
          </w:p>
        </w:tc>
        <w:tc>
          <w:tcPr>
            <w:tcW w:w="391" w:type="pct"/>
            <w:tcBorders>
              <w:top w:val="single" w:sz="4" w:space="0" w:color="auto"/>
              <w:left w:val="single" w:sz="4" w:space="0" w:color="auto"/>
              <w:bottom w:val="single" w:sz="4" w:space="0" w:color="auto"/>
              <w:right w:val="single" w:sz="4" w:space="0" w:color="auto"/>
            </w:tcBorders>
            <w:vAlign w:val="center"/>
          </w:tcPr>
          <w:p w14:paraId="5713C4E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24.2</w:t>
            </w:r>
          </w:p>
        </w:tc>
      </w:tr>
      <w:tr w:rsidR="00217865" w:rsidRPr="00E13525" w14:paraId="489AF88F"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1CB50AB"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The University of Western Australia</w:t>
            </w:r>
          </w:p>
        </w:tc>
        <w:tc>
          <w:tcPr>
            <w:tcW w:w="391" w:type="pct"/>
            <w:tcBorders>
              <w:top w:val="single" w:sz="4" w:space="0" w:color="auto"/>
              <w:left w:val="single" w:sz="4" w:space="0" w:color="auto"/>
              <w:bottom w:val="single" w:sz="4" w:space="0" w:color="auto"/>
              <w:right w:val="single" w:sz="4" w:space="0" w:color="auto"/>
            </w:tcBorders>
            <w:vAlign w:val="center"/>
          </w:tcPr>
          <w:p w14:paraId="4FE29DD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7,724</w:t>
            </w:r>
          </w:p>
        </w:tc>
        <w:tc>
          <w:tcPr>
            <w:tcW w:w="393" w:type="pct"/>
            <w:tcBorders>
              <w:top w:val="single" w:sz="4" w:space="0" w:color="auto"/>
              <w:left w:val="single" w:sz="4" w:space="0" w:color="auto"/>
              <w:bottom w:val="single" w:sz="4" w:space="0" w:color="auto"/>
              <w:right w:val="single" w:sz="4" w:space="0" w:color="auto"/>
            </w:tcBorders>
            <w:vAlign w:val="center"/>
          </w:tcPr>
          <w:p w14:paraId="43CD31C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83.5</w:t>
            </w:r>
          </w:p>
        </w:tc>
        <w:tc>
          <w:tcPr>
            <w:tcW w:w="392" w:type="pct"/>
            <w:tcBorders>
              <w:top w:val="single" w:sz="4" w:space="0" w:color="auto"/>
              <w:left w:val="single" w:sz="4" w:space="0" w:color="auto"/>
              <w:bottom w:val="single" w:sz="4" w:space="0" w:color="auto"/>
              <w:right w:val="single" w:sz="4" w:space="0" w:color="auto"/>
            </w:tcBorders>
            <w:vAlign w:val="center"/>
          </w:tcPr>
          <w:p w14:paraId="31FB1A0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1,512</w:t>
            </w:r>
          </w:p>
        </w:tc>
        <w:tc>
          <w:tcPr>
            <w:tcW w:w="393" w:type="pct"/>
            <w:tcBorders>
              <w:top w:val="single" w:sz="4" w:space="0" w:color="auto"/>
              <w:left w:val="single" w:sz="4" w:space="0" w:color="auto"/>
              <w:bottom w:val="single" w:sz="4" w:space="0" w:color="auto"/>
              <w:right w:val="single" w:sz="4" w:space="0" w:color="auto"/>
            </w:tcBorders>
            <w:vAlign w:val="center"/>
          </w:tcPr>
          <w:p w14:paraId="0923232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16.4</w:t>
            </w:r>
          </w:p>
        </w:tc>
        <w:tc>
          <w:tcPr>
            <w:tcW w:w="391" w:type="pct"/>
            <w:tcBorders>
              <w:top w:val="single" w:sz="4" w:space="0" w:color="auto"/>
              <w:left w:val="single" w:sz="4" w:space="0" w:color="auto"/>
              <w:bottom w:val="single" w:sz="4" w:space="0" w:color="auto"/>
              <w:right w:val="single" w:sz="4" w:space="0" w:color="auto"/>
            </w:tcBorders>
            <w:vAlign w:val="center"/>
          </w:tcPr>
          <w:p w14:paraId="2407DB5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3,439</w:t>
            </w:r>
          </w:p>
        </w:tc>
        <w:tc>
          <w:tcPr>
            <w:tcW w:w="392" w:type="pct"/>
            <w:tcBorders>
              <w:top w:val="single" w:sz="4" w:space="0" w:color="auto"/>
              <w:left w:val="single" w:sz="4" w:space="0" w:color="auto"/>
              <w:bottom w:val="single" w:sz="4" w:space="0" w:color="auto"/>
              <w:right w:val="single" w:sz="4" w:space="0" w:color="auto"/>
            </w:tcBorders>
            <w:vAlign w:val="center"/>
          </w:tcPr>
          <w:p w14:paraId="5C7597F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83.9</w:t>
            </w:r>
          </w:p>
        </w:tc>
        <w:tc>
          <w:tcPr>
            <w:tcW w:w="392" w:type="pct"/>
            <w:tcBorders>
              <w:top w:val="single" w:sz="4" w:space="0" w:color="auto"/>
              <w:left w:val="single" w:sz="4" w:space="0" w:color="auto"/>
              <w:bottom w:val="single" w:sz="4" w:space="0" w:color="auto"/>
              <w:right w:val="single" w:sz="4" w:space="0" w:color="auto"/>
            </w:tcBorders>
            <w:vAlign w:val="center"/>
          </w:tcPr>
          <w:p w14:paraId="26534A3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655</w:t>
            </w:r>
          </w:p>
        </w:tc>
        <w:tc>
          <w:tcPr>
            <w:tcW w:w="391" w:type="pct"/>
            <w:tcBorders>
              <w:top w:val="single" w:sz="4" w:space="0" w:color="auto"/>
              <w:left w:val="single" w:sz="4" w:space="0" w:color="auto"/>
              <w:bottom w:val="single" w:sz="4" w:space="0" w:color="auto"/>
              <w:right w:val="single" w:sz="4" w:space="0" w:color="auto"/>
            </w:tcBorders>
            <w:vAlign w:val="center"/>
          </w:tcPr>
          <w:p w14:paraId="6452693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16.0</w:t>
            </w:r>
          </w:p>
        </w:tc>
      </w:tr>
      <w:tr w:rsidR="00217865" w:rsidRPr="00E13525" w14:paraId="26147C85"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C3E6BC6"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Torrens University</w:t>
            </w:r>
          </w:p>
        </w:tc>
        <w:tc>
          <w:tcPr>
            <w:tcW w:w="391" w:type="pct"/>
            <w:tcBorders>
              <w:top w:val="single" w:sz="4" w:space="0" w:color="auto"/>
              <w:left w:val="single" w:sz="4" w:space="0" w:color="auto"/>
              <w:bottom w:val="single" w:sz="4" w:space="0" w:color="auto"/>
              <w:right w:val="single" w:sz="4" w:space="0" w:color="auto"/>
            </w:tcBorders>
            <w:vAlign w:val="center"/>
          </w:tcPr>
          <w:p w14:paraId="01B9855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2,568</w:t>
            </w:r>
          </w:p>
        </w:tc>
        <w:tc>
          <w:tcPr>
            <w:tcW w:w="393" w:type="pct"/>
            <w:tcBorders>
              <w:top w:val="single" w:sz="4" w:space="0" w:color="auto"/>
              <w:left w:val="single" w:sz="4" w:space="0" w:color="auto"/>
              <w:bottom w:val="single" w:sz="4" w:space="0" w:color="auto"/>
              <w:right w:val="single" w:sz="4" w:space="0" w:color="auto"/>
            </w:tcBorders>
            <w:vAlign w:val="center"/>
          </w:tcPr>
          <w:p w14:paraId="453E132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74.0</w:t>
            </w:r>
          </w:p>
        </w:tc>
        <w:tc>
          <w:tcPr>
            <w:tcW w:w="392" w:type="pct"/>
            <w:tcBorders>
              <w:top w:val="single" w:sz="4" w:space="0" w:color="auto"/>
              <w:left w:val="single" w:sz="4" w:space="0" w:color="auto"/>
              <w:bottom w:val="single" w:sz="4" w:space="0" w:color="auto"/>
              <w:right w:val="single" w:sz="4" w:space="0" w:color="auto"/>
            </w:tcBorders>
            <w:vAlign w:val="center"/>
          </w:tcPr>
          <w:p w14:paraId="7970CAB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900</w:t>
            </w:r>
          </w:p>
        </w:tc>
        <w:tc>
          <w:tcPr>
            <w:tcW w:w="393" w:type="pct"/>
            <w:tcBorders>
              <w:top w:val="single" w:sz="4" w:space="0" w:color="auto"/>
              <w:left w:val="single" w:sz="4" w:space="0" w:color="auto"/>
              <w:bottom w:val="single" w:sz="4" w:space="0" w:color="auto"/>
              <w:right w:val="single" w:sz="4" w:space="0" w:color="auto"/>
            </w:tcBorders>
            <w:vAlign w:val="center"/>
          </w:tcPr>
          <w:p w14:paraId="771E4E6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26.0</w:t>
            </w:r>
          </w:p>
        </w:tc>
        <w:tc>
          <w:tcPr>
            <w:tcW w:w="391" w:type="pct"/>
            <w:tcBorders>
              <w:top w:val="single" w:sz="4" w:space="0" w:color="auto"/>
              <w:left w:val="single" w:sz="4" w:space="0" w:color="auto"/>
              <w:bottom w:val="single" w:sz="4" w:space="0" w:color="auto"/>
              <w:right w:val="single" w:sz="4" w:space="0" w:color="auto"/>
            </w:tcBorders>
            <w:vAlign w:val="center"/>
          </w:tcPr>
          <w:p w14:paraId="60B3E4B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1,113</w:t>
            </w:r>
          </w:p>
        </w:tc>
        <w:tc>
          <w:tcPr>
            <w:tcW w:w="392" w:type="pct"/>
            <w:tcBorders>
              <w:top w:val="single" w:sz="4" w:space="0" w:color="auto"/>
              <w:left w:val="single" w:sz="4" w:space="0" w:color="auto"/>
              <w:bottom w:val="single" w:sz="4" w:space="0" w:color="auto"/>
              <w:right w:val="single" w:sz="4" w:space="0" w:color="auto"/>
            </w:tcBorders>
            <w:vAlign w:val="center"/>
          </w:tcPr>
          <w:p w14:paraId="705B46E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70.3</w:t>
            </w:r>
          </w:p>
        </w:tc>
        <w:tc>
          <w:tcPr>
            <w:tcW w:w="392" w:type="pct"/>
            <w:tcBorders>
              <w:top w:val="single" w:sz="4" w:space="0" w:color="auto"/>
              <w:left w:val="single" w:sz="4" w:space="0" w:color="auto"/>
              <w:bottom w:val="single" w:sz="4" w:space="0" w:color="auto"/>
              <w:right w:val="single" w:sz="4" w:space="0" w:color="auto"/>
            </w:tcBorders>
            <w:vAlign w:val="center"/>
          </w:tcPr>
          <w:p w14:paraId="78BD069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471</w:t>
            </w:r>
          </w:p>
        </w:tc>
        <w:tc>
          <w:tcPr>
            <w:tcW w:w="391" w:type="pct"/>
            <w:tcBorders>
              <w:top w:val="single" w:sz="4" w:space="0" w:color="auto"/>
              <w:left w:val="single" w:sz="4" w:space="0" w:color="auto"/>
              <w:bottom w:val="single" w:sz="4" w:space="0" w:color="auto"/>
              <w:right w:val="single" w:sz="4" w:space="0" w:color="auto"/>
            </w:tcBorders>
            <w:vAlign w:val="center"/>
          </w:tcPr>
          <w:p w14:paraId="06B342C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29.7</w:t>
            </w:r>
          </w:p>
        </w:tc>
      </w:tr>
      <w:tr w:rsidR="00217865" w:rsidRPr="00E13525" w14:paraId="0CC56550"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AF9B9B4"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Canberra</w:t>
            </w:r>
          </w:p>
        </w:tc>
        <w:tc>
          <w:tcPr>
            <w:tcW w:w="391" w:type="pct"/>
            <w:tcBorders>
              <w:top w:val="single" w:sz="4" w:space="0" w:color="auto"/>
              <w:left w:val="single" w:sz="4" w:space="0" w:color="auto"/>
              <w:bottom w:val="single" w:sz="4" w:space="0" w:color="auto"/>
              <w:right w:val="single" w:sz="4" w:space="0" w:color="auto"/>
            </w:tcBorders>
            <w:vAlign w:val="center"/>
          </w:tcPr>
          <w:p w14:paraId="595621D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5,128</w:t>
            </w:r>
          </w:p>
        </w:tc>
        <w:tc>
          <w:tcPr>
            <w:tcW w:w="393" w:type="pct"/>
            <w:tcBorders>
              <w:top w:val="single" w:sz="4" w:space="0" w:color="auto"/>
              <w:left w:val="single" w:sz="4" w:space="0" w:color="auto"/>
              <w:bottom w:val="single" w:sz="4" w:space="0" w:color="auto"/>
              <w:right w:val="single" w:sz="4" w:space="0" w:color="auto"/>
            </w:tcBorders>
            <w:vAlign w:val="center"/>
          </w:tcPr>
          <w:p w14:paraId="585DA4F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82.5</w:t>
            </w:r>
          </w:p>
        </w:tc>
        <w:tc>
          <w:tcPr>
            <w:tcW w:w="392" w:type="pct"/>
            <w:tcBorders>
              <w:top w:val="single" w:sz="4" w:space="0" w:color="auto"/>
              <w:left w:val="single" w:sz="4" w:space="0" w:color="auto"/>
              <w:bottom w:val="single" w:sz="4" w:space="0" w:color="auto"/>
              <w:right w:val="single" w:sz="4" w:space="0" w:color="auto"/>
            </w:tcBorders>
            <w:vAlign w:val="center"/>
          </w:tcPr>
          <w:p w14:paraId="1B8DE8A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1,089</w:t>
            </w:r>
          </w:p>
        </w:tc>
        <w:tc>
          <w:tcPr>
            <w:tcW w:w="393" w:type="pct"/>
            <w:tcBorders>
              <w:top w:val="single" w:sz="4" w:space="0" w:color="auto"/>
              <w:left w:val="single" w:sz="4" w:space="0" w:color="auto"/>
              <w:bottom w:val="single" w:sz="4" w:space="0" w:color="auto"/>
              <w:right w:val="single" w:sz="4" w:space="0" w:color="auto"/>
            </w:tcBorders>
            <w:vAlign w:val="center"/>
          </w:tcPr>
          <w:p w14:paraId="2E240BF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17.5</w:t>
            </w:r>
          </w:p>
        </w:tc>
        <w:tc>
          <w:tcPr>
            <w:tcW w:w="391" w:type="pct"/>
            <w:tcBorders>
              <w:top w:val="single" w:sz="4" w:space="0" w:color="auto"/>
              <w:left w:val="single" w:sz="4" w:space="0" w:color="auto"/>
              <w:bottom w:val="single" w:sz="4" w:space="0" w:color="auto"/>
              <w:right w:val="single" w:sz="4" w:space="0" w:color="auto"/>
            </w:tcBorders>
            <w:vAlign w:val="center"/>
          </w:tcPr>
          <w:p w14:paraId="37ECCC4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1,852</w:t>
            </w:r>
          </w:p>
        </w:tc>
        <w:tc>
          <w:tcPr>
            <w:tcW w:w="392" w:type="pct"/>
            <w:tcBorders>
              <w:top w:val="single" w:sz="4" w:space="0" w:color="auto"/>
              <w:left w:val="single" w:sz="4" w:space="0" w:color="auto"/>
              <w:bottom w:val="single" w:sz="4" w:space="0" w:color="auto"/>
              <w:right w:val="single" w:sz="4" w:space="0" w:color="auto"/>
            </w:tcBorders>
            <w:vAlign w:val="center"/>
          </w:tcPr>
          <w:p w14:paraId="1265210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83.9</w:t>
            </w:r>
          </w:p>
        </w:tc>
        <w:tc>
          <w:tcPr>
            <w:tcW w:w="392" w:type="pct"/>
            <w:tcBorders>
              <w:top w:val="single" w:sz="4" w:space="0" w:color="auto"/>
              <w:left w:val="single" w:sz="4" w:space="0" w:color="auto"/>
              <w:bottom w:val="single" w:sz="4" w:space="0" w:color="auto"/>
              <w:right w:val="single" w:sz="4" w:space="0" w:color="auto"/>
            </w:tcBorders>
            <w:vAlign w:val="center"/>
          </w:tcPr>
          <w:p w14:paraId="4CAFBDB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355</w:t>
            </w:r>
          </w:p>
        </w:tc>
        <w:tc>
          <w:tcPr>
            <w:tcW w:w="391" w:type="pct"/>
            <w:tcBorders>
              <w:top w:val="single" w:sz="4" w:space="0" w:color="auto"/>
              <w:left w:val="single" w:sz="4" w:space="0" w:color="auto"/>
              <w:bottom w:val="single" w:sz="4" w:space="0" w:color="auto"/>
              <w:right w:val="single" w:sz="4" w:space="0" w:color="auto"/>
            </w:tcBorders>
            <w:vAlign w:val="center"/>
          </w:tcPr>
          <w:p w14:paraId="0D0ED31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16.1</w:t>
            </w:r>
          </w:p>
        </w:tc>
      </w:tr>
      <w:tr w:rsidR="00217865" w:rsidRPr="00E13525" w14:paraId="666E04B2"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0BCC71E0"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Divinity</w:t>
            </w:r>
          </w:p>
        </w:tc>
        <w:tc>
          <w:tcPr>
            <w:tcW w:w="391" w:type="pct"/>
            <w:tcBorders>
              <w:top w:val="single" w:sz="4" w:space="0" w:color="auto"/>
              <w:left w:val="single" w:sz="4" w:space="0" w:color="auto"/>
              <w:bottom w:val="single" w:sz="4" w:space="0" w:color="auto"/>
              <w:right w:val="single" w:sz="4" w:space="0" w:color="auto"/>
            </w:tcBorders>
            <w:vAlign w:val="center"/>
          </w:tcPr>
          <w:p w14:paraId="3D39609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228</w:t>
            </w:r>
          </w:p>
        </w:tc>
        <w:tc>
          <w:tcPr>
            <w:tcW w:w="393" w:type="pct"/>
            <w:tcBorders>
              <w:top w:val="single" w:sz="4" w:space="0" w:color="auto"/>
              <w:left w:val="single" w:sz="4" w:space="0" w:color="auto"/>
              <w:bottom w:val="single" w:sz="4" w:space="0" w:color="auto"/>
              <w:right w:val="single" w:sz="4" w:space="0" w:color="auto"/>
            </w:tcBorders>
            <w:vAlign w:val="center"/>
          </w:tcPr>
          <w:p w14:paraId="5D3C306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88.4</w:t>
            </w:r>
          </w:p>
        </w:tc>
        <w:tc>
          <w:tcPr>
            <w:tcW w:w="392" w:type="pct"/>
            <w:tcBorders>
              <w:top w:val="single" w:sz="4" w:space="0" w:color="auto"/>
              <w:left w:val="single" w:sz="4" w:space="0" w:color="auto"/>
              <w:bottom w:val="single" w:sz="4" w:space="0" w:color="auto"/>
              <w:right w:val="single" w:sz="4" w:space="0" w:color="auto"/>
            </w:tcBorders>
            <w:vAlign w:val="center"/>
          </w:tcPr>
          <w:p w14:paraId="69193F7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30</w:t>
            </w:r>
          </w:p>
        </w:tc>
        <w:tc>
          <w:tcPr>
            <w:tcW w:w="393" w:type="pct"/>
            <w:tcBorders>
              <w:top w:val="single" w:sz="4" w:space="0" w:color="auto"/>
              <w:left w:val="single" w:sz="4" w:space="0" w:color="auto"/>
              <w:bottom w:val="single" w:sz="4" w:space="0" w:color="auto"/>
              <w:right w:val="single" w:sz="4" w:space="0" w:color="auto"/>
            </w:tcBorders>
            <w:vAlign w:val="center"/>
          </w:tcPr>
          <w:p w14:paraId="08A5DCC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11.6</w:t>
            </w:r>
          </w:p>
        </w:tc>
        <w:tc>
          <w:tcPr>
            <w:tcW w:w="391" w:type="pct"/>
            <w:tcBorders>
              <w:top w:val="single" w:sz="4" w:space="0" w:color="auto"/>
              <w:left w:val="single" w:sz="4" w:space="0" w:color="auto"/>
              <w:bottom w:val="single" w:sz="4" w:space="0" w:color="auto"/>
              <w:right w:val="single" w:sz="4" w:space="0" w:color="auto"/>
            </w:tcBorders>
            <w:vAlign w:val="center"/>
          </w:tcPr>
          <w:p w14:paraId="5E14935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98</w:t>
            </w:r>
          </w:p>
        </w:tc>
        <w:tc>
          <w:tcPr>
            <w:tcW w:w="392" w:type="pct"/>
            <w:tcBorders>
              <w:top w:val="single" w:sz="4" w:space="0" w:color="auto"/>
              <w:left w:val="single" w:sz="4" w:space="0" w:color="auto"/>
              <w:bottom w:val="single" w:sz="4" w:space="0" w:color="auto"/>
              <w:right w:val="single" w:sz="4" w:space="0" w:color="auto"/>
            </w:tcBorders>
            <w:vAlign w:val="center"/>
          </w:tcPr>
          <w:p w14:paraId="5666506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83.1</w:t>
            </w:r>
          </w:p>
        </w:tc>
        <w:tc>
          <w:tcPr>
            <w:tcW w:w="392" w:type="pct"/>
            <w:tcBorders>
              <w:top w:val="single" w:sz="4" w:space="0" w:color="auto"/>
              <w:left w:val="single" w:sz="4" w:space="0" w:color="auto"/>
              <w:bottom w:val="single" w:sz="4" w:space="0" w:color="auto"/>
              <w:right w:val="single" w:sz="4" w:space="0" w:color="auto"/>
            </w:tcBorders>
            <w:vAlign w:val="center"/>
          </w:tcPr>
          <w:p w14:paraId="2E2704F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20</w:t>
            </w:r>
          </w:p>
        </w:tc>
        <w:tc>
          <w:tcPr>
            <w:tcW w:w="391" w:type="pct"/>
            <w:tcBorders>
              <w:top w:val="single" w:sz="4" w:space="0" w:color="auto"/>
              <w:left w:val="single" w:sz="4" w:space="0" w:color="auto"/>
              <w:bottom w:val="single" w:sz="4" w:space="0" w:color="auto"/>
              <w:right w:val="single" w:sz="4" w:space="0" w:color="auto"/>
            </w:tcBorders>
            <w:vAlign w:val="center"/>
          </w:tcPr>
          <w:p w14:paraId="29F63C2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16.9</w:t>
            </w:r>
          </w:p>
        </w:tc>
      </w:tr>
      <w:tr w:rsidR="00217865" w:rsidRPr="00E13525" w14:paraId="121C9AB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25B715C7"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New England</w:t>
            </w:r>
          </w:p>
        </w:tc>
        <w:tc>
          <w:tcPr>
            <w:tcW w:w="391" w:type="pct"/>
            <w:tcBorders>
              <w:top w:val="single" w:sz="4" w:space="0" w:color="auto"/>
              <w:left w:val="single" w:sz="4" w:space="0" w:color="auto"/>
              <w:bottom w:val="single" w:sz="4" w:space="0" w:color="auto"/>
              <w:right w:val="single" w:sz="4" w:space="0" w:color="auto"/>
            </w:tcBorders>
            <w:vAlign w:val="center"/>
          </w:tcPr>
          <w:p w14:paraId="7BCB497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2,975</w:t>
            </w:r>
          </w:p>
        </w:tc>
        <w:tc>
          <w:tcPr>
            <w:tcW w:w="393" w:type="pct"/>
            <w:tcBorders>
              <w:top w:val="single" w:sz="4" w:space="0" w:color="auto"/>
              <w:left w:val="single" w:sz="4" w:space="0" w:color="auto"/>
              <w:bottom w:val="single" w:sz="4" w:space="0" w:color="auto"/>
              <w:right w:val="single" w:sz="4" w:space="0" w:color="auto"/>
            </w:tcBorders>
            <w:vAlign w:val="center"/>
          </w:tcPr>
          <w:p w14:paraId="40CE095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95.6</w:t>
            </w:r>
          </w:p>
        </w:tc>
        <w:tc>
          <w:tcPr>
            <w:tcW w:w="392" w:type="pct"/>
            <w:tcBorders>
              <w:top w:val="single" w:sz="4" w:space="0" w:color="auto"/>
              <w:left w:val="single" w:sz="4" w:space="0" w:color="auto"/>
              <w:bottom w:val="single" w:sz="4" w:space="0" w:color="auto"/>
              <w:right w:val="single" w:sz="4" w:space="0" w:color="auto"/>
            </w:tcBorders>
            <w:vAlign w:val="center"/>
          </w:tcPr>
          <w:p w14:paraId="3B49F20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136</w:t>
            </w:r>
          </w:p>
        </w:tc>
        <w:tc>
          <w:tcPr>
            <w:tcW w:w="393" w:type="pct"/>
            <w:tcBorders>
              <w:top w:val="single" w:sz="4" w:space="0" w:color="auto"/>
              <w:left w:val="single" w:sz="4" w:space="0" w:color="auto"/>
              <w:bottom w:val="single" w:sz="4" w:space="0" w:color="auto"/>
              <w:right w:val="single" w:sz="4" w:space="0" w:color="auto"/>
            </w:tcBorders>
            <w:vAlign w:val="center"/>
          </w:tcPr>
          <w:p w14:paraId="1ED5D33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4.4</w:t>
            </w:r>
          </w:p>
        </w:tc>
        <w:tc>
          <w:tcPr>
            <w:tcW w:w="391" w:type="pct"/>
            <w:tcBorders>
              <w:top w:val="single" w:sz="4" w:space="0" w:color="auto"/>
              <w:left w:val="single" w:sz="4" w:space="0" w:color="auto"/>
              <w:bottom w:val="single" w:sz="4" w:space="0" w:color="auto"/>
              <w:right w:val="single" w:sz="4" w:space="0" w:color="auto"/>
            </w:tcBorders>
            <w:vAlign w:val="center"/>
          </w:tcPr>
          <w:p w14:paraId="0C14264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1,117</w:t>
            </w:r>
          </w:p>
        </w:tc>
        <w:tc>
          <w:tcPr>
            <w:tcW w:w="392" w:type="pct"/>
            <w:tcBorders>
              <w:top w:val="single" w:sz="4" w:space="0" w:color="auto"/>
              <w:left w:val="single" w:sz="4" w:space="0" w:color="auto"/>
              <w:bottom w:val="single" w:sz="4" w:space="0" w:color="auto"/>
              <w:right w:val="single" w:sz="4" w:space="0" w:color="auto"/>
            </w:tcBorders>
            <w:vAlign w:val="center"/>
          </w:tcPr>
          <w:p w14:paraId="7C0CD74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94.7</w:t>
            </w:r>
          </w:p>
        </w:tc>
        <w:tc>
          <w:tcPr>
            <w:tcW w:w="392" w:type="pct"/>
            <w:tcBorders>
              <w:top w:val="single" w:sz="4" w:space="0" w:color="auto"/>
              <w:left w:val="single" w:sz="4" w:space="0" w:color="auto"/>
              <w:bottom w:val="single" w:sz="4" w:space="0" w:color="auto"/>
              <w:right w:val="single" w:sz="4" w:space="0" w:color="auto"/>
            </w:tcBorders>
            <w:vAlign w:val="center"/>
          </w:tcPr>
          <w:p w14:paraId="13AB405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62</w:t>
            </w:r>
          </w:p>
        </w:tc>
        <w:tc>
          <w:tcPr>
            <w:tcW w:w="391" w:type="pct"/>
            <w:tcBorders>
              <w:top w:val="single" w:sz="4" w:space="0" w:color="auto"/>
              <w:left w:val="single" w:sz="4" w:space="0" w:color="auto"/>
              <w:bottom w:val="single" w:sz="4" w:space="0" w:color="auto"/>
              <w:right w:val="single" w:sz="4" w:space="0" w:color="auto"/>
            </w:tcBorders>
            <w:vAlign w:val="center"/>
          </w:tcPr>
          <w:p w14:paraId="2BD128F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5.3</w:t>
            </w:r>
          </w:p>
        </w:tc>
      </w:tr>
      <w:tr w:rsidR="00217865" w:rsidRPr="00E13525" w14:paraId="5F3B21D4"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6E6921CB"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New South Wales</w:t>
            </w:r>
          </w:p>
        </w:tc>
        <w:tc>
          <w:tcPr>
            <w:tcW w:w="391" w:type="pct"/>
            <w:tcBorders>
              <w:top w:val="single" w:sz="4" w:space="0" w:color="auto"/>
              <w:left w:val="single" w:sz="4" w:space="0" w:color="auto"/>
              <w:bottom w:val="single" w:sz="4" w:space="0" w:color="auto"/>
              <w:right w:val="single" w:sz="4" w:space="0" w:color="auto"/>
            </w:tcBorders>
            <w:vAlign w:val="center"/>
          </w:tcPr>
          <w:p w14:paraId="5242607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17,305</w:t>
            </w:r>
          </w:p>
        </w:tc>
        <w:tc>
          <w:tcPr>
            <w:tcW w:w="393" w:type="pct"/>
            <w:tcBorders>
              <w:top w:val="single" w:sz="4" w:space="0" w:color="auto"/>
              <w:left w:val="single" w:sz="4" w:space="0" w:color="auto"/>
              <w:bottom w:val="single" w:sz="4" w:space="0" w:color="auto"/>
              <w:right w:val="single" w:sz="4" w:space="0" w:color="auto"/>
            </w:tcBorders>
            <w:vAlign w:val="center"/>
          </w:tcPr>
          <w:p w14:paraId="577C32B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73.7</w:t>
            </w:r>
          </w:p>
        </w:tc>
        <w:tc>
          <w:tcPr>
            <w:tcW w:w="392" w:type="pct"/>
            <w:tcBorders>
              <w:top w:val="single" w:sz="4" w:space="0" w:color="auto"/>
              <w:left w:val="single" w:sz="4" w:space="0" w:color="auto"/>
              <w:bottom w:val="single" w:sz="4" w:space="0" w:color="auto"/>
              <w:right w:val="single" w:sz="4" w:space="0" w:color="auto"/>
            </w:tcBorders>
            <w:vAlign w:val="center"/>
          </w:tcPr>
          <w:p w14:paraId="52B25CC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6,166</w:t>
            </w:r>
          </w:p>
        </w:tc>
        <w:tc>
          <w:tcPr>
            <w:tcW w:w="393" w:type="pct"/>
            <w:tcBorders>
              <w:top w:val="single" w:sz="4" w:space="0" w:color="auto"/>
              <w:left w:val="single" w:sz="4" w:space="0" w:color="auto"/>
              <w:bottom w:val="single" w:sz="4" w:space="0" w:color="auto"/>
              <w:right w:val="single" w:sz="4" w:space="0" w:color="auto"/>
            </w:tcBorders>
            <w:vAlign w:val="center"/>
          </w:tcPr>
          <w:p w14:paraId="1F9D8D3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26.3</w:t>
            </w:r>
          </w:p>
        </w:tc>
        <w:tc>
          <w:tcPr>
            <w:tcW w:w="391" w:type="pct"/>
            <w:tcBorders>
              <w:top w:val="single" w:sz="4" w:space="0" w:color="auto"/>
              <w:left w:val="single" w:sz="4" w:space="0" w:color="auto"/>
              <w:bottom w:val="single" w:sz="4" w:space="0" w:color="auto"/>
              <w:right w:val="single" w:sz="4" w:space="0" w:color="auto"/>
            </w:tcBorders>
            <w:vAlign w:val="center"/>
          </w:tcPr>
          <w:p w14:paraId="7A3F51C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5,606</w:t>
            </w:r>
          </w:p>
        </w:tc>
        <w:tc>
          <w:tcPr>
            <w:tcW w:w="392" w:type="pct"/>
            <w:tcBorders>
              <w:top w:val="single" w:sz="4" w:space="0" w:color="auto"/>
              <w:left w:val="single" w:sz="4" w:space="0" w:color="auto"/>
              <w:bottom w:val="single" w:sz="4" w:space="0" w:color="auto"/>
              <w:right w:val="single" w:sz="4" w:space="0" w:color="auto"/>
            </w:tcBorders>
            <w:vAlign w:val="center"/>
          </w:tcPr>
          <w:p w14:paraId="6A31B847"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74.5</w:t>
            </w:r>
          </w:p>
        </w:tc>
        <w:tc>
          <w:tcPr>
            <w:tcW w:w="392" w:type="pct"/>
            <w:tcBorders>
              <w:top w:val="single" w:sz="4" w:space="0" w:color="auto"/>
              <w:left w:val="single" w:sz="4" w:space="0" w:color="auto"/>
              <w:bottom w:val="single" w:sz="4" w:space="0" w:color="auto"/>
              <w:right w:val="single" w:sz="4" w:space="0" w:color="auto"/>
            </w:tcBorders>
            <w:vAlign w:val="center"/>
          </w:tcPr>
          <w:p w14:paraId="10776C6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1,917</w:t>
            </w:r>
          </w:p>
        </w:tc>
        <w:tc>
          <w:tcPr>
            <w:tcW w:w="391" w:type="pct"/>
            <w:tcBorders>
              <w:top w:val="single" w:sz="4" w:space="0" w:color="auto"/>
              <w:left w:val="single" w:sz="4" w:space="0" w:color="auto"/>
              <w:bottom w:val="single" w:sz="4" w:space="0" w:color="auto"/>
              <w:right w:val="single" w:sz="4" w:space="0" w:color="auto"/>
            </w:tcBorders>
            <w:vAlign w:val="center"/>
          </w:tcPr>
          <w:p w14:paraId="5086D23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25.5</w:t>
            </w:r>
          </w:p>
        </w:tc>
      </w:tr>
      <w:tr w:rsidR="00217865" w:rsidRPr="00E13525" w14:paraId="08EE5905"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A8DB567"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Newcastle</w:t>
            </w:r>
          </w:p>
        </w:tc>
        <w:tc>
          <w:tcPr>
            <w:tcW w:w="391" w:type="pct"/>
            <w:tcBorders>
              <w:top w:val="single" w:sz="4" w:space="0" w:color="auto"/>
              <w:left w:val="single" w:sz="4" w:space="0" w:color="auto"/>
              <w:bottom w:val="single" w:sz="4" w:space="0" w:color="auto"/>
              <w:right w:val="single" w:sz="4" w:space="0" w:color="auto"/>
            </w:tcBorders>
            <w:vAlign w:val="center"/>
          </w:tcPr>
          <w:p w14:paraId="2975262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10,163</w:t>
            </w:r>
          </w:p>
        </w:tc>
        <w:tc>
          <w:tcPr>
            <w:tcW w:w="393" w:type="pct"/>
            <w:tcBorders>
              <w:top w:val="single" w:sz="4" w:space="0" w:color="auto"/>
              <w:left w:val="single" w:sz="4" w:space="0" w:color="auto"/>
              <w:bottom w:val="single" w:sz="4" w:space="0" w:color="auto"/>
              <w:right w:val="single" w:sz="4" w:space="0" w:color="auto"/>
            </w:tcBorders>
            <w:vAlign w:val="center"/>
          </w:tcPr>
          <w:p w14:paraId="0E44A79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90.3</w:t>
            </w:r>
          </w:p>
        </w:tc>
        <w:tc>
          <w:tcPr>
            <w:tcW w:w="392" w:type="pct"/>
            <w:tcBorders>
              <w:top w:val="single" w:sz="4" w:space="0" w:color="auto"/>
              <w:left w:val="single" w:sz="4" w:space="0" w:color="auto"/>
              <w:bottom w:val="single" w:sz="4" w:space="0" w:color="auto"/>
              <w:right w:val="single" w:sz="4" w:space="0" w:color="auto"/>
            </w:tcBorders>
            <w:vAlign w:val="center"/>
          </w:tcPr>
          <w:p w14:paraId="7ADF13E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1,088</w:t>
            </w:r>
          </w:p>
        </w:tc>
        <w:tc>
          <w:tcPr>
            <w:tcW w:w="393" w:type="pct"/>
            <w:tcBorders>
              <w:top w:val="single" w:sz="4" w:space="0" w:color="auto"/>
              <w:left w:val="single" w:sz="4" w:space="0" w:color="auto"/>
              <w:bottom w:val="single" w:sz="4" w:space="0" w:color="auto"/>
              <w:right w:val="single" w:sz="4" w:space="0" w:color="auto"/>
            </w:tcBorders>
            <w:vAlign w:val="center"/>
          </w:tcPr>
          <w:p w14:paraId="5B0AF43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9.7</w:t>
            </w:r>
          </w:p>
        </w:tc>
        <w:tc>
          <w:tcPr>
            <w:tcW w:w="391" w:type="pct"/>
            <w:tcBorders>
              <w:top w:val="single" w:sz="4" w:space="0" w:color="auto"/>
              <w:left w:val="single" w:sz="4" w:space="0" w:color="auto"/>
              <w:bottom w:val="single" w:sz="4" w:space="0" w:color="auto"/>
              <w:right w:val="single" w:sz="4" w:space="0" w:color="auto"/>
            </w:tcBorders>
            <w:vAlign w:val="center"/>
          </w:tcPr>
          <w:p w14:paraId="4E47822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2,861</w:t>
            </w:r>
          </w:p>
        </w:tc>
        <w:tc>
          <w:tcPr>
            <w:tcW w:w="392" w:type="pct"/>
            <w:tcBorders>
              <w:top w:val="single" w:sz="4" w:space="0" w:color="auto"/>
              <w:left w:val="single" w:sz="4" w:space="0" w:color="auto"/>
              <w:bottom w:val="single" w:sz="4" w:space="0" w:color="auto"/>
              <w:right w:val="single" w:sz="4" w:space="0" w:color="auto"/>
            </w:tcBorders>
            <w:vAlign w:val="center"/>
          </w:tcPr>
          <w:p w14:paraId="2857DC8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91.5</w:t>
            </w:r>
          </w:p>
        </w:tc>
        <w:tc>
          <w:tcPr>
            <w:tcW w:w="392" w:type="pct"/>
            <w:tcBorders>
              <w:top w:val="single" w:sz="4" w:space="0" w:color="auto"/>
              <w:left w:val="single" w:sz="4" w:space="0" w:color="auto"/>
              <w:bottom w:val="single" w:sz="4" w:space="0" w:color="auto"/>
              <w:right w:val="single" w:sz="4" w:space="0" w:color="auto"/>
            </w:tcBorders>
            <w:vAlign w:val="center"/>
          </w:tcPr>
          <w:p w14:paraId="4DB48EF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265</w:t>
            </w:r>
          </w:p>
        </w:tc>
        <w:tc>
          <w:tcPr>
            <w:tcW w:w="391" w:type="pct"/>
            <w:tcBorders>
              <w:top w:val="single" w:sz="4" w:space="0" w:color="auto"/>
              <w:left w:val="single" w:sz="4" w:space="0" w:color="auto"/>
              <w:bottom w:val="single" w:sz="4" w:space="0" w:color="auto"/>
              <w:right w:val="single" w:sz="4" w:space="0" w:color="auto"/>
            </w:tcBorders>
            <w:vAlign w:val="center"/>
          </w:tcPr>
          <w:p w14:paraId="22DCBA9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8.5</w:t>
            </w:r>
          </w:p>
        </w:tc>
      </w:tr>
      <w:tr w:rsidR="00217865" w:rsidRPr="00E13525" w14:paraId="0470B91F"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AD9D076"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Southern Queensland</w:t>
            </w:r>
          </w:p>
        </w:tc>
        <w:tc>
          <w:tcPr>
            <w:tcW w:w="391" w:type="pct"/>
            <w:tcBorders>
              <w:top w:val="single" w:sz="4" w:space="0" w:color="auto"/>
              <w:left w:val="single" w:sz="4" w:space="0" w:color="auto"/>
              <w:bottom w:val="single" w:sz="4" w:space="0" w:color="auto"/>
              <w:right w:val="single" w:sz="4" w:space="0" w:color="auto"/>
            </w:tcBorders>
            <w:vAlign w:val="center"/>
          </w:tcPr>
          <w:p w14:paraId="511F08D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4,852</w:t>
            </w:r>
          </w:p>
        </w:tc>
        <w:tc>
          <w:tcPr>
            <w:tcW w:w="393" w:type="pct"/>
            <w:tcBorders>
              <w:top w:val="single" w:sz="4" w:space="0" w:color="auto"/>
              <w:left w:val="single" w:sz="4" w:space="0" w:color="auto"/>
              <w:bottom w:val="single" w:sz="4" w:space="0" w:color="auto"/>
              <w:right w:val="single" w:sz="4" w:space="0" w:color="auto"/>
            </w:tcBorders>
            <w:vAlign w:val="center"/>
          </w:tcPr>
          <w:p w14:paraId="2EA244D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90.8</w:t>
            </w:r>
          </w:p>
        </w:tc>
        <w:tc>
          <w:tcPr>
            <w:tcW w:w="392" w:type="pct"/>
            <w:tcBorders>
              <w:top w:val="single" w:sz="4" w:space="0" w:color="auto"/>
              <w:left w:val="single" w:sz="4" w:space="0" w:color="auto"/>
              <w:bottom w:val="single" w:sz="4" w:space="0" w:color="auto"/>
              <w:right w:val="single" w:sz="4" w:space="0" w:color="auto"/>
            </w:tcBorders>
            <w:vAlign w:val="center"/>
          </w:tcPr>
          <w:p w14:paraId="2237E32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494</w:t>
            </w:r>
          </w:p>
        </w:tc>
        <w:tc>
          <w:tcPr>
            <w:tcW w:w="393" w:type="pct"/>
            <w:tcBorders>
              <w:top w:val="single" w:sz="4" w:space="0" w:color="auto"/>
              <w:left w:val="single" w:sz="4" w:space="0" w:color="auto"/>
              <w:bottom w:val="single" w:sz="4" w:space="0" w:color="auto"/>
              <w:right w:val="single" w:sz="4" w:space="0" w:color="auto"/>
            </w:tcBorders>
            <w:vAlign w:val="center"/>
          </w:tcPr>
          <w:p w14:paraId="5512B42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9.2</w:t>
            </w:r>
          </w:p>
        </w:tc>
        <w:tc>
          <w:tcPr>
            <w:tcW w:w="391" w:type="pct"/>
            <w:tcBorders>
              <w:top w:val="single" w:sz="4" w:space="0" w:color="auto"/>
              <w:left w:val="single" w:sz="4" w:space="0" w:color="auto"/>
              <w:bottom w:val="single" w:sz="4" w:space="0" w:color="auto"/>
              <w:right w:val="single" w:sz="4" w:space="0" w:color="auto"/>
            </w:tcBorders>
            <w:vAlign w:val="center"/>
          </w:tcPr>
          <w:p w14:paraId="4995F33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1,949</w:t>
            </w:r>
          </w:p>
        </w:tc>
        <w:tc>
          <w:tcPr>
            <w:tcW w:w="392" w:type="pct"/>
            <w:tcBorders>
              <w:top w:val="single" w:sz="4" w:space="0" w:color="auto"/>
              <w:left w:val="single" w:sz="4" w:space="0" w:color="auto"/>
              <w:bottom w:val="single" w:sz="4" w:space="0" w:color="auto"/>
              <w:right w:val="single" w:sz="4" w:space="0" w:color="auto"/>
            </w:tcBorders>
            <w:vAlign w:val="center"/>
          </w:tcPr>
          <w:p w14:paraId="18A1586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91.6</w:t>
            </w:r>
          </w:p>
        </w:tc>
        <w:tc>
          <w:tcPr>
            <w:tcW w:w="392" w:type="pct"/>
            <w:tcBorders>
              <w:top w:val="single" w:sz="4" w:space="0" w:color="auto"/>
              <w:left w:val="single" w:sz="4" w:space="0" w:color="auto"/>
              <w:bottom w:val="single" w:sz="4" w:space="0" w:color="auto"/>
              <w:right w:val="single" w:sz="4" w:space="0" w:color="auto"/>
            </w:tcBorders>
            <w:vAlign w:val="center"/>
          </w:tcPr>
          <w:p w14:paraId="00C9612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179</w:t>
            </w:r>
          </w:p>
        </w:tc>
        <w:tc>
          <w:tcPr>
            <w:tcW w:w="391" w:type="pct"/>
            <w:tcBorders>
              <w:top w:val="single" w:sz="4" w:space="0" w:color="auto"/>
              <w:left w:val="single" w:sz="4" w:space="0" w:color="auto"/>
              <w:bottom w:val="single" w:sz="4" w:space="0" w:color="auto"/>
              <w:right w:val="single" w:sz="4" w:space="0" w:color="auto"/>
            </w:tcBorders>
            <w:vAlign w:val="center"/>
          </w:tcPr>
          <w:p w14:paraId="48A1DB8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w:t>
            </w:r>
          </w:p>
        </w:tc>
      </w:tr>
      <w:tr w:rsidR="00217865" w:rsidRPr="00E13525" w14:paraId="19CC01D8"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37A93BB"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Tasmania</w:t>
            </w:r>
          </w:p>
        </w:tc>
        <w:tc>
          <w:tcPr>
            <w:tcW w:w="391" w:type="pct"/>
            <w:tcBorders>
              <w:top w:val="single" w:sz="4" w:space="0" w:color="auto"/>
              <w:left w:val="single" w:sz="4" w:space="0" w:color="auto"/>
              <w:bottom w:val="single" w:sz="4" w:space="0" w:color="auto"/>
              <w:right w:val="single" w:sz="4" w:space="0" w:color="auto"/>
            </w:tcBorders>
            <w:vAlign w:val="center"/>
          </w:tcPr>
          <w:p w14:paraId="408252F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6,828</w:t>
            </w:r>
          </w:p>
        </w:tc>
        <w:tc>
          <w:tcPr>
            <w:tcW w:w="393" w:type="pct"/>
            <w:tcBorders>
              <w:top w:val="single" w:sz="4" w:space="0" w:color="auto"/>
              <w:left w:val="single" w:sz="4" w:space="0" w:color="auto"/>
              <w:bottom w:val="single" w:sz="4" w:space="0" w:color="auto"/>
              <w:right w:val="single" w:sz="4" w:space="0" w:color="auto"/>
            </w:tcBorders>
            <w:vAlign w:val="center"/>
          </w:tcPr>
          <w:p w14:paraId="62B676A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90.9</w:t>
            </w:r>
          </w:p>
        </w:tc>
        <w:tc>
          <w:tcPr>
            <w:tcW w:w="392" w:type="pct"/>
            <w:tcBorders>
              <w:top w:val="single" w:sz="4" w:space="0" w:color="auto"/>
              <w:left w:val="single" w:sz="4" w:space="0" w:color="auto"/>
              <w:bottom w:val="single" w:sz="4" w:space="0" w:color="auto"/>
              <w:right w:val="single" w:sz="4" w:space="0" w:color="auto"/>
            </w:tcBorders>
            <w:vAlign w:val="center"/>
          </w:tcPr>
          <w:p w14:paraId="0CF3784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680</w:t>
            </w:r>
          </w:p>
        </w:tc>
        <w:tc>
          <w:tcPr>
            <w:tcW w:w="393" w:type="pct"/>
            <w:tcBorders>
              <w:top w:val="single" w:sz="4" w:space="0" w:color="auto"/>
              <w:left w:val="single" w:sz="4" w:space="0" w:color="auto"/>
              <w:bottom w:val="single" w:sz="4" w:space="0" w:color="auto"/>
              <w:right w:val="single" w:sz="4" w:space="0" w:color="auto"/>
            </w:tcBorders>
            <w:vAlign w:val="center"/>
          </w:tcPr>
          <w:p w14:paraId="7359324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9.1</w:t>
            </w:r>
          </w:p>
        </w:tc>
        <w:tc>
          <w:tcPr>
            <w:tcW w:w="391" w:type="pct"/>
            <w:tcBorders>
              <w:top w:val="single" w:sz="4" w:space="0" w:color="auto"/>
              <w:left w:val="single" w:sz="4" w:space="0" w:color="auto"/>
              <w:bottom w:val="single" w:sz="4" w:space="0" w:color="auto"/>
              <w:right w:val="single" w:sz="4" w:space="0" w:color="auto"/>
            </w:tcBorders>
            <w:vAlign w:val="center"/>
          </w:tcPr>
          <w:p w14:paraId="3FEB81E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3,063</w:t>
            </w:r>
          </w:p>
        </w:tc>
        <w:tc>
          <w:tcPr>
            <w:tcW w:w="392" w:type="pct"/>
            <w:tcBorders>
              <w:top w:val="single" w:sz="4" w:space="0" w:color="auto"/>
              <w:left w:val="single" w:sz="4" w:space="0" w:color="auto"/>
              <w:bottom w:val="single" w:sz="4" w:space="0" w:color="auto"/>
              <w:right w:val="single" w:sz="4" w:space="0" w:color="auto"/>
            </w:tcBorders>
            <w:vAlign w:val="center"/>
          </w:tcPr>
          <w:p w14:paraId="48E32AC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93.1</w:t>
            </w:r>
          </w:p>
        </w:tc>
        <w:tc>
          <w:tcPr>
            <w:tcW w:w="392" w:type="pct"/>
            <w:tcBorders>
              <w:top w:val="single" w:sz="4" w:space="0" w:color="auto"/>
              <w:left w:val="single" w:sz="4" w:space="0" w:color="auto"/>
              <w:bottom w:val="single" w:sz="4" w:space="0" w:color="auto"/>
              <w:right w:val="single" w:sz="4" w:space="0" w:color="auto"/>
            </w:tcBorders>
            <w:vAlign w:val="center"/>
          </w:tcPr>
          <w:p w14:paraId="4DEDB09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226</w:t>
            </w:r>
          </w:p>
        </w:tc>
        <w:tc>
          <w:tcPr>
            <w:tcW w:w="391" w:type="pct"/>
            <w:tcBorders>
              <w:top w:val="single" w:sz="4" w:space="0" w:color="auto"/>
              <w:left w:val="single" w:sz="4" w:space="0" w:color="auto"/>
              <w:bottom w:val="single" w:sz="4" w:space="0" w:color="auto"/>
              <w:right w:val="single" w:sz="4" w:space="0" w:color="auto"/>
            </w:tcBorders>
            <w:vAlign w:val="center"/>
          </w:tcPr>
          <w:p w14:paraId="329BB06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6.9</w:t>
            </w:r>
          </w:p>
        </w:tc>
      </w:tr>
      <w:tr w:rsidR="00217865" w:rsidRPr="00E13525" w14:paraId="71792A58"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426F7071"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Technology Sydney</w:t>
            </w:r>
          </w:p>
        </w:tc>
        <w:tc>
          <w:tcPr>
            <w:tcW w:w="391" w:type="pct"/>
            <w:tcBorders>
              <w:top w:val="single" w:sz="4" w:space="0" w:color="auto"/>
              <w:left w:val="single" w:sz="4" w:space="0" w:color="auto"/>
              <w:bottom w:val="single" w:sz="4" w:space="0" w:color="auto"/>
              <w:right w:val="single" w:sz="4" w:space="0" w:color="auto"/>
            </w:tcBorders>
            <w:vAlign w:val="center"/>
          </w:tcPr>
          <w:p w14:paraId="4839890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16,264</w:t>
            </w:r>
          </w:p>
        </w:tc>
        <w:tc>
          <w:tcPr>
            <w:tcW w:w="393" w:type="pct"/>
            <w:tcBorders>
              <w:top w:val="single" w:sz="4" w:space="0" w:color="auto"/>
              <w:left w:val="single" w:sz="4" w:space="0" w:color="auto"/>
              <w:bottom w:val="single" w:sz="4" w:space="0" w:color="auto"/>
              <w:right w:val="single" w:sz="4" w:space="0" w:color="auto"/>
            </w:tcBorders>
            <w:vAlign w:val="center"/>
          </w:tcPr>
          <w:p w14:paraId="624998B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84.9</w:t>
            </w:r>
          </w:p>
        </w:tc>
        <w:tc>
          <w:tcPr>
            <w:tcW w:w="392" w:type="pct"/>
            <w:tcBorders>
              <w:top w:val="single" w:sz="4" w:space="0" w:color="auto"/>
              <w:left w:val="single" w:sz="4" w:space="0" w:color="auto"/>
              <w:bottom w:val="single" w:sz="4" w:space="0" w:color="auto"/>
              <w:right w:val="single" w:sz="4" w:space="0" w:color="auto"/>
            </w:tcBorders>
            <w:vAlign w:val="center"/>
          </w:tcPr>
          <w:p w14:paraId="3C73BA6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2,883</w:t>
            </w:r>
          </w:p>
        </w:tc>
        <w:tc>
          <w:tcPr>
            <w:tcW w:w="393" w:type="pct"/>
            <w:tcBorders>
              <w:top w:val="single" w:sz="4" w:space="0" w:color="auto"/>
              <w:left w:val="single" w:sz="4" w:space="0" w:color="auto"/>
              <w:bottom w:val="single" w:sz="4" w:space="0" w:color="auto"/>
              <w:right w:val="single" w:sz="4" w:space="0" w:color="auto"/>
            </w:tcBorders>
            <w:vAlign w:val="center"/>
          </w:tcPr>
          <w:p w14:paraId="3EC213A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15.1</w:t>
            </w:r>
          </w:p>
        </w:tc>
        <w:tc>
          <w:tcPr>
            <w:tcW w:w="391" w:type="pct"/>
            <w:tcBorders>
              <w:top w:val="single" w:sz="4" w:space="0" w:color="auto"/>
              <w:left w:val="single" w:sz="4" w:space="0" w:color="auto"/>
              <w:bottom w:val="single" w:sz="4" w:space="0" w:color="auto"/>
              <w:right w:val="single" w:sz="4" w:space="0" w:color="auto"/>
            </w:tcBorders>
            <w:vAlign w:val="center"/>
          </w:tcPr>
          <w:p w14:paraId="36789D2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4,356</w:t>
            </w:r>
          </w:p>
        </w:tc>
        <w:tc>
          <w:tcPr>
            <w:tcW w:w="392" w:type="pct"/>
            <w:tcBorders>
              <w:top w:val="single" w:sz="4" w:space="0" w:color="auto"/>
              <w:left w:val="single" w:sz="4" w:space="0" w:color="auto"/>
              <w:bottom w:val="single" w:sz="4" w:space="0" w:color="auto"/>
              <w:right w:val="single" w:sz="4" w:space="0" w:color="auto"/>
            </w:tcBorders>
            <w:vAlign w:val="center"/>
          </w:tcPr>
          <w:p w14:paraId="4C3280F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87.3</w:t>
            </w:r>
          </w:p>
        </w:tc>
        <w:tc>
          <w:tcPr>
            <w:tcW w:w="392" w:type="pct"/>
            <w:tcBorders>
              <w:top w:val="single" w:sz="4" w:space="0" w:color="auto"/>
              <w:left w:val="single" w:sz="4" w:space="0" w:color="auto"/>
              <w:bottom w:val="single" w:sz="4" w:space="0" w:color="auto"/>
              <w:right w:val="single" w:sz="4" w:space="0" w:color="auto"/>
            </w:tcBorders>
            <w:vAlign w:val="center"/>
          </w:tcPr>
          <w:p w14:paraId="488A77B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633</w:t>
            </w:r>
          </w:p>
        </w:tc>
        <w:tc>
          <w:tcPr>
            <w:tcW w:w="391" w:type="pct"/>
            <w:tcBorders>
              <w:top w:val="single" w:sz="4" w:space="0" w:color="auto"/>
              <w:left w:val="single" w:sz="4" w:space="0" w:color="auto"/>
              <w:bottom w:val="single" w:sz="4" w:space="0" w:color="auto"/>
              <w:right w:val="single" w:sz="4" w:space="0" w:color="auto"/>
            </w:tcBorders>
            <w:vAlign w:val="center"/>
          </w:tcPr>
          <w:p w14:paraId="031FAE9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12.7</w:t>
            </w:r>
          </w:p>
        </w:tc>
      </w:tr>
      <w:tr w:rsidR="00217865" w:rsidRPr="00E13525" w14:paraId="3E073A0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05A7638"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the Sunshine Coast</w:t>
            </w:r>
          </w:p>
        </w:tc>
        <w:tc>
          <w:tcPr>
            <w:tcW w:w="391" w:type="pct"/>
            <w:tcBorders>
              <w:top w:val="single" w:sz="4" w:space="0" w:color="auto"/>
              <w:left w:val="single" w:sz="4" w:space="0" w:color="auto"/>
              <w:bottom w:val="single" w:sz="4" w:space="0" w:color="auto"/>
              <w:right w:val="single" w:sz="4" w:space="0" w:color="auto"/>
            </w:tcBorders>
            <w:vAlign w:val="center"/>
          </w:tcPr>
          <w:p w14:paraId="397623A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4,833</w:t>
            </w:r>
          </w:p>
        </w:tc>
        <w:tc>
          <w:tcPr>
            <w:tcW w:w="393" w:type="pct"/>
            <w:tcBorders>
              <w:top w:val="single" w:sz="4" w:space="0" w:color="auto"/>
              <w:left w:val="single" w:sz="4" w:space="0" w:color="auto"/>
              <w:bottom w:val="single" w:sz="4" w:space="0" w:color="auto"/>
              <w:right w:val="single" w:sz="4" w:space="0" w:color="auto"/>
            </w:tcBorders>
            <w:vAlign w:val="center"/>
          </w:tcPr>
          <w:p w14:paraId="04437BD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93.1</w:t>
            </w:r>
          </w:p>
        </w:tc>
        <w:tc>
          <w:tcPr>
            <w:tcW w:w="392" w:type="pct"/>
            <w:tcBorders>
              <w:top w:val="single" w:sz="4" w:space="0" w:color="auto"/>
              <w:left w:val="single" w:sz="4" w:space="0" w:color="auto"/>
              <w:bottom w:val="single" w:sz="4" w:space="0" w:color="auto"/>
              <w:right w:val="single" w:sz="4" w:space="0" w:color="auto"/>
            </w:tcBorders>
            <w:vAlign w:val="center"/>
          </w:tcPr>
          <w:p w14:paraId="2BF1BDD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360</w:t>
            </w:r>
          </w:p>
        </w:tc>
        <w:tc>
          <w:tcPr>
            <w:tcW w:w="393" w:type="pct"/>
            <w:tcBorders>
              <w:top w:val="single" w:sz="4" w:space="0" w:color="auto"/>
              <w:left w:val="single" w:sz="4" w:space="0" w:color="auto"/>
              <w:bottom w:val="single" w:sz="4" w:space="0" w:color="auto"/>
              <w:right w:val="single" w:sz="4" w:space="0" w:color="auto"/>
            </w:tcBorders>
            <w:vAlign w:val="center"/>
          </w:tcPr>
          <w:p w14:paraId="740CD4C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6.9</w:t>
            </w:r>
          </w:p>
        </w:tc>
        <w:tc>
          <w:tcPr>
            <w:tcW w:w="391" w:type="pct"/>
            <w:tcBorders>
              <w:top w:val="single" w:sz="4" w:space="0" w:color="auto"/>
              <w:left w:val="single" w:sz="4" w:space="0" w:color="auto"/>
              <w:bottom w:val="single" w:sz="4" w:space="0" w:color="auto"/>
              <w:right w:val="single" w:sz="4" w:space="0" w:color="auto"/>
            </w:tcBorders>
            <w:vAlign w:val="center"/>
          </w:tcPr>
          <w:p w14:paraId="2B4C5AF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2,149</w:t>
            </w:r>
          </w:p>
        </w:tc>
        <w:tc>
          <w:tcPr>
            <w:tcW w:w="392" w:type="pct"/>
            <w:tcBorders>
              <w:top w:val="single" w:sz="4" w:space="0" w:color="auto"/>
              <w:left w:val="single" w:sz="4" w:space="0" w:color="auto"/>
              <w:bottom w:val="single" w:sz="4" w:space="0" w:color="auto"/>
              <w:right w:val="single" w:sz="4" w:space="0" w:color="auto"/>
            </w:tcBorders>
            <w:vAlign w:val="center"/>
          </w:tcPr>
          <w:p w14:paraId="2B4AB33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92.3</w:t>
            </w:r>
          </w:p>
        </w:tc>
        <w:tc>
          <w:tcPr>
            <w:tcW w:w="392" w:type="pct"/>
            <w:tcBorders>
              <w:top w:val="single" w:sz="4" w:space="0" w:color="auto"/>
              <w:left w:val="single" w:sz="4" w:space="0" w:color="auto"/>
              <w:bottom w:val="single" w:sz="4" w:space="0" w:color="auto"/>
              <w:right w:val="single" w:sz="4" w:space="0" w:color="auto"/>
            </w:tcBorders>
            <w:vAlign w:val="center"/>
          </w:tcPr>
          <w:p w14:paraId="6BCAE82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179</w:t>
            </w:r>
          </w:p>
        </w:tc>
        <w:tc>
          <w:tcPr>
            <w:tcW w:w="391" w:type="pct"/>
            <w:tcBorders>
              <w:top w:val="single" w:sz="4" w:space="0" w:color="auto"/>
              <w:left w:val="single" w:sz="4" w:space="0" w:color="auto"/>
              <w:bottom w:val="single" w:sz="4" w:space="0" w:color="auto"/>
              <w:right w:val="single" w:sz="4" w:space="0" w:color="auto"/>
            </w:tcBorders>
            <w:vAlign w:val="center"/>
          </w:tcPr>
          <w:p w14:paraId="6238F47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7.7</w:t>
            </w:r>
          </w:p>
        </w:tc>
      </w:tr>
      <w:tr w:rsidR="00217865" w:rsidRPr="00E13525" w14:paraId="4D30532B"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364A9668"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University of Wollongong</w:t>
            </w:r>
          </w:p>
        </w:tc>
        <w:tc>
          <w:tcPr>
            <w:tcW w:w="391" w:type="pct"/>
            <w:tcBorders>
              <w:top w:val="single" w:sz="4" w:space="0" w:color="auto"/>
              <w:left w:val="single" w:sz="4" w:space="0" w:color="auto"/>
              <w:bottom w:val="single" w:sz="4" w:space="0" w:color="auto"/>
              <w:right w:val="single" w:sz="4" w:space="0" w:color="auto"/>
            </w:tcBorders>
            <w:vAlign w:val="center"/>
          </w:tcPr>
          <w:p w14:paraId="6678E88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7,573</w:t>
            </w:r>
          </w:p>
        </w:tc>
        <w:tc>
          <w:tcPr>
            <w:tcW w:w="393" w:type="pct"/>
            <w:tcBorders>
              <w:top w:val="single" w:sz="4" w:space="0" w:color="auto"/>
              <w:left w:val="single" w:sz="4" w:space="0" w:color="auto"/>
              <w:bottom w:val="single" w:sz="4" w:space="0" w:color="auto"/>
              <w:right w:val="single" w:sz="4" w:space="0" w:color="auto"/>
            </w:tcBorders>
            <w:vAlign w:val="center"/>
          </w:tcPr>
          <w:p w14:paraId="477D473A"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87.0</w:t>
            </w:r>
          </w:p>
        </w:tc>
        <w:tc>
          <w:tcPr>
            <w:tcW w:w="392" w:type="pct"/>
            <w:tcBorders>
              <w:top w:val="single" w:sz="4" w:space="0" w:color="auto"/>
              <w:left w:val="single" w:sz="4" w:space="0" w:color="auto"/>
              <w:bottom w:val="single" w:sz="4" w:space="0" w:color="auto"/>
              <w:right w:val="single" w:sz="4" w:space="0" w:color="auto"/>
            </w:tcBorders>
            <w:vAlign w:val="center"/>
          </w:tcPr>
          <w:p w14:paraId="2C226126"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1,134</w:t>
            </w:r>
          </w:p>
        </w:tc>
        <w:tc>
          <w:tcPr>
            <w:tcW w:w="393" w:type="pct"/>
            <w:tcBorders>
              <w:top w:val="single" w:sz="4" w:space="0" w:color="auto"/>
              <w:left w:val="single" w:sz="4" w:space="0" w:color="auto"/>
              <w:bottom w:val="single" w:sz="4" w:space="0" w:color="auto"/>
              <w:right w:val="single" w:sz="4" w:space="0" w:color="auto"/>
            </w:tcBorders>
            <w:vAlign w:val="center"/>
          </w:tcPr>
          <w:p w14:paraId="3DF5C9E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13.0</w:t>
            </w:r>
          </w:p>
        </w:tc>
        <w:tc>
          <w:tcPr>
            <w:tcW w:w="391" w:type="pct"/>
            <w:tcBorders>
              <w:top w:val="single" w:sz="4" w:space="0" w:color="auto"/>
              <w:left w:val="single" w:sz="4" w:space="0" w:color="auto"/>
              <w:bottom w:val="single" w:sz="4" w:space="0" w:color="auto"/>
              <w:right w:val="single" w:sz="4" w:space="0" w:color="auto"/>
            </w:tcBorders>
            <w:vAlign w:val="center"/>
          </w:tcPr>
          <w:p w14:paraId="1950116B"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2,323</w:t>
            </w:r>
          </w:p>
        </w:tc>
        <w:tc>
          <w:tcPr>
            <w:tcW w:w="392" w:type="pct"/>
            <w:tcBorders>
              <w:top w:val="single" w:sz="4" w:space="0" w:color="auto"/>
              <w:left w:val="single" w:sz="4" w:space="0" w:color="auto"/>
              <w:bottom w:val="single" w:sz="4" w:space="0" w:color="auto"/>
              <w:right w:val="single" w:sz="4" w:space="0" w:color="auto"/>
            </w:tcBorders>
            <w:vAlign w:val="center"/>
          </w:tcPr>
          <w:p w14:paraId="2FB8EF9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87.6</w:t>
            </w:r>
          </w:p>
        </w:tc>
        <w:tc>
          <w:tcPr>
            <w:tcW w:w="392" w:type="pct"/>
            <w:tcBorders>
              <w:top w:val="single" w:sz="4" w:space="0" w:color="auto"/>
              <w:left w:val="single" w:sz="4" w:space="0" w:color="auto"/>
              <w:bottom w:val="single" w:sz="4" w:space="0" w:color="auto"/>
              <w:right w:val="single" w:sz="4" w:space="0" w:color="auto"/>
            </w:tcBorders>
            <w:vAlign w:val="center"/>
          </w:tcPr>
          <w:p w14:paraId="64CB624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329</w:t>
            </w:r>
          </w:p>
        </w:tc>
        <w:tc>
          <w:tcPr>
            <w:tcW w:w="391" w:type="pct"/>
            <w:tcBorders>
              <w:top w:val="single" w:sz="4" w:space="0" w:color="auto"/>
              <w:left w:val="single" w:sz="4" w:space="0" w:color="auto"/>
              <w:bottom w:val="single" w:sz="4" w:space="0" w:color="auto"/>
              <w:right w:val="single" w:sz="4" w:space="0" w:color="auto"/>
            </w:tcBorders>
            <w:vAlign w:val="center"/>
          </w:tcPr>
          <w:p w14:paraId="6985CDAD"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12.4</w:t>
            </w:r>
          </w:p>
        </w:tc>
      </w:tr>
      <w:tr w:rsidR="00217865" w:rsidRPr="00E13525" w14:paraId="4287DF9F"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51F372FC"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Victoria University</w:t>
            </w:r>
          </w:p>
        </w:tc>
        <w:tc>
          <w:tcPr>
            <w:tcW w:w="391" w:type="pct"/>
            <w:tcBorders>
              <w:top w:val="single" w:sz="4" w:space="0" w:color="auto"/>
              <w:left w:val="single" w:sz="4" w:space="0" w:color="auto"/>
              <w:bottom w:val="single" w:sz="4" w:space="0" w:color="auto"/>
              <w:right w:val="single" w:sz="4" w:space="0" w:color="auto"/>
            </w:tcBorders>
            <w:vAlign w:val="center"/>
          </w:tcPr>
          <w:p w14:paraId="038F09A3"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4,543</w:t>
            </w:r>
          </w:p>
        </w:tc>
        <w:tc>
          <w:tcPr>
            <w:tcW w:w="393" w:type="pct"/>
            <w:tcBorders>
              <w:top w:val="single" w:sz="4" w:space="0" w:color="auto"/>
              <w:left w:val="single" w:sz="4" w:space="0" w:color="auto"/>
              <w:bottom w:val="single" w:sz="4" w:space="0" w:color="auto"/>
              <w:right w:val="single" w:sz="4" w:space="0" w:color="auto"/>
            </w:tcBorders>
            <w:vAlign w:val="center"/>
          </w:tcPr>
          <w:p w14:paraId="21716EC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76.4</w:t>
            </w:r>
          </w:p>
        </w:tc>
        <w:tc>
          <w:tcPr>
            <w:tcW w:w="392" w:type="pct"/>
            <w:tcBorders>
              <w:top w:val="single" w:sz="4" w:space="0" w:color="auto"/>
              <w:left w:val="single" w:sz="4" w:space="0" w:color="auto"/>
              <w:bottom w:val="single" w:sz="4" w:space="0" w:color="auto"/>
              <w:right w:val="single" w:sz="4" w:space="0" w:color="auto"/>
            </w:tcBorders>
            <w:vAlign w:val="center"/>
          </w:tcPr>
          <w:p w14:paraId="17B2D954"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1,404</w:t>
            </w:r>
          </w:p>
        </w:tc>
        <w:tc>
          <w:tcPr>
            <w:tcW w:w="393" w:type="pct"/>
            <w:tcBorders>
              <w:top w:val="single" w:sz="4" w:space="0" w:color="auto"/>
              <w:left w:val="single" w:sz="4" w:space="0" w:color="auto"/>
              <w:bottom w:val="single" w:sz="4" w:space="0" w:color="auto"/>
              <w:right w:val="single" w:sz="4" w:space="0" w:color="auto"/>
            </w:tcBorders>
            <w:vAlign w:val="center"/>
          </w:tcPr>
          <w:p w14:paraId="43481E9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23.6</w:t>
            </w:r>
          </w:p>
        </w:tc>
        <w:tc>
          <w:tcPr>
            <w:tcW w:w="391" w:type="pct"/>
            <w:tcBorders>
              <w:top w:val="single" w:sz="4" w:space="0" w:color="auto"/>
              <w:left w:val="single" w:sz="4" w:space="0" w:color="auto"/>
              <w:bottom w:val="single" w:sz="4" w:space="0" w:color="auto"/>
              <w:right w:val="single" w:sz="4" w:space="0" w:color="auto"/>
            </w:tcBorders>
            <w:vAlign w:val="center"/>
          </w:tcPr>
          <w:p w14:paraId="40CB6898"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1,715</w:t>
            </w:r>
          </w:p>
        </w:tc>
        <w:tc>
          <w:tcPr>
            <w:tcW w:w="392" w:type="pct"/>
            <w:tcBorders>
              <w:top w:val="single" w:sz="4" w:space="0" w:color="auto"/>
              <w:left w:val="single" w:sz="4" w:space="0" w:color="auto"/>
              <w:bottom w:val="single" w:sz="4" w:space="0" w:color="auto"/>
              <w:right w:val="single" w:sz="4" w:space="0" w:color="auto"/>
            </w:tcBorders>
            <w:vAlign w:val="center"/>
          </w:tcPr>
          <w:p w14:paraId="567856D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75.9</w:t>
            </w:r>
          </w:p>
        </w:tc>
        <w:tc>
          <w:tcPr>
            <w:tcW w:w="392" w:type="pct"/>
            <w:tcBorders>
              <w:top w:val="single" w:sz="4" w:space="0" w:color="auto"/>
              <w:left w:val="single" w:sz="4" w:space="0" w:color="auto"/>
              <w:bottom w:val="single" w:sz="4" w:space="0" w:color="auto"/>
              <w:right w:val="single" w:sz="4" w:space="0" w:color="auto"/>
            </w:tcBorders>
            <w:vAlign w:val="center"/>
          </w:tcPr>
          <w:p w14:paraId="61A8B58C"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545</w:t>
            </w:r>
          </w:p>
        </w:tc>
        <w:tc>
          <w:tcPr>
            <w:tcW w:w="391" w:type="pct"/>
            <w:tcBorders>
              <w:top w:val="single" w:sz="4" w:space="0" w:color="auto"/>
              <w:left w:val="single" w:sz="4" w:space="0" w:color="auto"/>
              <w:bottom w:val="single" w:sz="4" w:space="0" w:color="auto"/>
              <w:right w:val="single" w:sz="4" w:space="0" w:color="auto"/>
            </w:tcBorders>
            <w:vAlign w:val="center"/>
          </w:tcPr>
          <w:p w14:paraId="20499939"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24.1</w:t>
            </w:r>
          </w:p>
        </w:tc>
      </w:tr>
      <w:tr w:rsidR="00217865" w:rsidRPr="00E13525" w14:paraId="4711EA0E"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719AAE46" w14:textId="77777777" w:rsidR="00821227" w:rsidRPr="00E13525" w:rsidRDefault="00821227" w:rsidP="00A43B35">
            <w:pPr>
              <w:pStyle w:val="Z"/>
              <w:spacing w:before="60" w:after="60"/>
              <w:rPr>
                <w:color w:val="000000" w:themeColor="text1"/>
                <w:szCs w:val="18"/>
                <w:highlight w:val="yellow"/>
              </w:rPr>
            </w:pPr>
            <w:r w:rsidRPr="00E13525">
              <w:rPr>
                <w:color w:val="000000" w:themeColor="text1"/>
                <w:szCs w:val="18"/>
              </w:rPr>
              <w:t>Western Sydney University</w:t>
            </w:r>
          </w:p>
        </w:tc>
        <w:tc>
          <w:tcPr>
            <w:tcW w:w="391" w:type="pct"/>
            <w:tcBorders>
              <w:top w:val="single" w:sz="4" w:space="0" w:color="auto"/>
              <w:left w:val="single" w:sz="4" w:space="0" w:color="auto"/>
              <w:bottom w:val="single" w:sz="4" w:space="0" w:color="auto"/>
              <w:right w:val="single" w:sz="4" w:space="0" w:color="auto"/>
            </w:tcBorders>
            <w:vAlign w:val="center"/>
          </w:tcPr>
          <w:p w14:paraId="561CB9A0"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13,645</w:t>
            </w:r>
          </w:p>
        </w:tc>
        <w:tc>
          <w:tcPr>
            <w:tcW w:w="393" w:type="pct"/>
            <w:tcBorders>
              <w:top w:val="single" w:sz="4" w:space="0" w:color="auto"/>
              <w:left w:val="single" w:sz="4" w:space="0" w:color="auto"/>
              <w:bottom w:val="single" w:sz="4" w:space="0" w:color="auto"/>
              <w:right w:val="single" w:sz="4" w:space="0" w:color="auto"/>
            </w:tcBorders>
            <w:vAlign w:val="center"/>
          </w:tcPr>
          <w:p w14:paraId="270A154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88.7</w:t>
            </w:r>
          </w:p>
        </w:tc>
        <w:tc>
          <w:tcPr>
            <w:tcW w:w="392" w:type="pct"/>
            <w:tcBorders>
              <w:top w:val="single" w:sz="4" w:space="0" w:color="auto"/>
              <w:left w:val="single" w:sz="4" w:space="0" w:color="auto"/>
              <w:bottom w:val="single" w:sz="4" w:space="0" w:color="auto"/>
              <w:right w:val="single" w:sz="4" w:space="0" w:color="auto"/>
            </w:tcBorders>
            <w:vAlign w:val="center"/>
          </w:tcPr>
          <w:p w14:paraId="48DE283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1,737</w:t>
            </w:r>
          </w:p>
        </w:tc>
        <w:tc>
          <w:tcPr>
            <w:tcW w:w="393" w:type="pct"/>
            <w:tcBorders>
              <w:top w:val="single" w:sz="4" w:space="0" w:color="auto"/>
              <w:left w:val="single" w:sz="4" w:space="0" w:color="auto"/>
              <w:bottom w:val="single" w:sz="4" w:space="0" w:color="auto"/>
              <w:right w:val="single" w:sz="4" w:space="0" w:color="auto"/>
            </w:tcBorders>
            <w:vAlign w:val="center"/>
          </w:tcPr>
          <w:p w14:paraId="0DB8C7E1"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11.3</w:t>
            </w:r>
          </w:p>
        </w:tc>
        <w:tc>
          <w:tcPr>
            <w:tcW w:w="391" w:type="pct"/>
            <w:tcBorders>
              <w:top w:val="single" w:sz="4" w:space="0" w:color="auto"/>
              <w:left w:val="single" w:sz="4" w:space="0" w:color="auto"/>
              <w:bottom w:val="single" w:sz="4" w:space="0" w:color="auto"/>
              <w:right w:val="single" w:sz="4" w:space="0" w:color="auto"/>
            </w:tcBorders>
            <w:vAlign w:val="center"/>
          </w:tcPr>
          <w:p w14:paraId="04D8C1AF"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3,183</w:t>
            </w:r>
          </w:p>
        </w:tc>
        <w:tc>
          <w:tcPr>
            <w:tcW w:w="392" w:type="pct"/>
            <w:tcBorders>
              <w:top w:val="single" w:sz="4" w:space="0" w:color="auto"/>
              <w:left w:val="single" w:sz="4" w:space="0" w:color="auto"/>
              <w:bottom w:val="single" w:sz="4" w:space="0" w:color="auto"/>
              <w:right w:val="single" w:sz="4" w:space="0" w:color="auto"/>
            </w:tcBorders>
            <w:vAlign w:val="center"/>
          </w:tcPr>
          <w:p w14:paraId="0A8AF9DE"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88.9</w:t>
            </w:r>
          </w:p>
        </w:tc>
        <w:tc>
          <w:tcPr>
            <w:tcW w:w="392" w:type="pct"/>
            <w:tcBorders>
              <w:top w:val="single" w:sz="4" w:space="0" w:color="auto"/>
              <w:left w:val="single" w:sz="4" w:space="0" w:color="auto"/>
              <w:bottom w:val="single" w:sz="4" w:space="0" w:color="auto"/>
              <w:right w:val="single" w:sz="4" w:space="0" w:color="auto"/>
            </w:tcBorders>
            <w:vAlign w:val="center"/>
          </w:tcPr>
          <w:p w14:paraId="10A08255"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396</w:t>
            </w:r>
          </w:p>
        </w:tc>
        <w:tc>
          <w:tcPr>
            <w:tcW w:w="391" w:type="pct"/>
            <w:tcBorders>
              <w:top w:val="single" w:sz="4" w:space="0" w:color="auto"/>
              <w:left w:val="single" w:sz="4" w:space="0" w:color="auto"/>
              <w:bottom w:val="single" w:sz="4" w:space="0" w:color="auto"/>
              <w:right w:val="single" w:sz="4" w:space="0" w:color="auto"/>
            </w:tcBorders>
            <w:vAlign w:val="center"/>
          </w:tcPr>
          <w:p w14:paraId="78B4B1B2" w14:textId="77777777" w:rsidR="00821227" w:rsidRPr="00E13525" w:rsidRDefault="00821227" w:rsidP="00A43B35">
            <w:pPr>
              <w:pStyle w:val="Z"/>
              <w:spacing w:before="60" w:after="60"/>
              <w:jc w:val="center"/>
              <w:rPr>
                <w:color w:val="000000" w:themeColor="text1"/>
                <w:szCs w:val="18"/>
                <w:highlight w:val="yellow"/>
              </w:rPr>
            </w:pPr>
            <w:r w:rsidRPr="00E13525">
              <w:rPr>
                <w:color w:val="000000" w:themeColor="text1"/>
                <w:szCs w:val="18"/>
              </w:rPr>
              <w:t>11.1</w:t>
            </w:r>
          </w:p>
        </w:tc>
      </w:tr>
      <w:tr w:rsidR="00CF00B5" w:rsidRPr="00E13525" w14:paraId="3FF48E7C" w14:textId="77777777" w:rsidTr="00DD247F">
        <w:tc>
          <w:tcPr>
            <w:tcW w:w="1866"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center"/>
          </w:tcPr>
          <w:p w14:paraId="154D069C" w14:textId="77777777" w:rsidR="00821227" w:rsidRPr="00E13525" w:rsidRDefault="00821227" w:rsidP="00A43B35">
            <w:pPr>
              <w:pStyle w:val="Z"/>
              <w:spacing w:before="60" w:after="60"/>
              <w:rPr>
                <w:b/>
                <w:bCs/>
                <w:color w:val="000000" w:themeColor="text1"/>
                <w:szCs w:val="18"/>
                <w:highlight w:val="yellow"/>
              </w:rPr>
            </w:pPr>
            <w:r w:rsidRPr="00E13525">
              <w:rPr>
                <w:b/>
                <w:bCs/>
                <w:color w:val="000000" w:themeColor="text1"/>
                <w:szCs w:val="18"/>
              </w:rPr>
              <w:t>All Universities</w:t>
            </w:r>
          </w:p>
        </w:tc>
        <w:tc>
          <w:tcPr>
            <w:tcW w:w="391" w:type="pct"/>
            <w:tcBorders>
              <w:top w:val="single" w:sz="4" w:space="0" w:color="auto"/>
              <w:left w:val="single" w:sz="4" w:space="0" w:color="auto"/>
              <w:bottom w:val="single" w:sz="4" w:space="0" w:color="auto"/>
              <w:right w:val="single" w:sz="4" w:space="0" w:color="auto"/>
            </w:tcBorders>
            <w:vAlign w:val="center"/>
          </w:tcPr>
          <w:p w14:paraId="47035B40"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370,182</w:t>
            </w:r>
          </w:p>
        </w:tc>
        <w:tc>
          <w:tcPr>
            <w:tcW w:w="393" w:type="pct"/>
            <w:tcBorders>
              <w:top w:val="single" w:sz="4" w:space="0" w:color="auto"/>
              <w:left w:val="single" w:sz="4" w:space="0" w:color="auto"/>
              <w:bottom w:val="single" w:sz="4" w:space="0" w:color="auto"/>
              <w:right w:val="single" w:sz="4" w:space="0" w:color="auto"/>
            </w:tcBorders>
            <w:vAlign w:val="center"/>
          </w:tcPr>
          <w:p w14:paraId="66D07226"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83.1</w:t>
            </w:r>
          </w:p>
        </w:tc>
        <w:tc>
          <w:tcPr>
            <w:tcW w:w="392" w:type="pct"/>
            <w:tcBorders>
              <w:top w:val="single" w:sz="4" w:space="0" w:color="auto"/>
              <w:left w:val="single" w:sz="4" w:space="0" w:color="auto"/>
              <w:bottom w:val="single" w:sz="4" w:space="0" w:color="auto"/>
              <w:right w:val="single" w:sz="4" w:space="0" w:color="auto"/>
            </w:tcBorders>
            <w:vAlign w:val="center"/>
          </w:tcPr>
          <w:p w14:paraId="65B81C14"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75,448</w:t>
            </w:r>
          </w:p>
        </w:tc>
        <w:tc>
          <w:tcPr>
            <w:tcW w:w="393" w:type="pct"/>
            <w:tcBorders>
              <w:top w:val="single" w:sz="4" w:space="0" w:color="auto"/>
              <w:left w:val="single" w:sz="4" w:space="0" w:color="auto"/>
              <w:bottom w:val="single" w:sz="4" w:space="0" w:color="auto"/>
              <w:right w:val="single" w:sz="4" w:space="0" w:color="auto"/>
            </w:tcBorders>
            <w:vAlign w:val="center"/>
          </w:tcPr>
          <w:p w14:paraId="631A2A44"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16.9</w:t>
            </w:r>
          </w:p>
        </w:tc>
        <w:tc>
          <w:tcPr>
            <w:tcW w:w="391" w:type="pct"/>
            <w:tcBorders>
              <w:top w:val="single" w:sz="4" w:space="0" w:color="auto"/>
              <w:left w:val="single" w:sz="4" w:space="0" w:color="auto"/>
              <w:bottom w:val="single" w:sz="4" w:space="0" w:color="auto"/>
              <w:right w:val="single" w:sz="4" w:space="0" w:color="auto"/>
            </w:tcBorders>
            <w:vAlign w:val="center"/>
          </w:tcPr>
          <w:p w14:paraId="7DD46E55"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126,760</w:t>
            </w:r>
          </w:p>
        </w:tc>
        <w:tc>
          <w:tcPr>
            <w:tcW w:w="392" w:type="pct"/>
            <w:tcBorders>
              <w:top w:val="single" w:sz="4" w:space="0" w:color="auto"/>
              <w:left w:val="single" w:sz="4" w:space="0" w:color="auto"/>
              <w:bottom w:val="single" w:sz="4" w:space="0" w:color="auto"/>
              <w:right w:val="single" w:sz="4" w:space="0" w:color="auto"/>
            </w:tcBorders>
            <w:vAlign w:val="center"/>
          </w:tcPr>
          <w:p w14:paraId="5999A7D7"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85.1</w:t>
            </w:r>
          </w:p>
        </w:tc>
        <w:tc>
          <w:tcPr>
            <w:tcW w:w="392" w:type="pct"/>
            <w:tcBorders>
              <w:top w:val="single" w:sz="4" w:space="0" w:color="auto"/>
              <w:left w:val="single" w:sz="4" w:space="0" w:color="auto"/>
              <w:bottom w:val="single" w:sz="4" w:space="0" w:color="auto"/>
              <w:right w:val="single" w:sz="4" w:space="0" w:color="auto"/>
            </w:tcBorders>
            <w:vAlign w:val="center"/>
          </w:tcPr>
          <w:p w14:paraId="76C8D1C6"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22,208</w:t>
            </w:r>
          </w:p>
        </w:tc>
        <w:tc>
          <w:tcPr>
            <w:tcW w:w="391" w:type="pct"/>
            <w:tcBorders>
              <w:top w:val="single" w:sz="4" w:space="0" w:color="auto"/>
              <w:left w:val="single" w:sz="4" w:space="0" w:color="auto"/>
              <w:bottom w:val="single" w:sz="4" w:space="0" w:color="auto"/>
              <w:right w:val="single" w:sz="4" w:space="0" w:color="auto"/>
            </w:tcBorders>
            <w:vAlign w:val="center"/>
          </w:tcPr>
          <w:p w14:paraId="11247DA3" w14:textId="77777777" w:rsidR="00821227" w:rsidRPr="00E13525" w:rsidRDefault="00821227" w:rsidP="00A43B35">
            <w:pPr>
              <w:pStyle w:val="Z"/>
              <w:spacing w:before="60" w:after="60"/>
              <w:jc w:val="center"/>
              <w:rPr>
                <w:b/>
                <w:bCs/>
                <w:color w:val="000000" w:themeColor="text1"/>
                <w:szCs w:val="18"/>
                <w:highlight w:val="yellow"/>
              </w:rPr>
            </w:pPr>
            <w:r w:rsidRPr="00E13525">
              <w:rPr>
                <w:b/>
                <w:bCs/>
                <w:color w:val="000000" w:themeColor="text1"/>
                <w:szCs w:val="18"/>
              </w:rPr>
              <w:t>14.9</w:t>
            </w:r>
          </w:p>
        </w:tc>
      </w:tr>
    </w:tbl>
    <w:p w14:paraId="240B14B3" w14:textId="77777777" w:rsidR="00821227" w:rsidRPr="00217865" w:rsidRDefault="00821227" w:rsidP="00821227">
      <w:pPr>
        <w:pStyle w:val="BodyText"/>
        <w:rPr>
          <w:rFonts w:cs="Arial"/>
          <w:color w:val="000000" w:themeColor="text1"/>
          <w:highlight w:val="yellow"/>
        </w:rPr>
      </w:pPr>
    </w:p>
    <w:p w14:paraId="5825CED9" w14:textId="1FB6EF30" w:rsidR="00821227" w:rsidRPr="00217865" w:rsidRDefault="00821227" w:rsidP="00821227">
      <w:pPr>
        <w:pStyle w:val="Caption"/>
        <w:rPr>
          <w:b w:val="0"/>
          <w:color w:val="000000" w:themeColor="text1"/>
          <w:szCs w:val="20"/>
          <w:lang w:val="en-GB"/>
        </w:rPr>
      </w:pPr>
      <w:bookmarkStart w:id="338" w:name="_Ref98232066"/>
      <w:bookmarkStart w:id="339" w:name="_Toc178599384"/>
      <w:r w:rsidRPr="00217865">
        <w:rPr>
          <w:color w:val="000000" w:themeColor="text1"/>
          <w:szCs w:val="20"/>
          <w:lang w:val="en-GB"/>
        </w:rPr>
        <w:t xml:space="preserve">Table </w:t>
      </w:r>
      <w:r w:rsidRPr="00217865">
        <w:rPr>
          <w:b w:val="0"/>
          <w:color w:val="000000" w:themeColor="text1"/>
          <w:szCs w:val="20"/>
          <w:lang w:val="en-GB"/>
        </w:rPr>
        <w:fldChar w:fldCharType="begin"/>
      </w:r>
      <w:r w:rsidRPr="00217865">
        <w:rPr>
          <w:color w:val="000000" w:themeColor="text1"/>
          <w:szCs w:val="20"/>
          <w:lang w:val="en-GB"/>
        </w:rPr>
        <w:instrText xml:space="preserve"> SEQ Table \* ARABIC </w:instrText>
      </w:r>
      <w:r w:rsidRPr="00217865">
        <w:rPr>
          <w:b w:val="0"/>
          <w:color w:val="000000" w:themeColor="text1"/>
          <w:szCs w:val="20"/>
          <w:lang w:val="en-GB"/>
        </w:rPr>
        <w:fldChar w:fldCharType="separate"/>
      </w:r>
      <w:r w:rsidR="005D5678">
        <w:rPr>
          <w:noProof/>
          <w:color w:val="000000" w:themeColor="text1"/>
          <w:szCs w:val="20"/>
          <w:lang w:val="en-GB"/>
        </w:rPr>
        <w:t>19</w:t>
      </w:r>
      <w:r w:rsidRPr="00217865">
        <w:rPr>
          <w:b w:val="0"/>
          <w:color w:val="000000" w:themeColor="text1"/>
          <w:szCs w:val="20"/>
          <w:lang w:val="en-GB"/>
        </w:rPr>
        <w:fldChar w:fldCharType="end"/>
      </w:r>
      <w:bookmarkEnd w:id="338"/>
      <w:r w:rsidR="00CF00B5">
        <w:rPr>
          <w:color w:val="000000" w:themeColor="text1"/>
          <w:szCs w:val="20"/>
          <w:lang w:val="en-GB"/>
        </w:rPr>
        <w:tab/>
      </w:r>
      <w:r w:rsidRPr="00217865">
        <w:rPr>
          <w:color w:val="000000" w:themeColor="text1"/>
          <w:szCs w:val="20"/>
          <w:lang w:val="en-GB"/>
        </w:rPr>
        <w:t>Undergraduate student population parameters and response characteristics by non-university higher education institution (NUHEI), 202</w:t>
      </w:r>
      <w:r w:rsidR="00F20D1A" w:rsidRPr="00217865">
        <w:rPr>
          <w:color w:val="000000" w:themeColor="text1"/>
          <w:szCs w:val="20"/>
          <w:lang w:val="en-GB"/>
        </w:rPr>
        <w:t>3</w:t>
      </w:r>
      <w:bookmarkEnd w:id="339"/>
    </w:p>
    <w:tbl>
      <w:tblPr>
        <w:tblW w:w="5000" w:type="pct"/>
        <w:tblLayout w:type="fixed"/>
        <w:tblCellMar>
          <w:left w:w="0" w:type="dxa"/>
          <w:right w:w="0" w:type="dxa"/>
        </w:tblCellMar>
        <w:tblLook w:val="0000" w:firstRow="0" w:lastRow="0" w:firstColumn="0" w:lastColumn="0" w:noHBand="0" w:noVBand="0"/>
      </w:tblPr>
      <w:tblGrid>
        <w:gridCol w:w="3903"/>
        <w:gridCol w:w="819"/>
        <w:gridCol w:w="819"/>
        <w:gridCol w:w="819"/>
        <w:gridCol w:w="826"/>
        <w:gridCol w:w="819"/>
        <w:gridCol w:w="819"/>
        <w:gridCol w:w="819"/>
        <w:gridCol w:w="807"/>
      </w:tblGrid>
      <w:tr w:rsidR="00E2454F" w:rsidRPr="00217865" w14:paraId="3A504055" w14:textId="77777777" w:rsidTr="00E2454F">
        <w:trPr>
          <w:trHeight w:val="71"/>
          <w:tblHeader/>
        </w:trPr>
        <w:tc>
          <w:tcPr>
            <w:tcW w:w="1867" w:type="pct"/>
            <w:tcBorders>
              <w:top w:val="single" w:sz="4" w:space="0" w:color="auto"/>
              <w:left w:val="single" w:sz="4" w:space="0" w:color="000000"/>
              <w:bottom w:val="single" w:sz="4" w:space="0" w:color="000000"/>
              <w:right w:val="single" w:sz="4" w:space="0" w:color="auto"/>
            </w:tcBorders>
            <w:tcMar>
              <w:top w:w="113" w:type="dxa"/>
              <w:left w:w="80" w:type="dxa"/>
              <w:bottom w:w="113" w:type="dxa"/>
              <w:right w:w="0" w:type="dxa"/>
            </w:tcMar>
            <w:vAlign w:val="bottom"/>
          </w:tcPr>
          <w:p w14:paraId="6C358765" w14:textId="341A11B1" w:rsidR="00E2454F" w:rsidRPr="00CF00B5" w:rsidRDefault="00E2454F" w:rsidP="00E2454F">
            <w:pPr>
              <w:pStyle w:val="Tabletext"/>
              <w:spacing w:before="60" w:after="60"/>
              <w:rPr>
                <w:rFonts w:cs="Arial"/>
                <w:b/>
                <w:bCs/>
                <w:color w:val="000000" w:themeColor="text1"/>
                <w:sz w:val="16"/>
                <w:szCs w:val="16"/>
              </w:rPr>
            </w:pPr>
            <w:r w:rsidRPr="00CF00B5">
              <w:rPr>
                <w:b/>
                <w:bCs/>
                <w:color w:val="000000" w:themeColor="text1"/>
                <w:szCs w:val="20"/>
              </w:rPr>
              <w:t>Non-un</w:t>
            </w:r>
            <w:bookmarkStart w:id="340" w:name="Title_19"/>
            <w:bookmarkEnd w:id="340"/>
            <w:r w:rsidRPr="00CF00B5">
              <w:rPr>
                <w:b/>
                <w:bCs/>
                <w:color w:val="000000" w:themeColor="text1"/>
                <w:szCs w:val="20"/>
              </w:rPr>
              <w:t>iversity higher education institution</w:t>
            </w:r>
          </w:p>
        </w:tc>
        <w:tc>
          <w:tcPr>
            <w:tcW w:w="392" w:type="pct"/>
            <w:tcBorders>
              <w:top w:val="single" w:sz="4" w:space="0" w:color="auto"/>
              <w:left w:val="single" w:sz="4" w:space="0" w:color="auto"/>
              <w:bottom w:val="single" w:sz="4" w:space="0" w:color="auto"/>
              <w:right w:val="single" w:sz="4" w:space="0" w:color="auto"/>
            </w:tcBorders>
            <w:vAlign w:val="bottom"/>
          </w:tcPr>
          <w:p w14:paraId="5C981D8F" w14:textId="2C5E597F"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In-scope population Domestic </w:t>
            </w:r>
            <w:r w:rsidRPr="00DD247F">
              <w:rPr>
                <w:rFonts w:ascii="Arial" w:hAnsi="Arial" w:cs="Arial"/>
                <w:b w:val="0"/>
                <w:bCs w:val="0"/>
                <w:color w:val="000000" w:themeColor="text1"/>
              </w:rPr>
              <w:t>n</w:t>
            </w:r>
          </w:p>
        </w:tc>
        <w:tc>
          <w:tcPr>
            <w:tcW w:w="392" w:type="pct"/>
            <w:tcBorders>
              <w:top w:val="single" w:sz="4" w:space="0" w:color="auto"/>
              <w:left w:val="single" w:sz="4" w:space="0" w:color="auto"/>
              <w:bottom w:val="single" w:sz="4" w:space="0" w:color="auto"/>
              <w:right w:val="single" w:sz="4" w:space="0" w:color="auto"/>
            </w:tcBorders>
            <w:vAlign w:val="bottom"/>
          </w:tcPr>
          <w:p w14:paraId="52B2D821" w14:textId="1432A64D"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In-scope population Domestic </w:t>
            </w:r>
            <w:r w:rsidRPr="00DD247F">
              <w:rPr>
                <w:rFonts w:ascii="Arial" w:hAnsi="Arial" w:cs="Arial"/>
                <w:b w:val="0"/>
                <w:bCs w:val="0"/>
                <w:color w:val="000000" w:themeColor="text1"/>
              </w:rPr>
              <w:t>%</w:t>
            </w:r>
          </w:p>
        </w:tc>
        <w:tc>
          <w:tcPr>
            <w:tcW w:w="392" w:type="pct"/>
            <w:tcBorders>
              <w:top w:val="single" w:sz="4" w:space="0" w:color="auto"/>
              <w:left w:val="single" w:sz="4" w:space="0" w:color="auto"/>
              <w:bottom w:val="single" w:sz="4" w:space="0" w:color="auto"/>
              <w:right w:val="single" w:sz="4" w:space="0" w:color="auto"/>
            </w:tcBorders>
            <w:vAlign w:val="bottom"/>
          </w:tcPr>
          <w:p w14:paraId="321A5A62" w14:textId="27A85CCD"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In-scope population </w:t>
            </w:r>
            <w:proofErr w:type="gramStart"/>
            <w:r w:rsidRPr="00E13525">
              <w:rPr>
                <w:rFonts w:ascii="Arial" w:hAnsi="Arial" w:cs="Arial"/>
                <w:color w:val="000000" w:themeColor="text1"/>
              </w:rPr>
              <w:t>International</w:t>
            </w:r>
            <w:proofErr w:type="gramEnd"/>
            <w:r w:rsidRPr="00E13525">
              <w:rPr>
                <w:rFonts w:ascii="Arial" w:hAnsi="Arial" w:cs="Arial"/>
                <w:color w:val="000000" w:themeColor="text1"/>
              </w:rPr>
              <w:t xml:space="preserve"> </w:t>
            </w:r>
            <w:r w:rsidRPr="00DD247F">
              <w:rPr>
                <w:rFonts w:ascii="Arial" w:hAnsi="Arial" w:cs="Arial"/>
                <w:b w:val="0"/>
                <w:bCs w:val="0"/>
                <w:color w:val="000000" w:themeColor="text1"/>
              </w:rPr>
              <w:t>n</w:t>
            </w:r>
          </w:p>
        </w:tc>
        <w:tc>
          <w:tcPr>
            <w:tcW w:w="395" w:type="pct"/>
            <w:tcBorders>
              <w:top w:val="single" w:sz="4" w:space="0" w:color="auto"/>
              <w:left w:val="single" w:sz="4" w:space="0" w:color="auto"/>
              <w:bottom w:val="single" w:sz="4" w:space="0" w:color="auto"/>
              <w:right w:val="single" w:sz="4" w:space="0" w:color="auto"/>
            </w:tcBorders>
            <w:vAlign w:val="bottom"/>
          </w:tcPr>
          <w:p w14:paraId="380A26C3" w14:textId="04A99541"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In-scope population International </w:t>
            </w:r>
            <w:r w:rsidRPr="00DD247F">
              <w:rPr>
                <w:rFonts w:ascii="Arial" w:hAnsi="Arial" w:cs="Arial"/>
                <w:b w:val="0"/>
                <w:bCs w:val="0"/>
                <w:color w:val="000000" w:themeColor="text1"/>
              </w:rPr>
              <w:t>%</w:t>
            </w:r>
          </w:p>
        </w:tc>
        <w:tc>
          <w:tcPr>
            <w:tcW w:w="392" w:type="pct"/>
            <w:tcBorders>
              <w:top w:val="single" w:sz="4" w:space="0" w:color="auto"/>
              <w:left w:val="single" w:sz="4" w:space="0" w:color="auto"/>
              <w:bottom w:val="single" w:sz="4" w:space="0" w:color="auto"/>
              <w:right w:val="single" w:sz="4" w:space="0" w:color="auto"/>
            </w:tcBorders>
            <w:vAlign w:val="bottom"/>
          </w:tcPr>
          <w:p w14:paraId="787DD36A" w14:textId="508B7DDA"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SES respondents Domestic </w:t>
            </w:r>
            <w:r w:rsidRPr="00DD247F">
              <w:rPr>
                <w:rFonts w:ascii="Arial" w:hAnsi="Arial" w:cs="Arial"/>
                <w:b w:val="0"/>
                <w:bCs w:val="0"/>
                <w:color w:val="000000" w:themeColor="text1"/>
              </w:rPr>
              <w:t>n</w:t>
            </w:r>
          </w:p>
        </w:tc>
        <w:tc>
          <w:tcPr>
            <w:tcW w:w="392" w:type="pct"/>
            <w:tcBorders>
              <w:top w:val="single" w:sz="4" w:space="0" w:color="auto"/>
              <w:left w:val="single" w:sz="4" w:space="0" w:color="auto"/>
              <w:bottom w:val="single" w:sz="4" w:space="0" w:color="auto"/>
              <w:right w:val="single" w:sz="4" w:space="0" w:color="auto"/>
            </w:tcBorders>
            <w:vAlign w:val="bottom"/>
          </w:tcPr>
          <w:p w14:paraId="0E247BC7" w14:textId="3A570798"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SES respondents Domestic </w:t>
            </w:r>
            <w:r w:rsidRPr="00DD247F">
              <w:rPr>
                <w:rFonts w:ascii="Arial" w:hAnsi="Arial" w:cs="Arial"/>
                <w:b w:val="0"/>
                <w:bCs w:val="0"/>
                <w:color w:val="000000" w:themeColor="text1"/>
              </w:rPr>
              <w:t>%</w:t>
            </w:r>
          </w:p>
        </w:tc>
        <w:tc>
          <w:tcPr>
            <w:tcW w:w="392" w:type="pct"/>
            <w:tcBorders>
              <w:top w:val="single" w:sz="4" w:space="0" w:color="auto"/>
              <w:left w:val="single" w:sz="4" w:space="0" w:color="auto"/>
              <w:bottom w:val="single" w:sz="4" w:space="0" w:color="auto"/>
              <w:right w:val="single" w:sz="4" w:space="0" w:color="auto"/>
            </w:tcBorders>
            <w:vAlign w:val="bottom"/>
          </w:tcPr>
          <w:p w14:paraId="28AD34EC" w14:textId="08045186"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 xml:space="preserve">SES respondents </w:t>
            </w:r>
            <w:proofErr w:type="gramStart"/>
            <w:r w:rsidRPr="00E13525">
              <w:rPr>
                <w:rFonts w:ascii="Arial" w:hAnsi="Arial" w:cs="Arial"/>
                <w:color w:val="000000" w:themeColor="text1"/>
              </w:rPr>
              <w:t>International</w:t>
            </w:r>
            <w:proofErr w:type="gramEnd"/>
            <w:r w:rsidRPr="00E13525">
              <w:rPr>
                <w:rFonts w:ascii="Arial" w:hAnsi="Arial" w:cs="Arial"/>
                <w:color w:val="000000" w:themeColor="text1"/>
              </w:rPr>
              <w:t xml:space="preserve"> </w:t>
            </w:r>
            <w:r w:rsidRPr="00DD247F">
              <w:rPr>
                <w:rFonts w:ascii="Arial" w:hAnsi="Arial" w:cs="Arial"/>
                <w:b w:val="0"/>
                <w:bCs w:val="0"/>
                <w:color w:val="000000" w:themeColor="text1"/>
              </w:rPr>
              <w:t>n</w:t>
            </w:r>
          </w:p>
        </w:tc>
        <w:tc>
          <w:tcPr>
            <w:tcW w:w="386" w:type="pct"/>
            <w:tcBorders>
              <w:top w:val="single" w:sz="4" w:space="0" w:color="auto"/>
              <w:left w:val="single" w:sz="4" w:space="0" w:color="auto"/>
              <w:bottom w:val="single" w:sz="4" w:space="0" w:color="auto"/>
              <w:right w:val="single" w:sz="4" w:space="0" w:color="auto"/>
            </w:tcBorders>
            <w:vAlign w:val="bottom"/>
          </w:tcPr>
          <w:p w14:paraId="17D3FAFB" w14:textId="3BCB2900" w:rsidR="00E2454F" w:rsidRPr="00217865" w:rsidRDefault="00E2454F" w:rsidP="00E2454F">
            <w:pPr>
              <w:pStyle w:val="zz"/>
              <w:framePr w:wrap="auto"/>
              <w:spacing w:before="60" w:after="60"/>
              <w:rPr>
                <w:rFonts w:ascii="Arial" w:hAnsi="Arial" w:cs="Arial"/>
                <w:color w:val="000000" w:themeColor="text1"/>
              </w:rPr>
            </w:pPr>
            <w:r w:rsidRPr="00E13525">
              <w:rPr>
                <w:rFonts w:ascii="Arial" w:hAnsi="Arial" w:cs="Arial"/>
                <w:color w:val="000000" w:themeColor="text1"/>
              </w:rPr>
              <w:t>SES respondents International %</w:t>
            </w:r>
          </w:p>
        </w:tc>
      </w:tr>
      <w:tr w:rsidR="00217865" w:rsidRPr="00217865" w14:paraId="5F2D9BBC"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3C0CBDB" w14:textId="03E2902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Academies Australasia Polytechnic Pty Limited</w:t>
            </w:r>
          </w:p>
        </w:tc>
        <w:tc>
          <w:tcPr>
            <w:tcW w:w="392" w:type="pct"/>
            <w:tcBorders>
              <w:top w:val="single" w:sz="4" w:space="0" w:color="auto"/>
              <w:left w:val="single" w:sz="4" w:space="0" w:color="auto"/>
              <w:bottom w:val="single" w:sz="4" w:space="0" w:color="auto"/>
              <w:right w:val="single" w:sz="4" w:space="0" w:color="auto"/>
            </w:tcBorders>
            <w:vAlign w:val="bottom"/>
          </w:tcPr>
          <w:p w14:paraId="06595546" w14:textId="25C1625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2C290133" w14:textId="06E7721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0.4</w:t>
            </w:r>
          </w:p>
        </w:tc>
        <w:tc>
          <w:tcPr>
            <w:tcW w:w="392" w:type="pct"/>
            <w:tcBorders>
              <w:top w:val="single" w:sz="4" w:space="0" w:color="auto"/>
              <w:left w:val="single" w:sz="4" w:space="0" w:color="auto"/>
              <w:bottom w:val="single" w:sz="4" w:space="0" w:color="auto"/>
              <w:right w:val="single" w:sz="4" w:space="0" w:color="auto"/>
            </w:tcBorders>
            <w:vAlign w:val="bottom"/>
          </w:tcPr>
          <w:p w14:paraId="3C1FBFCB" w14:textId="781089D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284</w:t>
            </w:r>
          </w:p>
        </w:tc>
        <w:tc>
          <w:tcPr>
            <w:tcW w:w="395" w:type="pct"/>
            <w:tcBorders>
              <w:top w:val="single" w:sz="4" w:space="0" w:color="auto"/>
              <w:left w:val="single" w:sz="4" w:space="0" w:color="auto"/>
              <w:bottom w:val="single" w:sz="4" w:space="0" w:color="auto"/>
              <w:right w:val="single" w:sz="4" w:space="0" w:color="auto"/>
            </w:tcBorders>
            <w:vAlign w:val="bottom"/>
          </w:tcPr>
          <w:p w14:paraId="290DA66A" w14:textId="2D84BA6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99.6</w:t>
            </w:r>
          </w:p>
        </w:tc>
        <w:tc>
          <w:tcPr>
            <w:tcW w:w="392" w:type="pct"/>
            <w:tcBorders>
              <w:top w:val="single" w:sz="4" w:space="0" w:color="auto"/>
              <w:left w:val="single" w:sz="4" w:space="0" w:color="auto"/>
              <w:bottom w:val="single" w:sz="4" w:space="0" w:color="auto"/>
              <w:right w:val="single" w:sz="4" w:space="0" w:color="auto"/>
            </w:tcBorders>
            <w:vAlign w:val="bottom"/>
          </w:tcPr>
          <w:p w14:paraId="0BB5F7EB" w14:textId="57EFA50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5EF4A9D1" w14:textId="1F9A224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B23A0A6" w14:textId="7721F4D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136</w:t>
            </w:r>
          </w:p>
        </w:tc>
        <w:tc>
          <w:tcPr>
            <w:tcW w:w="386" w:type="pct"/>
            <w:tcBorders>
              <w:top w:val="single" w:sz="4" w:space="0" w:color="auto"/>
              <w:left w:val="single" w:sz="4" w:space="0" w:color="auto"/>
              <w:bottom w:val="single" w:sz="4" w:space="0" w:color="auto"/>
              <w:right w:val="single" w:sz="4" w:space="0" w:color="auto"/>
            </w:tcBorders>
            <w:vAlign w:val="bottom"/>
          </w:tcPr>
          <w:p w14:paraId="50D6E575" w14:textId="6CBB411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7EF7DF8A"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3BC5A27" w14:textId="66BCC66D"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lastRenderedPageBreak/>
              <w:t>Academy of Information Technology</w:t>
            </w:r>
          </w:p>
        </w:tc>
        <w:tc>
          <w:tcPr>
            <w:tcW w:w="392" w:type="pct"/>
            <w:tcBorders>
              <w:top w:val="single" w:sz="4" w:space="0" w:color="auto"/>
              <w:left w:val="single" w:sz="4" w:space="0" w:color="auto"/>
              <w:bottom w:val="single" w:sz="4" w:space="0" w:color="auto"/>
              <w:right w:val="single" w:sz="4" w:space="0" w:color="auto"/>
            </w:tcBorders>
            <w:vAlign w:val="bottom"/>
          </w:tcPr>
          <w:p w14:paraId="1BDB88B9" w14:textId="731530E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376</w:t>
            </w:r>
          </w:p>
        </w:tc>
        <w:tc>
          <w:tcPr>
            <w:tcW w:w="392" w:type="pct"/>
            <w:tcBorders>
              <w:top w:val="single" w:sz="4" w:space="0" w:color="auto"/>
              <w:left w:val="single" w:sz="4" w:space="0" w:color="auto"/>
              <w:bottom w:val="single" w:sz="4" w:space="0" w:color="auto"/>
              <w:right w:val="single" w:sz="4" w:space="0" w:color="auto"/>
            </w:tcBorders>
            <w:vAlign w:val="bottom"/>
          </w:tcPr>
          <w:p w14:paraId="5018F31A" w14:textId="0F0281B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64.4</w:t>
            </w:r>
          </w:p>
        </w:tc>
        <w:tc>
          <w:tcPr>
            <w:tcW w:w="392" w:type="pct"/>
            <w:tcBorders>
              <w:top w:val="single" w:sz="4" w:space="0" w:color="auto"/>
              <w:left w:val="single" w:sz="4" w:space="0" w:color="auto"/>
              <w:bottom w:val="single" w:sz="4" w:space="0" w:color="auto"/>
              <w:right w:val="single" w:sz="4" w:space="0" w:color="auto"/>
            </w:tcBorders>
            <w:vAlign w:val="bottom"/>
          </w:tcPr>
          <w:p w14:paraId="68331ABD" w14:textId="6E37E58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208</w:t>
            </w:r>
          </w:p>
        </w:tc>
        <w:tc>
          <w:tcPr>
            <w:tcW w:w="395" w:type="pct"/>
            <w:tcBorders>
              <w:top w:val="single" w:sz="4" w:space="0" w:color="auto"/>
              <w:left w:val="single" w:sz="4" w:space="0" w:color="auto"/>
              <w:bottom w:val="single" w:sz="4" w:space="0" w:color="auto"/>
              <w:right w:val="single" w:sz="4" w:space="0" w:color="auto"/>
            </w:tcBorders>
            <w:vAlign w:val="bottom"/>
          </w:tcPr>
          <w:p w14:paraId="0B95ACE4" w14:textId="716D833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35.6</w:t>
            </w:r>
          </w:p>
        </w:tc>
        <w:tc>
          <w:tcPr>
            <w:tcW w:w="392" w:type="pct"/>
            <w:tcBorders>
              <w:top w:val="single" w:sz="4" w:space="0" w:color="auto"/>
              <w:left w:val="single" w:sz="4" w:space="0" w:color="auto"/>
              <w:bottom w:val="single" w:sz="4" w:space="0" w:color="auto"/>
              <w:right w:val="single" w:sz="4" w:space="0" w:color="auto"/>
            </w:tcBorders>
            <w:vAlign w:val="bottom"/>
          </w:tcPr>
          <w:p w14:paraId="08164D58" w14:textId="1150F70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160</w:t>
            </w:r>
          </w:p>
        </w:tc>
        <w:tc>
          <w:tcPr>
            <w:tcW w:w="392" w:type="pct"/>
            <w:tcBorders>
              <w:top w:val="single" w:sz="4" w:space="0" w:color="auto"/>
              <w:left w:val="single" w:sz="4" w:space="0" w:color="auto"/>
              <w:bottom w:val="single" w:sz="4" w:space="0" w:color="auto"/>
              <w:right w:val="single" w:sz="4" w:space="0" w:color="auto"/>
            </w:tcBorders>
            <w:vAlign w:val="bottom"/>
          </w:tcPr>
          <w:p w14:paraId="5AA1EA61" w14:textId="6A20C99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64.0</w:t>
            </w:r>
          </w:p>
        </w:tc>
        <w:tc>
          <w:tcPr>
            <w:tcW w:w="392" w:type="pct"/>
            <w:tcBorders>
              <w:top w:val="single" w:sz="4" w:space="0" w:color="auto"/>
              <w:left w:val="single" w:sz="4" w:space="0" w:color="auto"/>
              <w:bottom w:val="single" w:sz="4" w:space="0" w:color="auto"/>
              <w:right w:val="single" w:sz="4" w:space="0" w:color="auto"/>
            </w:tcBorders>
            <w:vAlign w:val="bottom"/>
          </w:tcPr>
          <w:p w14:paraId="10A97B09" w14:textId="06E272B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w:t>
            </w:r>
          </w:p>
        </w:tc>
        <w:tc>
          <w:tcPr>
            <w:tcW w:w="386" w:type="pct"/>
            <w:tcBorders>
              <w:top w:val="single" w:sz="4" w:space="0" w:color="auto"/>
              <w:left w:val="single" w:sz="4" w:space="0" w:color="auto"/>
              <w:bottom w:val="single" w:sz="4" w:space="0" w:color="auto"/>
              <w:right w:val="single" w:sz="4" w:space="0" w:color="auto"/>
            </w:tcBorders>
            <w:vAlign w:val="bottom"/>
          </w:tcPr>
          <w:p w14:paraId="50E1BC0B" w14:textId="385857B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36.0</w:t>
            </w:r>
          </w:p>
        </w:tc>
      </w:tr>
      <w:tr w:rsidR="00217865" w:rsidRPr="00217865" w14:paraId="05EF5E07" w14:textId="77777777" w:rsidTr="00E2454F">
        <w:trPr>
          <w:trHeight w:val="170"/>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647A068" w14:textId="3029AA8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College of Applied Professions</w:t>
            </w:r>
          </w:p>
        </w:tc>
        <w:tc>
          <w:tcPr>
            <w:tcW w:w="392" w:type="pct"/>
            <w:tcBorders>
              <w:top w:val="single" w:sz="4" w:space="0" w:color="auto"/>
              <w:left w:val="single" w:sz="4" w:space="0" w:color="auto"/>
              <w:bottom w:val="single" w:sz="4" w:space="0" w:color="auto"/>
              <w:right w:val="single" w:sz="4" w:space="0" w:color="auto"/>
            </w:tcBorders>
            <w:vAlign w:val="bottom"/>
          </w:tcPr>
          <w:p w14:paraId="04E15F38" w14:textId="498096F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1,998</w:t>
            </w:r>
          </w:p>
        </w:tc>
        <w:tc>
          <w:tcPr>
            <w:tcW w:w="392" w:type="pct"/>
            <w:tcBorders>
              <w:top w:val="single" w:sz="4" w:space="0" w:color="auto"/>
              <w:left w:val="single" w:sz="4" w:space="0" w:color="auto"/>
              <w:bottom w:val="single" w:sz="4" w:space="0" w:color="auto"/>
              <w:right w:val="single" w:sz="4" w:space="0" w:color="auto"/>
            </w:tcBorders>
            <w:vAlign w:val="bottom"/>
          </w:tcPr>
          <w:p w14:paraId="550EABFA" w14:textId="652DA22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92.8</w:t>
            </w:r>
          </w:p>
        </w:tc>
        <w:tc>
          <w:tcPr>
            <w:tcW w:w="392" w:type="pct"/>
            <w:tcBorders>
              <w:top w:val="single" w:sz="4" w:space="0" w:color="auto"/>
              <w:left w:val="single" w:sz="4" w:space="0" w:color="auto"/>
              <w:bottom w:val="single" w:sz="4" w:space="0" w:color="auto"/>
              <w:right w:val="single" w:sz="4" w:space="0" w:color="auto"/>
            </w:tcBorders>
            <w:vAlign w:val="bottom"/>
          </w:tcPr>
          <w:p w14:paraId="2EE87E59" w14:textId="22B3ADF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154</w:t>
            </w:r>
          </w:p>
        </w:tc>
        <w:tc>
          <w:tcPr>
            <w:tcW w:w="395" w:type="pct"/>
            <w:tcBorders>
              <w:top w:val="single" w:sz="4" w:space="0" w:color="auto"/>
              <w:left w:val="single" w:sz="4" w:space="0" w:color="auto"/>
              <w:bottom w:val="single" w:sz="4" w:space="0" w:color="auto"/>
              <w:right w:val="single" w:sz="4" w:space="0" w:color="auto"/>
            </w:tcBorders>
            <w:vAlign w:val="bottom"/>
          </w:tcPr>
          <w:p w14:paraId="2843DEB8" w14:textId="622645E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7.2</w:t>
            </w:r>
          </w:p>
        </w:tc>
        <w:tc>
          <w:tcPr>
            <w:tcW w:w="392" w:type="pct"/>
            <w:tcBorders>
              <w:top w:val="single" w:sz="4" w:space="0" w:color="auto"/>
              <w:left w:val="single" w:sz="4" w:space="0" w:color="auto"/>
              <w:bottom w:val="single" w:sz="4" w:space="0" w:color="auto"/>
              <w:right w:val="single" w:sz="4" w:space="0" w:color="auto"/>
            </w:tcBorders>
            <w:vAlign w:val="bottom"/>
          </w:tcPr>
          <w:p w14:paraId="4EC41022" w14:textId="7154B94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744</w:t>
            </w:r>
          </w:p>
        </w:tc>
        <w:tc>
          <w:tcPr>
            <w:tcW w:w="392" w:type="pct"/>
            <w:tcBorders>
              <w:top w:val="single" w:sz="4" w:space="0" w:color="auto"/>
              <w:left w:val="single" w:sz="4" w:space="0" w:color="auto"/>
              <w:bottom w:val="single" w:sz="4" w:space="0" w:color="auto"/>
              <w:right w:val="single" w:sz="4" w:space="0" w:color="auto"/>
            </w:tcBorders>
            <w:vAlign w:val="bottom"/>
          </w:tcPr>
          <w:p w14:paraId="52ABD9A4" w14:textId="5A55F85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90.0</w:t>
            </w:r>
          </w:p>
        </w:tc>
        <w:tc>
          <w:tcPr>
            <w:tcW w:w="392" w:type="pct"/>
            <w:tcBorders>
              <w:top w:val="single" w:sz="4" w:space="0" w:color="auto"/>
              <w:left w:val="single" w:sz="4" w:space="0" w:color="auto"/>
              <w:bottom w:val="single" w:sz="4" w:space="0" w:color="auto"/>
              <w:right w:val="single" w:sz="4" w:space="0" w:color="auto"/>
            </w:tcBorders>
            <w:vAlign w:val="bottom"/>
          </w:tcPr>
          <w:p w14:paraId="25C95AFF" w14:textId="2F25307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83</w:t>
            </w:r>
          </w:p>
        </w:tc>
        <w:tc>
          <w:tcPr>
            <w:tcW w:w="386" w:type="pct"/>
            <w:tcBorders>
              <w:top w:val="single" w:sz="4" w:space="0" w:color="auto"/>
              <w:left w:val="single" w:sz="4" w:space="0" w:color="auto"/>
              <w:bottom w:val="single" w:sz="4" w:space="0" w:color="auto"/>
              <w:right w:val="single" w:sz="4" w:space="0" w:color="auto"/>
            </w:tcBorders>
            <w:vAlign w:val="bottom"/>
          </w:tcPr>
          <w:p w14:paraId="38B4AA20" w14:textId="40C23A8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w:t>
            </w:r>
          </w:p>
        </w:tc>
      </w:tr>
      <w:tr w:rsidR="00217865" w:rsidRPr="00217865" w14:paraId="3596612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4AF6E232" w14:textId="5C5B0462"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Adelaide Central School of Art</w:t>
            </w:r>
          </w:p>
        </w:tc>
        <w:tc>
          <w:tcPr>
            <w:tcW w:w="392" w:type="pct"/>
            <w:tcBorders>
              <w:top w:val="single" w:sz="4" w:space="0" w:color="auto"/>
              <w:left w:val="single" w:sz="4" w:space="0" w:color="auto"/>
              <w:bottom w:val="single" w:sz="4" w:space="0" w:color="auto"/>
              <w:right w:val="single" w:sz="4" w:space="0" w:color="auto"/>
            </w:tcBorders>
            <w:vAlign w:val="bottom"/>
          </w:tcPr>
          <w:p w14:paraId="7C508615" w14:textId="2AC4160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192</w:t>
            </w:r>
          </w:p>
        </w:tc>
        <w:tc>
          <w:tcPr>
            <w:tcW w:w="392" w:type="pct"/>
            <w:tcBorders>
              <w:top w:val="single" w:sz="4" w:space="0" w:color="auto"/>
              <w:left w:val="single" w:sz="4" w:space="0" w:color="auto"/>
              <w:bottom w:val="single" w:sz="4" w:space="0" w:color="auto"/>
              <w:right w:val="single" w:sz="4" w:space="0" w:color="auto"/>
            </w:tcBorders>
            <w:vAlign w:val="bottom"/>
          </w:tcPr>
          <w:p w14:paraId="3834BF60" w14:textId="3F8D7F4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A9EA781" w14:textId="3259A3B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5" w:type="pct"/>
            <w:tcBorders>
              <w:top w:val="single" w:sz="4" w:space="0" w:color="auto"/>
              <w:left w:val="single" w:sz="4" w:space="0" w:color="auto"/>
              <w:bottom w:val="single" w:sz="4" w:space="0" w:color="auto"/>
              <w:right w:val="single" w:sz="4" w:space="0" w:color="auto"/>
            </w:tcBorders>
            <w:vAlign w:val="bottom"/>
          </w:tcPr>
          <w:p w14:paraId="138CF3B5" w14:textId="33EB39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16E1330" w14:textId="62029FF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108</w:t>
            </w:r>
          </w:p>
        </w:tc>
        <w:tc>
          <w:tcPr>
            <w:tcW w:w="392" w:type="pct"/>
            <w:tcBorders>
              <w:top w:val="single" w:sz="4" w:space="0" w:color="auto"/>
              <w:left w:val="single" w:sz="4" w:space="0" w:color="auto"/>
              <w:bottom w:val="single" w:sz="4" w:space="0" w:color="auto"/>
              <w:right w:val="single" w:sz="4" w:space="0" w:color="auto"/>
            </w:tcBorders>
            <w:vAlign w:val="bottom"/>
          </w:tcPr>
          <w:p w14:paraId="16E2E744" w14:textId="19C04BE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19CED27A" w14:textId="012DCAF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2E6D63B2" w14:textId="54CF65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66D19F34"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51B006B" w14:textId="3373EE2E"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Adelaide Institute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57EBF97D" w14:textId="0185344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12CF0A7A" w14:textId="6E32576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9.5</w:t>
            </w:r>
          </w:p>
        </w:tc>
        <w:tc>
          <w:tcPr>
            <w:tcW w:w="392" w:type="pct"/>
            <w:tcBorders>
              <w:top w:val="single" w:sz="4" w:space="0" w:color="auto"/>
              <w:left w:val="single" w:sz="4" w:space="0" w:color="auto"/>
              <w:bottom w:val="single" w:sz="4" w:space="0" w:color="auto"/>
              <w:right w:val="single" w:sz="4" w:space="0" w:color="auto"/>
            </w:tcBorders>
            <w:vAlign w:val="bottom"/>
          </w:tcPr>
          <w:p w14:paraId="2BD1AA89" w14:textId="1C50410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w:t>
            </w:r>
          </w:p>
        </w:tc>
        <w:tc>
          <w:tcPr>
            <w:tcW w:w="395" w:type="pct"/>
            <w:tcBorders>
              <w:top w:val="single" w:sz="4" w:space="0" w:color="auto"/>
              <w:left w:val="single" w:sz="4" w:space="0" w:color="auto"/>
              <w:bottom w:val="single" w:sz="4" w:space="0" w:color="auto"/>
              <w:right w:val="single" w:sz="4" w:space="0" w:color="auto"/>
            </w:tcBorders>
            <w:vAlign w:val="bottom"/>
          </w:tcPr>
          <w:p w14:paraId="258816CC" w14:textId="4DDB352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90.5</w:t>
            </w:r>
          </w:p>
        </w:tc>
        <w:tc>
          <w:tcPr>
            <w:tcW w:w="392" w:type="pct"/>
            <w:tcBorders>
              <w:top w:val="single" w:sz="4" w:space="0" w:color="auto"/>
              <w:left w:val="single" w:sz="4" w:space="0" w:color="auto"/>
              <w:bottom w:val="single" w:sz="4" w:space="0" w:color="auto"/>
              <w:right w:val="single" w:sz="4" w:space="0" w:color="auto"/>
            </w:tcBorders>
            <w:vAlign w:val="bottom"/>
          </w:tcPr>
          <w:p w14:paraId="70DF5F75" w14:textId="6D931F4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445DF30E" w14:textId="402438F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11.1</w:t>
            </w:r>
          </w:p>
        </w:tc>
        <w:tc>
          <w:tcPr>
            <w:tcW w:w="392" w:type="pct"/>
            <w:tcBorders>
              <w:top w:val="single" w:sz="4" w:space="0" w:color="auto"/>
              <w:left w:val="single" w:sz="4" w:space="0" w:color="auto"/>
              <w:bottom w:val="single" w:sz="4" w:space="0" w:color="auto"/>
              <w:right w:val="single" w:sz="4" w:space="0" w:color="auto"/>
            </w:tcBorders>
            <w:vAlign w:val="bottom"/>
          </w:tcPr>
          <w:p w14:paraId="63423B1F" w14:textId="48AA48E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w:t>
            </w:r>
          </w:p>
        </w:tc>
        <w:tc>
          <w:tcPr>
            <w:tcW w:w="386" w:type="pct"/>
            <w:tcBorders>
              <w:top w:val="single" w:sz="4" w:space="0" w:color="auto"/>
              <w:left w:val="single" w:sz="4" w:space="0" w:color="auto"/>
              <w:bottom w:val="single" w:sz="4" w:space="0" w:color="auto"/>
              <w:right w:val="single" w:sz="4" w:space="0" w:color="auto"/>
            </w:tcBorders>
            <w:vAlign w:val="bottom"/>
          </w:tcPr>
          <w:p w14:paraId="7EE308B2" w14:textId="47BB925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88.9</w:t>
            </w:r>
          </w:p>
        </w:tc>
      </w:tr>
      <w:tr w:rsidR="00217865" w:rsidRPr="00217865" w14:paraId="5441DB4A"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2D5888D" w14:textId="01EA1E4D" w:rsidR="00F20D1A" w:rsidRPr="00217865" w:rsidRDefault="00F20D1A" w:rsidP="00A43B35">
            <w:pPr>
              <w:pStyle w:val="Z"/>
              <w:spacing w:before="60" w:after="60"/>
              <w:rPr>
                <w:color w:val="000000" w:themeColor="text1"/>
                <w:szCs w:val="18"/>
                <w:highlight w:val="yellow"/>
              </w:rPr>
            </w:pPr>
            <w:proofErr w:type="spellStart"/>
            <w:r w:rsidRPr="00217865">
              <w:rPr>
                <w:color w:val="000000" w:themeColor="text1"/>
                <w:szCs w:val="18"/>
              </w:rPr>
              <w:t>Alphacrucis</w:t>
            </w:r>
            <w:proofErr w:type="spellEnd"/>
            <w:r w:rsidRPr="00217865">
              <w:rPr>
                <w:color w:val="000000" w:themeColor="text1"/>
                <w:szCs w:val="18"/>
              </w:rPr>
              <w:t xml:space="preserve"> University College</w:t>
            </w:r>
          </w:p>
        </w:tc>
        <w:tc>
          <w:tcPr>
            <w:tcW w:w="392" w:type="pct"/>
            <w:tcBorders>
              <w:top w:val="single" w:sz="4" w:space="0" w:color="auto"/>
              <w:left w:val="single" w:sz="4" w:space="0" w:color="auto"/>
              <w:bottom w:val="single" w:sz="4" w:space="0" w:color="auto"/>
              <w:right w:val="single" w:sz="4" w:space="0" w:color="auto"/>
            </w:tcBorders>
            <w:vAlign w:val="bottom"/>
          </w:tcPr>
          <w:p w14:paraId="24E449F6" w14:textId="0D992BC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1,034</w:t>
            </w:r>
          </w:p>
        </w:tc>
        <w:tc>
          <w:tcPr>
            <w:tcW w:w="392" w:type="pct"/>
            <w:tcBorders>
              <w:top w:val="single" w:sz="4" w:space="0" w:color="auto"/>
              <w:left w:val="single" w:sz="4" w:space="0" w:color="auto"/>
              <w:bottom w:val="single" w:sz="4" w:space="0" w:color="auto"/>
              <w:right w:val="single" w:sz="4" w:space="0" w:color="auto"/>
            </w:tcBorders>
            <w:vAlign w:val="bottom"/>
          </w:tcPr>
          <w:p w14:paraId="64F639CE" w14:textId="4830D61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89.1</w:t>
            </w:r>
          </w:p>
        </w:tc>
        <w:tc>
          <w:tcPr>
            <w:tcW w:w="392" w:type="pct"/>
            <w:tcBorders>
              <w:top w:val="single" w:sz="4" w:space="0" w:color="auto"/>
              <w:left w:val="single" w:sz="4" w:space="0" w:color="auto"/>
              <w:bottom w:val="single" w:sz="4" w:space="0" w:color="auto"/>
              <w:right w:val="single" w:sz="4" w:space="0" w:color="auto"/>
            </w:tcBorders>
            <w:vAlign w:val="bottom"/>
          </w:tcPr>
          <w:p w14:paraId="55149310" w14:textId="14924A0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126</w:t>
            </w:r>
          </w:p>
        </w:tc>
        <w:tc>
          <w:tcPr>
            <w:tcW w:w="395" w:type="pct"/>
            <w:tcBorders>
              <w:top w:val="single" w:sz="4" w:space="0" w:color="auto"/>
              <w:left w:val="single" w:sz="4" w:space="0" w:color="auto"/>
              <w:bottom w:val="single" w:sz="4" w:space="0" w:color="auto"/>
              <w:right w:val="single" w:sz="4" w:space="0" w:color="auto"/>
            </w:tcBorders>
            <w:vAlign w:val="bottom"/>
          </w:tcPr>
          <w:p w14:paraId="115AB6FD" w14:textId="4B2F03A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10.9</w:t>
            </w:r>
          </w:p>
        </w:tc>
        <w:tc>
          <w:tcPr>
            <w:tcW w:w="392" w:type="pct"/>
            <w:tcBorders>
              <w:top w:val="single" w:sz="4" w:space="0" w:color="auto"/>
              <w:left w:val="single" w:sz="4" w:space="0" w:color="auto"/>
              <w:bottom w:val="single" w:sz="4" w:space="0" w:color="auto"/>
              <w:right w:val="single" w:sz="4" w:space="0" w:color="auto"/>
            </w:tcBorders>
            <w:vAlign w:val="bottom"/>
          </w:tcPr>
          <w:p w14:paraId="602ACA25" w14:textId="65ABE2F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352</w:t>
            </w:r>
          </w:p>
        </w:tc>
        <w:tc>
          <w:tcPr>
            <w:tcW w:w="392" w:type="pct"/>
            <w:tcBorders>
              <w:top w:val="single" w:sz="4" w:space="0" w:color="auto"/>
              <w:left w:val="single" w:sz="4" w:space="0" w:color="auto"/>
              <w:bottom w:val="single" w:sz="4" w:space="0" w:color="auto"/>
              <w:right w:val="single" w:sz="4" w:space="0" w:color="auto"/>
            </w:tcBorders>
            <w:vAlign w:val="bottom"/>
          </w:tcPr>
          <w:p w14:paraId="6499DD28" w14:textId="0E2F6B5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93.6</w:t>
            </w:r>
          </w:p>
        </w:tc>
        <w:tc>
          <w:tcPr>
            <w:tcW w:w="392" w:type="pct"/>
            <w:tcBorders>
              <w:top w:val="single" w:sz="4" w:space="0" w:color="auto"/>
              <w:left w:val="single" w:sz="4" w:space="0" w:color="auto"/>
              <w:bottom w:val="single" w:sz="4" w:space="0" w:color="auto"/>
              <w:right w:val="single" w:sz="4" w:space="0" w:color="auto"/>
            </w:tcBorders>
            <w:vAlign w:val="bottom"/>
          </w:tcPr>
          <w:p w14:paraId="7DC64110" w14:textId="4C3585E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24</w:t>
            </w:r>
          </w:p>
        </w:tc>
        <w:tc>
          <w:tcPr>
            <w:tcW w:w="386" w:type="pct"/>
            <w:tcBorders>
              <w:top w:val="single" w:sz="4" w:space="0" w:color="auto"/>
              <w:left w:val="single" w:sz="4" w:space="0" w:color="auto"/>
              <w:bottom w:val="single" w:sz="4" w:space="0" w:color="auto"/>
              <w:right w:val="single" w:sz="4" w:space="0" w:color="auto"/>
            </w:tcBorders>
            <w:vAlign w:val="bottom"/>
          </w:tcPr>
          <w:p w14:paraId="39BAF47B" w14:textId="3C5EC99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6.4</w:t>
            </w:r>
          </w:p>
        </w:tc>
      </w:tr>
      <w:tr w:rsidR="00217865" w:rsidRPr="00217865" w14:paraId="4BB3F50D"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D868018" w14:textId="1B682ABA"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Asia Pacific International College</w:t>
            </w:r>
          </w:p>
        </w:tc>
        <w:tc>
          <w:tcPr>
            <w:tcW w:w="392" w:type="pct"/>
            <w:tcBorders>
              <w:top w:val="single" w:sz="4" w:space="0" w:color="auto"/>
              <w:left w:val="single" w:sz="4" w:space="0" w:color="auto"/>
              <w:bottom w:val="single" w:sz="4" w:space="0" w:color="auto"/>
              <w:right w:val="single" w:sz="4" w:space="0" w:color="auto"/>
            </w:tcBorders>
            <w:vAlign w:val="bottom"/>
          </w:tcPr>
          <w:p w14:paraId="2BED0D3C" w14:textId="063BF3F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0217BA8" w14:textId="450C299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5F91B319" w14:textId="7EA5842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357</w:t>
            </w:r>
          </w:p>
        </w:tc>
        <w:tc>
          <w:tcPr>
            <w:tcW w:w="395" w:type="pct"/>
            <w:tcBorders>
              <w:top w:val="single" w:sz="4" w:space="0" w:color="auto"/>
              <w:left w:val="single" w:sz="4" w:space="0" w:color="auto"/>
              <w:bottom w:val="single" w:sz="4" w:space="0" w:color="auto"/>
              <w:right w:val="single" w:sz="4" w:space="0" w:color="auto"/>
            </w:tcBorders>
            <w:vAlign w:val="bottom"/>
          </w:tcPr>
          <w:p w14:paraId="7390A277" w14:textId="2ECB289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0EB5AE03" w14:textId="42E084F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6AE16973" w14:textId="3A59D15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497621A" w14:textId="22C1001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116</w:t>
            </w:r>
          </w:p>
        </w:tc>
        <w:tc>
          <w:tcPr>
            <w:tcW w:w="386" w:type="pct"/>
            <w:tcBorders>
              <w:top w:val="single" w:sz="4" w:space="0" w:color="auto"/>
              <w:left w:val="single" w:sz="4" w:space="0" w:color="auto"/>
              <w:bottom w:val="single" w:sz="4" w:space="0" w:color="auto"/>
              <w:right w:val="single" w:sz="4" w:space="0" w:color="auto"/>
            </w:tcBorders>
            <w:vAlign w:val="bottom"/>
          </w:tcPr>
          <w:p w14:paraId="1E9B6D11" w14:textId="612DA4D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2D3A71A9"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1CCBF53" w14:textId="7E579EC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Australasian College of Health and Wellness</w:t>
            </w:r>
          </w:p>
        </w:tc>
        <w:tc>
          <w:tcPr>
            <w:tcW w:w="392" w:type="pct"/>
            <w:tcBorders>
              <w:top w:val="single" w:sz="4" w:space="0" w:color="auto"/>
              <w:left w:val="single" w:sz="4" w:space="0" w:color="auto"/>
              <w:bottom w:val="single" w:sz="4" w:space="0" w:color="auto"/>
              <w:right w:val="single" w:sz="4" w:space="0" w:color="auto"/>
            </w:tcBorders>
            <w:vAlign w:val="bottom"/>
          </w:tcPr>
          <w:p w14:paraId="36D4B78F" w14:textId="027368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422</w:t>
            </w:r>
          </w:p>
        </w:tc>
        <w:tc>
          <w:tcPr>
            <w:tcW w:w="392" w:type="pct"/>
            <w:tcBorders>
              <w:top w:val="single" w:sz="4" w:space="0" w:color="auto"/>
              <w:left w:val="single" w:sz="4" w:space="0" w:color="auto"/>
              <w:bottom w:val="single" w:sz="4" w:space="0" w:color="auto"/>
              <w:right w:val="single" w:sz="4" w:space="0" w:color="auto"/>
            </w:tcBorders>
            <w:vAlign w:val="bottom"/>
          </w:tcPr>
          <w:p w14:paraId="1992ABB7" w14:textId="207ADF1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99.8</w:t>
            </w:r>
          </w:p>
        </w:tc>
        <w:tc>
          <w:tcPr>
            <w:tcW w:w="392" w:type="pct"/>
            <w:tcBorders>
              <w:top w:val="single" w:sz="4" w:space="0" w:color="auto"/>
              <w:left w:val="single" w:sz="4" w:space="0" w:color="auto"/>
              <w:bottom w:val="single" w:sz="4" w:space="0" w:color="auto"/>
              <w:right w:val="single" w:sz="4" w:space="0" w:color="auto"/>
            </w:tcBorders>
            <w:vAlign w:val="bottom"/>
          </w:tcPr>
          <w:p w14:paraId="2AD238E3" w14:textId="24CE457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5DDD3926" w14:textId="184C90B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0.2</w:t>
            </w:r>
          </w:p>
        </w:tc>
        <w:tc>
          <w:tcPr>
            <w:tcW w:w="392" w:type="pct"/>
            <w:tcBorders>
              <w:top w:val="single" w:sz="4" w:space="0" w:color="auto"/>
              <w:left w:val="single" w:sz="4" w:space="0" w:color="auto"/>
              <w:bottom w:val="single" w:sz="4" w:space="0" w:color="auto"/>
              <w:right w:val="single" w:sz="4" w:space="0" w:color="auto"/>
            </w:tcBorders>
            <w:vAlign w:val="bottom"/>
          </w:tcPr>
          <w:p w14:paraId="0AE65B19" w14:textId="4C59BC0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120</w:t>
            </w:r>
          </w:p>
        </w:tc>
        <w:tc>
          <w:tcPr>
            <w:tcW w:w="392" w:type="pct"/>
            <w:tcBorders>
              <w:top w:val="single" w:sz="4" w:space="0" w:color="auto"/>
              <w:left w:val="single" w:sz="4" w:space="0" w:color="auto"/>
              <w:bottom w:val="single" w:sz="4" w:space="0" w:color="auto"/>
              <w:right w:val="single" w:sz="4" w:space="0" w:color="auto"/>
            </w:tcBorders>
            <w:vAlign w:val="bottom"/>
          </w:tcPr>
          <w:p w14:paraId="42417DF6" w14:textId="298F9E8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658A22D4" w14:textId="05C090A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7F66FE65" w14:textId="477A560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40995D8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6273BBC" w14:textId="3B43DC1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 Advance Education Group Pty Ltd</w:t>
            </w:r>
          </w:p>
        </w:tc>
        <w:tc>
          <w:tcPr>
            <w:tcW w:w="392" w:type="pct"/>
            <w:tcBorders>
              <w:top w:val="single" w:sz="4" w:space="0" w:color="auto"/>
              <w:left w:val="single" w:sz="4" w:space="0" w:color="auto"/>
              <w:bottom w:val="single" w:sz="4" w:space="0" w:color="auto"/>
              <w:right w:val="single" w:sz="4" w:space="0" w:color="auto"/>
            </w:tcBorders>
            <w:vAlign w:val="bottom"/>
          </w:tcPr>
          <w:p w14:paraId="1A2B5EE3" w14:textId="355FD82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CE3D7CD" w14:textId="38F4B3B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1BDA82D4" w14:textId="1E9FB2B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124</w:t>
            </w:r>
          </w:p>
        </w:tc>
        <w:tc>
          <w:tcPr>
            <w:tcW w:w="395" w:type="pct"/>
            <w:tcBorders>
              <w:top w:val="single" w:sz="4" w:space="0" w:color="auto"/>
              <w:left w:val="single" w:sz="4" w:space="0" w:color="auto"/>
              <w:bottom w:val="single" w:sz="4" w:space="0" w:color="auto"/>
              <w:right w:val="single" w:sz="4" w:space="0" w:color="auto"/>
            </w:tcBorders>
            <w:vAlign w:val="bottom"/>
          </w:tcPr>
          <w:p w14:paraId="28D9D110" w14:textId="6F97457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73628AE" w14:textId="1951725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3C37B33" w14:textId="649BB0B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D59FAC9" w14:textId="43D66EA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28</w:t>
            </w:r>
          </w:p>
        </w:tc>
        <w:tc>
          <w:tcPr>
            <w:tcW w:w="386" w:type="pct"/>
            <w:tcBorders>
              <w:top w:val="single" w:sz="4" w:space="0" w:color="auto"/>
              <w:left w:val="single" w:sz="4" w:space="0" w:color="auto"/>
              <w:bottom w:val="single" w:sz="4" w:space="0" w:color="auto"/>
              <w:right w:val="single" w:sz="4" w:space="0" w:color="auto"/>
            </w:tcBorders>
            <w:vAlign w:val="bottom"/>
          </w:tcPr>
          <w:p w14:paraId="7FF6F81D" w14:textId="145F321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7D50BA41"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6A6F583" w14:textId="231266A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Academy of Music and Performing Arts</w:t>
            </w:r>
          </w:p>
        </w:tc>
        <w:tc>
          <w:tcPr>
            <w:tcW w:w="392" w:type="pct"/>
            <w:tcBorders>
              <w:top w:val="single" w:sz="4" w:space="0" w:color="auto"/>
              <w:left w:val="single" w:sz="4" w:space="0" w:color="auto"/>
              <w:bottom w:val="single" w:sz="4" w:space="0" w:color="auto"/>
              <w:right w:val="single" w:sz="4" w:space="0" w:color="auto"/>
            </w:tcBorders>
            <w:vAlign w:val="bottom"/>
          </w:tcPr>
          <w:p w14:paraId="5E259621" w14:textId="13F86ED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86</w:t>
            </w:r>
          </w:p>
        </w:tc>
        <w:tc>
          <w:tcPr>
            <w:tcW w:w="392" w:type="pct"/>
            <w:tcBorders>
              <w:top w:val="single" w:sz="4" w:space="0" w:color="auto"/>
              <w:left w:val="single" w:sz="4" w:space="0" w:color="auto"/>
              <w:bottom w:val="single" w:sz="4" w:space="0" w:color="auto"/>
              <w:right w:val="single" w:sz="4" w:space="0" w:color="auto"/>
            </w:tcBorders>
            <w:vAlign w:val="bottom"/>
          </w:tcPr>
          <w:p w14:paraId="62FD4D46" w14:textId="3CC09F4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86.9</w:t>
            </w:r>
          </w:p>
        </w:tc>
        <w:tc>
          <w:tcPr>
            <w:tcW w:w="392" w:type="pct"/>
            <w:tcBorders>
              <w:top w:val="single" w:sz="4" w:space="0" w:color="auto"/>
              <w:left w:val="single" w:sz="4" w:space="0" w:color="auto"/>
              <w:bottom w:val="single" w:sz="4" w:space="0" w:color="auto"/>
              <w:right w:val="single" w:sz="4" w:space="0" w:color="auto"/>
            </w:tcBorders>
            <w:vAlign w:val="bottom"/>
          </w:tcPr>
          <w:p w14:paraId="2A8A55BD" w14:textId="44AAF54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w:t>
            </w:r>
          </w:p>
        </w:tc>
        <w:tc>
          <w:tcPr>
            <w:tcW w:w="395" w:type="pct"/>
            <w:tcBorders>
              <w:top w:val="single" w:sz="4" w:space="0" w:color="auto"/>
              <w:left w:val="single" w:sz="4" w:space="0" w:color="auto"/>
              <w:bottom w:val="single" w:sz="4" w:space="0" w:color="auto"/>
              <w:right w:val="single" w:sz="4" w:space="0" w:color="auto"/>
            </w:tcBorders>
            <w:vAlign w:val="bottom"/>
          </w:tcPr>
          <w:p w14:paraId="18080F4D" w14:textId="6D8F9A9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13.1</w:t>
            </w:r>
          </w:p>
        </w:tc>
        <w:tc>
          <w:tcPr>
            <w:tcW w:w="392" w:type="pct"/>
            <w:tcBorders>
              <w:top w:val="single" w:sz="4" w:space="0" w:color="auto"/>
              <w:left w:val="single" w:sz="4" w:space="0" w:color="auto"/>
              <w:bottom w:val="single" w:sz="4" w:space="0" w:color="auto"/>
              <w:right w:val="single" w:sz="4" w:space="0" w:color="auto"/>
            </w:tcBorders>
            <w:vAlign w:val="bottom"/>
          </w:tcPr>
          <w:p w14:paraId="083FB612" w14:textId="392BC81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w:t>
            </w:r>
          </w:p>
        </w:tc>
        <w:tc>
          <w:tcPr>
            <w:tcW w:w="392" w:type="pct"/>
            <w:tcBorders>
              <w:top w:val="single" w:sz="4" w:space="0" w:color="auto"/>
              <w:left w:val="single" w:sz="4" w:space="0" w:color="auto"/>
              <w:bottom w:val="single" w:sz="4" w:space="0" w:color="auto"/>
              <w:right w:val="single" w:sz="4" w:space="0" w:color="auto"/>
            </w:tcBorders>
            <w:vAlign w:val="bottom"/>
          </w:tcPr>
          <w:p w14:paraId="0F3893C1" w14:textId="5FA6E2D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86.1</w:t>
            </w:r>
          </w:p>
        </w:tc>
        <w:tc>
          <w:tcPr>
            <w:tcW w:w="392" w:type="pct"/>
            <w:tcBorders>
              <w:top w:val="single" w:sz="4" w:space="0" w:color="auto"/>
              <w:left w:val="single" w:sz="4" w:space="0" w:color="auto"/>
              <w:bottom w:val="single" w:sz="4" w:space="0" w:color="auto"/>
              <w:right w:val="single" w:sz="4" w:space="0" w:color="auto"/>
            </w:tcBorders>
            <w:vAlign w:val="bottom"/>
          </w:tcPr>
          <w:p w14:paraId="088903F8" w14:textId="2059CB9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w:t>
            </w:r>
          </w:p>
        </w:tc>
        <w:tc>
          <w:tcPr>
            <w:tcW w:w="386" w:type="pct"/>
            <w:tcBorders>
              <w:top w:val="single" w:sz="4" w:space="0" w:color="auto"/>
              <w:left w:val="single" w:sz="4" w:space="0" w:color="auto"/>
              <w:bottom w:val="single" w:sz="4" w:space="0" w:color="auto"/>
              <w:right w:val="single" w:sz="4" w:space="0" w:color="auto"/>
            </w:tcBorders>
            <w:vAlign w:val="bottom"/>
          </w:tcPr>
          <w:p w14:paraId="0B6A050F" w14:textId="2FE540F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13.9</w:t>
            </w:r>
          </w:p>
        </w:tc>
      </w:tr>
      <w:tr w:rsidR="00217865" w:rsidRPr="00217865" w14:paraId="03F589EC"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D065D74" w14:textId="08FB2CE3"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Chiropractic College Limited</w:t>
            </w:r>
          </w:p>
        </w:tc>
        <w:tc>
          <w:tcPr>
            <w:tcW w:w="392" w:type="pct"/>
            <w:tcBorders>
              <w:top w:val="single" w:sz="4" w:space="0" w:color="auto"/>
              <w:left w:val="single" w:sz="4" w:space="0" w:color="auto"/>
              <w:bottom w:val="single" w:sz="4" w:space="0" w:color="auto"/>
              <w:right w:val="single" w:sz="4" w:space="0" w:color="auto"/>
            </w:tcBorders>
            <w:vAlign w:val="bottom"/>
          </w:tcPr>
          <w:p w14:paraId="183BFF23" w14:textId="26F5C76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105</w:t>
            </w:r>
          </w:p>
        </w:tc>
        <w:tc>
          <w:tcPr>
            <w:tcW w:w="392" w:type="pct"/>
            <w:tcBorders>
              <w:top w:val="single" w:sz="4" w:space="0" w:color="auto"/>
              <w:left w:val="single" w:sz="4" w:space="0" w:color="auto"/>
              <w:bottom w:val="single" w:sz="4" w:space="0" w:color="auto"/>
              <w:right w:val="single" w:sz="4" w:space="0" w:color="auto"/>
            </w:tcBorders>
            <w:vAlign w:val="bottom"/>
          </w:tcPr>
          <w:p w14:paraId="50B7ACF1" w14:textId="3DF0549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96.3</w:t>
            </w:r>
          </w:p>
        </w:tc>
        <w:tc>
          <w:tcPr>
            <w:tcW w:w="392" w:type="pct"/>
            <w:tcBorders>
              <w:top w:val="single" w:sz="4" w:space="0" w:color="auto"/>
              <w:left w:val="single" w:sz="4" w:space="0" w:color="auto"/>
              <w:bottom w:val="single" w:sz="4" w:space="0" w:color="auto"/>
              <w:right w:val="single" w:sz="4" w:space="0" w:color="auto"/>
            </w:tcBorders>
            <w:vAlign w:val="bottom"/>
          </w:tcPr>
          <w:p w14:paraId="3172817A" w14:textId="47EA4DA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10DDFCB1" w14:textId="02B27C0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3.7</w:t>
            </w:r>
          </w:p>
        </w:tc>
        <w:tc>
          <w:tcPr>
            <w:tcW w:w="392" w:type="pct"/>
            <w:tcBorders>
              <w:top w:val="single" w:sz="4" w:space="0" w:color="auto"/>
              <w:left w:val="single" w:sz="4" w:space="0" w:color="auto"/>
              <w:bottom w:val="single" w:sz="4" w:space="0" w:color="auto"/>
              <w:right w:val="single" w:sz="4" w:space="0" w:color="auto"/>
            </w:tcBorders>
            <w:vAlign w:val="bottom"/>
          </w:tcPr>
          <w:p w14:paraId="2F33BDD6" w14:textId="144CE96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51</w:t>
            </w:r>
          </w:p>
        </w:tc>
        <w:tc>
          <w:tcPr>
            <w:tcW w:w="392" w:type="pct"/>
            <w:tcBorders>
              <w:top w:val="single" w:sz="4" w:space="0" w:color="auto"/>
              <w:left w:val="single" w:sz="4" w:space="0" w:color="auto"/>
              <w:bottom w:val="single" w:sz="4" w:space="0" w:color="auto"/>
              <w:right w:val="single" w:sz="4" w:space="0" w:color="auto"/>
            </w:tcBorders>
            <w:vAlign w:val="bottom"/>
          </w:tcPr>
          <w:p w14:paraId="6F0682AC" w14:textId="65A27AC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92.7</w:t>
            </w:r>
          </w:p>
        </w:tc>
        <w:tc>
          <w:tcPr>
            <w:tcW w:w="392" w:type="pct"/>
            <w:tcBorders>
              <w:top w:val="single" w:sz="4" w:space="0" w:color="auto"/>
              <w:left w:val="single" w:sz="4" w:space="0" w:color="auto"/>
              <w:bottom w:val="single" w:sz="4" w:space="0" w:color="auto"/>
              <w:right w:val="single" w:sz="4" w:space="0" w:color="auto"/>
            </w:tcBorders>
            <w:vAlign w:val="bottom"/>
          </w:tcPr>
          <w:p w14:paraId="67CFE8B5" w14:textId="254DA9F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2E1F5B12" w14:textId="2F7D677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7.3</w:t>
            </w:r>
          </w:p>
        </w:tc>
      </w:tr>
      <w:tr w:rsidR="00217865" w:rsidRPr="00217865" w14:paraId="09B91632"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DB8E80A" w14:textId="78F7A6D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College of Christian Studies</w:t>
            </w:r>
          </w:p>
        </w:tc>
        <w:tc>
          <w:tcPr>
            <w:tcW w:w="392" w:type="pct"/>
            <w:tcBorders>
              <w:top w:val="single" w:sz="4" w:space="0" w:color="auto"/>
              <w:left w:val="single" w:sz="4" w:space="0" w:color="auto"/>
              <w:bottom w:val="single" w:sz="4" w:space="0" w:color="auto"/>
              <w:right w:val="single" w:sz="4" w:space="0" w:color="auto"/>
            </w:tcBorders>
            <w:vAlign w:val="bottom"/>
          </w:tcPr>
          <w:p w14:paraId="39AAC883" w14:textId="4FC9233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63</w:t>
            </w:r>
          </w:p>
        </w:tc>
        <w:tc>
          <w:tcPr>
            <w:tcW w:w="392" w:type="pct"/>
            <w:tcBorders>
              <w:top w:val="single" w:sz="4" w:space="0" w:color="auto"/>
              <w:left w:val="single" w:sz="4" w:space="0" w:color="auto"/>
              <w:bottom w:val="single" w:sz="4" w:space="0" w:color="auto"/>
              <w:right w:val="single" w:sz="4" w:space="0" w:color="auto"/>
            </w:tcBorders>
            <w:vAlign w:val="bottom"/>
          </w:tcPr>
          <w:p w14:paraId="67DB0D3F" w14:textId="725887A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87.5</w:t>
            </w:r>
          </w:p>
        </w:tc>
        <w:tc>
          <w:tcPr>
            <w:tcW w:w="392" w:type="pct"/>
            <w:tcBorders>
              <w:top w:val="single" w:sz="4" w:space="0" w:color="auto"/>
              <w:left w:val="single" w:sz="4" w:space="0" w:color="auto"/>
              <w:bottom w:val="single" w:sz="4" w:space="0" w:color="auto"/>
              <w:right w:val="single" w:sz="4" w:space="0" w:color="auto"/>
            </w:tcBorders>
            <w:vAlign w:val="bottom"/>
          </w:tcPr>
          <w:p w14:paraId="59982AE9" w14:textId="49585AD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w:t>
            </w:r>
          </w:p>
        </w:tc>
        <w:tc>
          <w:tcPr>
            <w:tcW w:w="395" w:type="pct"/>
            <w:tcBorders>
              <w:top w:val="single" w:sz="4" w:space="0" w:color="auto"/>
              <w:left w:val="single" w:sz="4" w:space="0" w:color="auto"/>
              <w:bottom w:val="single" w:sz="4" w:space="0" w:color="auto"/>
              <w:right w:val="single" w:sz="4" w:space="0" w:color="auto"/>
            </w:tcBorders>
            <w:vAlign w:val="bottom"/>
          </w:tcPr>
          <w:p w14:paraId="3DB3249B" w14:textId="5DA105A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12.5</w:t>
            </w:r>
          </w:p>
        </w:tc>
        <w:tc>
          <w:tcPr>
            <w:tcW w:w="392" w:type="pct"/>
            <w:tcBorders>
              <w:top w:val="single" w:sz="4" w:space="0" w:color="auto"/>
              <w:left w:val="single" w:sz="4" w:space="0" w:color="auto"/>
              <w:bottom w:val="single" w:sz="4" w:space="0" w:color="auto"/>
              <w:right w:val="single" w:sz="4" w:space="0" w:color="auto"/>
            </w:tcBorders>
            <w:vAlign w:val="bottom"/>
          </w:tcPr>
          <w:p w14:paraId="1C9020BB" w14:textId="0561B51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30</w:t>
            </w:r>
          </w:p>
        </w:tc>
        <w:tc>
          <w:tcPr>
            <w:tcW w:w="392" w:type="pct"/>
            <w:tcBorders>
              <w:top w:val="single" w:sz="4" w:space="0" w:color="auto"/>
              <w:left w:val="single" w:sz="4" w:space="0" w:color="auto"/>
              <w:bottom w:val="single" w:sz="4" w:space="0" w:color="auto"/>
              <w:right w:val="single" w:sz="4" w:space="0" w:color="auto"/>
            </w:tcBorders>
            <w:vAlign w:val="bottom"/>
          </w:tcPr>
          <w:p w14:paraId="60447847" w14:textId="106C6D9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83.3</w:t>
            </w:r>
          </w:p>
        </w:tc>
        <w:tc>
          <w:tcPr>
            <w:tcW w:w="392" w:type="pct"/>
            <w:tcBorders>
              <w:top w:val="single" w:sz="4" w:space="0" w:color="auto"/>
              <w:left w:val="single" w:sz="4" w:space="0" w:color="auto"/>
              <w:bottom w:val="single" w:sz="4" w:space="0" w:color="auto"/>
              <w:right w:val="single" w:sz="4" w:space="0" w:color="auto"/>
            </w:tcBorders>
            <w:vAlign w:val="bottom"/>
          </w:tcPr>
          <w:p w14:paraId="3DC72D89" w14:textId="2AB55C4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86" w:type="pct"/>
            <w:tcBorders>
              <w:top w:val="single" w:sz="4" w:space="0" w:color="auto"/>
              <w:left w:val="single" w:sz="4" w:space="0" w:color="auto"/>
              <w:bottom w:val="single" w:sz="4" w:space="0" w:color="auto"/>
              <w:right w:val="single" w:sz="4" w:space="0" w:color="auto"/>
            </w:tcBorders>
            <w:vAlign w:val="bottom"/>
          </w:tcPr>
          <w:p w14:paraId="1D2AB045" w14:textId="0AA2C80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16.7</w:t>
            </w:r>
          </w:p>
        </w:tc>
      </w:tr>
      <w:tr w:rsidR="00217865" w:rsidRPr="00217865" w14:paraId="0FDF4A1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C952873" w14:textId="21E03DB0"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College of Theology Limited</w:t>
            </w:r>
          </w:p>
        </w:tc>
        <w:tc>
          <w:tcPr>
            <w:tcW w:w="392" w:type="pct"/>
            <w:tcBorders>
              <w:top w:val="single" w:sz="4" w:space="0" w:color="auto"/>
              <w:left w:val="single" w:sz="4" w:space="0" w:color="auto"/>
              <w:bottom w:val="single" w:sz="4" w:space="0" w:color="auto"/>
              <w:right w:val="single" w:sz="4" w:space="0" w:color="auto"/>
            </w:tcBorders>
            <w:vAlign w:val="bottom"/>
          </w:tcPr>
          <w:p w14:paraId="213D84AB" w14:textId="32AB428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786</w:t>
            </w:r>
          </w:p>
        </w:tc>
        <w:tc>
          <w:tcPr>
            <w:tcW w:w="392" w:type="pct"/>
            <w:tcBorders>
              <w:top w:val="single" w:sz="4" w:space="0" w:color="auto"/>
              <w:left w:val="single" w:sz="4" w:space="0" w:color="auto"/>
              <w:bottom w:val="single" w:sz="4" w:space="0" w:color="auto"/>
              <w:right w:val="single" w:sz="4" w:space="0" w:color="auto"/>
            </w:tcBorders>
            <w:vAlign w:val="bottom"/>
          </w:tcPr>
          <w:p w14:paraId="50175323" w14:textId="6F25359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97.5</w:t>
            </w:r>
          </w:p>
        </w:tc>
        <w:tc>
          <w:tcPr>
            <w:tcW w:w="392" w:type="pct"/>
            <w:tcBorders>
              <w:top w:val="single" w:sz="4" w:space="0" w:color="auto"/>
              <w:left w:val="single" w:sz="4" w:space="0" w:color="auto"/>
              <w:bottom w:val="single" w:sz="4" w:space="0" w:color="auto"/>
              <w:right w:val="single" w:sz="4" w:space="0" w:color="auto"/>
            </w:tcBorders>
            <w:vAlign w:val="bottom"/>
          </w:tcPr>
          <w:p w14:paraId="29DD3657" w14:textId="0185292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w:t>
            </w:r>
          </w:p>
        </w:tc>
        <w:tc>
          <w:tcPr>
            <w:tcW w:w="395" w:type="pct"/>
            <w:tcBorders>
              <w:top w:val="single" w:sz="4" w:space="0" w:color="auto"/>
              <w:left w:val="single" w:sz="4" w:space="0" w:color="auto"/>
              <w:bottom w:val="single" w:sz="4" w:space="0" w:color="auto"/>
              <w:right w:val="single" w:sz="4" w:space="0" w:color="auto"/>
            </w:tcBorders>
            <w:vAlign w:val="bottom"/>
          </w:tcPr>
          <w:p w14:paraId="267A6C2B" w14:textId="6C87EA5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w:t>
            </w:r>
          </w:p>
        </w:tc>
        <w:tc>
          <w:tcPr>
            <w:tcW w:w="392" w:type="pct"/>
            <w:tcBorders>
              <w:top w:val="single" w:sz="4" w:space="0" w:color="auto"/>
              <w:left w:val="single" w:sz="4" w:space="0" w:color="auto"/>
              <w:bottom w:val="single" w:sz="4" w:space="0" w:color="auto"/>
              <w:right w:val="single" w:sz="4" w:space="0" w:color="auto"/>
            </w:tcBorders>
            <w:vAlign w:val="bottom"/>
          </w:tcPr>
          <w:p w14:paraId="419468D1" w14:textId="3537235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338</w:t>
            </w:r>
          </w:p>
        </w:tc>
        <w:tc>
          <w:tcPr>
            <w:tcW w:w="392" w:type="pct"/>
            <w:tcBorders>
              <w:top w:val="single" w:sz="4" w:space="0" w:color="auto"/>
              <w:left w:val="single" w:sz="4" w:space="0" w:color="auto"/>
              <w:bottom w:val="single" w:sz="4" w:space="0" w:color="auto"/>
              <w:right w:val="single" w:sz="4" w:space="0" w:color="auto"/>
            </w:tcBorders>
            <w:vAlign w:val="bottom"/>
          </w:tcPr>
          <w:p w14:paraId="7585E06E" w14:textId="1F549EE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96.8</w:t>
            </w:r>
          </w:p>
        </w:tc>
        <w:tc>
          <w:tcPr>
            <w:tcW w:w="392" w:type="pct"/>
            <w:tcBorders>
              <w:top w:val="single" w:sz="4" w:space="0" w:color="auto"/>
              <w:left w:val="single" w:sz="4" w:space="0" w:color="auto"/>
              <w:bottom w:val="single" w:sz="4" w:space="0" w:color="auto"/>
              <w:right w:val="single" w:sz="4" w:space="0" w:color="auto"/>
            </w:tcBorders>
            <w:vAlign w:val="bottom"/>
          </w:tcPr>
          <w:p w14:paraId="2BFFD93E" w14:textId="0C60978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w:t>
            </w:r>
          </w:p>
        </w:tc>
        <w:tc>
          <w:tcPr>
            <w:tcW w:w="386" w:type="pct"/>
            <w:tcBorders>
              <w:top w:val="single" w:sz="4" w:space="0" w:color="auto"/>
              <w:left w:val="single" w:sz="4" w:space="0" w:color="auto"/>
              <w:bottom w:val="single" w:sz="4" w:space="0" w:color="auto"/>
              <w:right w:val="single" w:sz="4" w:space="0" w:color="auto"/>
            </w:tcBorders>
            <w:vAlign w:val="bottom"/>
          </w:tcPr>
          <w:p w14:paraId="113DEDFA" w14:textId="70A2C65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3.2</w:t>
            </w:r>
          </w:p>
        </w:tc>
      </w:tr>
      <w:tr w:rsidR="00217865" w:rsidRPr="00217865" w14:paraId="0B188417"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42B2084" w14:textId="2F9F50A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Institute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058B239A" w14:textId="0DE5926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5E16E89" w14:textId="3B2E1F5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45A6252" w14:textId="7374D64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622</w:t>
            </w:r>
          </w:p>
        </w:tc>
        <w:tc>
          <w:tcPr>
            <w:tcW w:w="395" w:type="pct"/>
            <w:tcBorders>
              <w:top w:val="single" w:sz="4" w:space="0" w:color="auto"/>
              <w:left w:val="single" w:sz="4" w:space="0" w:color="auto"/>
              <w:bottom w:val="single" w:sz="4" w:space="0" w:color="auto"/>
              <w:right w:val="single" w:sz="4" w:space="0" w:color="auto"/>
            </w:tcBorders>
            <w:vAlign w:val="bottom"/>
          </w:tcPr>
          <w:p w14:paraId="4A7ADADA" w14:textId="644CFF7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662AA8CC" w14:textId="78F14F5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D9A7E84" w14:textId="5C7ED2D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AF450B6" w14:textId="086C631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201</w:t>
            </w:r>
          </w:p>
        </w:tc>
        <w:tc>
          <w:tcPr>
            <w:tcW w:w="386" w:type="pct"/>
            <w:tcBorders>
              <w:top w:val="single" w:sz="4" w:space="0" w:color="auto"/>
              <w:left w:val="single" w:sz="4" w:space="0" w:color="auto"/>
              <w:bottom w:val="single" w:sz="4" w:space="0" w:color="auto"/>
              <w:right w:val="single" w:sz="4" w:space="0" w:color="auto"/>
            </w:tcBorders>
            <w:vAlign w:val="bottom"/>
          </w:tcPr>
          <w:p w14:paraId="09C95041" w14:textId="41225E6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7028A940"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46901BDB" w14:textId="3F7D5F71"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Institute of Professional Counsellors</w:t>
            </w:r>
          </w:p>
        </w:tc>
        <w:tc>
          <w:tcPr>
            <w:tcW w:w="392" w:type="pct"/>
            <w:tcBorders>
              <w:top w:val="single" w:sz="4" w:space="0" w:color="auto"/>
              <w:left w:val="single" w:sz="4" w:space="0" w:color="auto"/>
              <w:bottom w:val="single" w:sz="4" w:space="0" w:color="auto"/>
              <w:right w:val="single" w:sz="4" w:space="0" w:color="auto"/>
            </w:tcBorders>
            <w:vAlign w:val="bottom"/>
          </w:tcPr>
          <w:p w14:paraId="21896E90" w14:textId="47C3552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366</w:t>
            </w:r>
          </w:p>
        </w:tc>
        <w:tc>
          <w:tcPr>
            <w:tcW w:w="392" w:type="pct"/>
            <w:tcBorders>
              <w:top w:val="single" w:sz="4" w:space="0" w:color="auto"/>
              <w:left w:val="single" w:sz="4" w:space="0" w:color="auto"/>
              <w:bottom w:val="single" w:sz="4" w:space="0" w:color="auto"/>
              <w:right w:val="single" w:sz="4" w:space="0" w:color="auto"/>
            </w:tcBorders>
            <w:vAlign w:val="bottom"/>
          </w:tcPr>
          <w:p w14:paraId="30634129" w14:textId="2BA7AB7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99.7</w:t>
            </w:r>
          </w:p>
        </w:tc>
        <w:tc>
          <w:tcPr>
            <w:tcW w:w="392" w:type="pct"/>
            <w:tcBorders>
              <w:top w:val="single" w:sz="4" w:space="0" w:color="auto"/>
              <w:left w:val="single" w:sz="4" w:space="0" w:color="auto"/>
              <w:bottom w:val="single" w:sz="4" w:space="0" w:color="auto"/>
              <w:right w:val="single" w:sz="4" w:space="0" w:color="auto"/>
            </w:tcBorders>
            <w:vAlign w:val="bottom"/>
          </w:tcPr>
          <w:p w14:paraId="6AC79A3C" w14:textId="5A69C15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0674CF8F" w14:textId="262AB03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0.3</w:t>
            </w:r>
          </w:p>
        </w:tc>
        <w:tc>
          <w:tcPr>
            <w:tcW w:w="392" w:type="pct"/>
            <w:tcBorders>
              <w:top w:val="single" w:sz="4" w:space="0" w:color="auto"/>
              <w:left w:val="single" w:sz="4" w:space="0" w:color="auto"/>
              <w:bottom w:val="single" w:sz="4" w:space="0" w:color="auto"/>
              <w:right w:val="single" w:sz="4" w:space="0" w:color="auto"/>
            </w:tcBorders>
            <w:vAlign w:val="bottom"/>
          </w:tcPr>
          <w:p w14:paraId="4A4B59D2" w14:textId="4EB6519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113</w:t>
            </w:r>
          </w:p>
        </w:tc>
        <w:tc>
          <w:tcPr>
            <w:tcW w:w="392" w:type="pct"/>
            <w:tcBorders>
              <w:top w:val="single" w:sz="4" w:space="0" w:color="auto"/>
              <w:left w:val="single" w:sz="4" w:space="0" w:color="auto"/>
              <w:bottom w:val="single" w:sz="4" w:space="0" w:color="auto"/>
              <w:right w:val="single" w:sz="4" w:space="0" w:color="auto"/>
            </w:tcBorders>
            <w:vAlign w:val="bottom"/>
          </w:tcPr>
          <w:p w14:paraId="47C1A1F5" w14:textId="43650F7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6A6F1795" w14:textId="170FC4A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42E89854" w14:textId="52F8859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02EA47ED"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2F1FB2D" w14:textId="23292DBF"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Australian School of Accounting</w:t>
            </w:r>
          </w:p>
        </w:tc>
        <w:tc>
          <w:tcPr>
            <w:tcW w:w="392" w:type="pct"/>
            <w:tcBorders>
              <w:top w:val="single" w:sz="4" w:space="0" w:color="auto"/>
              <w:left w:val="single" w:sz="4" w:space="0" w:color="auto"/>
              <w:bottom w:val="single" w:sz="4" w:space="0" w:color="auto"/>
              <w:right w:val="single" w:sz="4" w:space="0" w:color="auto"/>
            </w:tcBorders>
            <w:vAlign w:val="bottom"/>
          </w:tcPr>
          <w:p w14:paraId="783DE228" w14:textId="7DCCCDF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91A1F8D" w14:textId="3505F41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A394A59" w14:textId="4072DAB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135</w:t>
            </w:r>
          </w:p>
        </w:tc>
        <w:tc>
          <w:tcPr>
            <w:tcW w:w="395" w:type="pct"/>
            <w:tcBorders>
              <w:top w:val="single" w:sz="4" w:space="0" w:color="auto"/>
              <w:left w:val="single" w:sz="4" w:space="0" w:color="auto"/>
              <w:bottom w:val="single" w:sz="4" w:space="0" w:color="auto"/>
              <w:right w:val="single" w:sz="4" w:space="0" w:color="auto"/>
            </w:tcBorders>
            <w:vAlign w:val="bottom"/>
          </w:tcPr>
          <w:p w14:paraId="02E6285B" w14:textId="113DAB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2A6CD73" w14:textId="05D7BBE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64249CEE" w14:textId="4050973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BA5335F" w14:textId="6EC6BE7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55</w:t>
            </w:r>
          </w:p>
        </w:tc>
        <w:tc>
          <w:tcPr>
            <w:tcW w:w="386" w:type="pct"/>
            <w:tcBorders>
              <w:top w:val="single" w:sz="4" w:space="0" w:color="auto"/>
              <w:left w:val="single" w:sz="4" w:space="0" w:color="auto"/>
              <w:bottom w:val="single" w:sz="4" w:space="0" w:color="auto"/>
              <w:right w:val="single" w:sz="4" w:space="0" w:color="auto"/>
            </w:tcBorders>
            <w:vAlign w:val="bottom"/>
          </w:tcPr>
          <w:p w14:paraId="3BB0A658" w14:textId="598614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178FDFB9"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0D60D49" w14:textId="07CB809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Box Hill Institute</w:t>
            </w:r>
          </w:p>
        </w:tc>
        <w:tc>
          <w:tcPr>
            <w:tcW w:w="392" w:type="pct"/>
            <w:tcBorders>
              <w:top w:val="single" w:sz="4" w:space="0" w:color="auto"/>
              <w:left w:val="single" w:sz="4" w:space="0" w:color="auto"/>
              <w:bottom w:val="single" w:sz="4" w:space="0" w:color="auto"/>
              <w:right w:val="single" w:sz="4" w:space="0" w:color="auto"/>
            </w:tcBorders>
            <w:vAlign w:val="bottom"/>
          </w:tcPr>
          <w:p w14:paraId="5EC8A095" w14:textId="251090D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248</w:t>
            </w:r>
          </w:p>
        </w:tc>
        <w:tc>
          <w:tcPr>
            <w:tcW w:w="392" w:type="pct"/>
            <w:tcBorders>
              <w:top w:val="single" w:sz="4" w:space="0" w:color="auto"/>
              <w:left w:val="single" w:sz="4" w:space="0" w:color="auto"/>
              <w:bottom w:val="single" w:sz="4" w:space="0" w:color="auto"/>
              <w:right w:val="single" w:sz="4" w:space="0" w:color="auto"/>
            </w:tcBorders>
            <w:vAlign w:val="bottom"/>
          </w:tcPr>
          <w:p w14:paraId="51C556A9" w14:textId="0790A71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68.7</w:t>
            </w:r>
          </w:p>
        </w:tc>
        <w:tc>
          <w:tcPr>
            <w:tcW w:w="392" w:type="pct"/>
            <w:tcBorders>
              <w:top w:val="single" w:sz="4" w:space="0" w:color="auto"/>
              <w:left w:val="single" w:sz="4" w:space="0" w:color="auto"/>
              <w:bottom w:val="single" w:sz="4" w:space="0" w:color="auto"/>
              <w:right w:val="single" w:sz="4" w:space="0" w:color="auto"/>
            </w:tcBorders>
            <w:vAlign w:val="bottom"/>
          </w:tcPr>
          <w:p w14:paraId="1A9A65C4" w14:textId="5366552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113</w:t>
            </w:r>
          </w:p>
        </w:tc>
        <w:tc>
          <w:tcPr>
            <w:tcW w:w="395" w:type="pct"/>
            <w:tcBorders>
              <w:top w:val="single" w:sz="4" w:space="0" w:color="auto"/>
              <w:left w:val="single" w:sz="4" w:space="0" w:color="auto"/>
              <w:bottom w:val="single" w:sz="4" w:space="0" w:color="auto"/>
              <w:right w:val="single" w:sz="4" w:space="0" w:color="auto"/>
            </w:tcBorders>
            <w:vAlign w:val="bottom"/>
          </w:tcPr>
          <w:p w14:paraId="303ED7E9" w14:textId="17DC829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31.3</w:t>
            </w:r>
          </w:p>
        </w:tc>
        <w:tc>
          <w:tcPr>
            <w:tcW w:w="392" w:type="pct"/>
            <w:tcBorders>
              <w:top w:val="single" w:sz="4" w:space="0" w:color="auto"/>
              <w:left w:val="single" w:sz="4" w:space="0" w:color="auto"/>
              <w:bottom w:val="single" w:sz="4" w:space="0" w:color="auto"/>
              <w:right w:val="single" w:sz="4" w:space="0" w:color="auto"/>
            </w:tcBorders>
            <w:vAlign w:val="bottom"/>
          </w:tcPr>
          <w:p w14:paraId="75EDD8F6" w14:textId="0189DBA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w:t>
            </w:r>
          </w:p>
        </w:tc>
        <w:tc>
          <w:tcPr>
            <w:tcW w:w="392" w:type="pct"/>
            <w:tcBorders>
              <w:top w:val="single" w:sz="4" w:space="0" w:color="auto"/>
              <w:left w:val="single" w:sz="4" w:space="0" w:color="auto"/>
              <w:bottom w:val="single" w:sz="4" w:space="0" w:color="auto"/>
              <w:right w:val="single" w:sz="4" w:space="0" w:color="auto"/>
            </w:tcBorders>
            <w:vAlign w:val="bottom"/>
          </w:tcPr>
          <w:p w14:paraId="40A954F8" w14:textId="20BB78F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68.8</w:t>
            </w:r>
          </w:p>
        </w:tc>
        <w:tc>
          <w:tcPr>
            <w:tcW w:w="392" w:type="pct"/>
            <w:tcBorders>
              <w:top w:val="single" w:sz="4" w:space="0" w:color="auto"/>
              <w:left w:val="single" w:sz="4" w:space="0" w:color="auto"/>
              <w:bottom w:val="single" w:sz="4" w:space="0" w:color="auto"/>
              <w:right w:val="single" w:sz="4" w:space="0" w:color="auto"/>
            </w:tcBorders>
            <w:vAlign w:val="bottom"/>
          </w:tcPr>
          <w:p w14:paraId="3B2D94D2" w14:textId="531D896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40</w:t>
            </w:r>
          </w:p>
        </w:tc>
        <w:tc>
          <w:tcPr>
            <w:tcW w:w="386" w:type="pct"/>
            <w:tcBorders>
              <w:top w:val="single" w:sz="4" w:space="0" w:color="auto"/>
              <w:left w:val="single" w:sz="4" w:space="0" w:color="auto"/>
              <w:bottom w:val="single" w:sz="4" w:space="0" w:color="auto"/>
              <w:right w:val="single" w:sz="4" w:space="0" w:color="auto"/>
            </w:tcBorders>
            <w:vAlign w:val="bottom"/>
          </w:tcPr>
          <w:p w14:paraId="5EB31740" w14:textId="2F2C432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31.3</w:t>
            </w:r>
          </w:p>
        </w:tc>
      </w:tr>
      <w:tr w:rsidR="00217865" w:rsidRPr="00217865" w14:paraId="45D93D15"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5867E26" w14:textId="50197A39"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Campion College Australia</w:t>
            </w:r>
          </w:p>
        </w:tc>
        <w:tc>
          <w:tcPr>
            <w:tcW w:w="392" w:type="pct"/>
            <w:tcBorders>
              <w:top w:val="single" w:sz="4" w:space="0" w:color="auto"/>
              <w:left w:val="single" w:sz="4" w:space="0" w:color="auto"/>
              <w:bottom w:val="single" w:sz="4" w:space="0" w:color="auto"/>
              <w:right w:val="single" w:sz="4" w:space="0" w:color="auto"/>
            </w:tcBorders>
            <w:vAlign w:val="bottom"/>
          </w:tcPr>
          <w:p w14:paraId="13A2254A" w14:textId="7C72BFF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w:t>
            </w:r>
          </w:p>
        </w:tc>
        <w:tc>
          <w:tcPr>
            <w:tcW w:w="392" w:type="pct"/>
            <w:tcBorders>
              <w:top w:val="single" w:sz="4" w:space="0" w:color="auto"/>
              <w:left w:val="single" w:sz="4" w:space="0" w:color="auto"/>
              <w:bottom w:val="single" w:sz="4" w:space="0" w:color="auto"/>
              <w:right w:val="single" w:sz="4" w:space="0" w:color="auto"/>
            </w:tcBorders>
            <w:vAlign w:val="bottom"/>
          </w:tcPr>
          <w:p w14:paraId="4E7D452C" w14:textId="593C1A3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36D39927" w14:textId="71C75B0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5" w:type="pct"/>
            <w:tcBorders>
              <w:top w:val="single" w:sz="4" w:space="0" w:color="auto"/>
              <w:left w:val="single" w:sz="4" w:space="0" w:color="auto"/>
              <w:bottom w:val="single" w:sz="4" w:space="0" w:color="auto"/>
              <w:right w:val="single" w:sz="4" w:space="0" w:color="auto"/>
            </w:tcBorders>
            <w:vAlign w:val="bottom"/>
          </w:tcPr>
          <w:p w14:paraId="6EA743C8" w14:textId="07FBA5E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1E04EF6" w14:textId="5C17ABA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52</w:t>
            </w:r>
          </w:p>
        </w:tc>
        <w:tc>
          <w:tcPr>
            <w:tcW w:w="392" w:type="pct"/>
            <w:tcBorders>
              <w:top w:val="single" w:sz="4" w:space="0" w:color="auto"/>
              <w:left w:val="single" w:sz="4" w:space="0" w:color="auto"/>
              <w:bottom w:val="single" w:sz="4" w:space="0" w:color="auto"/>
              <w:right w:val="single" w:sz="4" w:space="0" w:color="auto"/>
            </w:tcBorders>
            <w:vAlign w:val="bottom"/>
          </w:tcPr>
          <w:p w14:paraId="3541FE39" w14:textId="1320729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3FC295CB" w14:textId="5ED8032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26F9525B" w14:textId="1FFE179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345730D5"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A09282B" w14:textId="71DC7BB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Chisholm Institute</w:t>
            </w:r>
          </w:p>
        </w:tc>
        <w:tc>
          <w:tcPr>
            <w:tcW w:w="392" w:type="pct"/>
            <w:tcBorders>
              <w:top w:val="single" w:sz="4" w:space="0" w:color="auto"/>
              <w:left w:val="single" w:sz="4" w:space="0" w:color="auto"/>
              <w:bottom w:val="single" w:sz="4" w:space="0" w:color="auto"/>
              <w:right w:val="single" w:sz="4" w:space="0" w:color="auto"/>
            </w:tcBorders>
            <w:vAlign w:val="bottom"/>
          </w:tcPr>
          <w:p w14:paraId="0C56D5C9" w14:textId="3283C0C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67</w:t>
            </w:r>
          </w:p>
        </w:tc>
        <w:tc>
          <w:tcPr>
            <w:tcW w:w="392" w:type="pct"/>
            <w:tcBorders>
              <w:top w:val="single" w:sz="4" w:space="0" w:color="auto"/>
              <w:left w:val="single" w:sz="4" w:space="0" w:color="auto"/>
              <w:bottom w:val="single" w:sz="4" w:space="0" w:color="auto"/>
              <w:right w:val="single" w:sz="4" w:space="0" w:color="auto"/>
            </w:tcBorders>
            <w:vAlign w:val="bottom"/>
          </w:tcPr>
          <w:p w14:paraId="7A544387" w14:textId="03865D7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45.3</w:t>
            </w:r>
          </w:p>
        </w:tc>
        <w:tc>
          <w:tcPr>
            <w:tcW w:w="392" w:type="pct"/>
            <w:tcBorders>
              <w:top w:val="single" w:sz="4" w:space="0" w:color="auto"/>
              <w:left w:val="single" w:sz="4" w:space="0" w:color="auto"/>
              <w:bottom w:val="single" w:sz="4" w:space="0" w:color="auto"/>
              <w:right w:val="single" w:sz="4" w:space="0" w:color="auto"/>
            </w:tcBorders>
            <w:vAlign w:val="bottom"/>
          </w:tcPr>
          <w:p w14:paraId="0DAF8523" w14:textId="54BD792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81</w:t>
            </w:r>
          </w:p>
        </w:tc>
        <w:tc>
          <w:tcPr>
            <w:tcW w:w="395" w:type="pct"/>
            <w:tcBorders>
              <w:top w:val="single" w:sz="4" w:space="0" w:color="auto"/>
              <w:left w:val="single" w:sz="4" w:space="0" w:color="auto"/>
              <w:bottom w:val="single" w:sz="4" w:space="0" w:color="auto"/>
              <w:right w:val="single" w:sz="4" w:space="0" w:color="auto"/>
            </w:tcBorders>
            <w:vAlign w:val="bottom"/>
          </w:tcPr>
          <w:p w14:paraId="21934331" w14:textId="03DD807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54.7</w:t>
            </w:r>
          </w:p>
        </w:tc>
        <w:tc>
          <w:tcPr>
            <w:tcW w:w="392" w:type="pct"/>
            <w:tcBorders>
              <w:top w:val="single" w:sz="4" w:space="0" w:color="auto"/>
              <w:left w:val="single" w:sz="4" w:space="0" w:color="auto"/>
              <w:bottom w:val="single" w:sz="4" w:space="0" w:color="auto"/>
              <w:right w:val="single" w:sz="4" w:space="0" w:color="auto"/>
            </w:tcBorders>
            <w:vAlign w:val="bottom"/>
          </w:tcPr>
          <w:p w14:paraId="29858079" w14:textId="63974BD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23</w:t>
            </w:r>
          </w:p>
        </w:tc>
        <w:tc>
          <w:tcPr>
            <w:tcW w:w="392" w:type="pct"/>
            <w:tcBorders>
              <w:top w:val="single" w:sz="4" w:space="0" w:color="auto"/>
              <w:left w:val="single" w:sz="4" w:space="0" w:color="auto"/>
              <w:bottom w:val="single" w:sz="4" w:space="0" w:color="auto"/>
              <w:right w:val="single" w:sz="4" w:space="0" w:color="auto"/>
            </w:tcBorders>
            <w:vAlign w:val="bottom"/>
          </w:tcPr>
          <w:p w14:paraId="019E7B5A" w14:textId="3E468BA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44.2</w:t>
            </w:r>
          </w:p>
        </w:tc>
        <w:tc>
          <w:tcPr>
            <w:tcW w:w="392" w:type="pct"/>
            <w:tcBorders>
              <w:top w:val="single" w:sz="4" w:space="0" w:color="auto"/>
              <w:left w:val="single" w:sz="4" w:space="0" w:color="auto"/>
              <w:bottom w:val="single" w:sz="4" w:space="0" w:color="auto"/>
              <w:right w:val="single" w:sz="4" w:space="0" w:color="auto"/>
            </w:tcBorders>
            <w:vAlign w:val="bottom"/>
          </w:tcPr>
          <w:p w14:paraId="37EED38F" w14:textId="3368066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29</w:t>
            </w:r>
          </w:p>
        </w:tc>
        <w:tc>
          <w:tcPr>
            <w:tcW w:w="386" w:type="pct"/>
            <w:tcBorders>
              <w:top w:val="single" w:sz="4" w:space="0" w:color="auto"/>
              <w:left w:val="single" w:sz="4" w:space="0" w:color="auto"/>
              <w:bottom w:val="single" w:sz="4" w:space="0" w:color="auto"/>
              <w:right w:val="single" w:sz="4" w:space="0" w:color="auto"/>
            </w:tcBorders>
            <w:vAlign w:val="bottom"/>
          </w:tcPr>
          <w:p w14:paraId="6036E0B4" w14:textId="38CB09A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55.8</w:t>
            </w:r>
          </w:p>
        </w:tc>
      </w:tr>
      <w:tr w:rsidR="00217865" w:rsidRPr="00217865" w14:paraId="4BA52ED7"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FF9343F" w14:textId="603EB3F2"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Christian Heritage College</w:t>
            </w:r>
          </w:p>
        </w:tc>
        <w:tc>
          <w:tcPr>
            <w:tcW w:w="392" w:type="pct"/>
            <w:tcBorders>
              <w:top w:val="single" w:sz="4" w:space="0" w:color="auto"/>
              <w:left w:val="single" w:sz="4" w:space="0" w:color="auto"/>
              <w:bottom w:val="single" w:sz="4" w:space="0" w:color="auto"/>
              <w:right w:val="single" w:sz="4" w:space="0" w:color="auto"/>
            </w:tcBorders>
            <w:vAlign w:val="bottom"/>
          </w:tcPr>
          <w:p w14:paraId="665618B2" w14:textId="608A280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294</w:t>
            </w:r>
          </w:p>
        </w:tc>
        <w:tc>
          <w:tcPr>
            <w:tcW w:w="392" w:type="pct"/>
            <w:tcBorders>
              <w:top w:val="single" w:sz="4" w:space="0" w:color="auto"/>
              <w:left w:val="single" w:sz="4" w:space="0" w:color="auto"/>
              <w:bottom w:val="single" w:sz="4" w:space="0" w:color="auto"/>
              <w:right w:val="single" w:sz="4" w:space="0" w:color="auto"/>
            </w:tcBorders>
            <w:vAlign w:val="bottom"/>
          </w:tcPr>
          <w:p w14:paraId="0FFE4D44" w14:textId="2F2F4C1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96.4</w:t>
            </w:r>
          </w:p>
        </w:tc>
        <w:tc>
          <w:tcPr>
            <w:tcW w:w="392" w:type="pct"/>
            <w:tcBorders>
              <w:top w:val="single" w:sz="4" w:space="0" w:color="auto"/>
              <w:left w:val="single" w:sz="4" w:space="0" w:color="auto"/>
              <w:bottom w:val="single" w:sz="4" w:space="0" w:color="auto"/>
              <w:right w:val="single" w:sz="4" w:space="0" w:color="auto"/>
            </w:tcBorders>
            <w:vAlign w:val="bottom"/>
          </w:tcPr>
          <w:p w14:paraId="29E6F30F" w14:textId="4487189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w:t>
            </w:r>
          </w:p>
        </w:tc>
        <w:tc>
          <w:tcPr>
            <w:tcW w:w="395" w:type="pct"/>
            <w:tcBorders>
              <w:top w:val="single" w:sz="4" w:space="0" w:color="auto"/>
              <w:left w:val="single" w:sz="4" w:space="0" w:color="auto"/>
              <w:bottom w:val="single" w:sz="4" w:space="0" w:color="auto"/>
              <w:right w:val="single" w:sz="4" w:space="0" w:color="auto"/>
            </w:tcBorders>
            <w:vAlign w:val="bottom"/>
          </w:tcPr>
          <w:p w14:paraId="1C07599F" w14:textId="0DC7844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w:t>
            </w:r>
          </w:p>
        </w:tc>
        <w:tc>
          <w:tcPr>
            <w:tcW w:w="392" w:type="pct"/>
            <w:tcBorders>
              <w:top w:val="single" w:sz="4" w:space="0" w:color="auto"/>
              <w:left w:val="single" w:sz="4" w:space="0" w:color="auto"/>
              <w:bottom w:val="single" w:sz="4" w:space="0" w:color="auto"/>
              <w:right w:val="single" w:sz="4" w:space="0" w:color="auto"/>
            </w:tcBorders>
            <w:vAlign w:val="bottom"/>
          </w:tcPr>
          <w:p w14:paraId="6105F410" w14:textId="3A2AFB8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102</w:t>
            </w:r>
          </w:p>
        </w:tc>
        <w:tc>
          <w:tcPr>
            <w:tcW w:w="392" w:type="pct"/>
            <w:tcBorders>
              <w:top w:val="single" w:sz="4" w:space="0" w:color="auto"/>
              <w:left w:val="single" w:sz="4" w:space="0" w:color="auto"/>
              <w:bottom w:val="single" w:sz="4" w:space="0" w:color="auto"/>
              <w:right w:val="single" w:sz="4" w:space="0" w:color="auto"/>
            </w:tcBorders>
            <w:vAlign w:val="bottom"/>
          </w:tcPr>
          <w:p w14:paraId="3C70F8B5" w14:textId="1DFF379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96.2</w:t>
            </w:r>
          </w:p>
        </w:tc>
        <w:tc>
          <w:tcPr>
            <w:tcW w:w="392" w:type="pct"/>
            <w:tcBorders>
              <w:top w:val="single" w:sz="4" w:space="0" w:color="auto"/>
              <w:left w:val="single" w:sz="4" w:space="0" w:color="auto"/>
              <w:bottom w:val="single" w:sz="4" w:space="0" w:color="auto"/>
              <w:right w:val="single" w:sz="4" w:space="0" w:color="auto"/>
            </w:tcBorders>
            <w:vAlign w:val="bottom"/>
          </w:tcPr>
          <w:p w14:paraId="55020B00" w14:textId="630375E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4A6CD145" w14:textId="16CE78D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3.8</w:t>
            </w:r>
          </w:p>
        </w:tc>
      </w:tr>
      <w:tr w:rsidR="00217865" w:rsidRPr="00217865" w14:paraId="53D45A61"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B02C1BA" w14:textId="09FF38E9"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CIC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53CECB52" w14:textId="1F3703D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F5ADEF5" w14:textId="1C9ADD4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1C283280" w14:textId="7C27603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w:t>
            </w:r>
          </w:p>
        </w:tc>
        <w:tc>
          <w:tcPr>
            <w:tcW w:w="395" w:type="pct"/>
            <w:tcBorders>
              <w:top w:val="single" w:sz="4" w:space="0" w:color="auto"/>
              <w:left w:val="single" w:sz="4" w:space="0" w:color="auto"/>
              <w:bottom w:val="single" w:sz="4" w:space="0" w:color="auto"/>
              <w:right w:val="single" w:sz="4" w:space="0" w:color="auto"/>
            </w:tcBorders>
            <w:vAlign w:val="bottom"/>
          </w:tcPr>
          <w:p w14:paraId="4D2615A4" w14:textId="0DA297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91916CF" w14:textId="3193AB9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628CE20F" w14:textId="092B477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51C931A4" w14:textId="5C61076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27</w:t>
            </w:r>
          </w:p>
        </w:tc>
        <w:tc>
          <w:tcPr>
            <w:tcW w:w="386" w:type="pct"/>
            <w:tcBorders>
              <w:top w:val="single" w:sz="4" w:space="0" w:color="auto"/>
              <w:left w:val="single" w:sz="4" w:space="0" w:color="auto"/>
              <w:bottom w:val="single" w:sz="4" w:space="0" w:color="auto"/>
              <w:right w:val="single" w:sz="4" w:space="0" w:color="auto"/>
            </w:tcBorders>
            <w:vAlign w:val="bottom"/>
          </w:tcPr>
          <w:p w14:paraId="2E823267" w14:textId="1166DC1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2EC6C8D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49C2796" w14:textId="3215D24B" w:rsidR="00F20D1A" w:rsidRPr="00217865" w:rsidRDefault="00F20D1A" w:rsidP="00A43B35">
            <w:pPr>
              <w:pStyle w:val="Z"/>
              <w:spacing w:before="60" w:after="60"/>
              <w:rPr>
                <w:color w:val="000000" w:themeColor="text1"/>
                <w:szCs w:val="18"/>
                <w:highlight w:val="yellow"/>
              </w:rPr>
            </w:pPr>
            <w:proofErr w:type="spellStart"/>
            <w:r w:rsidRPr="00217865">
              <w:rPr>
                <w:color w:val="000000" w:themeColor="text1"/>
                <w:szCs w:val="18"/>
              </w:rPr>
              <w:t>Collarts</w:t>
            </w:r>
            <w:proofErr w:type="spellEnd"/>
            <w:r w:rsidRPr="00217865">
              <w:rPr>
                <w:color w:val="000000" w:themeColor="text1"/>
                <w:szCs w:val="18"/>
              </w:rPr>
              <w:t xml:space="preserve"> (Australian College of the Arts)</w:t>
            </w:r>
          </w:p>
        </w:tc>
        <w:tc>
          <w:tcPr>
            <w:tcW w:w="392" w:type="pct"/>
            <w:tcBorders>
              <w:top w:val="single" w:sz="4" w:space="0" w:color="auto"/>
              <w:left w:val="single" w:sz="4" w:space="0" w:color="auto"/>
              <w:bottom w:val="single" w:sz="4" w:space="0" w:color="auto"/>
              <w:right w:val="single" w:sz="4" w:space="0" w:color="auto"/>
            </w:tcBorders>
            <w:vAlign w:val="bottom"/>
          </w:tcPr>
          <w:p w14:paraId="45A771FE" w14:textId="0A3157B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1,273</w:t>
            </w:r>
          </w:p>
        </w:tc>
        <w:tc>
          <w:tcPr>
            <w:tcW w:w="392" w:type="pct"/>
            <w:tcBorders>
              <w:top w:val="single" w:sz="4" w:space="0" w:color="auto"/>
              <w:left w:val="single" w:sz="4" w:space="0" w:color="auto"/>
              <w:bottom w:val="single" w:sz="4" w:space="0" w:color="auto"/>
              <w:right w:val="single" w:sz="4" w:space="0" w:color="auto"/>
            </w:tcBorders>
            <w:vAlign w:val="bottom"/>
          </w:tcPr>
          <w:p w14:paraId="43CD0892" w14:textId="21FF0AD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97.7</w:t>
            </w:r>
          </w:p>
        </w:tc>
        <w:tc>
          <w:tcPr>
            <w:tcW w:w="392" w:type="pct"/>
            <w:tcBorders>
              <w:top w:val="single" w:sz="4" w:space="0" w:color="auto"/>
              <w:left w:val="single" w:sz="4" w:space="0" w:color="auto"/>
              <w:bottom w:val="single" w:sz="4" w:space="0" w:color="auto"/>
              <w:right w:val="single" w:sz="4" w:space="0" w:color="auto"/>
            </w:tcBorders>
            <w:vAlign w:val="bottom"/>
          </w:tcPr>
          <w:p w14:paraId="2BCEA713" w14:textId="504F50D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30</w:t>
            </w:r>
          </w:p>
        </w:tc>
        <w:tc>
          <w:tcPr>
            <w:tcW w:w="395" w:type="pct"/>
            <w:tcBorders>
              <w:top w:val="single" w:sz="4" w:space="0" w:color="auto"/>
              <w:left w:val="single" w:sz="4" w:space="0" w:color="auto"/>
              <w:bottom w:val="single" w:sz="4" w:space="0" w:color="auto"/>
              <w:right w:val="single" w:sz="4" w:space="0" w:color="auto"/>
            </w:tcBorders>
            <w:vAlign w:val="bottom"/>
          </w:tcPr>
          <w:p w14:paraId="31EC5C2B" w14:textId="0DDC27B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2.3</w:t>
            </w:r>
          </w:p>
        </w:tc>
        <w:tc>
          <w:tcPr>
            <w:tcW w:w="392" w:type="pct"/>
            <w:tcBorders>
              <w:top w:val="single" w:sz="4" w:space="0" w:color="auto"/>
              <w:left w:val="single" w:sz="4" w:space="0" w:color="auto"/>
              <w:bottom w:val="single" w:sz="4" w:space="0" w:color="auto"/>
              <w:right w:val="single" w:sz="4" w:space="0" w:color="auto"/>
            </w:tcBorders>
            <w:vAlign w:val="bottom"/>
          </w:tcPr>
          <w:p w14:paraId="5398B669" w14:textId="51EB428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415</w:t>
            </w:r>
          </w:p>
        </w:tc>
        <w:tc>
          <w:tcPr>
            <w:tcW w:w="392" w:type="pct"/>
            <w:tcBorders>
              <w:top w:val="single" w:sz="4" w:space="0" w:color="auto"/>
              <w:left w:val="single" w:sz="4" w:space="0" w:color="auto"/>
              <w:bottom w:val="single" w:sz="4" w:space="0" w:color="auto"/>
              <w:right w:val="single" w:sz="4" w:space="0" w:color="auto"/>
            </w:tcBorders>
            <w:vAlign w:val="bottom"/>
          </w:tcPr>
          <w:p w14:paraId="249ABD5A" w14:textId="4964531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98.3</w:t>
            </w:r>
          </w:p>
        </w:tc>
        <w:tc>
          <w:tcPr>
            <w:tcW w:w="392" w:type="pct"/>
            <w:tcBorders>
              <w:top w:val="single" w:sz="4" w:space="0" w:color="auto"/>
              <w:left w:val="single" w:sz="4" w:space="0" w:color="auto"/>
              <w:bottom w:val="single" w:sz="4" w:space="0" w:color="auto"/>
              <w:right w:val="single" w:sz="4" w:space="0" w:color="auto"/>
            </w:tcBorders>
            <w:vAlign w:val="bottom"/>
          </w:tcPr>
          <w:p w14:paraId="5F5EEC0D" w14:textId="28D3901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w:t>
            </w:r>
          </w:p>
        </w:tc>
        <w:tc>
          <w:tcPr>
            <w:tcW w:w="386" w:type="pct"/>
            <w:tcBorders>
              <w:top w:val="single" w:sz="4" w:space="0" w:color="auto"/>
              <w:left w:val="single" w:sz="4" w:space="0" w:color="auto"/>
              <w:bottom w:val="single" w:sz="4" w:space="0" w:color="auto"/>
              <w:right w:val="single" w:sz="4" w:space="0" w:color="auto"/>
            </w:tcBorders>
            <w:vAlign w:val="bottom"/>
          </w:tcPr>
          <w:p w14:paraId="57929E11" w14:textId="574B7ED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w:t>
            </w:r>
          </w:p>
        </w:tc>
      </w:tr>
      <w:tr w:rsidR="00217865" w:rsidRPr="00217865" w14:paraId="53147A7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B14CC8F" w14:textId="064D2E89"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Curtin College</w:t>
            </w:r>
          </w:p>
        </w:tc>
        <w:tc>
          <w:tcPr>
            <w:tcW w:w="392" w:type="pct"/>
            <w:tcBorders>
              <w:top w:val="single" w:sz="4" w:space="0" w:color="auto"/>
              <w:left w:val="single" w:sz="4" w:space="0" w:color="auto"/>
              <w:bottom w:val="single" w:sz="4" w:space="0" w:color="auto"/>
              <w:right w:val="single" w:sz="4" w:space="0" w:color="auto"/>
            </w:tcBorders>
            <w:vAlign w:val="bottom"/>
          </w:tcPr>
          <w:p w14:paraId="07F8509C" w14:textId="59FEF4F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320</w:t>
            </w:r>
          </w:p>
        </w:tc>
        <w:tc>
          <w:tcPr>
            <w:tcW w:w="392" w:type="pct"/>
            <w:tcBorders>
              <w:top w:val="single" w:sz="4" w:space="0" w:color="auto"/>
              <w:left w:val="single" w:sz="4" w:space="0" w:color="auto"/>
              <w:bottom w:val="single" w:sz="4" w:space="0" w:color="auto"/>
              <w:right w:val="single" w:sz="4" w:space="0" w:color="auto"/>
            </w:tcBorders>
            <w:vAlign w:val="bottom"/>
          </w:tcPr>
          <w:p w14:paraId="5C392F29" w14:textId="2509891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41.7</w:t>
            </w:r>
          </w:p>
        </w:tc>
        <w:tc>
          <w:tcPr>
            <w:tcW w:w="392" w:type="pct"/>
            <w:tcBorders>
              <w:top w:val="single" w:sz="4" w:space="0" w:color="auto"/>
              <w:left w:val="single" w:sz="4" w:space="0" w:color="auto"/>
              <w:bottom w:val="single" w:sz="4" w:space="0" w:color="auto"/>
              <w:right w:val="single" w:sz="4" w:space="0" w:color="auto"/>
            </w:tcBorders>
            <w:vAlign w:val="bottom"/>
          </w:tcPr>
          <w:p w14:paraId="18D32478" w14:textId="79DD28D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448</w:t>
            </w:r>
          </w:p>
        </w:tc>
        <w:tc>
          <w:tcPr>
            <w:tcW w:w="395" w:type="pct"/>
            <w:tcBorders>
              <w:top w:val="single" w:sz="4" w:space="0" w:color="auto"/>
              <w:left w:val="single" w:sz="4" w:space="0" w:color="auto"/>
              <w:bottom w:val="single" w:sz="4" w:space="0" w:color="auto"/>
              <w:right w:val="single" w:sz="4" w:space="0" w:color="auto"/>
            </w:tcBorders>
            <w:vAlign w:val="bottom"/>
          </w:tcPr>
          <w:p w14:paraId="772ACAA2" w14:textId="3475D3F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58.3</w:t>
            </w:r>
          </w:p>
        </w:tc>
        <w:tc>
          <w:tcPr>
            <w:tcW w:w="392" w:type="pct"/>
            <w:tcBorders>
              <w:top w:val="single" w:sz="4" w:space="0" w:color="auto"/>
              <w:left w:val="single" w:sz="4" w:space="0" w:color="auto"/>
              <w:bottom w:val="single" w:sz="4" w:space="0" w:color="auto"/>
              <w:right w:val="single" w:sz="4" w:space="0" w:color="auto"/>
            </w:tcBorders>
            <w:vAlign w:val="bottom"/>
          </w:tcPr>
          <w:p w14:paraId="3FACAE26" w14:textId="2751ACB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79</w:t>
            </w:r>
          </w:p>
        </w:tc>
        <w:tc>
          <w:tcPr>
            <w:tcW w:w="392" w:type="pct"/>
            <w:tcBorders>
              <w:top w:val="single" w:sz="4" w:space="0" w:color="auto"/>
              <w:left w:val="single" w:sz="4" w:space="0" w:color="auto"/>
              <w:bottom w:val="single" w:sz="4" w:space="0" w:color="auto"/>
              <w:right w:val="single" w:sz="4" w:space="0" w:color="auto"/>
            </w:tcBorders>
            <w:vAlign w:val="bottom"/>
          </w:tcPr>
          <w:p w14:paraId="5EA1C709" w14:textId="035C616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33.6</w:t>
            </w:r>
          </w:p>
        </w:tc>
        <w:tc>
          <w:tcPr>
            <w:tcW w:w="392" w:type="pct"/>
            <w:tcBorders>
              <w:top w:val="single" w:sz="4" w:space="0" w:color="auto"/>
              <w:left w:val="single" w:sz="4" w:space="0" w:color="auto"/>
              <w:bottom w:val="single" w:sz="4" w:space="0" w:color="auto"/>
              <w:right w:val="single" w:sz="4" w:space="0" w:color="auto"/>
            </w:tcBorders>
            <w:vAlign w:val="bottom"/>
          </w:tcPr>
          <w:p w14:paraId="7F5D9F4C" w14:textId="0A1122E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156</w:t>
            </w:r>
          </w:p>
        </w:tc>
        <w:tc>
          <w:tcPr>
            <w:tcW w:w="386" w:type="pct"/>
            <w:tcBorders>
              <w:top w:val="single" w:sz="4" w:space="0" w:color="auto"/>
              <w:left w:val="single" w:sz="4" w:space="0" w:color="auto"/>
              <w:bottom w:val="single" w:sz="4" w:space="0" w:color="auto"/>
              <w:right w:val="single" w:sz="4" w:space="0" w:color="auto"/>
            </w:tcBorders>
            <w:vAlign w:val="bottom"/>
          </w:tcPr>
          <w:p w14:paraId="45B5308D" w14:textId="4E74CF2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66.4</w:t>
            </w:r>
          </w:p>
        </w:tc>
      </w:tr>
      <w:tr w:rsidR="00217865" w:rsidRPr="00217865" w14:paraId="5E77E389"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3AC3BD8" w14:textId="723B35A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Crown Institute of Higher Education Pty Ltd</w:t>
            </w:r>
          </w:p>
        </w:tc>
        <w:tc>
          <w:tcPr>
            <w:tcW w:w="392" w:type="pct"/>
            <w:tcBorders>
              <w:top w:val="single" w:sz="4" w:space="0" w:color="auto"/>
              <w:left w:val="single" w:sz="4" w:space="0" w:color="auto"/>
              <w:bottom w:val="single" w:sz="4" w:space="0" w:color="auto"/>
              <w:right w:val="single" w:sz="4" w:space="0" w:color="auto"/>
            </w:tcBorders>
            <w:vAlign w:val="bottom"/>
          </w:tcPr>
          <w:p w14:paraId="1180A1EB" w14:textId="6486FE0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ED05CB0" w14:textId="29CBED7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A8074C5" w14:textId="0F60E9E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1,222</w:t>
            </w:r>
          </w:p>
        </w:tc>
        <w:tc>
          <w:tcPr>
            <w:tcW w:w="395" w:type="pct"/>
            <w:tcBorders>
              <w:top w:val="single" w:sz="4" w:space="0" w:color="auto"/>
              <w:left w:val="single" w:sz="4" w:space="0" w:color="auto"/>
              <w:bottom w:val="single" w:sz="4" w:space="0" w:color="auto"/>
              <w:right w:val="single" w:sz="4" w:space="0" w:color="auto"/>
            </w:tcBorders>
            <w:vAlign w:val="bottom"/>
          </w:tcPr>
          <w:p w14:paraId="5D0CA98B" w14:textId="13FA4BA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9D11CA0" w14:textId="04357F3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6440BE0" w14:textId="135D4AC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B8883D7" w14:textId="7D097A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310</w:t>
            </w:r>
          </w:p>
        </w:tc>
        <w:tc>
          <w:tcPr>
            <w:tcW w:w="386" w:type="pct"/>
            <w:tcBorders>
              <w:top w:val="single" w:sz="4" w:space="0" w:color="auto"/>
              <w:left w:val="single" w:sz="4" w:space="0" w:color="auto"/>
              <w:bottom w:val="single" w:sz="4" w:space="0" w:color="auto"/>
              <w:right w:val="single" w:sz="4" w:space="0" w:color="auto"/>
            </w:tcBorders>
            <w:vAlign w:val="bottom"/>
          </w:tcPr>
          <w:p w14:paraId="2F36A580" w14:textId="6FA67C1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25E4B7E4"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860D5E9" w14:textId="60F2A81D"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Deakin College</w:t>
            </w:r>
          </w:p>
        </w:tc>
        <w:tc>
          <w:tcPr>
            <w:tcW w:w="392" w:type="pct"/>
            <w:tcBorders>
              <w:top w:val="single" w:sz="4" w:space="0" w:color="auto"/>
              <w:left w:val="single" w:sz="4" w:space="0" w:color="auto"/>
              <w:bottom w:val="single" w:sz="4" w:space="0" w:color="auto"/>
              <w:right w:val="single" w:sz="4" w:space="0" w:color="auto"/>
            </w:tcBorders>
            <w:vAlign w:val="bottom"/>
          </w:tcPr>
          <w:p w14:paraId="75FB2EFF" w14:textId="582837D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558</w:t>
            </w:r>
          </w:p>
        </w:tc>
        <w:tc>
          <w:tcPr>
            <w:tcW w:w="392" w:type="pct"/>
            <w:tcBorders>
              <w:top w:val="single" w:sz="4" w:space="0" w:color="auto"/>
              <w:left w:val="single" w:sz="4" w:space="0" w:color="auto"/>
              <w:bottom w:val="single" w:sz="4" w:space="0" w:color="auto"/>
              <w:right w:val="single" w:sz="4" w:space="0" w:color="auto"/>
            </w:tcBorders>
            <w:vAlign w:val="bottom"/>
          </w:tcPr>
          <w:p w14:paraId="4046E74B" w14:textId="19F28AF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63.6</w:t>
            </w:r>
          </w:p>
        </w:tc>
        <w:tc>
          <w:tcPr>
            <w:tcW w:w="392" w:type="pct"/>
            <w:tcBorders>
              <w:top w:val="single" w:sz="4" w:space="0" w:color="auto"/>
              <w:left w:val="single" w:sz="4" w:space="0" w:color="auto"/>
              <w:bottom w:val="single" w:sz="4" w:space="0" w:color="auto"/>
              <w:right w:val="single" w:sz="4" w:space="0" w:color="auto"/>
            </w:tcBorders>
            <w:vAlign w:val="bottom"/>
          </w:tcPr>
          <w:p w14:paraId="7B240F6B" w14:textId="08C931F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319</w:t>
            </w:r>
          </w:p>
        </w:tc>
        <w:tc>
          <w:tcPr>
            <w:tcW w:w="395" w:type="pct"/>
            <w:tcBorders>
              <w:top w:val="single" w:sz="4" w:space="0" w:color="auto"/>
              <w:left w:val="single" w:sz="4" w:space="0" w:color="auto"/>
              <w:bottom w:val="single" w:sz="4" w:space="0" w:color="auto"/>
              <w:right w:val="single" w:sz="4" w:space="0" w:color="auto"/>
            </w:tcBorders>
            <w:vAlign w:val="bottom"/>
          </w:tcPr>
          <w:p w14:paraId="317080A5" w14:textId="298EB89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36.4</w:t>
            </w:r>
          </w:p>
        </w:tc>
        <w:tc>
          <w:tcPr>
            <w:tcW w:w="392" w:type="pct"/>
            <w:tcBorders>
              <w:top w:val="single" w:sz="4" w:space="0" w:color="auto"/>
              <w:left w:val="single" w:sz="4" w:space="0" w:color="auto"/>
              <w:bottom w:val="single" w:sz="4" w:space="0" w:color="auto"/>
              <w:right w:val="single" w:sz="4" w:space="0" w:color="auto"/>
            </w:tcBorders>
            <w:vAlign w:val="bottom"/>
          </w:tcPr>
          <w:p w14:paraId="44040EAF" w14:textId="634BFC8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172</w:t>
            </w:r>
          </w:p>
        </w:tc>
        <w:tc>
          <w:tcPr>
            <w:tcW w:w="392" w:type="pct"/>
            <w:tcBorders>
              <w:top w:val="single" w:sz="4" w:space="0" w:color="auto"/>
              <w:left w:val="single" w:sz="4" w:space="0" w:color="auto"/>
              <w:bottom w:val="single" w:sz="4" w:space="0" w:color="auto"/>
              <w:right w:val="single" w:sz="4" w:space="0" w:color="auto"/>
            </w:tcBorders>
            <w:vAlign w:val="bottom"/>
          </w:tcPr>
          <w:p w14:paraId="6AB43A1F" w14:textId="75239D0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62.3</w:t>
            </w:r>
          </w:p>
        </w:tc>
        <w:tc>
          <w:tcPr>
            <w:tcW w:w="392" w:type="pct"/>
            <w:tcBorders>
              <w:top w:val="single" w:sz="4" w:space="0" w:color="auto"/>
              <w:left w:val="single" w:sz="4" w:space="0" w:color="auto"/>
              <w:bottom w:val="single" w:sz="4" w:space="0" w:color="auto"/>
              <w:right w:val="single" w:sz="4" w:space="0" w:color="auto"/>
            </w:tcBorders>
            <w:vAlign w:val="bottom"/>
          </w:tcPr>
          <w:p w14:paraId="1F269C58" w14:textId="724D365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104</w:t>
            </w:r>
          </w:p>
        </w:tc>
        <w:tc>
          <w:tcPr>
            <w:tcW w:w="386" w:type="pct"/>
            <w:tcBorders>
              <w:top w:val="single" w:sz="4" w:space="0" w:color="auto"/>
              <w:left w:val="single" w:sz="4" w:space="0" w:color="auto"/>
              <w:bottom w:val="single" w:sz="4" w:space="0" w:color="auto"/>
              <w:right w:val="single" w:sz="4" w:space="0" w:color="auto"/>
            </w:tcBorders>
            <w:vAlign w:val="bottom"/>
          </w:tcPr>
          <w:p w14:paraId="274890B8" w14:textId="172B9FF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37.7</w:t>
            </w:r>
          </w:p>
        </w:tc>
      </w:tr>
      <w:tr w:rsidR="00217865" w:rsidRPr="00217865" w14:paraId="30FC3E62"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26F5F86" w14:textId="7FA4D59D"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lastRenderedPageBreak/>
              <w:t>Eastern College Australia</w:t>
            </w:r>
          </w:p>
        </w:tc>
        <w:tc>
          <w:tcPr>
            <w:tcW w:w="392" w:type="pct"/>
            <w:tcBorders>
              <w:top w:val="single" w:sz="4" w:space="0" w:color="auto"/>
              <w:left w:val="single" w:sz="4" w:space="0" w:color="auto"/>
              <w:bottom w:val="single" w:sz="4" w:space="0" w:color="auto"/>
              <w:right w:val="single" w:sz="4" w:space="0" w:color="auto"/>
            </w:tcBorders>
            <w:vAlign w:val="bottom"/>
          </w:tcPr>
          <w:p w14:paraId="15B06C47" w14:textId="71A3F72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34</w:t>
            </w:r>
          </w:p>
        </w:tc>
        <w:tc>
          <w:tcPr>
            <w:tcW w:w="392" w:type="pct"/>
            <w:tcBorders>
              <w:top w:val="single" w:sz="4" w:space="0" w:color="auto"/>
              <w:left w:val="single" w:sz="4" w:space="0" w:color="auto"/>
              <w:bottom w:val="single" w:sz="4" w:space="0" w:color="auto"/>
              <w:right w:val="single" w:sz="4" w:space="0" w:color="auto"/>
            </w:tcBorders>
            <w:vAlign w:val="bottom"/>
          </w:tcPr>
          <w:p w14:paraId="2C36960B" w14:textId="3A4D443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526EAF4" w14:textId="413FFDD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5" w:type="pct"/>
            <w:tcBorders>
              <w:top w:val="single" w:sz="4" w:space="0" w:color="auto"/>
              <w:left w:val="single" w:sz="4" w:space="0" w:color="auto"/>
              <w:bottom w:val="single" w:sz="4" w:space="0" w:color="auto"/>
              <w:right w:val="single" w:sz="4" w:space="0" w:color="auto"/>
            </w:tcBorders>
            <w:vAlign w:val="bottom"/>
          </w:tcPr>
          <w:p w14:paraId="01106D02" w14:textId="4EF978C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E329B73" w14:textId="7777777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w:t>
            </w:r>
          </w:p>
        </w:tc>
        <w:tc>
          <w:tcPr>
            <w:tcW w:w="392" w:type="pct"/>
            <w:tcBorders>
              <w:top w:val="single" w:sz="4" w:space="0" w:color="auto"/>
              <w:left w:val="single" w:sz="4" w:space="0" w:color="auto"/>
              <w:bottom w:val="single" w:sz="4" w:space="0" w:color="auto"/>
              <w:right w:val="single" w:sz="4" w:space="0" w:color="auto"/>
            </w:tcBorders>
            <w:vAlign w:val="bottom"/>
          </w:tcPr>
          <w:p w14:paraId="26826DB0" w14:textId="1F28C2C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74B6AEF5" w14:textId="79C6021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1F62EBC9" w14:textId="3C4C3C5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4B89AC13"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7F21090" w14:textId="53B306B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Edith Cowan College</w:t>
            </w:r>
          </w:p>
        </w:tc>
        <w:tc>
          <w:tcPr>
            <w:tcW w:w="392" w:type="pct"/>
            <w:tcBorders>
              <w:top w:val="single" w:sz="4" w:space="0" w:color="auto"/>
              <w:left w:val="single" w:sz="4" w:space="0" w:color="auto"/>
              <w:bottom w:val="single" w:sz="4" w:space="0" w:color="auto"/>
              <w:right w:val="single" w:sz="4" w:space="0" w:color="auto"/>
            </w:tcBorders>
            <w:vAlign w:val="bottom"/>
          </w:tcPr>
          <w:p w14:paraId="7C7251C8" w14:textId="16151D5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w:t>
            </w:r>
          </w:p>
        </w:tc>
        <w:tc>
          <w:tcPr>
            <w:tcW w:w="392" w:type="pct"/>
            <w:tcBorders>
              <w:top w:val="single" w:sz="4" w:space="0" w:color="auto"/>
              <w:left w:val="single" w:sz="4" w:space="0" w:color="auto"/>
              <w:bottom w:val="single" w:sz="4" w:space="0" w:color="auto"/>
              <w:right w:val="single" w:sz="4" w:space="0" w:color="auto"/>
            </w:tcBorders>
            <w:vAlign w:val="bottom"/>
          </w:tcPr>
          <w:p w14:paraId="48B84DF5" w14:textId="4312F59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12.4</w:t>
            </w:r>
          </w:p>
        </w:tc>
        <w:tc>
          <w:tcPr>
            <w:tcW w:w="392" w:type="pct"/>
            <w:tcBorders>
              <w:top w:val="single" w:sz="4" w:space="0" w:color="auto"/>
              <w:left w:val="single" w:sz="4" w:space="0" w:color="auto"/>
              <w:bottom w:val="single" w:sz="4" w:space="0" w:color="auto"/>
              <w:right w:val="single" w:sz="4" w:space="0" w:color="auto"/>
            </w:tcBorders>
            <w:vAlign w:val="bottom"/>
          </w:tcPr>
          <w:p w14:paraId="619383D9" w14:textId="4965303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643</w:t>
            </w:r>
          </w:p>
        </w:tc>
        <w:tc>
          <w:tcPr>
            <w:tcW w:w="395" w:type="pct"/>
            <w:tcBorders>
              <w:top w:val="single" w:sz="4" w:space="0" w:color="auto"/>
              <w:left w:val="single" w:sz="4" w:space="0" w:color="auto"/>
              <w:bottom w:val="single" w:sz="4" w:space="0" w:color="auto"/>
              <w:right w:val="single" w:sz="4" w:space="0" w:color="auto"/>
            </w:tcBorders>
            <w:vAlign w:val="bottom"/>
          </w:tcPr>
          <w:p w14:paraId="7335FF7C" w14:textId="49F6D5C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87.6</w:t>
            </w:r>
          </w:p>
        </w:tc>
        <w:tc>
          <w:tcPr>
            <w:tcW w:w="392" w:type="pct"/>
            <w:tcBorders>
              <w:top w:val="single" w:sz="4" w:space="0" w:color="auto"/>
              <w:left w:val="single" w:sz="4" w:space="0" w:color="auto"/>
              <w:bottom w:val="single" w:sz="4" w:space="0" w:color="auto"/>
              <w:right w:val="single" w:sz="4" w:space="0" w:color="auto"/>
            </w:tcBorders>
            <w:vAlign w:val="bottom"/>
          </w:tcPr>
          <w:p w14:paraId="79972836" w14:textId="1D74883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w:t>
            </w:r>
          </w:p>
        </w:tc>
        <w:tc>
          <w:tcPr>
            <w:tcW w:w="392" w:type="pct"/>
            <w:tcBorders>
              <w:top w:val="single" w:sz="4" w:space="0" w:color="auto"/>
              <w:left w:val="single" w:sz="4" w:space="0" w:color="auto"/>
              <w:bottom w:val="single" w:sz="4" w:space="0" w:color="auto"/>
              <w:right w:val="single" w:sz="4" w:space="0" w:color="auto"/>
            </w:tcBorders>
            <w:vAlign w:val="bottom"/>
          </w:tcPr>
          <w:p w14:paraId="36EE9CAC" w14:textId="1A9B6E8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7.2</w:t>
            </w:r>
          </w:p>
        </w:tc>
        <w:tc>
          <w:tcPr>
            <w:tcW w:w="392" w:type="pct"/>
            <w:tcBorders>
              <w:top w:val="single" w:sz="4" w:space="0" w:color="auto"/>
              <w:left w:val="single" w:sz="4" w:space="0" w:color="auto"/>
              <w:bottom w:val="single" w:sz="4" w:space="0" w:color="auto"/>
              <w:right w:val="single" w:sz="4" w:space="0" w:color="auto"/>
            </w:tcBorders>
            <w:vAlign w:val="bottom"/>
          </w:tcPr>
          <w:p w14:paraId="7AFD5277" w14:textId="57EC90E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258</w:t>
            </w:r>
          </w:p>
        </w:tc>
        <w:tc>
          <w:tcPr>
            <w:tcW w:w="386" w:type="pct"/>
            <w:tcBorders>
              <w:top w:val="single" w:sz="4" w:space="0" w:color="auto"/>
              <w:left w:val="single" w:sz="4" w:space="0" w:color="auto"/>
              <w:bottom w:val="single" w:sz="4" w:space="0" w:color="auto"/>
              <w:right w:val="single" w:sz="4" w:space="0" w:color="auto"/>
            </w:tcBorders>
            <w:vAlign w:val="bottom"/>
          </w:tcPr>
          <w:p w14:paraId="63519338" w14:textId="2980CA6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92.8</w:t>
            </w:r>
          </w:p>
        </w:tc>
      </w:tr>
      <w:tr w:rsidR="00217865" w:rsidRPr="00217865" w14:paraId="0E4F519B"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B9B41D8" w14:textId="4CE1F0B7"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Endeavour College of Natural Health</w:t>
            </w:r>
          </w:p>
        </w:tc>
        <w:tc>
          <w:tcPr>
            <w:tcW w:w="392" w:type="pct"/>
            <w:tcBorders>
              <w:top w:val="single" w:sz="4" w:space="0" w:color="auto"/>
              <w:left w:val="single" w:sz="4" w:space="0" w:color="auto"/>
              <w:bottom w:val="single" w:sz="4" w:space="0" w:color="auto"/>
              <w:right w:val="single" w:sz="4" w:space="0" w:color="auto"/>
            </w:tcBorders>
            <w:vAlign w:val="bottom"/>
          </w:tcPr>
          <w:p w14:paraId="0E39FFB8" w14:textId="12DC7CC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2,555</w:t>
            </w:r>
          </w:p>
        </w:tc>
        <w:tc>
          <w:tcPr>
            <w:tcW w:w="392" w:type="pct"/>
            <w:tcBorders>
              <w:top w:val="single" w:sz="4" w:space="0" w:color="auto"/>
              <w:left w:val="single" w:sz="4" w:space="0" w:color="auto"/>
              <w:bottom w:val="single" w:sz="4" w:space="0" w:color="auto"/>
              <w:right w:val="single" w:sz="4" w:space="0" w:color="auto"/>
            </w:tcBorders>
            <w:vAlign w:val="bottom"/>
          </w:tcPr>
          <w:p w14:paraId="6214003F" w14:textId="2FAB2E5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98.2</w:t>
            </w:r>
          </w:p>
        </w:tc>
        <w:tc>
          <w:tcPr>
            <w:tcW w:w="392" w:type="pct"/>
            <w:tcBorders>
              <w:top w:val="single" w:sz="4" w:space="0" w:color="auto"/>
              <w:left w:val="single" w:sz="4" w:space="0" w:color="auto"/>
              <w:bottom w:val="single" w:sz="4" w:space="0" w:color="auto"/>
              <w:right w:val="single" w:sz="4" w:space="0" w:color="auto"/>
            </w:tcBorders>
            <w:vAlign w:val="bottom"/>
          </w:tcPr>
          <w:p w14:paraId="345A58E3" w14:textId="551D8FD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47</w:t>
            </w:r>
          </w:p>
        </w:tc>
        <w:tc>
          <w:tcPr>
            <w:tcW w:w="395" w:type="pct"/>
            <w:tcBorders>
              <w:top w:val="single" w:sz="4" w:space="0" w:color="auto"/>
              <w:left w:val="single" w:sz="4" w:space="0" w:color="auto"/>
              <w:bottom w:val="single" w:sz="4" w:space="0" w:color="auto"/>
              <w:right w:val="single" w:sz="4" w:space="0" w:color="auto"/>
            </w:tcBorders>
            <w:vAlign w:val="bottom"/>
          </w:tcPr>
          <w:p w14:paraId="0910DACE" w14:textId="6A248CA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w:t>
            </w:r>
          </w:p>
        </w:tc>
        <w:tc>
          <w:tcPr>
            <w:tcW w:w="392" w:type="pct"/>
            <w:tcBorders>
              <w:top w:val="single" w:sz="4" w:space="0" w:color="auto"/>
              <w:left w:val="single" w:sz="4" w:space="0" w:color="auto"/>
              <w:bottom w:val="single" w:sz="4" w:space="0" w:color="auto"/>
              <w:right w:val="single" w:sz="4" w:space="0" w:color="auto"/>
            </w:tcBorders>
            <w:vAlign w:val="bottom"/>
          </w:tcPr>
          <w:p w14:paraId="66A6B83F" w14:textId="17343F6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985</w:t>
            </w:r>
          </w:p>
        </w:tc>
        <w:tc>
          <w:tcPr>
            <w:tcW w:w="392" w:type="pct"/>
            <w:tcBorders>
              <w:top w:val="single" w:sz="4" w:space="0" w:color="auto"/>
              <w:left w:val="single" w:sz="4" w:space="0" w:color="auto"/>
              <w:bottom w:val="single" w:sz="4" w:space="0" w:color="auto"/>
              <w:right w:val="single" w:sz="4" w:space="0" w:color="auto"/>
            </w:tcBorders>
            <w:vAlign w:val="bottom"/>
          </w:tcPr>
          <w:p w14:paraId="24F7378F" w14:textId="4A7030D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97.5</w:t>
            </w:r>
          </w:p>
        </w:tc>
        <w:tc>
          <w:tcPr>
            <w:tcW w:w="392" w:type="pct"/>
            <w:tcBorders>
              <w:top w:val="single" w:sz="4" w:space="0" w:color="auto"/>
              <w:left w:val="single" w:sz="4" w:space="0" w:color="auto"/>
              <w:bottom w:val="single" w:sz="4" w:space="0" w:color="auto"/>
              <w:right w:val="single" w:sz="4" w:space="0" w:color="auto"/>
            </w:tcBorders>
            <w:vAlign w:val="bottom"/>
          </w:tcPr>
          <w:p w14:paraId="3B1B274A" w14:textId="4D0FC38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w:t>
            </w:r>
          </w:p>
        </w:tc>
        <w:tc>
          <w:tcPr>
            <w:tcW w:w="386" w:type="pct"/>
            <w:tcBorders>
              <w:top w:val="single" w:sz="4" w:space="0" w:color="auto"/>
              <w:left w:val="single" w:sz="4" w:space="0" w:color="auto"/>
              <w:bottom w:val="single" w:sz="4" w:space="0" w:color="auto"/>
              <w:right w:val="single" w:sz="4" w:space="0" w:color="auto"/>
            </w:tcBorders>
            <w:vAlign w:val="bottom"/>
          </w:tcPr>
          <w:p w14:paraId="1BBF2085" w14:textId="70CD478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w:t>
            </w:r>
          </w:p>
        </w:tc>
      </w:tr>
      <w:tr w:rsidR="00217865" w:rsidRPr="00217865" w14:paraId="043FDA36"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3FA5F22" w14:textId="0E3D909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Engineering Institute of Technology</w:t>
            </w:r>
          </w:p>
        </w:tc>
        <w:tc>
          <w:tcPr>
            <w:tcW w:w="392" w:type="pct"/>
            <w:tcBorders>
              <w:top w:val="single" w:sz="4" w:space="0" w:color="auto"/>
              <w:left w:val="single" w:sz="4" w:space="0" w:color="auto"/>
              <w:bottom w:val="single" w:sz="4" w:space="0" w:color="auto"/>
              <w:right w:val="single" w:sz="4" w:space="0" w:color="auto"/>
            </w:tcBorders>
            <w:vAlign w:val="bottom"/>
          </w:tcPr>
          <w:p w14:paraId="07205B32" w14:textId="6AE17BA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171</w:t>
            </w:r>
          </w:p>
        </w:tc>
        <w:tc>
          <w:tcPr>
            <w:tcW w:w="392" w:type="pct"/>
            <w:tcBorders>
              <w:top w:val="single" w:sz="4" w:space="0" w:color="auto"/>
              <w:left w:val="single" w:sz="4" w:space="0" w:color="auto"/>
              <w:bottom w:val="single" w:sz="4" w:space="0" w:color="auto"/>
              <w:right w:val="single" w:sz="4" w:space="0" w:color="auto"/>
            </w:tcBorders>
            <w:vAlign w:val="bottom"/>
          </w:tcPr>
          <w:p w14:paraId="7F573758" w14:textId="67526ED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71.5</w:t>
            </w:r>
          </w:p>
        </w:tc>
        <w:tc>
          <w:tcPr>
            <w:tcW w:w="392" w:type="pct"/>
            <w:tcBorders>
              <w:top w:val="single" w:sz="4" w:space="0" w:color="auto"/>
              <w:left w:val="single" w:sz="4" w:space="0" w:color="auto"/>
              <w:bottom w:val="single" w:sz="4" w:space="0" w:color="auto"/>
              <w:right w:val="single" w:sz="4" w:space="0" w:color="auto"/>
            </w:tcBorders>
            <w:vAlign w:val="bottom"/>
          </w:tcPr>
          <w:p w14:paraId="4FF33549" w14:textId="60741E6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68</w:t>
            </w:r>
          </w:p>
        </w:tc>
        <w:tc>
          <w:tcPr>
            <w:tcW w:w="395" w:type="pct"/>
            <w:tcBorders>
              <w:top w:val="single" w:sz="4" w:space="0" w:color="auto"/>
              <w:left w:val="single" w:sz="4" w:space="0" w:color="auto"/>
              <w:bottom w:val="single" w:sz="4" w:space="0" w:color="auto"/>
              <w:right w:val="single" w:sz="4" w:space="0" w:color="auto"/>
            </w:tcBorders>
            <w:vAlign w:val="bottom"/>
          </w:tcPr>
          <w:p w14:paraId="40501759" w14:textId="61BE400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28.5</w:t>
            </w:r>
          </w:p>
        </w:tc>
        <w:tc>
          <w:tcPr>
            <w:tcW w:w="392" w:type="pct"/>
            <w:tcBorders>
              <w:top w:val="single" w:sz="4" w:space="0" w:color="auto"/>
              <w:left w:val="single" w:sz="4" w:space="0" w:color="auto"/>
              <w:bottom w:val="single" w:sz="4" w:space="0" w:color="auto"/>
              <w:right w:val="single" w:sz="4" w:space="0" w:color="auto"/>
            </w:tcBorders>
            <w:vAlign w:val="bottom"/>
          </w:tcPr>
          <w:p w14:paraId="5B9C8566" w14:textId="5AAA859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70</w:t>
            </w:r>
          </w:p>
        </w:tc>
        <w:tc>
          <w:tcPr>
            <w:tcW w:w="392" w:type="pct"/>
            <w:tcBorders>
              <w:top w:val="single" w:sz="4" w:space="0" w:color="auto"/>
              <w:left w:val="single" w:sz="4" w:space="0" w:color="auto"/>
              <w:bottom w:val="single" w:sz="4" w:space="0" w:color="auto"/>
              <w:right w:val="single" w:sz="4" w:space="0" w:color="auto"/>
            </w:tcBorders>
            <w:vAlign w:val="bottom"/>
          </w:tcPr>
          <w:p w14:paraId="1EB6929E" w14:textId="5AD3A4C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64.2</w:t>
            </w:r>
          </w:p>
        </w:tc>
        <w:tc>
          <w:tcPr>
            <w:tcW w:w="392" w:type="pct"/>
            <w:tcBorders>
              <w:top w:val="single" w:sz="4" w:space="0" w:color="auto"/>
              <w:left w:val="single" w:sz="4" w:space="0" w:color="auto"/>
              <w:bottom w:val="single" w:sz="4" w:space="0" w:color="auto"/>
              <w:right w:val="single" w:sz="4" w:space="0" w:color="auto"/>
            </w:tcBorders>
            <w:vAlign w:val="bottom"/>
          </w:tcPr>
          <w:p w14:paraId="5D2374D7" w14:textId="0466607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39</w:t>
            </w:r>
          </w:p>
        </w:tc>
        <w:tc>
          <w:tcPr>
            <w:tcW w:w="386" w:type="pct"/>
            <w:tcBorders>
              <w:top w:val="single" w:sz="4" w:space="0" w:color="auto"/>
              <w:left w:val="single" w:sz="4" w:space="0" w:color="auto"/>
              <w:bottom w:val="single" w:sz="4" w:space="0" w:color="auto"/>
              <w:right w:val="single" w:sz="4" w:space="0" w:color="auto"/>
            </w:tcBorders>
            <w:vAlign w:val="bottom"/>
          </w:tcPr>
          <w:p w14:paraId="344633D9" w14:textId="668F386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35.8</w:t>
            </w:r>
          </w:p>
        </w:tc>
      </w:tr>
      <w:tr w:rsidR="00217865" w:rsidRPr="00217865" w14:paraId="1AD19E91"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0A2FCF2" w14:textId="1F72ACD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Equals International</w:t>
            </w:r>
          </w:p>
        </w:tc>
        <w:tc>
          <w:tcPr>
            <w:tcW w:w="392" w:type="pct"/>
            <w:tcBorders>
              <w:top w:val="single" w:sz="4" w:space="0" w:color="auto"/>
              <w:left w:val="single" w:sz="4" w:space="0" w:color="auto"/>
              <w:bottom w:val="single" w:sz="4" w:space="0" w:color="auto"/>
              <w:right w:val="single" w:sz="4" w:space="0" w:color="auto"/>
            </w:tcBorders>
            <w:vAlign w:val="bottom"/>
          </w:tcPr>
          <w:p w14:paraId="27CE93A7" w14:textId="0D5D988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B0328F0" w14:textId="5AB09C5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03464CAB" w14:textId="446AFC7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121</w:t>
            </w:r>
          </w:p>
        </w:tc>
        <w:tc>
          <w:tcPr>
            <w:tcW w:w="395" w:type="pct"/>
            <w:tcBorders>
              <w:top w:val="single" w:sz="4" w:space="0" w:color="auto"/>
              <w:left w:val="single" w:sz="4" w:space="0" w:color="auto"/>
              <w:bottom w:val="single" w:sz="4" w:space="0" w:color="auto"/>
              <w:right w:val="single" w:sz="4" w:space="0" w:color="auto"/>
            </w:tcBorders>
            <w:vAlign w:val="bottom"/>
          </w:tcPr>
          <w:p w14:paraId="3AF7E88E" w14:textId="57643DE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3A15E69" w14:textId="3BA82E4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0AFD648" w14:textId="3E04EFD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4BC76D4" w14:textId="5E725AA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w:t>
            </w:r>
          </w:p>
        </w:tc>
        <w:tc>
          <w:tcPr>
            <w:tcW w:w="386" w:type="pct"/>
            <w:tcBorders>
              <w:top w:val="single" w:sz="4" w:space="0" w:color="auto"/>
              <w:left w:val="single" w:sz="4" w:space="0" w:color="auto"/>
              <w:bottom w:val="single" w:sz="4" w:space="0" w:color="auto"/>
              <w:right w:val="single" w:sz="4" w:space="0" w:color="auto"/>
            </w:tcBorders>
            <w:vAlign w:val="bottom"/>
          </w:tcPr>
          <w:p w14:paraId="6D27616E" w14:textId="640CBE6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204607C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6BCDFD6" w14:textId="57F1CB1D" w:rsidR="00F20D1A" w:rsidRPr="00217865" w:rsidRDefault="00F20D1A" w:rsidP="00A43B35">
            <w:pPr>
              <w:pStyle w:val="Z"/>
              <w:spacing w:before="60" w:after="60"/>
              <w:rPr>
                <w:color w:val="000000" w:themeColor="text1"/>
                <w:szCs w:val="18"/>
                <w:highlight w:val="yellow"/>
              </w:rPr>
            </w:pPr>
            <w:proofErr w:type="spellStart"/>
            <w:r w:rsidRPr="00217865">
              <w:rPr>
                <w:color w:val="000000" w:themeColor="text1"/>
                <w:szCs w:val="18"/>
              </w:rPr>
              <w:t>Excelsia</w:t>
            </w:r>
            <w:proofErr w:type="spellEnd"/>
            <w:r w:rsidRPr="00217865">
              <w:rPr>
                <w:color w:val="000000" w:themeColor="text1"/>
                <w:szCs w:val="18"/>
              </w:rPr>
              <w:t xml:space="preserve"> College</w:t>
            </w:r>
          </w:p>
        </w:tc>
        <w:tc>
          <w:tcPr>
            <w:tcW w:w="392" w:type="pct"/>
            <w:tcBorders>
              <w:top w:val="single" w:sz="4" w:space="0" w:color="auto"/>
              <w:left w:val="single" w:sz="4" w:space="0" w:color="auto"/>
              <w:bottom w:val="single" w:sz="4" w:space="0" w:color="auto"/>
              <w:right w:val="single" w:sz="4" w:space="0" w:color="auto"/>
            </w:tcBorders>
            <w:vAlign w:val="bottom"/>
          </w:tcPr>
          <w:p w14:paraId="46E419AA" w14:textId="7209F2D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54</w:t>
            </w:r>
          </w:p>
        </w:tc>
        <w:tc>
          <w:tcPr>
            <w:tcW w:w="392" w:type="pct"/>
            <w:tcBorders>
              <w:top w:val="single" w:sz="4" w:space="0" w:color="auto"/>
              <w:left w:val="single" w:sz="4" w:space="0" w:color="auto"/>
              <w:bottom w:val="single" w:sz="4" w:space="0" w:color="auto"/>
              <w:right w:val="single" w:sz="4" w:space="0" w:color="auto"/>
            </w:tcBorders>
            <w:vAlign w:val="bottom"/>
          </w:tcPr>
          <w:p w14:paraId="37B97197" w14:textId="02B73EF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w:t>
            </w:r>
          </w:p>
        </w:tc>
        <w:tc>
          <w:tcPr>
            <w:tcW w:w="392" w:type="pct"/>
            <w:tcBorders>
              <w:top w:val="single" w:sz="4" w:space="0" w:color="auto"/>
              <w:left w:val="single" w:sz="4" w:space="0" w:color="auto"/>
              <w:bottom w:val="single" w:sz="4" w:space="0" w:color="auto"/>
              <w:right w:val="single" w:sz="4" w:space="0" w:color="auto"/>
            </w:tcBorders>
            <w:vAlign w:val="bottom"/>
          </w:tcPr>
          <w:p w14:paraId="604777BC" w14:textId="4AF7373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760</w:t>
            </w:r>
          </w:p>
        </w:tc>
        <w:tc>
          <w:tcPr>
            <w:tcW w:w="395" w:type="pct"/>
            <w:tcBorders>
              <w:top w:val="single" w:sz="4" w:space="0" w:color="auto"/>
              <w:left w:val="single" w:sz="4" w:space="0" w:color="auto"/>
              <w:bottom w:val="single" w:sz="4" w:space="0" w:color="auto"/>
              <w:right w:val="single" w:sz="4" w:space="0" w:color="auto"/>
            </w:tcBorders>
            <w:vAlign w:val="bottom"/>
          </w:tcPr>
          <w:p w14:paraId="30C944E2" w14:textId="090DF64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93.4</w:t>
            </w:r>
          </w:p>
        </w:tc>
        <w:tc>
          <w:tcPr>
            <w:tcW w:w="392" w:type="pct"/>
            <w:tcBorders>
              <w:top w:val="single" w:sz="4" w:space="0" w:color="auto"/>
              <w:left w:val="single" w:sz="4" w:space="0" w:color="auto"/>
              <w:bottom w:val="single" w:sz="4" w:space="0" w:color="auto"/>
              <w:right w:val="single" w:sz="4" w:space="0" w:color="auto"/>
            </w:tcBorders>
            <w:vAlign w:val="bottom"/>
          </w:tcPr>
          <w:p w14:paraId="346466EC" w14:textId="77ADBC3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w:t>
            </w:r>
          </w:p>
        </w:tc>
        <w:tc>
          <w:tcPr>
            <w:tcW w:w="392" w:type="pct"/>
            <w:tcBorders>
              <w:top w:val="single" w:sz="4" w:space="0" w:color="auto"/>
              <w:left w:val="single" w:sz="4" w:space="0" w:color="auto"/>
              <w:bottom w:val="single" w:sz="4" w:space="0" w:color="auto"/>
              <w:right w:val="single" w:sz="4" w:space="0" w:color="auto"/>
            </w:tcBorders>
            <w:vAlign w:val="bottom"/>
          </w:tcPr>
          <w:p w14:paraId="0ACD36E4" w14:textId="5F1B3DB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6.8</w:t>
            </w:r>
          </w:p>
        </w:tc>
        <w:tc>
          <w:tcPr>
            <w:tcW w:w="392" w:type="pct"/>
            <w:tcBorders>
              <w:top w:val="single" w:sz="4" w:space="0" w:color="auto"/>
              <w:left w:val="single" w:sz="4" w:space="0" w:color="auto"/>
              <w:bottom w:val="single" w:sz="4" w:space="0" w:color="auto"/>
              <w:right w:val="single" w:sz="4" w:space="0" w:color="auto"/>
            </w:tcBorders>
            <w:vAlign w:val="bottom"/>
          </w:tcPr>
          <w:p w14:paraId="7DBF836B" w14:textId="331B48F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260</w:t>
            </w:r>
          </w:p>
        </w:tc>
        <w:tc>
          <w:tcPr>
            <w:tcW w:w="386" w:type="pct"/>
            <w:tcBorders>
              <w:top w:val="single" w:sz="4" w:space="0" w:color="auto"/>
              <w:left w:val="single" w:sz="4" w:space="0" w:color="auto"/>
              <w:bottom w:val="single" w:sz="4" w:space="0" w:color="auto"/>
              <w:right w:val="single" w:sz="4" w:space="0" w:color="auto"/>
            </w:tcBorders>
            <w:vAlign w:val="bottom"/>
          </w:tcPr>
          <w:p w14:paraId="3721A1B9" w14:textId="38CAB0A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93.2</w:t>
            </w:r>
          </w:p>
        </w:tc>
      </w:tr>
      <w:tr w:rsidR="00217865" w:rsidRPr="00217865" w14:paraId="5DAB0515"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9A63C42" w14:textId="52E8B63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Eynesbury College</w:t>
            </w:r>
          </w:p>
        </w:tc>
        <w:tc>
          <w:tcPr>
            <w:tcW w:w="392" w:type="pct"/>
            <w:tcBorders>
              <w:top w:val="single" w:sz="4" w:space="0" w:color="auto"/>
              <w:left w:val="single" w:sz="4" w:space="0" w:color="auto"/>
              <w:bottom w:val="single" w:sz="4" w:space="0" w:color="auto"/>
              <w:right w:val="single" w:sz="4" w:space="0" w:color="auto"/>
            </w:tcBorders>
            <w:vAlign w:val="bottom"/>
          </w:tcPr>
          <w:p w14:paraId="39628253" w14:textId="44A4106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132E7589" w14:textId="651571B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85FB1E7" w14:textId="02B86BD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86</w:t>
            </w:r>
          </w:p>
        </w:tc>
        <w:tc>
          <w:tcPr>
            <w:tcW w:w="395" w:type="pct"/>
            <w:tcBorders>
              <w:top w:val="single" w:sz="4" w:space="0" w:color="auto"/>
              <w:left w:val="single" w:sz="4" w:space="0" w:color="auto"/>
              <w:bottom w:val="single" w:sz="4" w:space="0" w:color="auto"/>
              <w:right w:val="single" w:sz="4" w:space="0" w:color="auto"/>
            </w:tcBorders>
            <w:vAlign w:val="bottom"/>
          </w:tcPr>
          <w:p w14:paraId="0A38E069" w14:textId="780D382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305C86D" w14:textId="2E30C48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FE6E4D9" w14:textId="1FEF759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7E63E35" w14:textId="407EC47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32</w:t>
            </w:r>
          </w:p>
        </w:tc>
        <w:tc>
          <w:tcPr>
            <w:tcW w:w="386" w:type="pct"/>
            <w:tcBorders>
              <w:top w:val="single" w:sz="4" w:space="0" w:color="auto"/>
              <w:left w:val="single" w:sz="4" w:space="0" w:color="auto"/>
              <w:bottom w:val="single" w:sz="4" w:space="0" w:color="auto"/>
              <w:right w:val="single" w:sz="4" w:space="0" w:color="auto"/>
            </w:tcBorders>
            <w:vAlign w:val="bottom"/>
          </w:tcPr>
          <w:p w14:paraId="06ED6E3E" w14:textId="5A442CA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5A64F470"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4EED831" w14:textId="0471BC3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Griffith College</w:t>
            </w:r>
          </w:p>
        </w:tc>
        <w:tc>
          <w:tcPr>
            <w:tcW w:w="392" w:type="pct"/>
            <w:tcBorders>
              <w:top w:val="single" w:sz="4" w:space="0" w:color="auto"/>
              <w:left w:val="single" w:sz="4" w:space="0" w:color="auto"/>
              <w:bottom w:val="single" w:sz="4" w:space="0" w:color="auto"/>
              <w:right w:val="single" w:sz="4" w:space="0" w:color="auto"/>
            </w:tcBorders>
            <w:vAlign w:val="bottom"/>
          </w:tcPr>
          <w:p w14:paraId="59E86FF2" w14:textId="1A4E50A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587</w:t>
            </w:r>
          </w:p>
        </w:tc>
        <w:tc>
          <w:tcPr>
            <w:tcW w:w="392" w:type="pct"/>
            <w:tcBorders>
              <w:top w:val="single" w:sz="4" w:space="0" w:color="auto"/>
              <w:left w:val="single" w:sz="4" w:space="0" w:color="auto"/>
              <w:bottom w:val="single" w:sz="4" w:space="0" w:color="auto"/>
              <w:right w:val="single" w:sz="4" w:space="0" w:color="auto"/>
            </w:tcBorders>
            <w:vAlign w:val="bottom"/>
          </w:tcPr>
          <w:p w14:paraId="451B6DD5" w14:textId="4978621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59.5</w:t>
            </w:r>
          </w:p>
        </w:tc>
        <w:tc>
          <w:tcPr>
            <w:tcW w:w="392" w:type="pct"/>
            <w:tcBorders>
              <w:top w:val="single" w:sz="4" w:space="0" w:color="auto"/>
              <w:left w:val="single" w:sz="4" w:space="0" w:color="auto"/>
              <w:bottom w:val="single" w:sz="4" w:space="0" w:color="auto"/>
              <w:right w:val="single" w:sz="4" w:space="0" w:color="auto"/>
            </w:tcBorders>
            <w:vAlign w:val="bottom"/>
          </w:tcPr>
          <w:p w14:paraId="485152D4" w14:textId="2A5712C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399</w:t>
            </w:r>
          </w:p>
        </w:tc>
        <w:tc>
          <w:tcPr>
            <w:tcW w:w="395" w:type="pct"/>
            <w:tcBorders>
              <w:top w:val="single" w:sz="4" w:space="0" w:color="auto"/>
              <w:left w:val="single" w:sz="4" w:space="0" w:color="auto"/>
              <w:bottom w:val="single" w:sz="4" w:space="0" w:color="auto"/>
              <w:right w:val="single" w:sz="4" w:space="0" w:color="auto"/>
            </w:tcBorders>
            <w:vAlign w:val="bottom"/>
          </w:tcPr>
          <w:p w14:paraId="72E36FAC" w14:textId="69770AC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40.5</w:t>
            </w:r>
          </w:p>
        </w:tc>
        <w:tc>
          <w:tcPr>
            <w:tcW w:w="392" w:type="pct"/>
            <w:tcBorders>
              <w:top w:val="single" w:sz="4" w:space="0" w:color="auto"/>
              <w:left w:val="single" w:sz="4" w:space="0" w:color="auto"/>
              <w:bottom w:val="single" w:sz="4" w:space="0" w:color="auto"/>
              <w:right w:val="single" w:sz="4" w:space="0" w:color="auto"/>
            </w:tcBorders>
            <w:vAlign w:val="bottom"/>
          </w:tcPr>
          <w:p w14:paraId="1A3FFF77" w14:textId="16E5ECA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186</w:t>
            </w:r>
          </w:p>
        </w:tc>
        <w:tc>
          <w:tcPr>
            <w:tcW w:w="392" w:type="pct"/>
            <w:tcBorders>
              <w:top w:val="single" w:sz="4" w:space="0" w:color="auto"/>
              <w:left w:val="single" w:sz="4" w:space="0" w:color="auto"/>
              <w:bottom w:val="single" w:sz="4" w:space="0" w:color="auto"/>
              <w:right w:val="single" w:sz="4" w:space="0" w:color="auto"/>
            </w:tcBorders>
            <w:vAlign w:val="bottom"/>
          </w:tcPr>
          <w:p w14:paraId="243833F3" w14:textId="0DB5AE6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60.0</w:t>
            </w:r>
          </w:p>
        </w:tc>
        <w:tc>
          <w:tcPr>
            <w:tcW w:w="392" w:type="pct"/>
            <w:tcBorders>
              <w:top w:val="single" w:sz="4" w:space="0" w:color="auto"/>
              <w:left w:val="single" w:sz="4" w:space="0" w:color="auto"/>
              <w:bottom w:val="single" w:sz="4" w:space="0" w:color="auto"/>
              <w:right w:val="single" w:sz="4" w:space="0" w:color="auto"/>
            </w:tcBorders>
            <w:vAlign w:val="bottom"/>
          </w:tcPr>
          <w:p w14:paraId="1B2DC234" w14:textId="0DEF403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124</w:t>
            </w:r>
          </w:p>
        </w:tc>
        <w:tc>
          <w:tcPr>
            <w:tcW w:w="386" w:type="pct"/>
            <w:tcBorders>
              <w:top w:val="single" w:sz="4" w:space="0" w:color="auto"/>
              <w:left w:val="single" w:sz="4" w:space="0" w:color="auto"/>
              <w:bottom w:val="single" w:sz="4" w:space="0" w:color="auto"/>
              <w:right w:val="single" w:sz="4" w:space="0" w:color="auto"/>
            </w:tcBorders>
            <w:vAlign w:val="bottom"/>
          </w:tcPr>
          <w:p w14:paraId="457FFEF6" w14:textId="2E7F3F5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40.0</w:t>
            </w:r>
          </w:p>
        </w:tc>
      </w:tr>
      <w:tr w:rsidR="00217865" w:rsidRPr="00217865" w14:paraId="177D8703"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E025B0E" w14:textId="62ACEF40"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Holmes Institute</w:t>
            </w:r>
          </w:p>
        </w:tc>
        <w:tc>
          <w:tcPr>
            <w:tcW w:w="392" w:type="pct"/>
            <w:tcBorders>
              <w:top w:val="single" w:sz="4" w:space="0" w:color="auto"/>
              <w:left w:val="single" w:sz="4" w:space="0" w:color="auto"/>
              <w:bottom w:val="single" w:sz="4" w:space="0" w:color="auto"/>
              <w:right w:val="single" w:sz="4" w:space="0" w:color="auto"/>
            </w:tcBorders>
            <w:vAlign w:val="bottom"/>
          </w:tcPr>
          <w:p w14:paraId="6B6C1747" w14:textId="1F63488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14</w:t>
            </w:r>
          </w:p>
        </w:tc>
        <w:tc>
          <w:tcPr>
            <w:tcW w:w="392" w:type="pct"/>
            <w:tcBorders>
              <w:top w:val="single" w:sz="4" w:space="0" w:color="auto"/>
              <w:left w:val="single" w:sz="4" w:space="0" w:color="auto"/>
              <w:bottom w:val="single" w:sz="4" w:space="0" w:color="auto"/>
              <w:right w:val="single" w:sz="4" w:space="0" w:color="auto"/>
            </w:tcBorders>
            <w:vAlign w:val="bottom"/>
          </w:tcPr>
          <w:p w14:paraId="2CC5EDEA" w14:textId="3EE1906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4.9</w:t>
            </w:r>
          </w:p>
        </w:tc>
        <w:tc>
          <w:tcPr>
            <w:tcW w:w="392" w:type="pct"/>
            <w:tcBorders>
              <w:top w:val="single" w:sz="4" w:space="0" w:color="auto"/>
              <w:left w:val="single" w:sz="4" w:space="0" w:color="auto"/>
              <w:bottom w:val="single" w:sz="4" w:space="0" w:color="auto"/>
              <w:right w:val="single" w:sz="4" w:space="0" w:color="auto"/>
            </w:tcBorders>
            <w:vAlign w:val="bottom"/>
          </w:tcPr>
          <w:p w14:paraId="4044EBDF" w14:textId="6E6D657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250</w:t>
            </w:r>
          </w:p>
        </w:tc>
        <w:tc>
          <w:tcPr>
            <w:tcW w:w="395" w:type="pct"/>
            <w:tcBorders>
              <w:top w:val="single" w:sz="4" w:space="0" w:color="auto"/>
              <w:left w:val="single" w:sz="4" w:space="0" w:color="auto"/>
              <w:bottom w:val="single" w:sz="4" w:space="0" w:color="auto"/>
              <w:right w:val="single" w:sz="4" w:space="0" w:color="auto"/>
            </w:tcBorders>
            <w:vAlign w:val="bottom"/>
          </w:tcPr>
          <w:p w14:paraId="2F1996E4" w14:textId="75DB040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87.7</w:t>
            </w:r>
          </w:p>
        </w:tc>
        <w:tc>
          <w:tcPr>
            <w:tcW w:w="392" w:type="pct"/>
            <w:tcBorders>
              <w:top w:val="single" w:sz="4" w:space="0" w:color="auto"/>
              <w:left w:val="single" w:sz="4" w:space="0" w:color="auto"/>
              <w:bottom w:val="single" w:sz="4" w:space="0" w:color="auto"/>
              <w:right w:val="single" w:sz="4" w:space="0" w:color="auto"/>
            </w:tcBorders>
            <w:vAlign w:val="bottom"/>
          </w:tcPr>
          <w:p w14:paraId="03BE6A3F" w14:textId="6E35C9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92" w:type="pct"/>
            <w:tcBorders>
              <w:top w:val="single" w:sz="4" w:space="0" w:color="auto"/>
              <w:left w:val="single" w:sz="4" w:space="0" w:color="auto"/>
              <w:bottom w:val="single" w:sz="4" w:space="0" w:color="auto"/>
              <w:right w:val="single" w:sz="4" w:space="0" w:color="auto"/>
            </w:tcBorders>
            <w:vAlign w:val="bottom"/>
          </w:tcPr>
          <w:p w14:paraId="3AFE95F4" w14:textId="20792DB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8.0</w:t>
            </w:r>
          </w:p>
        </w:tc>
        <w:tc>
          <w:tcPr>
            <w:tcW w:w="392" w:type="pct"/>
            <w:tcBorders>
              <w:top w:val="single" w:sz="4" w:space="0" w:color="auto"/>
              <w:left w:val="single" w:sz="4" w:space="0" w:color="auto"/>
              <w:bottom w:val="single" w:sz="4" w:space="0" w:color="auto"/>
              <w:right w:val="single" w:sz="4" w:space="0" w:color="auto"/>
            </w:tcBorders>
            <w:vAlign w:val="bottom"/>
          </w:tcPr>
          <w:p w14:paraId="53CB8BC7" w14:textId="63DBF17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60</w:t>
            </w:r>
          </w:p>
        </w:tc>
        <w:tc>
          <w:tcPr>
            <w:tcW w:w="386" w:type="pct"/>
            <w:tcBorders>
              <w:top w:val="single" w:sz="4" w:space="0" w:color="auto"/>
              <w:left w:val="single" w:sz="4" w:space="0" w:color="auto"/>
              <w:bottom w:val="single" w:sz="4" w:space="0" w:color="auto"/>
              <w:right w:val="single" w:sz="4" w:space="0" w:color="auto"/>
            </w:tcBorders>
            <w:vAlign w:val="bottom"/>
          </w:tcPr>
          <w:p w14:paraId="42BE3ED7" w14:textId="07CA50B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80.0</w:t>
            </w:r>
          </w:p>
        </w:tc>
      </w:tr>
      <w:tr w:rsidR="00217865" w:rsidRPr="00217865" w14:paraId="50BCCE18"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45B14DD0" w14:textId="7787866C" w:rsidR="00F20D1A" w:rsidRPr="00217865" w:rsidRDefault="00F20D1A" w:rsidP="00A43B35">
            <w:pPr>
              <w:pStyle w:val="Z"/>
              <w:spacing w:before="60" w:after="60"/>
              <w:rPr>
                <w:color w:val="000000" w:themeColor="text1"/>
                <w:szCs w:val="18"/>
                <w:highlight w:val="yellow"/>
              </w:rPr>
            </w:pPr>
            <w:proofErr w:type="spellStart"/>
            <w:r w:rsidRPr="00217865">
              <w:rPr>
                <w:color w:val="000000" w:themeColor="text1"/>
                <w:szCs w:val="18"/>
              </w:rPr>
              <w:t>Holmesglen</w:t>
            </w:r>
            <w:proofErr w:type="spellEnd"/>
            <w:r w:rsidRPr="00217865">
              <w:rPr>
                <w:color w:val="000000" w:themeColor="text1"/>
                <w:szCs w:val="18"/>
              </w:rPr>
              <w:t xml:space="preserve"> Institute</w:t>
            </w:r>
          </w:p>
        </w:tc>
        <w:tc>
          <w:tcPr>
            <w:tcW w:w="392" w:type="pct"/>
            <w:tcBorders>
              <w:top w:val="single" w:sz="4" w:space="0" w:color="auto"/>
              <w:left w:val="single" w:sz="4" w:space="0" w:color="auto"/>
              <w:bottom w:val="single" w:sz="4" w:space="0" w:color="auto"/>
              <w:right w:val="single" w:sz="4" w:space="0" w:color="auto"/>
            </w:tcBorders>
            <w:vAlign w:val="bottom"/>
          </w:tcPr>
          <w:p w14:paraId="3E030898" w14:textId="253CC67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414</w:t>
            </w:r>
          </w:p>
        </w:tc>
        <w:tc>
          <w:tcPr>
            <w:tcW w:w="392" w:type="pct"/>
            <w:tcBorders>
              <w:top w:val="single" w:sz="4" w:space="0" w:color="auto"/>
              <w:left w:val="single" w:sz="4" w:space="0" w:color="auto"/>
              <w:bottom w:val="single" w:sz="4" w:space="0" w:color="auto"/>
              <w:right w:val="single" w:sz="4" w:space="0" w:color="auto"/>
            </w:tcBorders>
            <w:vAlign w:val="bottom"/>
          </w:tcPr>
          <w:p w14:paraId="156D7581" w14:textId="27956B1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52.1</w:t>
            </w:r>
          </w:p>
        </w:tc>
        <w:tc>
          <w:tcPr>
            <w:tcW w:w="392" w:type="pct"/>
            <w:tcBorders>
              <w:top w:val="single" w:sz="4" w:space="0" w:color="auto"/>
              <w:left w:val="single" w:sz="4" w:space="0" w:color="auto"/>
              <w:bottom w:val="single" w:sz="4" w:space="0" w:color="auto"/>
              <w:right w:val="single" w:sz="4" w:space="0" w:color="auto"/>
            </w:tcBorders>
            <w:vAlign w:val="bottom"/>
          </w:tcPr>
          <w:p w14:paraId="234197E1" w14:textId="2A391D6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381</w:t>
            </w:r>
          </w:p>
        </w:tc>
        <w:tc>
          <w:tcPr>
            <w:tcW w:w="395" w:type="pct"/>
            <w:tcBorders>
              <w:top w:val="single" w:sz="4" w:space="0" w:color="auto"/>
              <w:left w:val="single" w:sz="4" w:space="0" w:color="auto"/>
              <w:bottom w:val="single" w:sz="4" w:space="0" w:color="auto"/>
              <w:right w:val="single" w:sz="4" w:space="0" w:color="auto"/>
            </w:tcBorders>
            <w:vAlign w:val="bottom"/>
          </w:tcPr>
          <w:p w14:paraId="266C4731" w14:textId="6C28E08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47.9</w:t>
            </w:r>
          </w:p>
        </w:tc>
        <w:tc>
          <w:tcPr>
            <w:tcW w:w="392" w:type="pct"/>
            <w:tcBorders>
              <w:top w:val="single" w:sz="4" w:space="0" w:color="auto"/>
              <w:left w:val="single" w:sz="4" w:space="0" w:color="auto"/>
              <w:bottom w:val="single" w:sz="4" w:space="0" w:color="auto"/>
              <w:right w:val="single" w:sz="4" w:space="0" w:color="auto"/>
            </w:tcBorders>
            <w:vAlign w:val="bottom"/>
          </w:tcPr>
          <w:p w14:paraId="22F3DBF9" w14:textId="773AE0D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104</w:t>
            </w:r>
          </w:p>
        </w:tc>
        <w:tc>
          <w:tcPr>
            <w:tcW w:w="392" w:type="pct"/>
            <w:tcBorders>
              <w:top w:val="single" w:sz="4" w:space="0" w:color="auto"/>
              <w:left w:val="single" w:sz="4" w:space="0" w:color="auto"/>
              <w:bottom w:val="single" w:sz="4" w:space="0" w:color="auto"/>
              <w:right w:val="single" w:sz="4" w:space="0" w:color="auto"/>
            </w:tcBorders>
            <w:vAlign w:val="bottom"/>
          </w:tcPr>
          <w:p w14:paraId="004AA9A4" w14:textId="28D0F96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48.8</w:t>
            </w:r>
          </w:p>
        </w:tc>
        <w:tc>
          <w:tcPr>
            <w:tcW w:w="392" w:type="pct"/>
            <w:tcBorders>
              <w:top w:val="single" w:sz="4" w:space="0" w:color="auto"/>
              <w:left w:val="single" w:sz="4" w:space="0" w:color="auto"/>
              <w:bottom w:val="single" w:sz="4" w:space="0" w:color="auto"/>
              <w:right w:val="single" w:sz="4" w:space="0" w:color="auto"/>
            </w:tcBorders>
            <w:vAlign w:val="bottom"/>
          </w:tcPr>
          <w:p w14:paraId="4B5AA54F" w14:textId="73FD38D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109</w:t>
            </w:r>
          </w:p>
        </w:tc>
        <w:tc>
          <w:tcPr>
            <w:tcW w:w="386" w:type="pct"/>
            <w:tcBorders>
              <w:top w:val="single" w:sz="4" w:space="0" w:color="auto"/>
              <w:left w:val="single" w:sz="4" w:space="0" w:color="auto"/>
              <w:bottom w:val="single" w:sz="4" w:space="0" w:color="auto"/>
              <w:right w:val="single" w:sz="4" w:space="0" w:color="auto"/>
            </w:tcBorders>
            <w:vAlign w:val="bottom"/>
          </w:tcPr>
          <w:p w14:paraId="6F84B265" w14:textId="547A681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51.2</w:t>
            </w:r>
          </w:p>
        </w:tc>
      </w:tr>
      <w:tr w:rsidR="00217865" w:rsidRPr="00217865" w14:paraId="3F5A418D"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63B3CDE" w14:textId="76F75DF7"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Ikon Institute of Australia</w:t>
            </w:r>
          </w:p>
        </w:tc>
        <w:tc>
          <w:tcPr>
            <w:tcW w:w="392" w:type="pct"/>
            <w:tcBorders>
              <w:top w:val="single" w:sz="4" w:space="0" w:color="auto"/>
              <w:left w:val="single" w:sz="4" w:space="0" w:color="auto"/>
              <w:bottom w:val="single" w:sz="4" w:space="0" w:color="auto"/>
              <w:right w:val="single" w:sz="4" w:space="0" w:color="auto"/>
            </w:tcBorders>
            <w:vAlign w:val="bottom"/>
          </w:tcPr>
          <w:p w14:paraId="599AFBCB" w14:textId="0ADCCE5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429</w:t>
            </w:r>
          </w:p>
        </w:tc>
        <w:tc>
          <w:tcPr>
            <w:tcW w:w="392" w:type="pct"/>
            <w:tcBorders>
              <w:top w:val="single" w:sz="4" w:space="0" w:color="auto"/>
              <w:left w:val="single" w:sz="4" w:space="0" w:color="auto"/>
              <w:bottom w:val="single" w:sz="4" w:space="0" w:color="auto"/>
              <w:right w:val="single" w:sz="4" w:space="0" w:color="auto"/>
            </w:tcBorders>
            <w:vAlign w:val="bottom"/>
          </w:tcPr>
          <w:p w14:paraId="29BA915C" w14:textId="53E55C3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53.8</w:t>
            </w:r>
          </w:p>
        </w:tc>
        <w:tc>
          <w:tcPr>
            <w:tcW w:w="392" w:type="pct"/>
            <w:tcBorders>
              <w:top w:val="single" w:sz="4" w:space="0" w:color="auto"/>
              <w:left w:val="single" w:sz="4" w:space="0" w:color="auto"/>
              <w:bottom w:val="single" w:sz="4" w:space="0" w:color="auto"/>
              <w:right w:val="single" w:sz="4" w:space="0" w:color="auto"/>
            </w:tcBorders>
            <w:vAlign w:val="bottom"/>
          </w:tcPr>
          <w:p w14:paraId="75673E80" w14:textId="210E833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369</w:t>
            </w:r>
          </w:p>
        </w:tc>
        <w:tc>
          <w:tcPr>
            <w:tcW w:w="395" w:type="pct"/>
            <w:tcBorders>
              <w:top w:val="single" w:sz="4" w:space="0" w:color="auto"/>
              <w:left w:val="single" w:sz="4" w:space="0" w:color="auto"/>
              <w:bottom w:val="single" w:sz="4" w:space="0" w:color="auto"/>
              <w:right w:val="single" w:sz="4" w:space="0" w:color="auto"/>
            </w:tcBorders>
            <w:vAlign w:val="bottom"/>
          </w:tcPr>
          <w:p w14:paraId="14D5AAAA" w14:textId="44CBBBE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46.2</w:t>
            </w:r>
          </w:p>
        </w:tc>
        <w:tc>
          <w:tcPr>
            <w:tcW w:w="392" w:type="pct"/>
            <w:tcBorders>
              <w:top w:val="single" w:sz="4" w:space="0" w:color="auto"/>
              <w:left w:val="single" w:sz="4" w:space="0" w:color="auto"/>
              <w:bottom w:val="single" w:sz="4" w:space="0" w:color="auto"/>
              <w:right w:val="single" w:sz="4" w:space="0" w:color="auto"/>
            </w:tcBorders>
            <w:vAlign w:val="bottom"/>
          </w:tcPr>
          <w:p w14:paraId="64010077" w14:textId="56F4633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193</w:t>
            </w:r>
          </w:p>
        </w:tc>
        <w:tc>
          <w:tcPr>
            <w:tcW w:w="392" w:type="pct"/>
            <w:tcBorders>
              <w:top w:val="single" w:sz="4" w:space="0" w:color="auto"/>
              <w:left w:val="single" w:sz="4" w:space="0" w:color="auto"/>
              <w:bottom w:val="single" w:sz="4" w:space="0" w:color="auto"/>
              <w:right w:val="single" w:sz="4" w:space="0" w:color="auto"/>
            </w:tcBorders>
            <w:vAlign w:val="bottom"/>
          </w:tcPr>
          <w:p w14:paraId="157BC4BA" w14:textId="788FD83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53.2</w:t>
            </w:r>
          </w:p>
        </w:tc>
        <w:tc>
          <w:tcPr>
            <w:tcW w:w="392" w:type="pct"/>
            <w:tcBorders>
              <w:top w:val="single" w:sz="4" w:space="0" w:color="auto"/>
              <w:left w:val="single" w:sz="4" w:space="0" w:color="auto"/>
              <w:bottom w:val="single" w:sz="4" w:space="0" w:color="auto"/>
              <w:right w:val="single" w:sz="4" w:space="0" w:color="auto"/>
            </w:tcBorders>
            <w:vAlign w:val="bottom"/>
          </w:tcPr>
          <w:p w14:paraId="4836D1D6" w14:textId="4167045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170</w:t>
            </w:r>
          </w:p>
        </w:tc>
        <w:tc>
          <w:tcPr>
            <w:tcW w:w="386" w:type="pct"/>
            <w:tcBorders>
              <w:top w:val="single" w:sz="4" w:space="0" w:color="auto"/>
              <w:left w:val="single" w:sz="4" w:space="0" w:color="auto"/>
              <w:bottom w:val="single" w:sz="4" w:space="0" w:color="auto"/>
              <w:right w:val="single" w:sz="4" w:space="0" w:color="auto"/>
            </w:tcBorders>
            <w:vAlign w:val="bottom"/>
          </w:tcPr>
          <w:p w14:paraId="7A1CD668" w14:textId="281E140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46.8</w:t>
            </w:r>
          </w:p>
        </w:tc>
      </w:tr>
      <w:tr w:rsidR="00217865" w:rsidRPr="00217865" w14:paraId="27FC7337"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4919C1D" w14:textId="24F2767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Institute of Health &amp; Management Pty Ltd</w:t>
            </w:r>
          </w:p>
        </w:tc>
        <w:tc>
          <w:tcPr>
            <w:tcW w:w="392" w:type="pct"/>
            <w:tcBorders>
              <w:top w:val="single" w:sz="4" w:space="0" w:color="auto"/>
              <w:left w:val="single" w:sz="4" w:space="0" w:color="auto"/>
              <w:bottom w:val="single" w:sz="4" w:space="0" w:color="auto"/>
              <w:right w:val="single" w:sz="4" w:space="0" w:color="auto"/>
            </w:tcBorders>
            <w:vAlign w:val="bottom"/>
          </w:tcPr>
          <w:p w14:paraId="611EA880" w14:textId="04B819C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0331788" w14:textId="25C20A5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31A9EDC" w14:textId="201368A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w:t>
            </w:r>
          </w:p>
        </w:tc>
        <w:tc>
          <w:tcPr>
            <w:tcW w:w="395" w:type="pct"/>
            <w:tcBorders>
              <w:top w:val="single" w:sz="4" w:space="0" w:color="auto"/>
              <w:left w:val="single" w:sz="4" w:space="0" w:color="auto"/>
              <w:bottom w:val="single" w:sz="4" w:space="0" w:color="auto"/>
              <w:right w:val="single" w:sz="4" w:space="0" w:color="auto"/>
            </w:tcBorders>
            <w:vAlign w:val="bottom"/>
          </w:tcPr>
          <w:p w14:paraId="5F4D51D6" w14:textId="23A369C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34495895" w14:textId="4F1CA75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CD81DCC" w14:textId="194D98F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09FC1ADE" w14:textId="50F2111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w:t>
            </w:r>
          </w:p>
        </w:tc>
        <w:tc>
          <w:tcPr>
            <w:tcW w:w="386" w:type="pct"/>
            <w:tcBorders>
              <w:top w:val="single" w:sz="4" w:space="0" w:color="auto"/>
              <w:left w:val="single" w:sz="4" w:space="0" w:color="auto"/>
              <w:bottom w:val="single" w:sz="4" w:space="0" w:color="auto"/>
              <w:right w:val="single" w:sz="4" w:space="0" w:color="auto"/>
            </w:tcBorders>
            <w:vAlign w:val="bottom"/>
          </w:tcPr>
          <w:p w14:paraId="279F5E96" w14:textId="7185DB7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44BA1F1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ADCCCD7" w14:textId="37417511"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ICHM</w:t>
            </w:r>
          </w:p>
        </w:tc>
        <w:tc>
          <w:tcPr>
            <w:tcW w:w="392" w:type="pct"/>
            <w:tcBorders>
              <w:top w:val="single" w:sz="4" w:space="0" w:color="auto"/>
              <w:left w:val="single" w:sz="4" w:space="0" w:color="auto"/>
              <w:bottom w:val="single" w:sz="4" w:space="0" w:color="auto"/>
              <w:right w:val="single" w:sz="4" w:space="0" w:color="auto"/>
            </w:tcBorders>
            <w:vAlign w:val="bottom"/>
          </w:tcPr>
          <w:p w14:paraId="23AB0F00" w14:textId="6534EB5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w:t>
            </w:r>
          </w:p>
        </w:tc>
        <w:tc>
          <w:tcPr>
            <w:tcW w:w="392" w:type="pct"/>
            <w:tcBorders>
              <w:top w:val="single" w:sz="4" w:space="0" w:color="auto"/>
              <w:left w:val="single" w:sz="4" w:space="0" w:color="auto"/>
              <w:bottom w:val="single" w:sz="4" w:space="0" w:color="auto"/>
              <w:right w:val="single" w:sz="4" w:space="0" w:color="auto"/>
            </w:tcBorders>
            <w:vAlign w:val="bottom"/>
          </w:tcPr>
          <w:p w14:paraId="746B43FF" w14:textId="3A360EA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25.5</w:t>
            </w:r>
          </w:p>
        </w:tc>
        <w:tc>
          <w:tcPr>
            <w:tcW w:w="392" w:type="pct"/>
            <w:tcBorders>
              <w:top w:val="single" w:sz="4" w:space="0" w:color="auto"/>
              <w:left w:val="single" w:sz="4" w:space="0" w:color="auto"/>
              <w:bottom w:val="single" w:sz="4" w:space="0" w:color="auto"/>
              <w:right w:val="single" w:sz="4" w:space="0" w:color="auto"/>
            </w:tcBorders>
            <w:vAlign w:val="bottom"/>
          </w:tcPr>
          <w:p w14:paraId="521C7509" w14:textId="46DBE0A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73</w:t>
            </w:r>
          </w:p>
        </w:tc>
        <w:tc>
          <w:tcPr>
            <w:tcW w:w="395" w:type="pct"/>
            <w:tcBorders>
              <w:top w:val="single" w:sz="4" w:space="0" w:color="auto"/>
              <w:left w:val="single" w:sz="4" w:space="0" w:color="auto"/>
              <w:bottom w:val="single" w:sz="4" w:space="0" w:color="auto"/>
              <w:right w:val="single" w:sz="4" w:space="0" w:color="auto"/>
            </w:tcBorders>
            <w:vAlign w:val="bottom"/>
          </w:tcPr>
          <w:p w14:paraId="28C2CD96" w14:textId="7C470A6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74.5</w:t>
            </w:r>
          </w:p>
        </w:tc>
        <w:tc>
          <w:tcPr>
            <w:tcW w:w="392" w:type="pct"/>
            <w:tcBorders>
              <w:top w:val="single" w:sz="4" w:space="0" w:color="auto"/>
              <w:left w:val="single" w:sz="4" w:space="0" w:color="auto"/>
              <w:bottom w:val="single" w:sz="4" w:space="0" w:color="auto"/>
              <w:right w:val="single" w:sz="4" w:space="0" w:color="auto"/>
            </w:tcBorders>
            <w:vAlign w:val="bottom"/>
          </w:tcPr>
          <w:p w14:paraId="5455BBDF" w14:textId="4C68505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w:t>
            </w:r>
          </w:p>
        </w:tc>
        <w:tc>
          <w:tcPr>
            <w:tcW w:w="392" w:type="pct"/>
            <w:tcBorders>
              <w:top w:val="single" w:sz="4" w:space="0" w:color="auto"/>
              <w:left w:val="single" w:sz="4" w:space="0" w:color="auto"/>
              <w:bottom w:val="single" w:sz="4" w:space="0" w:color="auto"/>
              <w:right w:val="single" w:sz="4" w:space="0" w:color="auto"/>
            </w:tcBorders>
            <w:vAlign w:val="bottom"/>
          </w:tcPr>
          <w:p w14:paraId="781545AE" w14:textId="58DFEC5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28.1</w:t>
            </w:r>
          </w:p>
        </w:tc>
        <w:tc>
          <w:tcPr>
            <w:tcW w:w="392" w:type="pct"/>
            <w:tcBorders>
              <w:top w:val="single" w:sz="4" w:space="0" w:color="auto"/>
              <w:left w:val="single" w:sz="4" w:space="0" w:color="auto"/>
              <w:bottom w:val="single" w:sz="4" w:space="0" w:color="auto"/>
              <w:right w:val="single" w:sz="4" w:space="0" w:color="auto"/>
            </w:tcBorders>
            <w:vAlign w:val="bottom"/>
          </w:tcPr>
          <w:p w14:paraId="631F2516" w14:textId="217B407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23</w:t>
            </w:r>
          </w:p>
        </w:tc>
        <w:tc>
          <w:tcPr>
            <w:tcW w:w="386" w:type="pct"/>
            <w:tcBorders>
              <w:top w:val="single" w:sz="4" w:space="0" w:color="auto"/>
              <w:left w:val="single" w:sz="4" w:space="0" w:color="auto"/>
              <w:bottom w:val="single" w:sz="4" w:space="0" w:color="auto"/>
              <w:right w:val="single" w:sz="4" w:space="0" w:color="auto"/>
            </w:tcBorders>
            <w:vAlign w:val="bottom"/>
          </w:tcPr>
          <w:p w14:paraId="3CDEA704" w14:textId="1064F42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71.9</w:t>
            </w:r>
          </w:p>
        </w:tc>
      </w:tr>
      <w:tr w:rsidR="00217865" w:rsidRPr="00217865" w14:paraId="5319F7F1"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348937F" w14:textId="0BF7CE6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International College of Management, Sydney</w:t>
            </w:r>
          </w:p>
        </w:tc>
        <w:tc>
          <w:tcPr>
            <w:tcW w:w="392" w:type="pct"/>
            <w:tcBorders>
              <w:top w:val="single" w:sz="4" w:space="0" w:color="auto"/>
              <w:left w:val="single" w:sz="4" w:space="0" w:color="auto"/>
              <w:bottom w:val="single" w:sz="4" w:space="0" w:color="auto"/>
              <w:right w:val="single" w:sz="4" w:space="0" w:color="auto"/>
            </w:tcBorders>
            <w:vAlign w:val="bottom"/>
          </w:tcPr>
          <w:p w14:paraId="024F4190" w14:textId="3CB6AC9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459</w:t>
            </w:r>
          </w:p>
        </w:tc>
        <w:tc>
          <w:tcPr>
            <w:tcW w:w="392" w:type="pct"/>
            <w:tcBorders>
              <w:top w:val="single" w:sz="4" w:space="0" w:color="auto"/>
              <w:left w:val="single" w:sz="4" w:space="0" w:color="auto"/>
              <w:bottom w:val="single" w:sz="4" w:space="0" w:color="auto"/>
              <w:right w:val="single" w:sz="4" w:space="0" w:color="auto"/>
            </w:tcBorders>
            <w:vAlign w:val="bottom"/>
          </w:tcPr>
          <w:p w14:paraId="3592DD4C" w14:textId="470744B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73.0</w:t>
            </w:r>
          </w:p>
        </w:tc>
        <w:tc>
          <w:tcPr>
            <w:tcW w:w="392" w:type="pct"/>
            <w:tcBorders>
              <w:top w:val="single" w:sz="4" w:space="0" w:color="auto"/>
              <w:left w:val="single" w:sz="4" w:space="0" w:color="auto"/>
              <w:bottom w:val="single" w:sz="4" w:space="0" w:color="auto"/>
              <w:right w:val="single" w:sz="4" w:space="0" w:color="auto"/>
            </w:tcBorders>
            <w:vAlign w:val="bottom"/>
          </w:tcPr>
          <w:p w14:paraId="5E4077FD" w14:textId="7CE4EF7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170</w:t>
            </w:r>
          </w:p>
        </w:tc>
        <w:tc>
          <w:tcPr>
            <w:tcW w:w="395" w:type="pct"/>
            <w:tcBorders>
              <w:top w:val="single" w:sz="4" w:space="0" w:color="auto"/>
              <w:left w:val="single" w:sz="4" w:space="0" w:color="auto"/>
              <w:bottom w:val="single" w:sz="4" w:space="0" w:color="auto"/>
              <w:right w:val="single" w:sz="4" w:space="0" w:color="auto"/>
            </w:tcBorders>
            <w:vAlign w:val="bottom"/>
          </w:tcPr>
          <w:p w14:paraId="6A480B69" w14:textId="75C4464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27.0</w:t>
            </w:r>
          </w:p>
        </w:tc>
        <w:tc>
          <w:tcPr>
            <w:tcW w:w="392" w:type="pct"/>
            <w:tcBorders>
              <w:top w:val="single" w:sz="4" w:space="0" w:color="auto"/>
              <w:left w:val="single" w:sz="4" w:space="0" w:color="auto"/>
              <w:bottom w:val="single" w:sz="4" w:space="0" w:color="auto"/>
              <w:right w:val="single" w:sz="4" w:space="0" w:color="auto"/>
            </w:tcBorders>
            <w:vAlign w:val="bottom"/>
          </w:tcPr>
          <w:p w14:paraId="68EAA790" w14:textId="05CA0BA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133</w:t>
            </w:r>
          </w:p>
        </w:tc>
        <w:tc>
          <w:tcPr>
            <w:tcW w:w="392" w:type="pct"/>
            <w:tcBorders>
              <w:top w:val="single" w:sz="4" w:space="0" w:color="auto"/>
              <w:left w:val="single" w:sz="4" w:space="0" w:color="auto"/>
              <w:bottom w:val="single" w:sz="4" w:space="0" w:color="auto"/>
              <w:right w:val="single" w:sz="4" w:space="0" w:color="auto"/>
            </w:tcBorders>
            <w:vAlign w:val="bottom"/>
          </w:tcPr>
          <w:p w14:paraId="0D2B3926" w14:textId="332E067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73.5</w:t>
            </w:r>
          </w:p>
        </w:tc>
        <w:tc>
          <w:tcPr>
            <w:tcW w:w="392" w:type="pct"/>
            <w:tcBorders>
              <w:top w:val="single" w:sz="4" w:space="0" w:color="auto"/>
              <w:left w:val="single" w:sz="4" w:space="0" w:color="auto"/>
              <w:bottom w:val="single" w:sz="4" w:space="0" w:color="auto"/>
              <w:right w:val="single" w:sz="4" w:space="0" w:color="auto"/>
            </w:tcBorders>
            <w:vAlign w:val="bottom"/>
          </w:tcPr>
          <w:p w14:paraId="4E3C279E" w14:textId="07BB0CA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48</w:t>
            </w:r>
          </w:p>
        </w:tc>
        <w:tc>
          <w:tcPr>
            <w:tcW w:w="386" w:type="pct"/>
            <w:tcBorders>
              <w:top w:val="single" w:sz="4" w:space="0" w:color="auto"/>
              <w:left w:val="single" w:sz="4" w:space="0" w:color="auto"/>
              <w:bottom w:val="single" w:sz="4" w:space="0" w:color="auto"/>
              <w:right w:val="single" w:sz="4" w:space="0" w:color="auto"/>
            </w:tcBorders>
            <w:vAlign w:val="bottom"/>
          </w:tcPr>
          <w:p w14:paraId="74C8B6CE" w14:textId="2DE11B1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26.5</w:t>
            </w:r>
          </w:p>
        </w:tc>
      </w:tr>
      <w:tr w:rsidR="00217865" w:rsidRPr="00217865" w14:paraId="36B97A27"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649C32D" w14:textId="2FD9129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ISN Psychology Pty Ltd</w:t>
            </w:r>
          </w:p>
        </w:tc>
        <w:tc>
          <w:tcPr>
            <w:tcW w:w="392" w:type="pct"/>
            <w:tcBorders>
              <w:top w:val="single" w:sz="4" w:space="0" w:color="auto"/>
              <w:left w:val="single" w:sz="4" w:space="0" w:color="auto"/>
              <w:bottom w:val="single" w:sz="4" w:space="0" w:color="auto"/>
              <w:right w:val="single" w:sz="4" w:space="0" w:color="auto"/>
            </w:tcBorders>
            <w:vAlign w:val="bottom"/>
          </w:tcPr>
          <w:p w14:paraId="76D15B07" w14:textId="35AA8DB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79</w:t>
            </w:r>
          </w:p>
        </w:tc>
        <w:tc>
          <w:tcPr>
            <w:tcW w:w="392" w:type="pct"/>
            <w:tcBorders>
              <w:top w:val="single" w:sz="4" w:space="0" w:color="auto"/>
              <w:left w:val="single" w:sz="4" w:space="0" w:color="auto"/>
              <w:bottom w:val="single" w:sz="4" w:space="0" w:color="auto"/>
              <w:right w:val="single" w:sz="4" w:space="0" w:color="auto"/>
            </w:tcBorders>
            <w:vAlign w:val="bottom"/>
          </w:tcPr>
          <w:p w14:paraId="589E18E6" w14:textId="6B0B3FB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42E050C" w14:textId="2997CC4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5" w:type="pct"/>
            <w:tcBorders>
              <w:top w:val="single" w:sz="4" w:space="0" w:color="auto"/>
              <w:left w:val="single" w:sz="4" w:space="0" w:color="auto"/>
              <w:bottom w:val="single" w:sz="4" w:space="0" w:color="auto"/>
              <w:right w:val="single" w:sz="4" w:space="0" w:color="auto"/>
            </w:tcBorders>
            <w:vAlign w:val="bottom"/>
          </w:tcPr>
          <w:p w14:paraId="348480DD" w14:textId="3F83E12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5A508084" w14:textId="4161ABE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29</w:t>
            </w:r>
          </w:p>
        </w:tc>
        <w:tc>
          <w:tcPr>
            <w:tcW w:w="392" w:type="pct"/>
            <w:tcBorders>
              <w:top w:val="single" w:sz="4" w:space="0" w:color="auto"/>
              <w:left w:val="single" w:sz="4" w:space="0" w:color="auto"/>
              <w:bottom w:val="single" w:sz="4" w:space="0" w:color="auto"/>
              <w:right w:val="single" w:sz="4" w:space="0" w:color="auto"/>
            </w:tcBorders>
            <w:vAlign w:val="bottom"/>
          </w:tcPr>
          <w:p w14:paraId="5D5F26D0" w14:textId="5B0D684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2660D1C1" w14:textId="2C65788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6B5BAAEF" w14:textId="4BCEAB7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72EA474B"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48FF03B" w14:textId="5433ACC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Jazz Music Institute</w:t>
            </w:r>
          </w:p>
        </w:tc>
        <w:tc>
          <w:tcPr>
            <w:tcW w:w="392" w:type="pct"/>
            <w:tcBorders>
              <w:top w:val="single" w:sz="4" w:space="0" w:color="auto"/>
              <w:left w:val="single" w:sz="4" w:space="0" w:color="auto"/>
              <w:bottom w:val="single" w:sz="4" w:space="0" w:color="auto"/>
              <w:right w:val="single" w:sz="4" w:space="0" w:color="auto"/>
            </w:tcBorders>
            <w:vAlign w:val="bottom"/>
          </w:tcPr>
          <w:p w14:paraId="20FFB48B" w14:textId="5D78BD0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63</w:t>
            </w:r>
          </w:p>
        </w:tc>
        <w:tc>
          <w:tcPr>
            <w:tcW w:w="392" w:type="pct"/>
            <w:tcBorders>
              <w:top w:val="single" w:sz="4" w:space="0" w:color="auto"/>
              <w:left w:val="single" w:sz="4" w:space="0" w:color="auto"/>
              <w:bottom w:val="single" w:sz="4" w:space="0" w:color="auto"/>
              <w:right w:val="single" w:sz="4" w:space="0" w:color="auto"/>
            </w:tcBorders>
            <w:vAlign w:val="bottom"/>
          </w:tcPr>
          <w:p w14:paraId="0CBDF950" w14:textId="7BF811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98.4</w:t>
            </w:r>
          </w:p>
        </w:tc>
        <w:tc>
          <w:tcPr>
            <w:tcW w:w="392" w:type="pct"/>
            <w:tcBorders>
              <w:top w:val="single" w:sz="4" w:space="0" w:color="auto"/>
              <w:left w:val="single" w:sz="4" w:space="0" w:color="auto"/>
              <w:bottom w:val="single" w:sz="4" w:space="0" w:color="auto"/>
              <w:right w:val="single" w:sz="4" w:space="0" w:color="auto"/>
            </w:tcBorders>
            <w:vAlign w:val="bottom"/>
          </w:tcPr>
          <w:p w14:paraId="6F122A1B" w14:textId="76B30E5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26E648EB" w14:textId="4E39172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1.6</w:t>
            </w:r>
          </w:p>
        </w:tc>
        <w:tc>
          <w:tcPr>
            <w:tcW w:w="392" w:type="pct"/>
            <w:tcBorders>
              <w:top w:val="single" w:sz="4" w:space="0" w:color="auto"/>
              <w:left w:val="single" w:sz="4" w:space="0" w:color="auto"/>
              <w:bottom w:val="single" w:sz="4" w:space="0" w:color="auto"/>
              <w:right w:val="single" w:sz="4" w:space="0" w:color="auto"/>
            </w:tcBorders>
            <w:vAlign w:val="bottom"/>
          </w:tcPr>
          <w:p w14:paraId="6B8823A1" w14:textId="7F3A62B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w:t>
            </w:r>
          </w:p>
        </w:tc>
        <w:tc>
          <w:tcPr>
            <w:tcW w:w="392" w:type="pct"/>
            <w:tcBorders>
              <w:top w:val="single" w:sz="4" w:space="0" w:color="auto"/>
              <w:left w:val="single" w:sz="4" w:space="0" w:color="auto"/>
              <w:bottom w:val="single" w:sz="4" w:space="0" w:color="auto"/>
              <w:right w:val="single" w:sz="4" w:space="0" w:color="auto"/>
            </w:tcBorders>
            <w:vAlign w:val="bottom"/>
          </w:tcPr>
          <w:p w14:paraId="60CBC389" w14:textId="7DEA437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041935EA" w14:textId="1F2A708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56360F00" w14:textId="3A2B346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r>
      <w:tr w:rsidR="00217865" w:rsidRPr="00217865" w14:paraId="3E09FD59"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0BDEF5A" w14:textId="2686DD1E"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Kaplan Business School</w:t>
            </w:r>
          </w:p>
        </w:tc>
        <w:tc>
          <w:tcPr>
            <w:tcW w:w="392" w:type="pct"/>
            <w:tcBorders>
              <w:top w:val="single" w:sz="4" w:space="0" w:color="auto"/>
              <w:left w:val="single" w:sz="4" w:space="0" w:color="auto"/>
              <w:bottom w:val="single" w:sz="4" w:space="0" w:color="auto"/>
              <w:right w:val="single" w:sz="4" w:space="0" w:color="auto"/>
            </w:tcBorders>
            <w:vAlign w:val="bottom"/>
          </w:tcPr>
          <w:p w14:paraId="319400C6" w14:textId="1EDD7F1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w:t>
            </w:r>
          </w:p>
        </w:tc>
        <w:tc>
          <w:tcPr>
            <w:tcW w:w="392" w:type="pct"/>
            <w:tcBorders>
              <w:top w:val="single" w:sz="4" w:space="0" w:color="auto"/>
              <w:left w:val="single" w:sz="4" w:space="0" w:color="auto"/>
              <w:bottom w:val="single" w:sz="4" w:space="0" w:color="auto"/>
              <w:right w:val="single" w:sz="4" w:space="0" w:color="auto"/>
            </w:tcBorders>
            <w:vAlign w:val="bottom"/>
          </w:tcPr>
          <w:p w14:paraId="15EE84CC" w14:textId="32629D1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0.5</w:t>
            </w:r>
          </w:p>
        </w:tc>
        <w:tc>
          <w:tcPr>
            <w:tcW w:w="392" w:type="pct"/>
            <w:tcBorders>
              <w:top w:val="single" w:sz="4" w:space="0" w:color="auto"/>
              <w:left w:val="single" w:sz="4" w:space="0" w:color="auto"/>
              <w:bottom w:val="single" w:sz="4" w:space="0" w:color="auto"/>
              <w:right w:val="single" w:sz="4" w:space="0" w:color="auto"/>
            </w:tcBorders>
            <w:vAlign w:val="bottom"/>
          </w:tcPr>
          <w:p w14:paraId="7A6949EB" w14:textId="0C30F9C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973</w:t>
            </w:r>
          </w:p>
        </w:tc>
        <w:tc>
          <w:tcPr>
            <w:tcW w:w="395" w:type="pct"/>
            <w:tcBorders>
              <w:top w:val="single" w:sz="4" w:space="0" w:color="auto"/>
              <w:left w:val="single" w:sz="4" w:space="0" w:color="auto"/>
              <w:bottom w:val="single" w:sz="4" w:space="0" w:color="auto"/>
              <w:right w:val="single" w:sz="4" w:space="0" w:color="auto"/>
            </w:tcBorders>
            <w:vAlign w:val="bottom"/>
          </w:tcPr>
          <w:p w14:paraId="3445A4F9" w14:textId="4DEB4E9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99.5</w:t>
            </w:r>
          </w:p>
        </w:tc>
        <w:tc>
          <w:tcPr>
            <w:tcW w:w="392" w:type="pct"/>
            <w:tcBorders>
              <w:top w:val="single" w:sz="4" w:space="0" w:color="auto"/>
              <w:left w:val="single" w:sz="4" w:space="0" w:color="auto"/>
              <w:bottom w:val="single" w:sz="4" w:space="0" w:color="auto"/>
              <w:right w:val="single" w:sz="4" w:space="0" w:color="auto"/>
            </w:tcBorders>
            <w:vAlign w:val="bottom"/>
          </w:tcPr>
          <w:p w14:paraId="6ED6ADCF" w14:textId="5733B88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CD6D7BC" w14:textId="763ABE3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191F12C1" w14:textId="469F9C5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355</w:t>
            </w:r>
          </w:p>
        </w:tc>
        <w:tc>
          <w:tcPr>
            <w:tcW w:w="386" w:type="pct"/>
            <w:tcBorders>
              <w:top w:val="single" w:sz="4" w:space="0" w:color="auto"/>
              <w:left w:val="single" w:sz="4" w:space="0" w:color="auto"/>
              <w:bottom w:val="single" w:sz="4" w:space="0" w:color="auto"/>
              <w:right w:val="single" w:sz="4" w:space="0" w:color="auto"/>
            </w:tcBorders>
            <w:vAlign w:val="bottom"/>
          </w:tcPr>
          <w:p w14:paraId="581F2637" w14:textId="743DB28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3810E3A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049125B" w14:textId="7DF61D8F"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King's Own Institute</w:t>
            </w:r>
          </w:p>
        </w:tc>
        <w:tc>
          <w:tcPr>
            <w:tcW w:w="392" w:type="pct"/>
            <w:tcBorders>
              <w:top w:val="single" w:sz="4" w:space="0" w:color="auto"/>
              <w:left w:val="single" w:sz="4" w:space="0" w:color="auto"/>
              <w:bottom w:val="single" w:sz="4" w:space="0" w:color="auto"/>
              <w:right w:val="single" w:sz="4" w:space="0" w:color="auto"/>
            </w:tcBorders>
            <w:vAlign w:val="bottom"/>
          </w:tcPr>
          <w:p w14:paraId="2E51EA6D" w14:textId="65D8EC5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179B2860" w14:textId="4DF0778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0.1</w:t>
            </w:r>
          </w:p>
        </w:tc>
        <w:tc>
          <w:tcPr>
            <w:tcW w:w="392" w:type="pct"/>
            <w:tcBorders>
              <w:top w:val="single" w:sz="4" w:space="0" w:color="auto"/>
              <w:left w:val="single" w:sz="4" w:space="0" w:color="auto"/>
              <w:bottom w:val="single" w:sz="4" w:space="0" w:color="auto"/>
              <w:right w:val="single" w:sz="4" w:space="0" w:color="auto"/>
            </w:tcBorders>
            <w:vAlign w:val="bottom"/>
          </w:tcPr>
          <w:p w14:paraId="36689702" w14:textId="1D26B51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1,241</w:t>
            </w:r>
          </w:p>
        </w:tc>
        <w:tc>
          <w:tcPr>
            <w:tcW w:w="395" w:type="pct"/>
            <w:tcBorders>
              <w:top w:val="single" w:sz="4" w:space="0" w:color="auto"/>
              <w:left w:val="single" w:sz="4" w:space="0" w:color="auto"/>
              <w:bottom w:val="single" w:sz="4" w:space="0" w:color="auto"/>
              <w:right w:val="single" w:sz="4" w:space="0" w:color="auto"/>
            </w:tcBorders>
            <w:vAlign w:val="bottom"/>
          </w:tcPr>
          <w:p w14:paraId="6576010A" w14:textId="70FED4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99.9</w:t>
            </w:r>
          </w:p>
        </w:tc>
        <w:tc>
          <w:tcPr>
            <w:tcW w:w="392" w:type="pct"/>
            <w:tcBorders>
              <w:top w:val="single" w:sz="4" w:space="0" w:color="auto"/>
              <w:left w:val="single" w:sz="4" w:space="0" w:color="auto"/>
              <w:bottom w:val="single" w:sz="4" w:space="0" w:color="auto"/>
              <w:right w:val="single" w:sz="4" w:space="0" w:color="auto"/>
            </w:tcBorders>
            <w:vAlign w:val="bottom"/>
          </w:tcPr>
          <w:p w14:paraId="7B12CA40" w14:textId="7B19F19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1AE5EF7D" w14:textId="2D569CF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0.2</w:t>
            </w:r>
          </w:p>
        </w:tc>
        <w:tc>
          <w:tcPr>
            <w:tcW w:w="392" w:type="pct"/>
            <w:tcBorders>
              <w:top w:val="single" w:sz="4" w:space="0" w:color="auto"/>
              <w:left w:val="single" w:sz="4" w:space="0" w:color="auto"/>
              <w:bottom w:val="single" w:sz="4" w:space="0" w:color="auto"/>
              <w:right w:val="single" w:sz="4" w:space="0" w:color="auto"/>
            </w:tcBorders>
            <w:vAlign w:val="bottom"/>
          </w:tcPr>
          <w:p w14:paraId="02215A2B" w14:textId="6ED007C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467</w:t>
            </w:r>
          </w:p>
        </w:tc>
        <w:tc>
          <w:tcPr>
            <w:tcW w:w="386" w:type="pct"/>
            <w:tcBorders>
              <w:top w:val="single" w:sz="4" w:space="0" w:color="auto"/>
              <w:left w:val="single" w:sz="4" w:space="0" w:color="auto"/>
              <w:bottom w:val="single" w:sz="4" w:space="0" w:color="auto"/>
              <w:right w:val="single" w:sz="4" w:space="0" w:color="auto"/>
            </w:tcBorders>
            <w:vAlign w:val="bottom"/>
          </w:tcPr>
          <w:p w14:paraId="548CC93C" w14:textId="3DC7D7B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99.8</w:t>
            </w:r>
          </w:p>
        </w:tc>
      </w:tr>
      <w:tr w:rsidR="00217865" w:rsidRPr="00217865" w14:paraId="5E54C111"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AFB75BB" w14:textId="36AAF007"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La Trobe College Australia</w:t>
            </w:r>
          </w:p>
        </w:tc>
        <w:tc>
          <w:tcPr>
            <w:tcW w:w="392" w:type="pct"/>
            <w:tcBorders>
              <w:top w:val="single" w:sz="4" w:space="0" w:color="auto"/>
              <w:left w:val="single" w:sz="4" w:space="0" w:color="auto"/>
              <w:bottom w:val="single" w:sz="4" w:space="0" w:color="auto"/>
              <w:right w:val="single" w:sz="4" w:space="0" w:color="auto"/>
            </w:tcBorders>
            <w:vAlign w:val="bottom"/>
          </w:tcPr>
          <w:p w14:paraId="1BE079E0" w14:textId="56C71C0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272</w:t>
            </w:r>
          </w:p>
        </w:tc>
        <w:tc>
          <w:tcPr>
            <w:tcW w:w="392" w:type="pct"/>
            <w:tcBorders>
              <w:top w:val="single" w:sz="4" w:space="0" w:color="auto"/>
              <w:left w:val="single" w:sz="4" w:space="0" w:color="auto"/>
              <w:bottom w:val="single" w:sz="4" w:space="0" w:color="auto"/>
              <w:right w:val="single" w:sz="4" w:space="0" w:color="auto"/>
            </w:tcBorders>
            <w:vAlign w:val="bottom"/>
          </w:tcPr>
          <w:p w14:paraId="0DB0526E" w14:textId="2F8A159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38.1</w:t>
            </w:r>
          </w:p>
        </w:tc>
        <w:tc>
          <w:tcPr>
            <w:tcW w:w="392" w:type="pct"/>
            <w:tcBorders>
              <w:top w:val="single" w:sz="4" w:space="0" w:color="auto"/>
              <w:left w:val="single" w:sz="4" w:space="0" w:color="auto"/>
              <w:bottom w:val="single" w:sz="4" w:space="0" w:color="auto"/>
              <w:right w:val="single" w:sz="4" w:space="0" w:color="auto"/>
            </w:tcBorders>
            <w:vAlign w:val="bottom"/>
          </w:tcPr>
          <w:p w14:paraId="40570773" w14:textId="5F6A7F9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442</w:t>
            </w:r>
          </w:p>
        </w:tc>
        <w:tc>
          <w:tcPr>
            <w:tcW w:w="395" w:type="pct"/>
            <w:tcBorders>
              <w:top w:val="single" w:sz="4" w:space="0" w:color="auto"/>
              <w:left w:val="single" w:sz="4" w:space="0" w:color="auto"/>
              <w:bottom w:val="single" w:sz="4" w:space="0" w:color="auto"/>
              <w:right w:val="single" w:sz="4" w:space="0" w:color="auto"/>
            </w:tcBorders>
            <w:vAlign w:val="bottom"/>
          </w:tcPr>
          <w:p w14:paraId="65C5972C" w14:textId="13AEBAB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61.9</w:t>
            </w:r>
          </w:p>
        </w:tc>
        <w:tc>
          <w:tcPr>
            <w:tcW w:w="392" w:type="pct"/>
            <w:tcBorders>
              <w:top w:val="single" w:sz="4" w:space="0" w:color="auto"/>
              <w:left w:val="single" w:sz="4" w:space="0" w:color="auto"/>
              <w:bottom w:val="single" w:sz="4" w:space="0" w:color="auto"/>
              <w:right w:val="single" w:sz="4" w:space="0" w:color="auto"/>
            </w:tcBorders>
            <w:vAlign w:val="bottom"/>
          </w:tcPr>
          <w:p w14:paraId="68456F5D" w14:textId="313E1B6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w:t>
            </w:r>
          </w:p>
        </w:tc>
        <w:tc>
          <w:tcPr>
            <w:tcW w:w="392" w:type="pct"/>
            <w:tcBorders>
              <w:top w:val="single" w:sz="4" w:space="0" w:color="auto"/>
              <w:left w:val="single" w:sz="4" w:space="0" w:color="auto"/>
              <w:bottom w:val="single" w:sz="4" w:space="0" w:color="auto"/>
              <w:right w:val="single" w:sz="4" w:space="0" w:color="auto"/>
            </w:tcBorders>
            <w:vAlign w:val="bottom"/>
          </w:tcPr>
          <w:p w14:paraId="4ACE30B4" w14:textId="36AD3FB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34.5</w:t>
            </w:r>
          </w:p>
        </w:tc>
        <w:tc>
          <w:tcPr>
            <w:tcW w:w="392" w:type="pct"/>
            <w:tcBorders>
              <w:top w:val="single" w:sz="4" w:space="0" w:color="auto"/>
              <w:left w:val="single" w:sz="4" w:space="0" w:color="auto"/>
              <w:bottom w:val="single" w:sz="4" w:space="0" w:color="auto"/>
              <w:right w:val="single" w:sz="4" w:space="0" w:color="auto"/>
            </w:tcBorders>
            <w:vAlign w:val="bottom"/>
          </w:tcPr>
          <w:p w14:paraId="632F5523" w14:textId="2F72236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175</w:t>
            </w:r>
          </w:p>
        </w:tc>
        <w:tc>
          <w:tcPr>
            <w:tcW w:w="386" w:type="pct"/>
            <w:tcBorders>
              <w:top w:val="single" w:sz="4" w:space="0" w:color="auto"/>
              <w:left w:val="single" w:sz="4" w:space="0" w:color="auto"/>
              <w:bottom w:val="single" w:sz="4" w:space="0" w:color="auto"/>
              <w:right w:val="single" w:sz="4" w:space="0" w:color="auto"/>
            </w:tcBorders>
            <w:vAlign w:val="bottom"/>
          </w:tcPr>
          <w:p w14:paraId="29E20133" w14:textId="48C4EAA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65.5</w:t>
            </w:r>
          </w:p>
        </w:tc>
      </w:tr>
      <w:tr w:rsidR="00217865" w:rsidRPr="00217865" w14:paraId="507A38F9"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47F8436" w14:textId="456BDAE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LCI Melbourne</w:t>
            </w:r>
          </w:p>
        </w:tc>
        <w:tc>
          <w:tcPr>
            <w:tcW w:w="392" w:type="pct"/>
            <w:tcBorders>
              <w:top w:val="single" w:sz="4" w:space="0" w:color="auto"/>
              <w:left w:val="single" w:sz="4" w:space="0" w:color="auto"/>
              <w:bottom w:val="single" w:sz="4" w:space="0" w:color="auto"/>
              <w:right w:val="single" w:sz="4" w:space="0" w:color="auto"/>
            </w:tcBorders>
            <w:vAlign w:val="bottom"/>
          </w:tcPr>
          <w:p w14:paraId="5B00000E" w14:textId="55B95A2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112</w:t>
            </w:r>
          </w:p>
        </w:tc>
        <w:tc>
          <w:tcPr>
            <w:tcW w:w="392" w:type="pct"/>
            <w:tcBorders>
              <w:top w:val="single" w:sz="4" w:space="0" w:color="auto"/>
              <w:left w:val="single" w:sz="4" w:space="0" w:color="auto"/>
              <w:bottom w:val="single" w:sz="4" w:space="0" w:color="auto"/>
              <w:right w:val="single" w:sz="4" w:space="0" w:color="auto"/>
            </w:tcBorders>
            <w:vAlign w:val="bottom"/>
          </w:tcPr>
          <w:p w14:paraId="2A0EFD6B" w14:textId="42C5927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91.8</w:t>
            </w:r>
          </w:p>
        </w:tc>
        <w:tc>
          <w:tcPr>
            <w:tcW w:w="392" w:type="pct"/>
            <w:tcBorders>
              <w:top w:val="single" w:sz="4" w:space="0" w:color="auto"/>
              <w:left w:val="single" w:sz="4" w:space="0" w:color="auto"/>
              <w:bottom w:val="single" w:sz="4" w:space="0" w:color="auto"/>
              <w:right w:val="single" w:sz="4" w:space="0" w:color="auto"/>
            </w:tcBorders>
            <w:vAlign w:val="bottom"/>
          </w:tcPr>
          <w:p w14:paraId="1C1CADAB" w14:textId="3091C85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w:t>
            </w:r>
          </w:p>
        </w:tc>
        <w:tc>
          <w:tcPr>
            <w:tcW w:w="395" w:type="pct"/>
            <w:tcBorders>
              <w:top w:val="single" w:sz="4" w:space="0" w:color="auto"/>
              <w:left w:val="single" w:sz="4" w:space="0" w:color="auto"/>
              <w:bottom w:val="single" w:sz="4" w:space="0" w:color="auto"/>
              <w:right w:val="single" w:sz="4" w:space="0" w:color="auto"/>
            </w:tcBorders>
            <w:vAlign w:val="bottom"/>
          </w:tcPr>
          <w:p w14:paraId="133F2AA7" w14:textId="63BE65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8.2</w:t>
            </w:r>
          </w:p>
        </w:tc>
        <w:tc>
          <w:tcPr>
            <w:tcW w:w="392" w:type="pct"/>
            <w:tcBorders>
              <w:top w:val="single" w:sz="4" w:space="0" w:color="auto"/>
              <w:left w:val="single" w:sz="4" w:space="0" w:color="auto"/>
              <w:bottom w:val="single" w:sz="4" w:space="0" w:color="auto"/>
              <w:right w:val="single" w:sz="4" w:space="0" w:color="auto"/>
            </w:tcBorders>
            <w:vAlign w:val="bottom"/>
          </w:tcPr>
          <w:p w14:paraId="7953FE9D" w14:textId="1A37823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46</w:t>
            </w:r>
          </w:p>
        </w:tc>
        <w:tc>
          <w:tcPr>
            <w:tcW w:w="392" w:type="pct"/>
            <w:tcBorders>
              <w:top w:val="single" w:sz="4" w:space="0" w:color="auto"/>
              <w:left w:val="single" w:sz="4" w:space="0" w:color="auto"/>
              <w:bottom w:val="single" w:sz="4" w:space="0" w:color="auto"/>
              <w:right w:val="single" w:sz="4" w:space="0" w:color="auto"/>
            </w:tcBorders>
            <w:vAlign w:val="bottom"/>
          </w:tcPr>
          <w:p w14:paraId="265BC4D9" w14:textId="5A9F75D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95.8</w:t>
            </w:r>
          </w:p>
        </w:tc>
        <w:tc>
          <w:tcPr>
            <w:tcW w:w="392" w:type="pct"/>
            <w:tcBorders>
              <w:top w:val="single" w:sz="4" w:space="0" w:color="auto"/>
              <w:left w:val="single" w:sz="4" w:space="0" w:color="auto"/>
              <w:bottom w:val="single" w:sz="4" w:space="0" w:color="auto"/>
              <w:right w:val="single" w:sz="4" w:space="0" w:color="auto"/>
            </w:tcBorders>
            <w:vAlign w:val="bottom"/>
          </w:tcPr>
          <w:p w14:paraId="299B7D65" w14:textId="5E8B06F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4D2646E2" w14:textId="7355995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4.2</w:t>
            </w:r>
          </w:p>
        </w:tc>
      </w:tr>
      <w:tr w:rsidR="00217865" w:rsidRPr="00217865" w14:paraId="4EDA9A3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BE87F5F" w14:textId="16971829"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Le Cordon Bleu Australia</w:t>
            </w:r>
          </w:p>
        </w:tc>
        <w:tc>
          <w:tcPr>
            <w:tcW w:w="392" w:type="pct"/>
            <w:tcBorders>
              <w:top w:val="single" w:sz="4" w:space="0" w:color="auto"/>
              <w:left w:val="single" w:sz="4" w:space="0" w:color="auto"/>
              <w:bottom w:val="single" w:sz="4" w:space="0" w:color="auto"/>
              <w:right w:val="single" w:sz="4" w:space="0" w:color="auto"/>
            </w:tcBorders>
            <w:vAlign w:val="bottom"/>
          </w:tcPr>
          <w:p w14:paraId="216B5454" w14:textId="3D869BF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92" w:type="pct"/>
            <w:tcBorders>
              <w:top w:val="single" w:sz="4" w:space="0" w:color="auto"/>
              <w:left w:val="single" w:sz="4" w:space="0" w:color="auto"/>
              <w:bottom w:val="single" w:sz="4" w:space="0" w:color="auto"/>
              <w:right w:val="single" w:sz="4" w:space="0" w:color="auto"/>
            </w:tcBorders>
            <w:vAlign w:val="bottom"/>
          </w:tcPr>
          <w:p w14:paraId="2D8ED4E3" w14:textId="701AEA2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7.4</w:t>
            </w:r>
          </w:p>
        </w:tc>
        <w:tc>
          <w:tcPr>
            <w:tcW w:w="392" w:type="pct"/>
            <w:tcBorders>
              <w:top w:val="single" w:sz="4" w:space="0" w:color="auto"/>
              <w:left w:val="single" w:sz="4" w:space="0" w:color="auto"/>
              <w:bottom w:val="single" w:sz="4" w:space="0" w:color="auto"/>
              <w:right w:val="single" w:sz="4" w:space="0" w:color="auto"/>
            </w:tcBorders>
            <w:vAlign w:val="bottom"/>
          </w:tcPr>
          <w:p w14:paraId="5B89CF0C" w14:textId="5395278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75</w:t>
            </w:r>
          </w:p>
        </w:tc>
        <w:tc>
          <w:tcPr>
            <w:tcW w:w="395" w:type="pct"/>
            <w:tcBorders>
              <w:top w:val="single" w:sz="4" w:space="0" w:color="auto"/>
              <w:left w:val="single" w:sz="4" w:space="0" w:color="auto"/>
              <w:bottom w:val="single" w:sz="4" w:space="0" w:color="auto"/>
              <w:right w:val="single" w:sz="4" w:space="0" w:color="auto"/>
            </w:tcBorders>
            <w:vAlign w:val="bottom"/>
          </w:tcPr>
          <w:p w14:paraId="50D8DD3E" w14:textId="1C19D4E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92.6</w:t>
            </w:r>
          </w:p>
        </w:tc>
        <w:tc>
          <w:tcPr>
            <w:tcW w:w="392" w:type="pct"/>
            <w:tcBorders>
              <w:top w:val="single" w:sz="4" w:space="0" w:color="auto"/>
              <w:left w:val="single" w:sz="4" w:space="0" w:color="auto"/>
              <w:bottom w:val="single" w:sz="4" w:space="0" w:color="auto"/>
              <w:right w:val="single" w:sz="4" w:space="0" w:color="auto"/>
            </w:tcBorders>
            <w:vAlign w:val="bottom"/>
          </w:tcPr>
          <w:p w14:paraId="2AAC8438" w14:textId="2608CB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37591303" w14:textId="3A71E3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8.7</w:t>
            </w:r>
          </w:p>
        </w:tc>
        <w:tc>
          <w:tcPr>
            <w:tcW w:w="392" w:type="pct"/>
            <w:tcBorders>
              <w:top w:val="single" w:sz="4" w:space="0" w:color="auto"/>
              <w:left w:val="single" w:sz="4" w:space="0" w:color="auto"/>
              <w:bottom w:val="single" w:sz="4" w:space="0" w:color="auto"/>
              <w:right w:val="single" w:sz="4" w:space="0" w:color="auto"/>
            </w:tcBorders>
            <w:vAlign w:val="bottom"/>
          </w:tcPr>
          <w:p w14:paraId="6F3B3C8B" w14:textId="3E2FA97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21</w:t>
            </w:r>
          </w:p>
        </w:tc>
        <w:tc>
          <w:tcPr>
            <w:tcW w:w="386" w:type="pct"/>
            <w:tcBorders>
              <w:top w:val="single" w:sz="4" w:space="0" w:color="auto"/>
              <w:left w:val="single" w:sz="4" w:space="0" w:color="auto"/>
              <w:bottom w:val="single" w:sz="4" w:space="0" w:color="auto"/>
              <w:right w:val="single" w:sz="4" w:space="0" w:color="auto"/>
            </w:tcBorders>
            <w:vAlign w:val="bottom"/>
          </w:tcPr>
          <w:p w14:paraId="4E8E9442" w14:textId="4585094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91.3</w:t>
            </w:r>
          </w:p>
        </w:tc>
      </w:tr>
      <w:tr w:rsidR="00217865" w:rsidRPr="00217865" w14:paraId="7A20C4DE"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35C1670" w14:textId="1BC1DAD6"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Leaders Institute</w:t>
            </w:r>
          </w:p>
        </w:tc>
        <w:tc>
          <w:tcPr>
            <w:tcW w:w="392" w:type="pct"/>
            <w:tcBorders>
              <w:top w:val="single" w:sz="4" w:space="0" w:color="auto"/>
              <w:left w:val="single" w:sz="4" w:space="0" w:color="auto"/>
              <w:bottom w:val="single" w:sz="4" w:space="0" w:color="auto"/>
              <w:right w:val="single" w:sz="4" w:space="0" w:color="auto"/>
            </w:tcBorders>
            <w:vAlign w:val="bottom"/>
          </w:tcPr>
          <w:p w14:paraId="6ED59F53" w14:textId="76F508C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144E2EC9" w14:textId="315D92C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w:t>
            </w:r>
          </w:p>
        </w:tc>
        <w:tc>
          <w:tcPr>
            <w:tcW w:w="392" w:type="pct"/>
            <w:tcBorders>
              <w:top w:val="single" w:sz="4" w:space="0" w:color="auto"/>
              <w:left w:val="single" w:sz="4" w:space="0" w:color="auto"/>
              <w:bottom w:val="single" w:sz="4" w:space="0" w:color="auto"/>
              <w:right w:val="single" w:sz="4" w:space="0" w:color="auto"/>
            </w:tcBorders>
            <w:vAlign w:val="bottom"/>
          </w:tcPr>
          <w:p w14:paraId="1665A3C6" w14:textId="6DD3CA4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54</w:t>
            </w:r>
          </w:p>
        </w:tc>
        <w:tc>
          <w:tcPr>
            <w:tcW w:w="395" w:type="pct"/>
            <w:tcBorders>
              <w:top w:val="single" w:sz="4" w:space="0" w:color="auto"/>
              <w:left w:val="single" w:sz="4" w:space="0" w:color="auto"/>
              <w:bottom w:val="single" w:sz="4" w:space="0" w:color="auto"/>
              <w:right w:val="single" w:sz="4" w:space="0" w:color="auto"/>
            </w:tcBorders>
            <w:vAlign w:val="bottom"/>
          </w:tcPr>
          <w:p w14:paraId="544892BC" w14:textId="71031F2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98.2</w:t>
            </w:r>
          </w:p>
        </w:tc>
        <w:tc>
          <w:tcPr>
            <w:tcW w:w="392" w:type="pct"/>
            <w:tcBorders>
              <w:top w:val="single" w:sz="4" w:space="0" w:color="auto"/>
              <w:left w:val="single" w:sz="4" w:space="0" w:color="auto"/>
              <w:bottom w:val="single" w:sz="4" w:space="0" w:color="auto"/>
              <w:right w:val="single" w:sz="4" w:space="0" w:color="auto"/>
            </w:tcBorders>
            <w:vAlign w:val="bottom"/>
          </w:tcPr>
          <w:p w14:paraId="7F320BC9" w14:textId="1FCE87E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3DFB27E3" w14:textId="5140DBC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2.3</w:t>
            </w:r>
          </w:p>
        </w:tc>
        <w:tc>
          <w:tcPr>
            <w:tcW w:w="392" w:type="pct"/>
            <w:tcBorders>
              <w:top w:val="single" w:sz="4" w:space="0" w:color="auto"/>
              <w:left w:val="single" w:sz="4" w:space="0" w:color="auto"/>
              <w:bottom w:val="single" w:sz="4" w:space="0" w:color="auto"/>
              <w:right w:val="single" w:sz="4" w:space="0" w:color="auto"/>
            </w:tcBorders>
            <w:vAlign w:val="bottom"/>
          </w:tcPr>
          <w:p w14:paraId="673611B2" w14:textId="403C048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42</w:t>
            </w:r>
          </w:p>
        </w:tc>
        <w:tc>
          <w:tcPr>
            <w:tcW w:w="386" w:type="pct"/>
            <w:tcBorders>
              <w:top w:val="single" w:sz="4" w:space="0" w:color="auto"/>
              <w:left w:val="single" w:sz="4" w:space="0" w:color="auto"/>
              <w:bottom w:val="single" w:sz="4" w:space="0" w:color="auto"/>
              <w:right w:val="single" w:sz="4" w:space="0" w:color="auto"/>
            </w:tcBorders>
            <w:vAlign w:val="bottom"/>
          </w:tcPr>
          <w:p w14:paraId="2051B887" w14:textId="5985D74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97.7</w:t>
            </w:r>
          </w:p>
        </w:tc>
      </w:tr>
      <w:tr w:rsidR="00217865" w:rsidRPr="00217865" w14:paraId="275FA088"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62D70D5" w14:textId="7EA18A46"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Lyons College</w:t>
            </w:r>
          </w:p>
        </w:tc>
        <w:tc>
          <w:tcPr>
            <w:tcW w:w="392" w:type="pct"/>
            <w:tcBorders>
              <w:top w:val="single" w:sz="4" w:space="0" w:color="auto"/>
              <w:left w:val="single" w:sz="4" w:space="0" w:color="auto"/>
              <w:bottom w:val="single" w:sz="4" w:space="0" w:color="auto"/>
              <w:right w:val="single" w:sz="4" w:space="0" w:color="auto"/>
            </w:tcBorders>
            <w:vAlign w:val="bottom"/>
          </w:tcPr>
          <w:p w14:paraId="284E82B5" w14:textId="16428F7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66F91FBC" w14:textId="1285F78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E436229" w14:textId="3876048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w:t>
            </w:r>
          </w:p>
        </w:tc>
        <w:tc>
          <w:tcPr>
            <w:tcW w:w="395" w:type="pct"/>
            <w:tcBorders>
              <w:top w:val="single" w:sz="4" w:space="0" w:color="auto"/>
              <w:left w:val="single" w:sz="4" w:space="0" w:color="auto"/>
              <w:bottom w:val="single" w:sz="4" w:space="0" w:color="auto"/>
              <w:right w:val="single" w:sz="4" w:space="0" w:color="auto"/>
            </w:tcBorders>
            <w:vAlign w:val="bottom"/>
          </w:tcPr>
          <w:p w14:paraId="7A19AA30" w14:textId="2299A7D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45A2F7D6" w14:textId="7BC9687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180AA516" w14:textId="78B9198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B6BF663" w14:textId="701660A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19</w:t>
            </w:r>
          </w:p>
        </w:tc>
        <w:tc>
          <w:tcPr>
            <w:tcW w:w="386" w:type="pct"/>
            <w:tcBorders>
              <w:top w:val="single" w:sz="4" w:space="0" w:color="auto"/>
              <w:left w:val="single" w:sz="4" w:space="0" w:color="auto"/>
              <w:bottom w:val="single" w:sz="4" w:space="0" w:color="auto"/>
              <w:right w:val="single" w:sz="4" w:space="0" w:color="auto"/>
            </w:tcBorders>
            <w:vAlign w:val="bottom"/>
          </w:tcPr>
          <w:p w14:paraId="27D8130D" w14:textId="2587FC6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02E63137"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A9E4DD6" w14:textId="6CEAEBB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The Institute of Creative Arts and Technology</w:t>
            </w:r>
          </w:p>
        </w:tc>
        <w:tc>
          <w:tcPr>
            <w:tcW w:w="392" w:type="pct"/>
            <w:tcBorders>
              <w:top w:val="single" w:sz="4" w:space="0" w:color="auto"/>
              <w:left w:val="single" w:sz="4" w:space="0" w:color="auto"/>
              <w:bottom w:val="single" w:sz="4" w:space="0" w:color="auto"/>
              <w:right w:val="single" w:sz="4" w:space="0" w:color="auto"/>
            </w:tcBorders>
            <w:vAlign w:val="bottom"/>
          </w:tcPr>
          <w:p w14:paraId="461CC8B5" w14:textId="0B626FD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246</w:t>
            </w:r>
          </w:p>
        </w:tc>
        <w:tc>
          <w:tcPr>
            <w:tcW w:w="392" w:type="pct"/>
            <w:tcBorders>
              <w:top w:val="single" w:sz="4" w:space="0" w:color="auto"/>
              <w:left w:val="single" w:sz="4" w:space="0" w:color="auto"/>
              <w:bottom w:val="single" w:sz="4" w:space="0" w:color="auto"/>
              <w:right w:val="single" w:sz="4" w:space="0" w:color="auto"/>
            </w:tcBorders>
            <w:vAlign w:val="bottom"/>
          </w:tcPr>
          <w:p w14:paraId="594CA9E9" w14:textId="5A69CF0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82.0</w:t>
            </w:r>
          </w:p>
        </w:tc>
        <w:tc>
          <w:tcPr>
            <w:tcW w:w="392" w:type="pct"/>
            <w:tcBorders>
              <w:top w:val="single" w:sz="4" w:space="0" w:color="auto"/>
              <w:left w:val="single" w:sz="4" w:space="0" w:color="auto"/>
              <w:bottom w:val="single" w:sz="4" w:space="0" w:color="auto"/>
              <w:right w:val="single" w:sz="4" w:space="0" w:color="auto"/>
            </w:tcBorders>
            <w:vAlign w:val="bottom"/>
          </w:tcPr>
          <w:p w14:paraId="6D1F2788" w14:textId="2838B27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54</w:t>
            </w:r>
          </w:p>
        </w:tc>
        <w:tc>
          <w:tcPr>
            <w:tcW w:w="395" w:type="pct"/>
            <w:tcBorders>
              <w:top w:val="single" w:sz="4" w:space="0" w:color="auto"/>
              <w:left w:val="single" w:sz="4" w:space="0" w:color="auto"/>
              <w:bottom w:val="single" w:sz="4" w:space="0" w:color="auto"/>
              <w:right w:val="single" w:sz="4" w:space="0" w:color="auto"/>
            </w:tcBorders>
            <w:vAlign w:val="bottom"/>
          </w:tcPr>
          <w:p w14:paraId="5F3C8F14" w14:textId="22232E1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18.0</w:t>
            </w:r>
          </w:p>
        </w:tc>
        <w:tc>
          <w:tcPr>
            <w:tcW w:w="392" w:type="pct"/>
            <w:tcBorders>
              <w:top w:val="single" w:sz="4" w:space="0" w:color="auto"/>
              <w:left w:val="single" w:sz="4" w:space="0" w:color="auto"/>
              <w:bottom w:val="single" w:sz="4" w:space="0" w:color="auto"/>
              <w:right w:val="single" w:sz="4" w:space="0" w:color="auto"/>
            </w:tcBorders>
            <w:vAlign w:val="bottom"/>
          </w:tcPr>
          <w:p w14:paraId="3149EA14" w14:textId="3AAAE37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w:t>
            </w:r>
          </w:p>
        </w:tc>
        <w:tc>
          <w:tcPr>
            <w:tcW w:w="392" w:type="pct"/>
            <w:tcBorders>
              <w:top w:val="single" w:sz="4" w:space="0" w:color="auto"/>
              <w:left w:val="single" w:sz="4" w:space="0" w:color="auto"/>
              <w:bottom w:val="single" w:sz="4" w:space="0" w:color="auto"/>
              <w:right w:val="single" w:sz="4" w:space="0" w:color="auto"/>
            </w:tcBorders>
            <w:vAlign w:val="bottom"/>
          </w:tcPr>
          <w:p w14:paraId="7BA5C5BF" w14:textId="48E458C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77.9</w:t>
            </w:r>
          </w:p>
        </w:tc>
        <w:tc>
          <w:tcPr>
            <w:tcW w:w="392" w:type="pct"/>
            <w:tcBorders>
              <w:top w:val="single" w:sz="4" w:space="0" w:color="auto"/>
              <w:left w:val="single" w:sz="4" w:space="0" w:color="auto"/>
              <w:bottom w:val="single" w:sz="4" w:space="0" w:color="auto"/>
              <w:right w:val="single" w:sz="4" w:space="0" w:color="auto"/>
            </w:tcBorders>
            <w:vAlign w:val="bottom"/>
          </w:tcPr>
          <w:p w14:paraId="21A03157" w14:textId="7B2E348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w:t>
            </w:r>
          </w:p>
        </w:tc>
        <w:tc>
          <w:tcPr>
            <w:tcW w:w="386" w:type="pct"/>
            <w:tcBorders>
              <w:top w:val="single" w:sz="4" w:space="0" w:color="auto"/>
              <w:left w:val="single" w:sz="4" w:space="0" w:color="auto"/>
              <w:bottom w:val="single" w:sz="4" w:space="0" w:color="auto"/>
              <w:right w:val="single" w:sz="4" w:space="0" w:color="auto"/>
            </w:tcBorders>
            <w:vAlign w:val="bottom"/>
          </w:tcPr>
          <w:p w14:paraId="1991A150" w14:textId="36A35E9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22.1</w:t>
            </w:r>
          </w:p>
        </w:tc>
      </w:tr>
      <w:tr w:rsidR="00217865" w:rsidRPr="00217865" w14:paraId="3ED65F48"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3FAB277" w14:textId="34709E73"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lastRenderedPageBreak/>
              <w:t>Marcus Oldham College</w:t>
            </w:r>
          </w:p>
        </w:tc>
        <w:tc>
          <w:tcPr>
            <w:tcW w:w="392" w:type="pct"/>
            <w:tcBorders>
              <w:top w:val="single" w:sz="4" w:space="0" w:color="auto"/>
              <w:left w:val="single" w:sz="4" w:space="0" w:color="auto"/>
              <w:bottom w:val="single" w:sz="4" w:space="0" w:color="auto"/>
              <w:right w:val="single" w:sz="4" w:space="0" w:color="auto"/>
            </w:tcBorders>
            <w:vAlign w:val="bottom"/>
          </w:tcPr>
          <w:p w14:paraId="539D74DF" w14:textId="5F7B623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160</w:t>
            </w:r>
          </w:p>
        </w:tc>
        <w:tc>
          <w:tcPr>
            <w:tcW w:w="392" w:type="pct"/>
            <w:tcBorders>
              <w:top w:val="single" w:sz="4" w:space="0" w:color="auto"/>
              <w:left w:val="single" w:sz="4" w:space="0" w:color="auto"/>
              <w:bottom w:val="single" w:sz="4" w:space="0" w:color="auto"/>
              <w:right w:val="single" w:sz="4" w:space="0" w:color="auto"/>
            </w:tcBorders>
            <w:vAlign w:val="bottom"/>
          </w:tcPr>
          <w:p w14:paraId="5A99603C" w14:textId="1B73B9E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99.4</w:t>
            </w:r>
          </w:p>
        </w:tc>
        <w:tc>
          <w:tcPr>
            <w:tcW w:w="392" w:type="pct"/>
            <w:tcBorders>
              <w:top w:val="single" w:sz="4" w:space="0" w:color="auto"/>
              <w:left w:val="single" w:sz="4" w:space="0" w:color="auto"/>
              <w:bottom w:val="single" w:sz="4" w:space="0" w:color="auto"/>
              <w:right w:val="single" w:sz="4" w:space="0" w:color="auto"/>
            </w:tcBorders>
            <w:vAlign w:val="bottom"/>
          </w:tcPr>
          <w:p w14:paraId="490DB3BD" w14:textId="41B008F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2DB5409D" w14:textId="1955E0F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0.6</w:t>
            </w:r>
          </w:p>
        </w:tc>
        <w:tc>
          <w:tcPr>
            <w:tcW w:w="392" w:type="pct"/>
            <w:tcBorders>
              <w:top w:val="single" w:sz="4" w:space="0" w:color="auto"/>
              <w:left w:val="single" w:sz="4" w:space="0" w:color="auto"/>
              <w:bottom w:val="single" w:sz="4" w:space="0" w:color="auto"/>
              <w:right w:val="single" w:sz="4" w:space="0" w:color="auto"/>
            </w:tcBorders>
            <w:vAlign w:val="bottom"/>
          </w:tcPr>
          <w:p w14:paraId="1D7C908B" w14:textId="0EA39A9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120</w:t>
            </w:r>
          </w:p>
        </w:tc>
        <w:tc>
          <w:tcPr>
            <w:tcW w:w="392" w:type="pct"/>
            <w:tcBorders>
              <w:top w:val="single" w:sz="4" w:space="0" w:color="auto"/>
              <w:left w:val="single" w:sz="4" w:space="0" w:color="auto"/>
              <w:bottom w:val="single" w:sz="4" w:space="0" w:color="auto"/>
              <w:right w:val="single" w:sz="4" w:space="0" w:color="auto"/>
            </w:tcBorders>
            <w:vAlign w:val="bottom"/>
          </w:tcPr>
          <w:p w14:paraId="4EC1DF3D" w14:textId="356ED4F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99.2</w:t>
            </w:r>
          </w:p>
        </w:tc>
        <w:tc>
          <w:tcPr>
            <w:tcW w:w="392" w:type="pct"/>
            <w:tcBorders>
              <w:top w:val="single" w:sz="4" w:space="0" w:color="auto"/>
              <w:left w:val="single" w:sz="4" w:space="0" w:color="auto"/>
              <w:bottom w:val="single" w:sz="4" w:space="0" w:color="auto"/>
              <w:right w:val="single" w:sz="4" w:space="0" w:color="auto"/>
            </w:tcBorders>
            <w:vAlign w:val="bottom"/>
          </w:tcPr>
          <w:p w14:paraId="7E9E1095" w14:textId="77EE065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10EF13C6" w14:textId="0175167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0.8</w:t>
            </w:r>
          </w:p>
        </w:tc>
      </w:tr>
      <w:tr w:rsidR="00217865" w:rsidRPr="00217865" w14:paraId="6D80D40C"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41122A84" w14:textId="03EA856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Melbourne Institute of Technology</w:t>
            </w:r>
          </w:p>
        </w:tc>
        <w:tc>
          <w:tcPr>
            <w:tcW w:w="392" w:type="pct"/>
            <w:tcBorders>
              <w:top w:val="single" w:sz="4" w:space="0" w:color="auto"/>
              <w:left w:val="single" w:sz="4" w:space="0" w:color="auto"/>
              <w:bottom w:val="single" w:sz="4" w:space="0" w:color="auto"/>
              <w:right w:val="single" w:sz="4" w:space="0" w:color="auto"/>
            </w:tcBorders>
            <w:vAlign w:val="bottom"/>
          </w:tcPr>
          <w:p w14:paraId="70F5F03A" w14:textId="570C9B8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106</w:t>
            </w:r>
          </w:p>
        </w:tc>
        <w:tc>
          <w:tcPr>
            <w:tcW w:w="392" w:type="pct"/>
            <w:tcBorders>
              <w:top w:val="single" w:sz="4" w:space="0" w:color="auto"/>
              <w:left w:val="single" w:sz="4" w:space="0" w:color="auto"/>
              <w:bottom w:val="single" w:sz="4" w:space="0" w:color="auto"/>
              <w:right w:val="single" w:sz="4" w:space="0" w:color="auto"/>
            </w:tcBorders>
            <w:vAlign w:val="bottom"/>
          </w:tcPr>
          <w:p w14:paraId="260DDEF4" w14:textId="19B790F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w:t>
            </w:r>
          </w:p>
        </w:tc>
        <w:tc>
          <w:tcPr>
            <w:tcW w:w="392" w:type="pct"/>
            <w:tcBorders>
              <w:top w:val="single" w:sz="4" w:space="0" w:color="auto"/>
              <w:left w:val="single" w:sz="4" w:space="0" w:color="auto"/>
              <w:bottom w:val="single" w:sz="4" w:space="0" w:color="auto"/>
              <w:right w:val="single" w:sz="4" w:space="0" w:color="auto"/>
            </w:tcBorders>
            <w:vAlign w:val="bottom"/>
          </w:tcPr>
          <w:p w14:paraId="7D2EF01B" w14:textId="32407B0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1,065</w:t>
            </w:r>
          </w:p>
        </w:tc>
        <w:tc>
          <w:tcPr>
            <w:tcW w:w="395" w:type="pct"/>
            <w:tcBorders>
              <w:top w:val="single" w:sz="4" w:space="0" w:color="auto"/>
              <w:left w:val="single" w:sz="4" w:space="0" w:color="auto"/>
              <w:bottom w:val="single" w:sz="4" w:space="0" w:color="auto"/>
              <w:right w:val="single" w:sz="4" w:space="0" w:color="auto"/>
            </w:tcBorders>
            <w:vAlign w:val="bottom"/>
          </w:tcPr>
          <w:p w14:paraId="0CBE483A" w14:textId="6EBC1FE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90.9</w:t>
            </w:r>
          </w:p>
        </w:tc>
        <w:tc>
          <w:tcPr>
            <w:tcW w:w="392" w:type="pct"/>
            <w:tcBorders>
              <w:top w:val="single" w:sz="4" w:space="0" w:color="auto"/>
              <w:left w:val="single" w:sz="4" w:space="0" w:color="auto"/>
              <w:bottom w:val="single" w:sz="4" w:space="0" w:color="auto"/>
              <w:right w:val="single" w:sz="4" w:space="0" w:color="auto"/>
            </w:tcBorders>
            <w:vAlign w:val="bottom"/>
          </w:tcPr>
          <w:p w14:paraId="7AE59BD4" w14:textId="42206D0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28</w:t>
            </w:r>
          </w:p>
        </w:tc>
        <w:tc>
          <w:tcPr>
            <w:tcW w:w="392" w:type="pct"/>
            <w:tcBorders>
              <w:top w:val="single" w:sz="4" w:space="0" w:color="auto"/>
              <w:left w:val="single" w:sz="4" w:space="0" w:color="auto"/>
              <w:bottom w:val="single" w:sz="4" w:space="0" w:color="auto"/>
              <w:right w:val="single" w:sz="4" w:space="0" w:color="auto"/>
            </w:tcBorders>
            <w:vAlign w:val="bottom"/>
          </w:tcPr>
          <w:p w14:paraId="55980E26" w14:textId="71049C6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w:t>
            </w:r>
          </w:p>
        </w:tc>
        <w:tc>
          <w:tcPr>
            <w:tcW w:w="392" w:type="pct"/>
            <w:tcBorders>
              <w:top w:val="single" w:sz="4" w:space="0" w:color="auto"/>
              <w:left w:val="single" w:sz="4" w:space="0" w:color="auto"/>
              <w:bottom w:val="single" w:sz="4" w:space="0" w:color="auto"/>
              <w:right w:val="single" w:sz="4" w:space="0" w:color="auto"/>
            </w:tcBorders>
            <w:vAlign w:val="bottom"/>
          </w:tcPr>
          <w:p w14:paraId="4563A4A4" w14:textId="58F138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399</w:t>
            </w:r>
          </w:p>
        </w:tc>
        <w:tc>
          <w:tcPr>
            <w:tcW w:w="386" w:type="pct"/>
            <w:tcBorders>
              <w:top w:val="single" w:sz="4" w:space="0" w:color="auto"/>
              <w:left w:val="single" w:sz="4" w:space="0" w:color="auto"/>
              <w:bottom w:val="single" w:sz="4" w:space="0" w:color="auto"/>
              <w:right w:val="single" w:sz="4" w:space="0" w:color="auto"/>
            </w:tcBorders>
            <w:vAlign w:val="bottom"/>
          </w:tcPr>
          <w:p w14:paraId="1AB00371" w14:textId="390A63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93.4</w:t>
            </w:r>
          </w:p>
        </w:tc>
      </w:tr>
      <w:tr w:rsidR="00217865" w:rsidRPr="00217865" w14:paraId="6E960BCC"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253D3F0" w14:textId="5E86CB9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Melbourne Polytechnic</w:t>
            </w:r>
          </w:p>
        </w:tc>
        <w:tc>
          <w:tcPr>
            <w:tcW w:w="392" w:type="pct"/>
            <w:tcBorders>
              <w:top w:val="single" w:sz="4" w:space="0" w:color="auto"/>
              <w:left w:val="single" w:sz="4" w:space="0" w:color="auto"/>
              <w:bottom w:val="single" w:sz="4" w:space="0" w:color="auto"/>
              <w:right w:val="single" w:sz="4" w:space="0" w:color="auto"/>
            </w:tcBorders>
            <w:vAlign w:val="bottom"/>
          </w:tcPr>
          <w:p w14:paraId="64F6502A" w14:textId="743CCF2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211</w:t>
            </w:r>
          </w:p>
        </w:tc>
        <w:tc>
          <w:tcPr>
            <w:tcW w:w="392" w:type="pct"/>
            <w:tcBorders>
              <w:top w:val="single" w:sz="4" w:space="0" w:color="auto"/>
              <w:left w:val="single" w:sz="4" w:space="0" w:color="auto"/>
              <w:bottom w:val="single" w:sz="4" w:space="0" w:color="auto"/>
              <w:right w:val="single" w:sz="4" w:space="0" w:color="auto"/>
            </w:tcBorders>
            <w:vAlign w:val="bottom"/>
          </w:tcPr>
          <w:p w14:paraId="586E3B04" w14:textId="5BE3AB3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26.9</w:t>
            </w:r>
          </w:p>
        </w:tc>
        <w:tc>
          <w:tcPr>
            <w:tcW w:w="392" w:type="pct"/>
            <w:tcBorders>
              <w:top w:val="single" w:sz="4" w:space="0" w:color="auto"/>
              <w:left w:val="single" w:sz="4" w:space="0" w:color="auto"/>
              <w:bottom w:val="single" w:sz="4" w:space="0" w:color="auto"/>
              <w:right w:val="single" w:sz="4" w:space="0" w:color="auto"/>
            </w:tcBorders>
            <w:vAlign w:val="bottom"/>
          </w:tcPr>
          <w:p w14:paraId="17DAFE8B" w14:textId="482D131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573</w:t>
            </w:r>
          </w:p>
        </w:tc>
        <w:tc>
          <w:tcPr>
            <w:tcW w:w="395" w:type="pct"/>
            <w:tcBorders>
              <w:top w:val="single" w:sz="4" w:space="0" w:color="auto"/>
              <w:left w:val="single" w:sz="4" w:space="0" w:color="auto"/>
              <w:bottom w:val="single" w:sz="4" w:space="0" w:color="auto"/>
              <w:right w:val="single" w:sz="4" w:space="0" w:color="auto"/>
            </w:tcBorders>
            <w:vAlign w:val="bottom"/>
          </w:tcPr>
          <w:p w14:paraId="4763D829" w14:textId="0442EBB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73.1</w:t>
            </w:r>
          </w:p>
        </w:tc>
        <w:tc>
          <w:tcPr>
            <w:tcW w:w="392" w:type="pct"/>
            <w:tcBorders>
              <w:top w:val="single" w:sz="4" w:space="0" w:color="auto"/>
              <w:left w:val="single" w:sz="4" w:space="0" w:color="auto"/>
              <w:bottom w:val="single" w:sz="4" w:space="0" w:color="auto"/>
              <w:right w:val="single" w:sz="4" w:space="0" w:color="auto"/>
            </w:tcBorders>
            <w:vAlign w:val="bottom"/>
          </w:tcPr>
          <w:p w14:paraId="5C68898A" w14:textId="165AB84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62</w:t>
            </w:r>
          </w:p>
        </w:tc>
        <w:tc>
          <w:tcPr>
            <w:tcW w:w="392" w:type="pct"/>
            <w:tcBorders>
              <w:top w:val="single" w:sz="4" w:space="0" w:color="auto"/>
              <w:left w:val="single" w:sz="4" w:space="0" w:color="auto"/>
              <w:bottom w:val="single" w:sz="4" w:space="0" w:color="auto"/>
              <w:right w:val="single" w:sz="4" w:space="0" w:color="auto"/>
            </w:tcBorders>
            <w:vAlign w:val="bottom"/>
          </w:tcPr>
          <w:p w14:paraId="31715B82" w14:textId="315D71D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33.3</w:t>
            </w:r>
          </w:p>
        </w:tc>
        <w:tc>
          <w:tcPr>
            <w:tcW w:w="392" w:type="pct"/>
            <w:tcBorders>
              <w:top w:val="single" w:sz="4" w:space="0" w:color="auto"/>
              <w:left w:val="single" w:sz="4" w:space="0" w:color="auto"/>
              <w:bottom w:val="single" w:sz="4" w:space="0" w:color="auto"/>
              <w:right w:val="single" w:sz="4" w:space="0" w:color="auto"/>
            </w:tcBorders>
            <w:vAlign w:val="bottom"/>
          </w:tcPr>
          <w:p w14:paraId="64D0650A" w14:textId="68E4EEF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124</w:t>
            </w:r>
          </w:p>
        </w:tc>
        <w:tc>
          <w:tcPr>
            <w:tcW w:w="386" w:type="pct"/>
            <w:tcBorders>
              <w:top w:val="single" w:sz="4" w:space="0" w:color="auto"/>
              <w:left w:val="single" w:sz="4" w:space="0" w:color="auto"/>
              <w:bottom w:val="single" w:sz="4" w:space="0" w:color="auto"/>
              <w:right w:val="single" w:sz="4" w:space="0" w:color="auto"/>
            </w:tcBorders>
            <w:vAlign w:val="bottom"/>
          </w:tcPr>
          <w:p w14:paraId="29C1102B" w14:textId="31B14E5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66.7</w:t>
            </w:r>
          </w:p>
        </w:tc>
      </w:tr>
      <w:tr w:rsidR="00217865" w:rsidRPr="00217865" w14:paraId="3237C82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D4F8A92" w14:textId="7A17C8DB"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 xml:space="preserve">Monash College </w:t>
            </w:r>
          </w:p>
        </w:tc>
        <w:tc>
          <w:tcPr>
            <w:tcW w:w="392" w:type="pct"/>
            <w:tcBorders>
              <w:top w:val="single" w:sz="4" w:space="0" w:color="auto"/>
              <w:left w:val="single" w:sz="4" w:space="0" w:color="auto"/>
              <w:bottom w:val="single" w:sz="4" w:space="0" w:color="auto"/>
              <w:right w:val="single" w:sz="4" w:space="0" w:color="auto"/>
            </w:tcBorders>
            <w:vAlign w:val="bottom"/>
          </w:tcPr>
          <w:p w14:paraId="3F83C773" w14:textId="7D81648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70</w:t>
            </w:r>
          </w:p>
        </w:tc>
        <w:tc>
          <w:tcPr>
            <w:tcW w:w="392" w:type="pct"/>
            <w:tcBorders>
              <w:top w:val="single" w:sz="4" w:space="0" w:color="auto"/>
              <w:left w:val="single" w:sz="4" w:space="0" w:color="auto"/>
              <w:bottom w:val="single" w:sz="4" w:space="0" w:color="auto"/>
              <w:right w:val="single" w:sz="4" w:space="0" w:color="auto"/>
            </w:tcBorders>
            <w:vAlign w:val="bottom"/>
          </w:tcPr>
          <w:p w14:paraId="3D875A66" w14:textId="67FB841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9.2</w:t>
            </w:r>
          </w:p>
        </w:tc>
        <w:tc>
          <w:tcPr>
            <w:tcW w:w="392" w:type="pct"/>
            <w:tcBorders>
              <w:top w:val="single" w:sz="4" w:space="0" w:color="auto"/>
              <w:left w:val="single" w:sz="4" w:space="0" w:color="auto"/>
              <w:bottom w:val="single" w:sz="4" w:space="0" w:color="auto"/>
              <w:right w:val="single" w:sz="4" w:space="0" w:color="auto"/>
            </w:tcBorders>
            <w:vAlign w:val="bottom"/>
          </w:tcPr>
          <w:p w14:paraId="0CA3C9CF" w14:textId="37080EF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689</w:t>
            </w:r>
          </w:p>
        </w:tc>
        <w:tc>
          <w:tcPr>
            <w:tcW w:w="395" w:type="pct"/>
            <w:tcBorders>
              <w:top w:val="single" w:sz="4" w:space="0" w:color="auto"/>
              <w:left w:val="single" w:sz="4" w:space="0" w:color="auto"/>
              <w:bottom w:val="single" w:sz="4" w:space="0" w:color="auto"/>
              <w:right w:val="single" w:sz="4" w:space="0" w:color="auto"/>
            </w:tcBorders>
            <w:vAlign w:val="bottom"/>
          </w:tcPr>
          <w:p w14:paraId="0281BA02" w14:textId="4B342AE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90.8</w:t>
            </w:r>
          </w:p>
        </w:tc>
        <w:tc>
          <w:tcPr>
            <w:tcW w:w="392" w:type="pct"/>
            <w:tcBorders>
              <w:top w:val="single" w:sz="4" w:space="0" w:color="auto"/>
              <w:left w:val="single" w:sz="4" w:space="0" w:color="auto"/>
              <w:bottom w:val="single" w:sz="4" w:space="0" w:color="auto"/>
              <w:right w:val="single" w:sz="4" w:space="0" w:color="auto"/>
            </w:tcBorders>
            <w:vAlign w:val="bottom"/>
          </w:tcPr>
          <w:p w14:paraId="45C98DDB" w14:textId="2B5E805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27</w:t>
            </w:r>
          </w:p>
        </w:tc>
        <w:tc>
          <w:tcPr>
            <w:tcW w:w="392" w:type="pct"/>
            <w:tcBorders>
              <w:top w:val="single" w:sz="4" w:space="0" w:color="auto"/>
              <w:left w:val="single" w:sz="4" w:space="0" w:color="auto"/>
              <w:bottom w:val="single" w:sz="4" w:space="0" w:color="auto"/>
              <w:right w:val="single" w:sz="4" w:space="0" w:color="auto"/>
            </w:tcBorders>
            <w:vAlign w:val="bottom"/>
          </w:tcPr>
          <w:p w14:paraId="6053EE10" w14:textId="636F3C3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12.9</w:t>
            </w:r>
          </w:p>
        </w:tc>
        <w:tc>
          <w:tcPr>
            <w:tcW w:w="392" w:type="pct"/>
            <w:tcBorders>
              <w:top w:val="single" w:sz="4" w:space="0" w:color="auto"/>
              <w:left w:val="single" w:sz="4" w:space="0" w:color="auto"/>
              <w:bottom w:val="single" w:sz="4" w:space="0" w:color="auto"/>
              <w:right w:val="single" w:sz="4" w:space="0" w:color="auto"/>
            </w:tcBorders>
            <w:vAlign w:val="bottom"/>
          </w:tcPr>
          <w:p w14:paraId="0EE0D50D" w14:textId="3D65C7F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182</w:t>
            </w:r>
          </w:p>
        </w:tc>
        <w:tc>
          <w:tcPr>
            <w:tcW w:w="386" w:type="pct"/>
            <w:tcBorders>
              <w:top w:val="single" w:sz="4" w:space="0" w:color="auto"/>
              <w:left w:val="single" w:sz="4" w:space="0" w:color="auto"/>
              <w:bottom w:val="single" w:sz="4" w:space="0" w:color="auto"/>
              <w:right w:val="single" w:sz="4" w:space="0" w:color="auto"/>
            </w:tcBorders>
            <w:vAlign w:val="bottom"/>
          </w:tcPr>
          <w:p w14:paraId="625A0327" w14:textId="04B4711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87.1</w:t>
            </w:r>
          </w:p>
        </w:tc>
      </w:tr>
      <w:tr w:rsidR="00217865" w:rsidRPr="00217865" w14:paraId="014CCF98"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10784D3" w14:textId="1962976F"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Moore Theological College</w:t>
            </w:r>
          </w:p>
        </w:tc>
        <w:tc>
          <w:tcPr>
            <w:tcW w:w="392" w:type="pct"/>
            <w:tcBorders>
              <w:top w:val="single" w:sz="4" w:space="0" w:color="auto"/>
              <w:left w:val="single" w:sz="4" w:space="0" w:color="auto"/>
              <w:bottom w:val="single" w:sz="4" w:space="0" w:color="auto"/>
              <w:right w:val="single" w:sz="4" w:space="0" w:color="auto"/>
            </w:tcBorders>
            <w:vAlign w:val="bottom"/>
          </w:tcPr>
          <w:p w14:paraId="387F4CA6" w14:textId="7658334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329</w:t>
            </w:r>
          </w:p>
        </w:tc>
        <w:tc>
          <w:tcPr>
            <w:tcW w:w="392" w:type="pct"/>
            <w:tcBorders>
              <w:top w:val="single" w:sz="4" w:space="0" w:color="auto"/>
              <w:left w:val="single" w:sz="4" w:space="0" w:color="auto"/>
              <w:bottom w:val="single" w:sz="4" w:space="0" w:color="auto"/>
              <w:right w:val="single" w:sz="4" w:space="0" w:color="auto"/>
            </w:tcBorders>
            <w:vAlign w:val="bottom"/>
          </w:tcPr>
          <w:p w14:paraId="06AC466A" w14:textId="30B3D5E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95.9</w:t>
            </w:r>
          </w:p>
        </w:tc>
        <w:tc>
          <w:tcPr>
            <w:tcW w:w="392" w:type="pct"/>
            <w:tcBorders>
              <w:top w:val="single" w:sz="4" w:space="0" w:color="auto"/>
              <w:left w:val="single" w:sz="4" w:space="0" w:color="auto"/>
              <w:bottom w:val="single" w:sz="4" w:space="0" w:color="auto"/>
              <w:right w:val="single" w:sz="4" w:space="0" w:color="auto"/>
            </w:tcBorders>
            <w:vAlign w:val="bottom"/>
          </w:tcPr>
          <w:p w14:paraId="1A15F646" w14:textId="7E20DD4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14</w:t>
            </w:r>
          </w:p>
        </w:tc>
        <w:tc>
          <w:tcPr>
            <w:tcW w:w="395" w:type="pct"/>
            <w:tcBorders>
              <w:top w:val="single" w:sz="4" w:space="0" w:color="auto"/>
              <w:left w:val="single" w:sz="4" w:space="0" w:color="auto"/>
              <w:bottom w:val="single" w:sz="4" w:space="0" w:color="auto"/>
              <w:right w:val="single" w:sz="4" w:space="0" w:color="auto"/>
            </w:tcBorders>
            <w:vAlign w:val="bottom"/>
          </w:tcPr>
          <w:p w14:paraId="5795A3E2" w14:textId="4DD68E2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4.1</w:t>
            </w:r>
          </w:p>
        </w:tc>
        <w:tc>
          <w:tcPr>
            <w:tcW w:w="392" w:type="pct"/>
            <w:tcBorders>
              <w:top w:val="single" w:sz="4" w:space="0" w:color="auto"/>
              <w:left w:val="single" w:sz="4" w:space="0" w:color="auto"/>
              <w:bottom w:val="single" w:sz="4" w:space="0" w:color="auto"/>
              <w:right w:val="single" w:sz="4" w:space="0" w:color="auto"/>
            </w:tcBorders>
            <w:vAlign w:val="bottom"/>
          </w:tcPr>
          <w:p w14:paraId="22BD07BE" w14:textId="3B18CE4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157</w:t>
            </w:r>
          </w:p>
        </w:tc>
        <w:tc>
          <w:tcPr>
            <w:tcW w:w="392" w:type="pct"/>
            <w:tcBorders>
              <w:top w:val="single" w:sz="4" w:space="0" w:color="auto"/>
              <w:left w:val="single" w:sz="4" w:space="0" w:color="auto"/>
              <w:bottom w:val="single" w:sz="4" w:space="0" w:color="auto"/>
              <w:right w:val="single" w:sz="4" w:space="0" w:color="auto"/>
            </w:tcBorders>
            <w:vAlign w:val="bottom"/>
          </w:tcPr>
          <w:p w14:paraId="48DEDA6A" w14:textId="41AE5EA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94.6</w:t>
            </w:r>
          </w:p>
        </w:tc>
        <w:tc>
          <w:tcPr>
            <w:tcW w:w="392" w:type="pct"/>
            <w:tcBorders>
              <w:top w:val="single" w:sz="4" w:space="0" w:color="auto"/>
              <w:left w:val="single" w:sz="4" w:space="0" w:color="auto"/>
              <w:bottom w:val="single" w:sz="4" w:space="0" w:color="auto"/>
              <w:right w:val="single" w:sz="4" w:space="0" w:color="auto"/>
            </w:tcBorders>
            <w:vAlign w:val="bottom"/>
          </w:tcPr>
          <w:p w14:paraId="286DFEE8" w14:textId="5971CC8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w:t>
            </w:r>
          </w:p>
        </w:tc>
        <w:tc>
          <w:tcPr>
            <w:tcW w:w="386" w:type="pct"/>
            <w:tcBorders>
              <w:top w:val="single" w:sz="4" w:space="0" w:color="auto"/>
              <w:left w:val="single" w:sz="4" w:space="0" w:color="auto"/>
              <w:bottom w:val="single" w:sz="4" w:space="0" w:color="auto"/>
              <w:right w:val="single" w:sz="4" w:space="0" w:color="auto"/>
            </w:tcBorders>
            <w:vAlign w:val="bottom"/>
          </w:tcPr>
          <w:p w14:paraId="1ED8E16D" w14:textId="7DBF9EF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5.4</w:t>
            </w:r>
          </w:p>
        </w:tc>
      </w:tr>
      <w:tr w:rsidR="00217865" w:rsidRPr="00217865" w14:paraId="15F776C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AC4A826" w14:textId="3B437B92"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National Art School</w:t>
            </w:r>
          </w:p>
        </w:tc>
        <w:tc>
          <w:tcPr>
            <w:tcW w:w="392" w:type="pct"/>
            <w:tcBorders>
              <w:top w:val="single" w:sz="4" w:space="0" w:color="auto"/>
              <w:left w:val="single" w:sz="4" w:space="0" w:color="auto"/>
              <w:bottom w:val="single" w:sz="4" w:space="0" w:color="auto"/>
              <w:right w:val="single" w:sz="4" w:space="0" w:color="auto"/>
            </w:tcBorders>
            <w:vAlign w:val="bottom"/>
          </w:tcPr>
          <w:p w14:paraId="6573A0E8" w14:textId="26E86F4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505</w:t>
            </w:r>
          </w:p>
        </w:tc>
        <w:tc>
          <w:tcPr>
            <w:tcW w:w="392" w:type="pct"/>
            <w:tcBorders>
              <w:top w:val="single" w:sz="4" w:space="0" w:color="auto"/>
              <w:left w:val="single" w:sz="4" w:space="0" w:color="auto"/>
              <w:bottom w:val="single" w:sz="4" w:space="0" w:color="auto"/>
              <w:right w:val="single" w:sz="4" w:space="0" w:color="auto"/>
            </w:tcBorders>
            <w:vAlign w:val="bottom"/>
          </w:tcPr>
          <w:p w14:paraId="1FF0C744" w14:textId="3E01A51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99.0</w:t>
            </w:r>
          </w:p>
        </w:tc>
        <w:tc>
          <w:tcPr>
            <w:tcW w:w="392" w:type="pct"/>
            <w:tcBorders>
              <w:top w:val="single" w:sz="4" w:space="0" w:color="auto"/>
              <w:left w:val="single" w:sz="4" w:space="0" w:color="auto"/>
              <w:bottom w:val="single" w:sz="4" w:space="0" w:color="auto"/>
              <w:right w:val="single" w:sz="4" w:space="0" w:color="auto"/>
            </w:tcBorders>
            <w:vAlign w:val="bottom"/>
          </w:tcPr>
          <w:p w14:paraId="73192D27" w14:textId="602793A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27E62CE0" w14:textId="6958A39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0.6</w:t>
            </w:r>
          </w:p>
        </w:tc>
        <w:tc>
          <w:tcPr>
            <w:tcW w:w="392" w:type="pct"/>
            <w:tcBorders>
              <w:top w:val="single" w:sz="4" w:space="0" w:color="auto"/>
              <w:left w:val="single" w:sz="4" w:space="0" w:color="auto"/>
              <w:bottom w:val="single" w:sz="4" w:space="0" w:color="auto"/>
              <w:right w:val="single" w:sz="4" w:space="0" w:color="auto"/>
            </w:tcBorders>
            <w:vAlign w:val="bottom"/>
          </w:tcPr>
          <w:p w14:paraId="44546305" w14:textId="0888D8F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207</w:t>
            </w:r>
          </w:p>
        </w:tc>
        <w:tc>
          <w:tcPr>
            <w:tcW w:w="392" w:type="pct"/>
            <w:tcBorders>
              <w:top w:val="single" w:sz="4" w:space="0" w:color="auto"/>
              <w:left w:val="single" w:sz="4" w:space="0" w:color="auto"/>
              <w:bottom w:val="single" w:sz="4" w:space="0" w:color="auto"/>
              <w:right w:val="single" w:sz="4" w:space="0" w:color="auto"/>
            </w:tcBorders>
            <w:vAlign w:val="bottom"/>
          </w:tcPr>
          <w:p w14:paraId="746781E4" w14:textId="04F8079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99.0</w:t>
            </w:r>
          </w:p>
        </w:tc>
        <w:tc>
          <w:tcPr>
            <w:tcW w:w="392" w:type="pct"/>
            <w:tcBorders>
              <w:top w:val="single" w:sz="4" w:space="0" w:color="auto"/>
              <w:left w:val="single" w:sz="4" w:space="0" w:color="auto"/>
              <w:bottom w:val="single" w:sz="4" w:space="0" w:color="auto"/>
              <w:right w:val="single" w:sz="4" w:space="0" w:color="auto"/>
            </w:tcBorders>
            <w:vAlign w:val="bottom"/>
          </w:tcPr>
          <w:p w14:paraId="41EF082E" w14:textId="3A473A5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0A19AC66" w14:textId="5995EE5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0.5</w:t>
            </w:r>
          </w:p>
        </w:tc>
      </w:tr>
      <w:tr w:rsidR="00217865" w:rsidRPr="00217865" w14:paraId="04C493A3"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195AE0D" w14:textId="67E4D45F" w:rsidR="00F20D1A" w:rsidRPr="00217865" w:rsidRDefault="00F20D1A" w:rsidP="00A43B35">
            <w:pPr>
              <w:pStyle w:val="Z"/>
              <w:spacing w:before="60" w:after="60"/>
              <w:rPr>
                <w:color w:val="000000" w:themeColor="text1"/>
                <w:szCs w:val="18"/>
                <w:highlight w:val="yellow"/>
              </w:rPr>
            </w:pPr>
            <w:proofErr w:type="spellStart"/>
            <w:r w:rsidRPr="00217865">
              <w:rPr>
                <w:color w:val="000000" w:themeColor="text1"/>
                <w:szCs w:val="18"/>
              </w:rPr>
              <w:t>Ozford</w:t>
            </w:r>
            <w:proofErr w:type="spellEnd"/>
            <w:r w:rsidRPr="00217865">
              <w:rPr>
                <w:color w:val="000000" w:themeColor="text1"/>
                <w:szCs w:val="18"/>
              </w:rPr>
              <w:t xml:space="preserve"> Institute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7643142B" w14:textId="50B421C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0669A199" w14:textId="2980539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w:t>
            </w:r>
          </w:p>
        </w:tc>
        <w:tc>
          <w:tcPr>
            <w:tcW w:w="392" w:type="pct"/>
            <w:tcBorders>
              <w:top w:val="single" w:sz="4" w:space="0" w:color="auto"/>
              <w:left w:val="single" w:sz="4" w:space="0" w:color="auto"/>
              <w:bottom w:val="single" w:sz="4" w:space="0" w:color="auto"/>
              <w:right w:val="single" w:sz="4" w:space="0" w:color="auto"/>
            </w:tcBorders>
            <w:vAlign w:val="bottom"/>
          </w:tcPr>
          <w:p w14:paraId="1D691452" w14:textId="3B12A2B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65</w:t>
            </w:r>
          </w:p>
        </w:tc>
        <w:tc>
          <w:tcPr>
            <w:tcW w:w="395" w:type="pct"/>
            <w:tcBorders>
              <w:top w:val="single" w:sz="4" w:space="0" w:color="auto"/>
              <w:left w:val="single" w:sz="4" w:space="0" w:color="auto"/>
              <w:bottom w:val="single" w:sz="4" w:space="0" w:color="auto"/>
              <w:right w:val="single" w:sz="4" w:space="0" w:color="auto"/>
            </w:tcBorders>
            <w:vAlign w:val="bottom"/>
          </w:tcPr>
          <w:p w14:paraId="633D47EE" w14:textId="54F9136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98.5</w:t>
            </w:r>
          </w:p>
        </w:tc>
        <w:tc>
          <w:tcPr>
            <w:tcW w:w="392" w:type="pct"/>
            <w:tcBorders>
              <w:top w:val="single" w:sz="4" w:space="0" w:color="auto"/>
              <w:left w:val="single" w:sz="4" w:space="0" w:color="auto"/>
              <w:bottom w:val="single" w:sz="4" w:space="0" w:color="auto"/>
              <w:right w:val="single" w:sz="4" w:space="0" w:color="auto"/>
            </w:tcBorders>
            <w:vAlign w:val="bottom"/>
          </w:tcPr>
          <w:p w14:paraId="40FD73DD" w14:textId="726B51B4"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5652CF88" w14:textId="1A2A521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6.7</w:t>
            </w:r>
          </w:p>
        </w:tc>
        <w:tc>
          <w:tcPr>
            <w:tcW w:w="392" w:type="pct"/>
            <w:tcBorders>
              <w:top w:val="single" w:sz="4" w:space="0" w:color="auto"/>
              <w:left w:val="single" w:sz="4" w:space="0" w:color="auto"/>
              <w:bottom w:val="single" w:sz="4" w:space="0" w:color="auto"/>
              <w:right w:val="single" w:sz="4" w:space="0" w:color="auto"/>
            </w:tcBorders>
            <w:vAlign w:val="bottom"/>
          </w:tcPr>
          <w:p w14:paraId="41F083FA" w14:textId="649B0A6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14</w:t>
            </w:r>
          </w:p>
        </w:tc>
        <w:tc>
          <w:tcPr>
            <w:tcW w:w="386" w:type="pct"/>
            <w:tcBorders>
              <w:top w:val="single" w:sz="4" w:space="0" w:color="auto"/>
              <w:left w:val="single" w:sz="4" w:space="0" w:color="auto"/>
              <w:bottom w:val="single" w:sz="4" w:space="0" w:color="auto"/>
              <w:right w:val="single" w:sz="4" w:space="0" w:color="auto"/>
            </w:tcBorders>
            <w:vAlign w:val="bottom"/>
          </w:tcPr>
          <w:p w14:paraId="4303D30E" w14:textId="2AEADC0C"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93.3</w:t>
            </w:r>
          </w:p>
        </w:tc>
      </w:tr>
      <w:tr w:rsidR="00217865" w:rsidRPr="00217865" w14:paraId="2AA77270"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46075A3" w14:textId="0F088EE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Perth Bible College</w:t>
            </w:r>
          </w:p>
        </w:tc>
        <w:tc>
          <w:tcPr>
            <w:tcW w:w="392" w:type="pct"/>
            <w:tcBorders>
              <w:top w:val="single" w:sz="4" w:space="0" w:color="auto"/>
              <w:left w:val="single" w:sz="4" w:space="0" w:color="auto"/>
              <w:bottom w:val="single" w:sz="4" w:space="0" w:color="auto"/>
              <w:right w:val="single" w:sz="4" w:space="0" w:color="auto"/>
            </w:tcBorders>
            <w:vAlign w:val="bottom"/>
          </w:tcPr>
          <w:p w14:paraId="038DA225" w14:textId="565F05E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42</w:t>
            </w:r>
          </w:p>
        </w:tc>
        <w:tc>
          <w:tcPr>
            <w:tcW w:w="392" w:type="pct"/>
            <w:tcBorders>
              <w:top w:val="single" w:sz="4" w:space="0" w:color="auto"/>
              <w:left w:val="single" w:sz="4" w:space="0" w:color="auto"/>
              <w:bottom w:val="single" w:sz="4" w:space="0" w:color="auto"/>
              <w:right w:val="single" w:sz="4" w:space="0" w:color="auto"/>
            </w:tcBorders>
            <w:vAlign w:val="bottom"/>
          </w:tcPr>
          <w:p w14:paraId="6B921432" w14:textId="1671CAB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97.7</w:t>
            </w:r>
          </w:p>
        </w:tc>
        <w:tc>
          <w:tcPr>
            <w:tcW w:w="392" w:type="pct"/>
            <w:tcBorders>
              <w:top w:val="single" w:sz="4" w:space="0" w:color="auto"/>
              <w:left w:val="single" w:sz="4" w:space="0" w:color="auto"/>
              <w:bottom w:val="single" w:sz="4" w:space="0" w:color="auto"/>
              <w:right w:val="single" w:sz="4" w:space="0" w:color="auto"/>
            </w:tcBorders>
            <w:vAlign w:val="bottom"/>
          </w:tcPr>
          <w:p w14:paraId="5E1DA930" w14:textId="267B25A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32F08D5A" w14:textId="5D612B1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2.3</w:t>
            </w:r>
          </w:p>
        </w:tc>
        <w:tc>
          <w:tcPr>
            <w:tcW w:w="392" w:type="pct"/>
            <w:tcBorders>
              <w:top w:val="single" w:sz="4" w:space="0" w:color="auto"/>
              <w:left w:val="single" w:sz="4" w:space="0" w:color="auto"/>
              <w:bottom w:val="single" w:sz="4" w:space="0" w:color="auto"/>
              <w:right w:val="single" w:sz="4" w:space="0" w:color="auto"/>
            </w:tcBorders>
            <w:vAlign w:val="bottom"/>
          </w:tcPr>
          <w:p w14:paraId="516B7349" w14:textId="73BF425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w:t>
            </w:r>
          </w:p>
        </w:tc>
        <w:tc>
          <w:tcPr>
            <w:tcW w:w="392" w:type="pct"/>
            <w:tcBorders>
              <w:top w:val="single" w:sz="4" w:space="0" w:color="auto"/>
              <w:left w:val="single" w:sz="4" w:space="0" w:color="auto"/>
              <w:bottom w:val="single" w:sz="4" w:space="0" w:color="auto"/>
              <w:right w:val="single" w:sz="4" w:space="0" w:color="auto"/>
            </w:tcBorders>
            <w:vAlign w:val="bottom"/>
          </w:tcPr>
          <w:p w14:paraId="22329D33" w14:textId="0B60B86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94.7</w:t>
            </w:r>
          </w:p>
        </w:tc>
        <w:tc>
          <w:tcPr>
            <w:tcW w:w="392" w:type="pct"/>
            <w:tcBorders>
              <w:top w:val="single" w:sz="4" w:space="0" w:color="auto"/>
              <w:left w:val="single" w:sz="4" w:space="0" w:color="auto"/>
              <w:bottom w:val="single" w:sz="4" w:space="0" w:color="auto"/>
              <w:right w:val="single" w:sz="4" w:space="0" w:color="auto"/>
            </w:tcBorders>
            <w:vAlign w:val="bottom"/>
          </w:tcPr>
          <w:p w14:paraId="0AC573AA" w14:textId="1890300D"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53F2F4D5" w14:textId="6E901F4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5.3</w:t>
            </w:r>
          </w:p>
        </w:tc>
      </w:tr>
      <w:tr w:rsidR="00217865" w:rsidRPr="00217865" w14:paraId="58D34A45"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4DDEB1B" w14:textId="2A0C448D"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Photography Studies College (Melbourne)</w:t>
            </w:r>
          </w:p>
        </w:tc>
        <w:tc>
          <w:tcPr>
            <w:tcW w:w="392" w:type="pct"/>
            <w:tcBorders>
              <w:top w:val="single" w:sz="4" w:space="0" w:color="auto"/>
              <w:left w:val="single" w:sz="4" w:space="0" w:color="auto"/>
              <w:bottom w:val="single" w:sz="4" w:space="0" w:color="auto"/>
              <w:right w:val="single" w:sz="4" w:space="0" w:color="auto"/>
            </w:tcBorders>
            <w:vAlign w:val="bottom"/>
          </w:tcPr>
          <w:p w14:paraId="00916266" w14:textId="33AEAEC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w:t>
            </w:r>
          </w:p>
        </w:tc>
        <w:tc>
          <w:tcPr>
            <w:tcW w:w="392" w:type="pct"/>
            <w:tcBorders>
              <w:top w:val="single" w:sz="4" w:space="0" w:color="auto"/>
              <w:left w:val="single" w:sz="4" w:space="0" w:color="auto"/>
              <w:bottom w:val="single" w:sz="4" w:space="0" w:color="auto"/>
              <w:right w:val="single" w:sz="4" w:space="0" w:color="auto"/>
            </w:tcBorders>
            <w:vAlign w:val="bottom"/>
          </w:tcPr>
          <w:p w14:paraId="647892A2" w14:textId="4F734B0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91.7</w:t>
            </w:r>
          </w:p>
        </w:tc>
        <w:tc>
          <w:tcPr>
            <w:tcW w:w="392" w:type="pct"/>
            <w:tcBorders>
              <w:top w:val="single" w:sz="4" w:space="0" w:color="auto"/>
              <w:left w:val="single" w:sz="4" w:space="0" w:color="auto"/>
              <w:bottom w:val="single" w:sz="4" w:space="0" w:color="auto"/>
              <w:right w:val="single" w:sz="4" w:space="0" w:color="auto"/>
            </w:tcBorders>
            <w:vAlign w:val="bottom"/>
          </w:tcPr>
          <w:p w14:paraId="009E37CF" w14:textId="151128E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w:t>
            </w:r>
          </w:p>
        </w:tc>
        <w:tc>
          <w:tcPr>
            <w:tcW w:w="395" w:type="pct"/>
            <w:tcBorders>
              <w:top w:val="single" w:sz="4" w:space="0" w:color="auto"/>
              <w:left w:val="single" w:sz="4" w:space="0" w:color="auto"/>
              <w:bottom w:val="single" w:sz="4" w:space="0" w:color="auto"/>
              <w:right w:val="single" w:sz="4" w:space="0" w:color="auto"/>
            </w:tcBorders>
            <w:vAlign w:val="bottom"/>
          </w:tcPr>
          <w:p w14:paraId="50CFAECE" w14:textId="4E59E61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8.3</w:t>
            </w:r>
          </w:p>
        </w:tc>
        <w:tc>
          <w:tcPr>
            <w:tcW w:w="392" w:type="pct"/>
            <w:tcBorders>
              <w:top w:val="single" w:sz="4" w:space="0" w:color="auto"/>
              <w:left w:val="single" w:sz="4" w:space="0" w:color="auto"/>
              <w:bottom w:val="single" w:sz="4" w:space="0" w:color="auto"/>
              <w:right w:val="single" w:sz="4" w:space="0" w:color="auto"/>
            </w:tcBorders>
            <w:vAlign w:val="bottom"/>
          </w:tcPr>
          <w:p w14:paraId="4A71EDED" w14:textId="69DD4D4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39</w:t>
            </w:r>
          </w:p>
        </w:tc>
        <w:tc>
          <w:tcPr>
            <w:tcW w:w="392" w:type="pct"/>
            <w:tcBorders>
              <w:top w:val="single" w:sz="4" w:space="0" w:color="auto"/>
              <w:left w:val="single" w:sz="4" w:space="0" w:color="auto"/>
              <w:bottom w:val="single" w:sz="4" w:space="0" w:color="auto"/>
              <w:right w:val="single" w:sz="4" w:space="0" w:color="auto"/>
            </w:tcBorders>
            <w:vAlign w:val="bottom"/>
          </w:tcPr>
          <w:p w14:paraId="0FC18148" w14:textId="69EABB3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86.7</w:t>
            </w:r>
          </w:p>
        </w:tc>
        <w:tc>
          <w:tcPr>
            <w:tcW w:w="392" w:type="pct"/>
            <w:tcBorders>
              <w:top w:val="single" w:sz="4" w:space="0" w:color="auto"/>
              <w:left w:val="single" w:sz="4" w:space="0" w:color="auto"/>
              <w:bottom w:val="single" w:sz="4" w:space="0" w:color="auto"/>
              <w:right w:val="single" w:sz="4" w:space="0" w:color="auto"/>
            </w:tcBorders>
            <w:vAlign w:val="bottom"/>
          </w:tcPr>
          <w:p w14:paraId="0D895504" w14:textId="6D1C203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86" w:type="pct"/>
            <w:tcBorders>
              <w:top w:val="single" w:sz="4" w:space="0" w:color="auto"/>
              <w:left w:val="single" w:sz="4" w:space="0" w:color="auto"/>
              <w:bottom w:val="single" w:sz="4" w:space="0" w:color="auto"/>
              <w:right w:val="single" w:sz="4" w:space="0" w:color="auto"/>
            </w:tcBorders>
            <w:vAlign w:val="bottom"/>
          </w:tcPr>
          <w:p w14:paraId="688F3438" w14:textId="6B0BC60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13.3</w:t>
            </w:r>
          </w:p>
        </w:tc>
      </w:tr>
      <w:tr w:rsidR="00217865" w:rsidRPr="00217865" w14:paraId="05E5EF7A"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CD5118F" w14:textId="3DB8C64C"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Polytechnic Institute Australia Pty Ltd</w:t>
            </w:r>
          </w:p>
        </w:tc>
        <w:tc>
          <w:tcPr>
            <w:tcW w:w="392" w:type="pct"/>
            <w:tcBorders>
              <w:top w:val="single" w:sz="4" w:space="0" w:color="auto"/>
              <w:left w:val="single" w:sz="4" w:space="0" w:color="auto"/>
              <w:bottom w:val="single" w:sz="4" w:space="0" w:color="auto"/>
              <w:right w:val="single" w:sz="4" w:space="0" w:color="auto"/>
            </w:tcBorders>
            <w:vAlign w:val="bottom"/>
          </w:tcPr>
          <w:p w14:paraId="550F6248" w14:textId="749C1DA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A3A3AFF" w14:textId="242AC43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36F6367C" w14:textId="17B7757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178</w:t>
            </w:r>
          </w:p>
        </w:tc>
        <w:tc>
          <w:tcPr>
            <w:tcW w:w="395" w:type="pct"/>
            <w:tcBorders>
              <w:top w:val="single" w:sz="4" w:space="0" w:color="auto"/>
              <w:left w:val="single" w:sz="4" w:space="0" w:color="auto"/>
              <w:bottom w:val="single" w:sz="4" w:space="0" w:color="auto"/>
              <w:right w:val="single" w:sz="4" w:space="0" w:color="auto"/>
            </w:tcBorders>
            <w:vAlign w:val="bottom"/>
          </w:tcPr>
          <w:p w14:paraId="1E94F177" w14:textId="7421074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3002178" w14:textId="3221147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710DE1F" w14:textId="3A1B2C2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D2629D2" w14:textId="3F7A28A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33</w:t>
            </w:r>
          </w:p>
        </w:tc>
        <w:tc>
          <w:tcPr>
            <w:tcW w:w="386" w:type="pct"/>
            <w:tcBorders>
              <w:top w:val="single" w:sz="4" w:space="0" w:color="auto"/>
              <w:left w:val="single" w:sz="4" w:space="0" w:color="auto"/>
              <w:bottom w:val="single" w:sz="4" w:space="0" w:color="auto"/>
              <w:right w:val="single" w:sz="4" w:space="0" w:color="auto"/>
            </w:tcBorders>
            <w:vAlign w:val="bottom"/>
          </w:tcPr>
          <w:p w14:paraId="6C1F3FF8" w14:textId="4C76E0B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100.0</w:t>
            </w:r>
          </w:p>
        </w:tc>
      </w:tr>
      <w:tr w:rsidR="00217865" w:rsidRPr="00217865" w14:paraId="0B37E21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120E1D3" w14:textId="0796C577"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SAE Institute</w:t>
            </w:r>
          </w:p>
        </w:tc>
        <w:tc>
          <w:tcPr>
            <w:tcW w:w="392" w:type="pct"/>
            <w:tcBorders>
              <w:top w:val="single" w:sz="4" w:space="0" w:color="auto"/>
              <w:left w:val="single" w:sz="4" w:space="0" w:color="auto"/>
              <w:bottom w:val="single" w:sz="4" w:space="0" w:color="auto"/>
              <w:right w:val="single" w:sz="4" w:space="0" w:color="auto"/>
            </w:tcBorders>
            <w:vAlign w:val="bottom"/>
          </w:tcPr>
          <w:p w14:paraId="458458EF" w14:textId="3E220D9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2,616</w:t>
            </w:r>
          </w:p>
        </w:tc>
        <w:tc>
          <w:tcPr>
            <w:tcW w:w="392" w:type="pct"/>
            <w:tcBorders>
              <w:top w:val="single" w:sz="4" w:space="0" w:color="auto"/>
              <w:left w:val="single" w:sz="4" w:space="0" w:color="auto"/>
              <w:bottom w:val="single" w:sz="4" w:space="0" w:color="auto"/>
              <w:right w:val="single" w:sz="4" w:space="0" w:color="auto"/>
            </w:tcBorders>
            <w:vAlign w:val="bottom"/>
          </w:tcPr>
          <w:p w14:paraId="01549747" w14:textId="3B6F5B6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93.4</w:t>
            </w:r>
          </w:p>
        </w:tc>
        <w:tc>
          <w:tcPr>
            <w:tcW w:w="392" w:type="pct"/>
            <w:tcBorders>
              <w:top w:val="single" w:sz="4" w:space="0" w:color="auto"/>
              <w:left w:val="single" w:sz="4" w:space="0" w:color="auto"/>
              <w:bottom w:val="single" w:sz="4" w:space="0" w:color="auto"/>
              <w:right w:val="single" w:sz="4" w:space="0" w:color="auto"/>
            </w:tcBorders>
            <w:vAlign w:val="bottom"/>
          </w:tcPr>
          <w:p w14:paraId="253C3917" w14:textId="3A115AB3"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185</w:t>
            </w:r>
          </w:p>
        </w:tc>
        <w:tc>
          <w:tcPr>
            <w:tcW w:w="395" w:type="pct"/>
            <w:tcBorders>
              <w:top w:val="single" w:sz="4" w:space="0" w:color="auto"/>
              <w:left w:val="single" w:sz="4" w:space="0" w:color="auto"/>
              <w:bottom w:val="single" w:sz="4" w:space="0" w:color="auto"/>
              <w:right w:val="single" w:sz="4" w:space="0" w:color="auto"/>
            </w:tcBorders>
            <w:vAlign w:val="bottom"/>
          </w:tcPr>
          <w:p w14:paraId="1266E6F9" w14:textId="46D1634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6.6</w:t>
            </w:r>
          </w:p>
        </w:tc>
        <w:tc>
          <w:tcPr>
            <w:tcW w:w="392" w:type="pct"/>
            <w:tcBorders>
              <w:top w:val="single" w:sz="4" w:space="0" w:color="auto"/>
              <w:left w:val="single" w:sz="4" w:space="0" w:color="auto"/>
              <w:bottom w:val="single" w:sz="4" w:space="0" w:color="auto"/>
              <w:right w:val="single" w:sz="4" w:space="0" w:color="auto"/>
            </w:tcBorders>
            <w:vAlign w:val="bottom"/>
          </w:tcPr>
          <w:p w14:paraId="10B7A59B" w14:textId="69DAD4B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828</w:t>
            </w:r>
          </w:p>
        </w:tc>
        <w:tc>
          <w:tcPr>
            <w:tcW w:w="392" w:type="pct"/>
            <w:tcBorders>
              <w:top w:val="single" w:sz="4" w:space="0" w:color="auto"/>
              <w:left w:val="single" w:sz="4" w:space="0" w:color="auto"/>
              <w:bottom w:val="single" w:sz="4" w:space="0" w:color="auto"/>
              <w:right w:val="single" w:sz="4" w:space="0" w:color="auto"/>
            </w:tcBorders>
            <w:vAlign w:val="bottom"/>
          </w:tcPr>
          <w:p w14:paraId="7058DD8C" w14:textId="0B1E56B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91.8</w:t>
            </w:r>
          </w:p>
        </w:tc>
        <w:tc>
          <w:tcPr>
            <w:tcW w:w="392" w:type="pct"/>
            <w:tcBorders>
              <w:top w:val="single" w:sz="4" w:space="0" w:color="auto"/>
              <w:left w:val="single" w:sz="4" w:space="0" w:color="auto"/>
              <w:bottom w:val="single" w:sz="4" w:space="0" w:color="auto"/>
              <w:right w:val="single" w:sz="4" w:space="0" w:color="auto"/>
            </w:tcBorders>
            <w:vAlign w:val="bottom"/>
          </w:tcPr>
          <w:p w14:paraId="1C3828D4" w14:textId="25F201E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74</w:t>
            </w:r>
          </w:p>
        </w:tc>
        <w:tc>
          <w:tcPr>
            <w:tcW w:w="386" w:type="pct"/>
            <w:tcBorders>
              <w:top w:val="single" w:sz="4" w:space="0" w:color="auto"/>
              <w:left w:val="single" w:sz="4" w:space="0" w:color="auto"/>
              <w:bottom w:val="single" w:sz="4" w:space="0" w:color="auto"/>
              <w:right w:val="single" w:sz="4" w:space="0" w:color="auto"/>
            </w:tcBorders>
            <w:vAlign w:val="bottom"/>
          </w:tcPr>
          <w:p w14:paraId="31830A88" w14:textId="503FB6B6"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8.2</w:t>
            </w:r>
          </w:p>
        </w:tc>
      </w:tr>
      <w:tr w:rsidR="00217865" w:rsidRPr="00217865" w14:paraId="6E20C9FF"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9EA6326" w14:textId="37513C02"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Sheridan Institute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2FEAA93C" w14:textId="4277F50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92" w:type="pct"/>
            <w:tcBorders>
              <w:top w:val="single" w:sz="4" w:space="0" w:color="auto"/>
              <w:left w:val="single" w:sz="4" w:space="0" w:color="auto"/>
              <w:bottom w:val="single" w:sz="4" w:space="0" w:color="auto"/>
              <w:right w:val="single" w:sz="4" w:space="0" w:color="auto"/>
            </w:tcBorders>
            <w:vAlign w:val="bottom"/>
          </w:tcPr>
          <w:p w14:paraId="586B2329" w14:textId="0F00521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11.8</w:t>
            </w:r>
          </w:p>
        </w:tc>
        <w:tc>
          <w:tcPr>
            <w:tcW w:w="392" w:type="pct"/>
            <w:tcBorders>
              <w:top w:val="single" w:sz="4" w:space="0" w:color="auto"/>
              <w:left w:val="single" w:sz="4" w:space="0" w:color="auto"/>
              <w:bottom w:val="single" w:sz="4" w:space="0" w:color="auto"/>
              <w:right w:val="single" w:sz="4" w:space="0" w:color="auto"/>
            </w:tcBorders>
            <w:vAlign w:val="bottom"/>
          </w:tcPr>
          <w:p w14:paraId="2130B6DC" w14:textId="1A59B41E"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45</w:t>
            </w:r>
          </w:p>
        </w:tc>
        <w:tc>
          <w:tcPr>
            <w:tcW w:w="395" w:type="pct"/>
            <w:tcBorders>
              <w:top w:val="single" w:sz="4" w:space="0" w:color="auto"/>
              <w:left w:val="single" w:sz="4" w:space="0" w:color="auto"/>
              <w:bottom w:val="single" w:sz="4" w:space="0" w:color="auto"/>
              <w:right w:val="single" w:sz="4" w:space="0" w:color="auto"/>
            </w:tcBorders>
            <w:vAlign w:val="bottom"/>
          </w:tcPr>
          <w:p w14:paraId="64E3DD07" w14:textId="7E5F971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88.2</w:t>
            </w:r>
          </w:p>
        </w:tc>
        <w:tc>
          <w:tcPr>
            <w:tcW w:w="392" w:type="pct"/>
            <w:tcBorders>
              <w:top w:val="single" w:sz="4" w:space="0" w:color="auto"/>
              <w:left w:val="single" w:sz="4" w:space="0" w:color="auto"/>
              <w:bottom w:val="single" w:sz="4" w:space="0" w:color="auto"/>
              <w:right w:val="single" w:sz="4" w:space="0" w:color="auto"/>
            </w:tcBorders>
            <w:vAlign w:val="bottom"/>
          </w:tcPr>
          <w:p w14:paraId="14A33DD9" w14:textId="3435714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6</w:t>
            </w:r>
          </w:p>
        </w:tc>
        <w:tc>
          <w:tcPr>
            <w:tcW w:w="392" w:type="pct"/>
            <w:tcBorders>
              <w:top w:val="single" w:sz="4" w:space="0" w:color="auto"/>
              <w:left w:val="single" w:sz="4" w:space="0" w:color="auto"/>
              <w:bottom w:val="single" w:sz="4" w:space="0" w:color="auto"/>
              <w:right w:val="single" w:sz="4" w:space="0" w:color="auto"/>
            </w:tcBorders>
            <w:vAlign w:val="bottom"/>
          </w:tcPr>
          <w:p w14:paraId="55885B50" w14:textId="0146A12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15.4</w:t>
            </w:r>
          </w:p>
        </w:tc>
        <w:tc>
          <w:tcPr>
            <w:tcW w:w="392" w:type="pct"/>
            <w:tcBorders>
              <w:top w:val="single" w:sz="4" w:space="0" w:color="auto"/>
              <w:left w:val="single" w:sz="4" w:space="0" w:color="auto"/>
              <w:bottom w:val="single" w:sz="4" w:space="0" w:color="auto"/>
              <w:right w:val="single" w:sz="4" w:space="0" w:color="auto"/>
            </w:tcBorders>
            <w:vAlign w:val="bottom"/>
          </w:tcPr>
          <w:p w14:paraId="6B23EFB7" w14:textId="0DA14D8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33</w:t>
            </w:r>
          </w:p>
        </w:tc>
        <w:tc>
          <w:tcPr>
            <w:tcW w:w="386" w:type="pct"/>
            <w:tcBorders>
              <w:top w:val="single" w:sz="4" w:space="0" w:color="auto"/>
              <w:left w:val="single" w:sz="4" w:space="0" w:color="auto"/>
              <w:bottom w:val="single" w:sz="4" w:space="0" w:color="auto"/>
              <w:right w:val="single" w:sz="4" w:space="0" w:color="auto"/>
            </w:tcBorders>
            <w:vAlign w:val="bottom"/>
          </w:tcPr>
          <w:p w14:paraId="5CB02FA6" w14:textId="00271CC5"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84.6</w:t>
            </w:r>
          </w:p>
        </w:tc>
      </w:tr>
      <w:tr w:rsidR="00217865" w:rsidRPr="00217865" w14:paraId="36B30AB8"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AF21B8B" w14:textId="77875471"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Southern Cross Education Institute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35179085" w14:textId="1DBF755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640FFCE1" w14:textId="5504713A"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54653747" w14:textId="26789EE1"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183</w:t>
            </w:r>
          </w:p>
        </w:tc>
        <w:tc>
          <w:tcPr>
            <w:tcW w:w="395" w:type="pct"/>
            <w:tcBorders>
              <w:top w:val="single" w:sz="4" w:space="0" w:color="auto"/>
              <w:left w:val="single" w:sz="4" w:space="0" w:color="auto"/>
              <w:bottom w:val="single" w:sz="4" w:space="0" w:color="auto"/>
              <w:right w:val="single" w:sz="4" w:space="0" w:color="auto"/>
            </w:tcBorders>
            <w:vAlign w:val="bottom"/>
          </w:tcPr>
          <w:p w14:paraId="4A067C14" w14:textId="7C73EB4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94.8</w:t>
            </w:r>
          </w:p>
        </w:tc>
        <w:tc>
          <w:tcPr>
            <w:tcW w:w="392" w:type="pct"/>
            <w:tcBorders>
              <w:top w:val="single" w:sz="4" w:space="0" w:color="auto"/>
              <w:left w:val="single" w:sz="4" w:space="0" w:color="auto"/>
              <w:bottom w:val="single" w:sz="4" w:space="0" w:color="auto"/>
              <w:right w:val="single" w:sz="4" w:space="0" w:color="auto"/>
            </w:tcBorders>
            <w:vAlign w:val="bottom"/>
          </w:tcPr>
          <w:p w14:paraId="75D2EA92" w14:textId="06164FA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77DE50A" w14:textId="20FA5E2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3C8902A" w14:textId="3FFB0FF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71</w:t>
            </w:r>
          </w:p>
        </w:tc>
        <w:tc>
          <w:tcPr>
            <w:tcW w:w="386" w:type="pct"/>
            <w:tcBorders>
              <w:top w:val="single" w:sz="4" w:space="0" w:color="auto"/>
              <w:left w:val="single" w:sz="4" w:space="0" w:color="auto"/>
              <w:bottom w:val="single" w:sz="4" w:space="0" w:color="auto"/>
              <w:right w:val="single" w:sz="4" w:space="0" w:color="auto"/>
            </w:tcBorders>
            <w:vAlign w:val="bottom"/>
          </w:tcPr>
          <w:p w14:paraId="704F8BCC" w14:textId="1DA0D5C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97.3</w:t>
            </w:r>
          </w:p>
        </w:tc>
      </w:tr>
      <w:tr w:rsidR="00217865" w:rsidRPr="00217865" w14:paraId="67398895" w14:textId="77777777" w:rsidTr="00E2454F">
        <w:trPr>
          <w:trHeight w:val="71"/>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DAF0731" w14:textId="3E369CC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South Australian Institute of Business and Technology</w:t>
            </w:r>
          </w:p>
        </w:tc>
        <w:tc>
          <w:tcPr>
            <w:tcW w:w="392" w:type="pct"/>
            <w:tcBorders>
              <w:top w:val="single" w:sz="4" w:space="0" w:color="auto"/>
              <w:left w:val="single" w:sz="4" w:space="0" w:color="auto"/>
              <w:bottom w:val="single" w:sz="4" w:space="0" w:color="auto"/>
              <w:right w:val="single" w:sz="4" w:space="0" w:color="auto"/>
            </w:tcBorders>
            <w:vAlign w:val="bottom"/>
          </w:tcPr>
          <w:p w14:paraId="0EB3AE2F" w14:textId="50290B1B"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88</w:t>
            </w:r>
          </w:p>
        </w:tc>
        <w:tc>
          <w:tcPr>
            <w:tcW w:w="392" w:type="pct"/>
            <w:tcBorders>
              <w:top w:val="single" w:sz="4" w:space="0" w:color="auto"/>
              <w:left w:val="single" w:sz="4" w:space="0" w:color="auto"/>
              <w:bottom w:val="single" w:sz="4" w:space="0" w:color="auto"/>
              <w:right w:val="single" w:sz="4" w:space="0" w:color="auto"/>
            </w:tcBorders>
            <w:vAlign w:val="bottom"/>
          </w:tcPr>
          <w:p w14:paraId="1E2DEA36" w14:textId="519BE6F8"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22.1</w:t>
            </w:r>
          </w:p>
        </w:tc>
        <w:tc>
          <w:tcPr>
            <w:tcW w:w="392" w:type="pct"/>
            <w:tcBorders>
              <w:top w:val="single" w:sz="4" w:space="0" w:color="auto"/>
              <w:left w:val="single" w:sz="4" w:space="0" w:color="auto"/>
              <w:bottom w:val="single" w:sz="4" w:space="0" w:color="auto"/>
              <w:right w:val="single" w:sz="4" w:space="0" w:color="auto"/>
            </w:tcBorders>
            <w:vAlign w:val="bottom"/>
          </w:tcPr>
          <w:p w14:paraId="627EE8BD" w14:textId="64F8A1F7"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311</w:t>
            </w:r>
          </w:p>
        </w:tc>
        <w:tc>
          <w:tcPr>
            <w:tcW w:w="395" w:type="pct"/>
            <w:tcBorders>
              <w:top w:val="single" w:sz="4" w:space="0" w:color="auto"/>
              <w:left w:val="single" w:sz="4" w:space="0" w:color="auto"/>
              <w:bottom w:val="single" w:sz="4" w:space="0" w:color="auto"/>
              <w:right w:val="single" w:sz="4" w:space="0" w:color="auto"/>
            </w:tcBorders>
            <w:vAlign w:val="bottom"/>
          </w:tcPr>
          <w:p w14:paraId="39B393AC" w14:textId="316A73D2"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77.9</w:t>
            </w:r>
          </w:p>
        </w:tc>
        <w:tc>
          <w:tcPr>
            <w:tcW w:w="392" w:type="pct"/>
            <w:tcBorders>
              <w:top w:val="single" w:sz="4" w:space="0" w:color="auto"/>
              <w:left w:val="single" w:sz="4" w:space="0" w:color="auto"/>
              <w:bottom w:val="single" w:sz="4" w:space="0" w:color="auto"/>
              <w:right w:val="single" w:sz="4" w:space="0" w:color="auto"/>
            </w:tcBorders>
            <w:vAlign w:val="bottom"/>
          </w:tcPr>
          <w:p w14:paraId="3934EE5F" w14:textId="5BEA1920"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35</w:t>
            </w:r>
          </w:p>
        </w:tc>
        <w:tc>
          <w:tcPr>
            <w:tcW w:w="392" w:type="pct"/>
            <w:tcBorders>
              <w:top w:val="single" w:sz="4" w:space="0" w:color="auto"/>
              <w:left w:val="single" w:sz="4" w:space="0" w:color="auto"/>
              <w:bottom w:val="single" w:sz="4" w:space="0" w:color="auto"/>
              <w:right w:val="single" w:sz="4" w:space="0" w:color="auto"/>
            </w:tcBorders>
            <w:vAlign w:val="bottom"/>
          </w:tcPr>
          <w:p w14:paraId="3EA997E4" w14:textId="3ED2D8A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25.4</w:t>
            </w:r>
          </w:p>
        </w:tc>
        <w:tc>
          <w:tcPr>
            <w:tcW w:w="392" w:type="pct"/>
            <w:tcBorders>
              <w:top w:val="single" w:sz="4" w:space="0" w:color="auto"/>
              <w:left w:val="single" w:sz="4" w:space="0" w:color="auto"/>
              <w:bottom w:val="single" w:sz="4" w:space="0" w:color="auto"/>
              <w:right w:val="single" w:sz="4" w:space="0" w:color="auto"/>
            </w:tcBorders>
            <w:vAlign w:val="bottom"/>
          </w:tcPr>
          <w:p w14:paraId="0B34D674" w14:textId="39CEA4C9"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103</w:t>
            </w:r>
          </w:p>
        </w:tc>
        <w:tc>
          <w:tcPr>
            <w:tcW w:w="386" w:type="pct"/>
            <w:tcBorders>
              <w:top w:val="single" w:sz="4" w:space="0" w:color="auto"/>
              <w:left w:val="single" w:sz="4" w:space="0" w:color="auto"/>
              <w:bottom w:val="single" w:sz="4" w:space="0" w:color="auto"/>
              <w:right w:val="single" w:sz="4" w:space="0" w:color="auto"/>
            </w:tcBorders>
            <w:vAlign w:val="bottom"/>
          </w:tcPr>
          <w:p w14:paraId="0513E4B4" w14:textId="4794813F" w:rsidR="00F20D1A" w:rsidRPr="00217865" w:rsidRDefault="00F20D1A" w:rsidP="00A43B35">
            <w:pPr>
              <w:pStyle w:val="Z"/>
              <w:spacing w:before="60" w:after="60"/>
              <w:jc w:val="center"/>
              <w:rPr>
                <w:color w:val="000000" w:themeColor="text1"/>
                <w:szCs w:val="18"/>
                <w:highlight w:val="yellow"/>
              </w:rPr>
            </w:pPr>
            <w:r w:rsidRPr="00217865">
              <w:rPr>
                <w:color w:val="000000" w:themeColor="text1"/>
                <w:szCs w:val="18"/>
              </w:rPr>
              <w:t>74.6</w:t>
            </w:r>
          </w:p>
        </w:tc>
      </w:tr>
      <w:tr w:rsidR="00217865" w:rsidRPr="00217865" w14:paraId="4404AF86"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539A900" w14:textId="272F19A4" w:rsidR="00F20D1A" w:rsidRPr="00217865" w:rsidRDefault="00F20D1A" w:rsidP="00A43B35">
            <w:pPr>
              <w:pStyle w:val="Z"/>
              <w:spacing w:before="60" w:after="60"/>
              <w:rPr>
                <w:b/>
                <w:color w:val="000000" w:themeColor="text1"/>
                <w:szCs w:val="18"/>
                <w:highlight w:val="yellow"/>
              </w:rPr>
            </w:pPr>
            <w:r w:rsidRPr="00217865">
              <w:rPr>
                <w:color w:val="000000" w:themeColor="text1"/>
                <w:szCs w:val="18"/>
              </w:rPr>
              <w:t>SP Jain School of Management</w:t>
            </w:r>
          </w:p>
        </w:tc>
        <w:tc>
          <w:tcPr>
            <w:tcW w:w="392" w:type="pct"/>
            <w:tcBorders>
              <w:top w:val="single" w:sz="4" w:space="0" w:color="auto"/>
              <w:left w:val="single" w:sz="4" w:space="0" w:color="auto"/>
              <w:bottom w:val="single" w:sz="4" w:space="0" w:color="auto"/>
              <w:right w:val="single" w:sz="4" w:space="0" w:color="auto"/>
            </w:tcBorders>
            <w:vAlign w:val="bottom"/>
          </w:tcPr>
          <w:p w14:paraId="30153BEB" w14:textId="54F7748E"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9A874D2" w14:textId="343F4C7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0E967CF3" w14:textId="7B656C1C"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247</w:t>
            </w:r>
          </w:p>
        </w:tc>
        <w:tc>
          <w:tcPr>
            <w:tcW w:w="395" w:type="pct"/>
            <w:tcBorders>
              <w:top w:val="single" w:sz="4" w:space="0" w:color="auto"/>
              <w:left w:val="single" w:sz="4" w:space="0" w:color="auto"/>
              <w:bottom w:val="single" w:sz="4" w:space="0" w:color="auto"/>
              <w:right w:val="single" w:sz="4" w:space="0" w:color="auto"/>
            </w:tcBorders>
            <w:vAlign w:val="bottom"/>
          </w:tcPr>
          <w:p w14:paraId="3E4435E4" w14:textId="7CF16A2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9D44DD5" w14:textId="548331D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0BAD4B2" w14:textId="481CCC5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5A7E9537" w14:textId="13D721E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177</w:t>
            </w:r>
          </w:p>
        </w:tc>
        <w:tc>
          <w:tcPr>
            <w:tcW w:w="386" w:type="pct"/>
            <w:tcBorders>
              <w:top w:val="single" w:sz="4" w:space="0" w:color="auto"/>
              <w:left w:val="single" w:sz="4" w:space="0" w:color="auto"/>
              <w:bottom w:val="single" w:sz="4" w:space="0" w:color="auto"/>
              <w:right w:val="single" w:sz="4" w:space="0" w:color="auto"/>
            </w:tcBorders>
            <w:vAlign w:val="bottom"/>
          </w:tcPr>
          <w:p w14:paraId="452F560B" w14:textId="3F3BA88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r>
      <w:tr w:rsidR="00217865" w:rsidRPr="00217865" w14:paraId="4E6A50DB"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2CE851F" w14:textId="6EBC28B0"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Stanley College</w:t>
            </w:r>
          </w:p>
        </w:tc>
        <w:tc>
          <w:tcPr>
            <w:tcW w:w="392" w:type="pct"/>
            <w:tcBorders>
              <w:top w:val="single" w:sz="4" w:space="0" w:color="auto"/>
              <w:left w:val="single" w:sz="4" w:space="0" w:color="auto"/>
              <w:bottom w:val="single" w:sz="4" w:space="0" w:color="auto"/>
              <w:right w:val="single" w:sz="4" w:space="0" w:color="auto"/>
            </w:tcBorders>
            <w:vAlign w:val="bottom"/>
          </w:tcPr>
          <w:p w14:paraId="47D596C8" w14:textId="4371E13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68064A0D" w14:textId="02DB0ABA"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0.5</w:t>
            </w:r>
          </w:p>
        </w:tc>
        <w:tc>
          <w:tcPr>
            <w:tcW w:w="392" w:type="pct"/>
            <w:tcBorders>
              <w:top w:val="single" w:sz="4" w:space="0" w:color="auto"/>
              <w:left w:val="single" w:sz="4" w:space="0" w:color="auto"/>
              <w:bottom w:val="single" w:sz="4" w:space="0" w:color="auto"/>
              <w:right w:val="single" w:sz="4" w:space="0" w:color="auto"/>
            </w:tcBorders>
            <w:vAlign w:val="bottom"/>
          </w:tcPr>
          <w:p w14:paraId="5453CBEF" w14:textId="2837371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218</w:t>
            </w:r>
          </w:p>
        </w:tc>
        <w:tc>
          <w:tcPr>
            <w:tcW w:w="395" w:type="pct"/>
            <w:tcBorders>
              <w:top w:val="single" w:sz="4" w:space="0" w:color="auto"/>
              <w:left w:val="single" w:sz="4" w:space="0" w:color="auto"/>
              <w:bottom w:val="single" w:sz="4" w:space="0" w:color="auto"/>
              <w:right w:val="single" w:sz="4" w:space="0" w:color="auto"/>
            </w:tcBorders>
            <w:vAlign w:val="bottom"/>
          </w:tcPr>
          <w:p w14:paraId="2DC3694A" w14:textId="69487B8A"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99.5</w:t>
            </w:r>
          </w:p>
        </w:tc>
        <w:tc>
          <w:tcPr>
            <w:tcW w:w="392" w:type="pct"/>
            <w:tcBorders>
              <w:top w:val="single" w:sz="4" w:space="0" w:color="auto"/>
              <w:left w:val="single" w:sz="4" w:space="0" w:color="auto"/>
              <w:bottom w:val="single" w:sz="4" w:space="0" w:color="auto"/>
              <w:right w:val="single" w:sz="4" w:space="0" w:color="auto"/>
            </w:tcBorders>
            <w:vAlign w:val="bottom"/>
          </w:tcPr>
          <w:p w14:paraId="3CAB1114" w14:textId="1CB8515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9BAF3E7" w14:textId="6615929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42B8AE8" w14:textId="64A624E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86</w:t>
            </w:r>
          </w:p>
        </w:tc>
        <w:tc>
          <w:tcPr>
            <w:tcW w:w="386" w:type="pct"/>
            <w:tcBorders>
              <w:top w:val="single" w:sz="4" w:space="0" w:color="auto"/>
              <w:left w:val="single" w:sz="4" w:space="0" w:color="auto"/>
              <w:bottom w:val="single" w:sz="4" w:space="0" w:color="auto"/>
              <w:right w:val="single" w:sz="4" w:space="0" w:color="auto"/>
            </w:tcBorders>
            <w:vAlign w:val="bottom"/>
          </w:tcPr>
          <w:p w14:paraId="757CC3A4" w14:textId="54E21DD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r>
      <w:tr w:rsidR="00217865" w:rsidRPr="00217865" w14:paraId="17CD4472"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FACB926" w14:textId="019F80E0"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Stott's College</w:t>
            </w:r>
          </w:p>
        </w:tc>
        <w:tc>
          <w:tcPr>
            <w:tcW w:w="392" w:type="pct"/>
            <w:tcBorders>
              <w:top w:val="single" w:sz="4" w:space="0" w:color="auto"/>
              <w:left w:val="single" w:sz="4" w:space="0" w:color="auto"/>
              <w:bottom w:val="single" w:sz="4" w:space="0" w:color="auto"/>
              <w:right w:val="single" w:sz="4" w:space="0" w:color="auto"/>
            </w:tcBorders>
            <w:vAlign w:val="bottom"/>
          </w:tcPr>
          <w:p w14:paraId="0047CD9C" w14:textId="5F1FB49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w:t>
            </w:r>
          </w:p>
        </w:tc>
        <w:tc>
          <w:tcPr>
            <w:tcW w:w="392" w:type="pct"/>
            <w:tcBorders>
              <w:top w:val="single" w:sz="4" w:space="0" w:color="auto"/>
              <w:left w:val="single" w:sz="4" w:space="0" w:color="auto"/>
              <w:bottom w:val="single" w:sz="4" w:space="0" w:color="auto"/>
              <w:right w:val="single" w:sz="4" w:space="0" w:color="auto"/>
            </w:tcBorders>
            <w:vAlign w:val="bottom"/>
          </w:tcPr>
          <w:p w14:paraId="5DA7953D" w14:textId="5E5FECEE"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0.2</w:t>
            </w:r>
          </w:p>
        </w:tc>
        <w:tc>
          <w:tcPr>
            <w:tcW w:w="392" w:type="pct"/>
            <w:tcBorders>
              <w:top w:val="single" w:sz="4" w:space="0" w:color="auto"/>
              <w:left w:val="single" w:sz="4" w:space="0" w:color="auto"/>
              <w:bottom w:val="single" w:sz="4" w:space="0" w:color="auto"/>
              <w:right w:val="single" w:sz="4" w:space="0" w:color="auto"/>
            </w:tcBorders>
            <w:vAlign w:val="bottom"/>
          </w:tcPr>
          <w:p w14:paraId="01152E84" w14:textId="2111573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2,539</w:t>
            </w:r>
          </w:p>
        </w:tc>
        <w:tc>
          <w:tcPr>
            <w:tcW w:w="395" w:type="pct"/>
            <w:tcBorders>
              <w:top w:val="single" w:sz="4" w:space="0" w:color="auto"/>
              <w:left w:val="single" w:sz="4" w:space="0" w:color="auto"/>
              <w:bottom w:val="single" w:sz="4" w:space="0" w:color="auto"/>
              <w:right w:val="single" w:sz="4" w:space="0" w:color="auto"/>
            </w:tcBorders>
            <w:vAlign w:val="bottom"/>
          </w:tcPr>
          <w:p w14:paraId="24A6284A" w14:textId="314C341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99.8</w:t>
            </w:r>
          </w:p>
        </w:tc>
        <w:tc>
          <w:tcPr>
            <w:tcW w:w="392" w:type="pct"/>
            <w:tcBorders>
              <w:top w:val="single" w:sz="4" w:space="0" w:color="auto"/>
              <w:left w:val="single" w:sz="4" w:space="0" w:color="auto"/>
              <w:bottom w:val="single" w:sz="4" w:space="0" w:color="auto"/>
              <w:right w:val="single" w:sz="4" w:space="0" w:color="auto"/>
            </w:tcBorders>
            <w:vAlign w:val="bottom"/>
          </w:tcPr>
          <w:p w14:paraId="15646A6A" w14:textId="537674D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w:t>
            </w:r>
          </w:p>
        </w:tc>
        <w:tc>
          <w:tcPr>
            <w:tcW w:w="392" w:type="pct"/>
            <w:tcBorders>
              <w:top w:val="single" w:sz="4" w:space="0" w:color="auto"/>
              <w:left w:val="single" w:sz="4" w:space="0" w:color="auto"/>
              <w:bottom w:val="single" w:sz="4" w:space="0" w:color="auto"/>
              <w:right w:val="single" w:sz="4" w:space="0" w:color="auto"/>
            </w:tcBorders>
            <w:vAlign w:val="bottom"/>
          </w:tcPr>
          <w:p w14:paraId="48532715" w14:textId="026E832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0.5</w:t>
            </w:r>
          </w:p>
        </w:tc>
        <w:tc>
          <w:tcPr>
            <w:tcW w:w="392" w:type="pct"/>
            <w:tcBorders>
              <w:top w:val="single" w:sz="4" w:space="0" w:color="auto"/>
              <w:left w:val="single" w:sz="4" w:space="0" w:color="auto"/>
              <w:bottom w:val="single" w:sz="4" w:space="0" w:color="auto"/>
              <w:right w:val="single" w:sz="4" w:space="0" w:color="auto"/>
            </w:tcBorders>
            <w:vAlign w:val="bottom"/>
          </w:tcPr>
          <w:p w14:paraId="390F2629" w14:textId="64AA377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1,071</w:t>
            </w:r>
          </w:p>
        </w:tc>
        <w:tc>
          <w:tcPr>
            <w:tcW w:w="386" w:type="pct"/>
            <w:tcBorders>
              <w:top w:val="single" w:sz="4" w:space="0" w:color="auto"/>
              <w:left w:val="single" w:sz="4" w:space="0" w:color="auto"/>
              <w:bottom w:val="single" w:sz="4" w:space="0" w:color="auto"/>
              <w:right w:val="single" w:sz="4" w:space="0" w:color="auto"/>
            </w:tcBorders>
            <w:vAlign w:val="bottom"/>
          </w:tcPr>
          <w:p w14:paraId="1537C6AB" w14:textId="711F01A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99.5</w:t>
            </w:r>
          </w:p>
        </w:tc>
      </w:tr>
      <w:tr w:rsidR="00217865" w:rsidRPr="00217865" w14:paraId="188EA3D4"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8C79757" w14:textId="4D8FA60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Sydney College of Divinity</w:t>
            </w:r>
          </w:p>
        </w:tc>
        <w:tc>
          <w:tcPr>
            <w:tcW w:w="392" w:type="pct"/>
            <w:tcBorders>
              <w:top w:val="single" w:sz="4" w:space="0" w:color="auto"/>
              <w:left w:val="single" w:sz="4" w:space="0" w:color="auto"/>
              <w:bottom w:val="single" w:sz="4" w:space="0" w:color="auto"/>
              <w:right w:val="single" w:sz="4" w:space="0" w:color="auto"/>
            </w:tcBorders>
            <w:vAlign w:val="bottom"/>
          </w:tcPr>
          <w:p w14:paraId="5C05BAD9" w14:textId="1AE161A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597</w:t>
            </w:r>
          </w:p>
        </w:tc>
        <w:tc>
          <w:tcPr>
            <w:tcW w:w="392" w:type="pct"/>
            <w:tcBorders>
              <w:top w:val="single" w:sz="4" w:space="0" w:color="auto"/>
              <w:left w:val="single" w:sz="4" w:space="0" w:color="auto"/>
              <w:bottom w:val="single" w:sz="4" w:space="0" w:color="auto"/>
              <w:right w:val="single" w:sz="4" w:space="0" w:color="auto"/>
            </w:tcBorders>
            <w:vAlign w:val="bottom"/>
          </w:tcPr>
          <w:p w14:paraId="62DDF34B" w14:textId="536B972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90.3</w:t>
            </w:r>
          </w:p>
        </w:tc>
        <w:tc>
          <w:tcPr>
            <w:tcW w:w="392" w:type="pct"/>
            <w:tcBorders>
              <w:top w:val="single" w:sz="4" w:space="0" w:color="auto"/>
              <w:left w:val="single" w:sz="4" w:space="0" w:color="auto"/>
              <w:bottom w:val="single" w:sz="4" w:space="0" w:color="auto"/>
              <w:right w:val="single" w:sz="4" w:space="0" w:color="auto"/>
            </w:tcBorders>
            <w:vAlign w:val="bottom"/>
          </w:tcPr>
          <w:p w14:paraId="77CB63A0" w14:textId="6192DDC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64</w:t>
            </w:r>
          </w:p>
        </w:tc>
        <w:tc>
          <w:tcPr>
            <w:tcW w:w="395" w:type="pct"/>
            <w:tcBorders>
              <w:top w:val="single" w:sz="4" w:space="0" w:color="auto"/>
              <w:left w:val="single" w:sz="4" w:space="0" w:color="auto"/>
              <w:bottom w:val="single" w:sz="4" w:space="0" w:color="auto"/>
              <w:right w:val="single" w:sz="4" w:space="0" w:color="auto"/>
            </w:tcBorders>
            <w:vAlign w:val="bottom"/>
          </w:tcPr>
          <w:p w14:paraId="50B9FA18" w14:textId="5A530BFC"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9.7</w:t>
            </w:r>
          </w:p>
        </w:tc>
        <w:tc>
          <w:tcPr>
            <w:tcW w:w="392" w:type="pct"/>
            <w:tcBorders>
              <w:top w:val="single" w:sz="4" w:space="0" w:color="auto"/>
              <w:left w:val="single" w:sz="4" w:space="0" w:color="auto"/>
              <w:bottom w:val="single" w:sz="4" w:space="0" w:color="auto"/>
              <w:right w:val="single" w:sz="4" w:space="0" w:color="auto"/>
            </w:tcBorders>
            <w:vAlign w:val="bottom"/>
          </w:tcPr>
          <w:p w14:paraId="09BC460F" w14:textId="3EFFA39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154</w:t>
            </w:r>
          </w:p>
        </w:tc>
        <w:tc>
          <w:tcPr>
            <w:tcW w:w="392" w:type="pct"/>
            <w:tcBorders>
              <w:top w:val="single" w:sz="4" w:space="0" w:color="auto"/>
              <w:left w:val="single" w:sz="4" w:space="0" w:color="auto"/>
              <w:bottom w:val="single" w:sz="4" w:space="0" w:color="auto"/>
              <w:right w:val="single" w:sz="4" w:space="0" w:color="auto"/>
            </w:tcBorders>
            <w:vAlign w:val="bottom"/>
          </w:tcPr>
          <w:p w14:paraId="16D8710A" w14:textId="7033473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88.0</w:t>
            </w:r>
          </w:p>
        </w:tc>
        <w:tc>
          <w:tcPr>
            <w:tcW w:w="392" w:type="pct"/>
            <w:tcBorders>
              <w:top w:val="single" w:sz="4" w:space="0" w:color="auto"/>
              <w:left w:val="single" w:sz="4" w:space="0" w:color="auto"/>
              <w:bottom w:val="single" w:sz="4" w:space="0" w:color="auto"/>
              <w:right w:val="single" w:sz="4" w:space="0" w:color="auto"/>
            </w:tcBorders>
            <w:vAlign w:val="bottom"/>
          </w:tcPr>
          <w:p w14:paraId="087539F8" w14:textId="7A40231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21</w:t>
            </w:r>
          </w:p>
        </w:tc>
        <w:tc>
          <w:tcPr>
            <w:tcW w:w="386" w:type="pct"/>
            <w:tcBorders>
              <w:top w:val="single" w:sz="4" w:space="0" w:color="auto"/>
              <w:left w:val="single" w:sz="4" w:space="0" w:color="auto"/>
              <w:bottom w:val="single" w:sz="4" w:space="0" w:color="auto"/>
              <w:right w:val="single" w:sz="4" w:space="0" w:color="auto"/>
            </w:tcBorders>
            <w:vAlign w:val="bottom"/>
          </w:tcPr>
          <w:p w14:paraId="143D8E74" w14:textId="098FB51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12.0</w:t>
            </w:r>
          </w:p>
        </w:tc>
      </w:tr>
      <w:tr w:rsidR="00217865" w:rsidRPr="00217865" w14:paraId="544445BD"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32FAB85" w14:textId="692273E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Sydney Institute of Business and Technology</w:t>
            </w:r>
          </w:p>
        </w:tc>
        <w:tc>
          <w:tcPr>
            <w:tcW w:w="392" w:type="pct"/>
            <w:tcBorders>
              <w:top w:val="single" w:sz="4" w:space="0" w:color="auto"/>
              <w:left w:val="single" w:sz="4" w:space="0" w:color="auto"/>
              <w:bottom w:val="single" w:sz="4" w:space="0" w:color="auto"/>
              <w:right w:val="single" w:sz="4" w:space="0" w:color="auto"/>
            </w:tcBorders>
            <w:vAlign w:val="bottom"/>
          </w:tcPr>
          <w:p w14:paraId="46D3ED4D" w14:textId="69C4D16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29</w:t>
            </w:r>
          </w:p>
        </w:tc>
        <w:tc>
          <w:tcPr>
            <w:tcW w:w="392" w:type="pct"/>
            <w:tcBorders>
              <w:top w:val="single" w:sz="4" w:space="0" w:color="auto"/>
              <w:left w:val="single" w:sz="4" w:space="0" w:color="auto"/>
              <w:bottom w:val="single" w:sz="4" w:space="0" w:color="auto"/>
              <w:right w:val="single" w:sz="4" w:space="0" w:color="auto"/>
            </w:tcBorders>
            <w:vAlign w:val="bottom"/>
          </w:tcPr>
          <w:p w14:paraId="4B437099" w14:textId="3EA386D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28.2</w:t>
            </w:r>
          </w:p>
        </w:tc>
        <w:tc>
          <w:tcPr>
            <w:tcW w:w="392" w:type="pct"/>
            <w:tcBorders>
              <w:top w:val="single" w:sz="4" w:space="0" w:color="auto"/>
              <w:left w:val="single" w:sz="4" w:space="0" w:color="auto"/>
              <w:bottom w:val="single" w:sz="4" w:space="0" w:color="auto"/>
              <w:right w:val="single" w:sz="4" w:space="0" w:color="auto"/>
            </w:tcBorders>
            <w:vAlign w:val="bottom"/>
          </w:tcPr>
          <w:p w14:paraId="75437E50" w14:textId="22788EB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74</w:t>
            </w:r>
          </w:p>
        </w:tc>
        <w:tc>
          <w:tcPr>
            <w:tcW w:w="395" w:type="pct"/>
            <w:tcBorders>
              <w:top w:val="single" w:sz="4" w:space="0" w:color="auto"/>
              <w:left w:val="single" w:sz="4" w:space="0" w:color="auto"/>
              <w:bottom w:val="single" w:sz="4" w:space="0" w:color="auto"/>
              <w:right w:val="single" w:sz="4" w:space="0" w:color="auto"/>
            </w:tcBorders>
            <w:vAlign w:val="bottom"/>
          </w:tcPr>
          <w:p w14:paraId="3951B002" w14:textId="0607ED8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71.8</w:t>
            </w:r>
          </w:p>
        </w:tc>
        <w:tc>
          <w:tcPr>
            <w:tcW w:w="392" w:type="pct"/>
            <w:tcBorders>
              <w:top w:val="single" w:sz="4" w:space="0" w:color="auto"/>
              <w:left w:val="single" w:sz="4" w:space="0" w:color="auto"/>
              <w:bottom w:val="single" w:sz="4" w:space="0" w:color="auto"/>
              <w:right w:val="single" w:sz="4" w:space="0" w:color="auto"/>
            </w:tcBorders>
            <w:vAlign w:val="bottom"/>
          </w:tcPr>
          <w:p w14:paraId="0DDA1AC4" w14:textId="793129B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21</w:t>
            </w:r>
          </w:p>
        </w:tc>
        <w:tc>
          <w:tcPr>
            <w:tcW w:w="392" w:type="pct"/>
            <w:tcBorders>
              <w:top w:val="single" w:sz="4" w:space="0" w:color="auto"/>
              <w:left w:val="single" w:sz="4" w:space="0" w:color="auto"/>
              <w:bottom w:val="single" w:sz="4" w:space="0" w:color="auto"/>
              <w:right w:val="single" w:sz="4" w:space="0" w:color="auto"/>
            </w:tcBorders>
            <w:vAlign w:val="bottom"/>
          </w:tcPr>
          <w:p w14:paraId="0341831C" w14:textId="6E1A361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37.5</w:t>
            </w:r>
          </w:p>
        </w:tc>
        <w:tc>
          <w:tcPr>
            <w:tcW w:w="392" w:type="pct"/>
            <w:tcBorders>
              <w:top w:val="single" w:sz="4" w:space="0" w:color="auto"/>
              <w:left w:val="single" w:sz="4" w:space="0" w:color="auto"/>
              <w:bottom w:val="single" w:sz="4" w:space="0" w:color="auto"/>
              <w:right w:val="single" w:sz="4" w:space="0" w:color="auto"/>
            </w:tcBorders>
            <w:vAlign w:val="bottom"/>
          </w:tcPr>
          <w:p w14:paraId="034F7B9A" w14:textId="7E9AA7E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35</w:t>
            </w:r>
          </w:p>
        </w:tc>
        <w:tc>
          <w:tcPr>
            <w:tcW w:w="386" w:type="pct"/>
            <w:tcBorders>
              <w:top w:val="single" w:sz="4" w:space="0" w:color="auto"/>
              <w:left w:val="single" w:sz="4" w:space="0" w:color="auto"/>
              <w:bottom w:val="single" w:sz="4" w:space="0" w:color="auto"/>
              <w:right w:val="single" w:sz="4" w:space="0" w:color="auto"/>
            </w:tcBorders>
            <w:vAlign w:val="bottom"/>
          </w:tcPr>
          <w:p w14:paraId="1B457FCB" w14:textId="0E288A7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62.5</w:t>
            </w:r>
          </w:p>
        </w:tc>
      </w:tr>
      <w:tr w:rsidR="00217865" w:rsidRPr="00217865" w14:paraId="003851FA"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A34424B" w14:textId="44548B3D"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Tabor College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21E020E6" w14:textId="7A6E69B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348</w:t>
            </w:r>
          </w:p>
        </w:tc>
        <w:tc>
          <w:tcPr>
            <w:tcW w:w="392" w:type="pct"/>
            <w:tcBorders>
              <w:top w:val="single" w:sz="4" w:space="0" w:color="auto"/>
              <w:left w:val="single" w:sz="4" w:space="0" w:color="auto"/>
              <w:bottom w:val="single" w:sz="4" w:space="0" w:color="auto"/>
              <w:right w:val="single" w:sz="4" w:space="0" w:color="auto"/>
            </w:tcBorders>
            <w:vAlign w:val="bottom"/>
          </w:tcPr>
          <w:p w14:paraId="2E5ACF61" w14:textId="78DB7BE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6CD27C13" w14:textId="172D640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5" w:type="pct"/>
            <w:tcBorders>
              <w:top w:val="single" w:sz="4" w:space="0" w:color="auto"/>
              <w:left w:val="single" w:sz="4" w:space="0" w:color="auto"/>
              <w:bottom w:val="single" w:sz="4" w:space="0" w:color="auto"/>
              <w:right w:val="single" w:sz="4" w:space="0" w:color="auto"/>
            </w:tcBorders>
            <w:vAlign w:val="bottom"/>
          </w:tcPr>
          <w:p w14:paraId="61EEDBD0" w14:textId="4364086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3739E98" w14:textId="6FA46FA0"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138</w:t>
            </w:r>
          </w:p>
        </w:tc>
        <w:tc>
          <w:tcPr>
            <w:tcW w:w="392" w:type="pct"/>
            <w:tcBorders>
              <w:top w:val="single" w:sz="4" w:space="0" w:color="auto"/>
              <w:left w:val="single" w:sz="4" w:space="0" w:color="auto"/>
              <w:bottom w:val="single" w:sz="4" w:space="0" w:color="auto"/>
              <w:right w:val="single" w:sz="4" w:space="0" w:color="auto"/>
            </w:tcBorders>
            <w:vAlign w:val="bottom"/>
          </w:tcPr>
          <w:p w14:paraId="2597F381" w14:textId="125B3D2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51655DE0" w14:textId="51457D3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86" w:type="pct"/>
            <w:tcBorders>
              <w:top w:val="single" w:sz="4" w:space="0" w:color="auto"/>
              <w:left w:val="single" w:sz="4" w:space="0" w:color="auto"/>
              <w:bottom w:val="single" w:sz="4" w:space="0" w:color="auto"/>
              <w:right w:val="single" w:sz="4" w:space="0" w:color="auto"/>
            </w:tcBorders>
            <w:vAlign w:val="bottom"/>
          </w:tcPr>
          <w:p w14:paraId="38CF3530" w14:textId="71E0CF50"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r>
      <w:tr w:rsidR="00217865" w:rsidRPr="00217865" w14:paraId="6DFA01A5"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BAD87A4" w14:textId="587E1C55"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TAFE NSW</w:t>
            </w:r>
          </w:p>
        </w:tc>
        <w:tc>
          <w:tcPr>
            <w:tcW w:w="392" w:type="pct"/>
            <w:tcBorders>
              <w:top w:val="single" w:sz="4" w:space="0" w:color="auto"/>
              <w:left w:val="single" w:sz="4" w:space="0" w:color="auto"/>
              <w:bottom w:val="single" w:sz="4" w:space="0" w:color="auto"/>
              <w:right w:val="single" w:sz="4" w:space="0" w:color="auto"/>
            </w:tcBorders>
            <w:vAlign w:val="bottom"/>
          </w:tcPr>
          <w:p w14:paraId="1B394B50" w14:textId="7911D4D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826</w:t>
            </w:r>
          </w:p>
        </w:tc>
        <w:tc>
          <w:tcPr>
            <w:tcW w:w="392" w:type="pct"/>
            <w:tcBorders>
              <w:top w:val="single" w:sz="4" w:space="0" w:color="auto"/>
              <w:left w:val="single" w:sz="4" w:space="0" w:color="auto"/>
              <w:bottom w:val="single" w:sz="4" w:space="0" w:color="auto"/>
              <w:right w:val="single" w:sz="4" w:space="0" w:color="auto"/>
            </w:tcBorders>
            <w:vAlign w:val="bottom"/>
          </w:tcPr>
          <w:p w14:paraId="000B0EC7" w14:textId="3C1F7F3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47.5</w:t>
            </w:r>
          </w:p>
        </w:tc>
        <w:tc>
          <w:tcPr>
            <w:tcW w:w="392" w:type="pct"/>
            <w:tcBorders>
              <w:top w:val="single" w:sz="4" w:space="0" w:color="auto"/>
              <w:left w:val="single" w:sz="4" w:space="0" w:color="auto"/>
              <w:bottom w:val="single" w:sz="4" w:space="0" w:color="auto"/>
              <w:right w:val="single" w:sz="4" w:space="0" w:color="auto"/>
            </w:tcBorders>
            <w:vAlign w:val="bottom"/>
          </w:tcPr>
          <w:p w14:paraId="4342A0E7" w14:textId="1F6060E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914</w:t>
            </w:r>
          </w:p>
        </w:tc>
        <w:tc>
          <w:tcPr>
            <w:tcW w:w="395" w:type="pct"/>
            <w:tcBorders>
              <w:top w:val="single" w:sz="4" w:space="0" w:color="auto"/>
              <w:left w:val="single" w:sz="4" w:space="0" w:color="auto"/>
              <w:bottom w:val="single" w:sz="4" w:space="0" w:color="auto"/>
              <w:right w:val="single" w:sz="4" w:space="0" w:color="auto"/>
            </w:tcBorders>
            <w:vAlign w:val="bottom"/>
          </w:tcPr>
          <w:p w14:paraId="6E238D61" w14:textId="4F719A4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52.5</w:t>
            </w:r>
          </w:p>
        </w:tc>
        <w:tc>
          <w:tcPr>
            <w:tcW w:w="392" w:type="pct"/>
            <w:tcBorders>
              <w:top w:val="single" w:sz="4" w:space="0" w:color="auto"/>
              <w:left w:val="single" w:sz="4" w:space="0" w:color="auto"/>
              <w:bottom w:val="single" w:sz="4" w:space="0" w:color="auto"/>
              <w:right w:val="single" w:sz="4" w:space="0" w:color="auto"/>
            </w:tcBorders>
            <w:vAlign w:val="bottom"/>
          </w:tcPr>
          <w:p w14:paraId="64F3AEBC" w14:textId="5437E63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301</w:t>
            </w:r>
          </w:p>
        </w:tc>
        <w:tc>
          <w:tcPr>
            <w:tcW w:w="392" w:type="pct"/>
            <w:tcBorders>
              <w:top w:val="single" w:sz="4" w:space="0" w:color="auto"/>
              <w:left w:val="single" w:sz="4" w:space="0" w:color="auto"/>
              <w:bottom w:val="single" w:sz="4" w:space="0" w:color="auto"/>
              <w:right w:val="single" w:sz="4" w:space="0" w:color="auto"/>
            </w:tcBorders>
            <w:vAlign w:val="bottom"/>
          </w:tcPr>
          <w:p w14:paraId="73833CBC" w14:textId="7F8798B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42.2</w:t>
            </w:r>
          </w:p>
        </w:tc>
        <w:tc>
          <w:tcPr>
            <w:tcW w:w="392" w:type="pct"/>
            <w:tcBorders>
              <w:top w:val="single" w:sz="4" w:space="0" w:color="auto"/>
              <w:left w:val="single" w:sz="4" w:space="0" w:color="auto"/>
              <w:bottom w:val="single" w:sz="4" w:space="0" w:color="auto"/>
              <w:right w:val="single" w:sz="4" w:space="0" w:color="auto"/>
            </w:tcBorders>
            <w:vAlign w:val="bottom"/>
          </w:tcPr>
          <w:p w14:paraId="0CBDDB5B" w14:textId="0FFA319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412</w:t>
            </w:r>
          </w:p>
        </w:tc>
        <w:tc>
          <w:tcPr>
            <w:tcW w:w="386" w:type="pct"/>
            <w:tcBorders>
              <w:top w:val="single" w:sz="4" w:space="0" w:color="auto"/>
              <w:left w:val="single" w:sz="4" w:space="0" w:color="auto"/>
              <w:bottom w:val="single" w:sz="4" w:space="0" w:color="auto"/>
              <w:right w:val="single" w:sz="4" w:space="0" w:color="auto"/>
            </w:tcBorders>
            <w:vAlign w:val="bottom"/>
          </w:tcPr>
          <w:p w14:paraId="6A94EAA1" w14:textId="0C4D65F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57.8</w:t>
            </w:r>
          </w:p>
        </w:tc>
      </w:tr>
      <w:tr w:rsidR="00217865" w:rsidRPr="00217865" w14:paraId="182A1A87"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B1E0B02" w14:textId="104D9517"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TAFE Queensland</w:t>
            </w:r>
          </w:p>
        </w:tc>
        <w:tc>
          <w:tcPr>
            <w:tcW w:w="392" w:type="pct"/>
            <w:tcBorders>
              <w:top w:val="single" w:sz="4" w:space="0" w:color="auto"/>
              <w:left w:val="single" w:sz="4" w:space="0" w:color="auto"/>
              <w:bottom w:val="single" w:sz="4" w:space="0" w:color="auto"/>
              <w:right w:val="single" w:sz="4" w:space="0" w:color="auto"/>
            </w:tcBorders>
            <w:vAlign w:val="bottom"/>
          </w:tcPr>
          <w:p w14:paraId="3A990D24" w14:textId="0B5D5D7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143</w:t>
            </w:r>
          </w:p>
        </w:tc>
        <w:tc>
          <w:tcPr>
            <w:tcW w:w="392" w:type="pct"/>
            <w:tcBorders>
              <w:top w:val="single" w:sz="4" w:space="0" w:color="auto"/>
              <w:left w:val="single" w:sz="4" w:space="0" w:color="auto"/>
              <w:bottom w:val="single" w:sz="4" w:space="0" w:color="auto"/>
              <w:right w:val="single" w:sz="4" w:space="0" w:color="auto"/>
            </w:tcBorders>
            <w:vAlign w:val="bottom"/>
          </w:tcPr>
          <w:p w14:paraId="1C99E783" w14:textId="17D743F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51.8</w:t>
            </w:r>
          </w:p>
        </w:tc>
        <w:tc>
          <w:tcPr>
            <w:tcW w:w="392" w:type="pct"/>
            <w:tcBorders>
              <w:top w:val="single" w:sz="4" w:space="0" w:color="auto"/>
              <w:left w:val="single" w:sz="4" w:space="0" w:color="auto"/>
              <w:bottom w:val="single" w:sz="4" w:space="0" w:color="auto"/>
              <w:right w:val="single" w:sz="4" w:space="0" w:color="auto"/>
            </w:tcBorders>
            <w:vAlign w:val="bottom"/>
          </w:tcPr>
          <w:p w14:paraId="5753405D" w14:textId="3858561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133</w:t>
            </w:r>
          </w:p>
        </w:tc>
        <w:tc>
          <w:tcPr>
            <w:tcW w:w="395" w:type="pct"/>
            <w:tcBorders>
              <w:top w:val="single" w:sz="4" w:space="0" w:color="auto"/>
              <w:left w:val="single" w:sz="4" w:space="0" w:color="auto"/>
              <w:bottom w:val="single" w:sz="4" w:space="0" w:color="auto"/>
              <w:right w:val="single" w:sz="4" w:space="0" w:color="auto"/>
            </w:tcBorders>
            <w:vAlign w:val="bottom"/>
          </w:tcPr>
          <w:p w14:paraId="2FD91D55" w14:textId="2FEBA2F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48.2</w:t>
            </w:r>
          </w:p>
        </w:tc>
        <w:tc>
          <w:tcPr>
            <w:tcW w:w="392" w:type="pct"/>
            <w:tcBorders>
              <w:top w:val="single" w:sz="4" w:space="0" w:color="auto"/>
              <w:left w:val="single" w:sz="4" w:space="0" w:color="auto"/>
              <w:bottom w:val="single" w:sz="4" w:space="0" w:color="auto"/>
              <w:right w:val="single" w:sz="4" w:space="0" w:color="auto"/>
            </w:tcBorders>
            <w:vAlign w:val="bottom"/>
          </w:tcPr>
          <w:p w14:paraId="37470EC9" w14:textId="7DD8E70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25</w:t>
            </w:r>
          </w:p>
        </w:tc>
        <w:tc>
          <w:tcPr>
            <w:tcW w:w="392" w:type="pct"/>
            <w:tcBorders>
              <w:top w:val="single" w:sz="4" w:space="0" w:color="auto"/>
              <w:left w:val="single" w:sz="4" w:space="0" w:color="auto"/>
              <w:bottom w:val="single" w:sz="4" w:space="0" w:color="auto"/>
              <w:right w:val="single" w:sz="4" w:space="0" w:color="auto"/>
            </w:tcBorders>
            <w:vAlign w:val="bottom"/>
          </w:tcPr>
          <w:p w14:paraId="3C0F04BE" w14:textId="0523E1F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35.2</w:t>
            </w:r>
          </w:p>
        </w:tc>
        <w:tc>
          <w:tcPr>
            <w:tcW w:w="392" w:type="pct"/>
            <w:tcBorders>
              <w:top w:val="single" w:sz="4" w:space="0" w:color="auto"/>
              <w:left w:val="single" w:sz="4" w:space="0" w:color="auto"/>
              <w:bottom w:val="single" w:sz="4" w:space="0" w:color="auto"/>
              <w:right w:val="single" w:sz="4" w:space="0" w:color="auto"/>
            </w:tcBorders>
            <w:vAlign w:val="bottom"/>
          </w:tcPr>
          <w:p w14:paraId="2735D10E" w14:textId="4C9FB1B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46</w:t>
            </w:r>
          </w:p>
        </w:tc>
        <w:tc>
          <w:tcPr>
            <w:tcW w:w="386" w:type="pct"/>
            <w:tcBorders>
              <w:top w:val="single" w:sz="4" w:space="0" w:color="auto"/>
              <w:left w:val="single" w:sz="4" w:space="0" w:color="auto"/>
              <w:bottom w:val="single" w:sz="4" w:space="0" w:color="auto"/>
              <w:right w:val="single" w:sz="4" w:space="0" w:color="auto"/>
            </w:tcBorders>
            <w:vAlign w:val="bottom"/>
          </w:tcPr>
          <w:p w14:paraId="56A1CC5E" w14:textId="2570B6A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64.8</w:t>
            </w:r>
          </w:p>
        </w:tc>
      </w:tr>
      <w:tr w:rsidR="00217865" w:rsidRPr="00217865" w14:paraId="5600BED2"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248617F" w14:textId="701C1F53"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TAFE South Australia</w:t>
            </w:r>
          </w:p>
        </w:tc>
        <w:tc>
          <w:tcPr>
            <w:tcW w:w="392" w:type="pct"/>
            <w:tcBorders>
              <w:top w:val="single" w:sz="4" w:space="0" w:color="auto"/>
              <w:left w:val="single" w:sz="4" w:space="0" w:color="auto"/>
              <w:bottom w:val="single" w:sz="4" w:space="0" w:color="auto"/>
              <w:right w:val="single" w:sz="4" w:space="0" w:color="auto"/>
            </w:tcBorders>
            <w:vAlign w:val="bottom"/>
          </w:tcPr>
          <w:p w14:paraId="4DD0FE4E" w14:textId="01EA9A4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40</w:t>
            </w:r>
          </w:p>
        </w:tc>
        <w:tc>
          <w:tcPr>
            <w:tcW w:w="392" w:type="pct"/>
            <w:tcBorders>
              <w:top w:val="single" w:sz="4" w:space="0" w:color="auto"/>
              <w:left w:val="single" w:sz="4" w:space="0" w:color="auto"/>
              <w:bottom w:val="single" w:sz="4" w:space="0" w:color="auto"/>
              <w:right w:val="single" w:sz="4" w:space="0" w:color="auto"/>
            </w:tcBorders>
            <w:vAlign w:val="bottom"/>
          </w:tcPr>
          <w:p w14:paraId="65B8E6E0" w14:textId="202C870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20.7</w:t>
            </w:r>
          </w:p>
        </w:tc>
        <w:tc>
          <w:tcPr>
            <w:tcW w:w="392" w:type="pct"/>
            <w:tcBorders>
              <w:top w:val="single" w:sz="4" w:space="0" w:color="auto"/>
              <w:left w:val="single" w:sz="4" w:space="0" w:color="auto"/>
              <w:bottom w:val="single" w:sz="4" w:space="0" w:color="auto"/>
              <w:right w:val="single" w:sz="4" w:space="0" w:color="auto"/>
            </w:tcBorders>
            <w:vAlign w:val="bottom"/>
          </w:tcPr>
          <w:p w14:paraId="017E18D7" w14:textId="6745FCF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153</w:t>
            </w:r>
          </w:p>
        </w:tc>
        <w:tc>
          <w:tcPr>
            <w:tcW w:w="395" w:type="pct"/>
            <w:tcBorders>
              <w:top w:val="single" w:sz="4" w:space="0" w:color="auto"/>
              <w:left w:val="single" w:sz="4" w:space="0" w:color="auto"/>
              <w:bottom w:val="single" w:sz="4" w:space="0" w:color="auto"/>
              <w:right w:val="single" w:sz="4" w:space="0" w:color="auto"/>
            </w:tcBorders>
            <w:vAlign w:val="bottom"/>
          </w:tcPr>
          <w:p w14:paraId="5D8B8E13" w14:textId="0305F77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79.3</w:t>
            </w:r>
          </w:p>
        </w:tc>
        <w:tc>
          <w:tcPr>
            <w:tcW w:w="392" w:type="pct"/>
            <w:tcBorders>
              <w:top w:val="single" w:sz="4" w:space="0" w:color="auto"/>
              <w:left w:val="single" w:sz="4" w:space="0" w:color="auto"/>
              <w:bottom w:val="single" w:sz="4" w:space="0" w:color="auto"/>
              <w:right w:val="single" w:sz="4" w:space="0" w:color="auto"/>
            </w:tcBorders>
            <w:vAlign w:val="bottom"/>
          </w:tcPr>
          <w:p w14:paraId="4DD661EB" w14:textId="16F2FCA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11</w:t>
            </w:r>
          </w:p>
        </w:tc>
        <w:tc>
          <w:tcPr>
            <w:tcW w:w="392" w:type="pct"/>
            <w:tcBorders>
              <w:top w:val="single" w:sz="4" w:space="0" w:color="auto"/>
              <w:left w:val="single" w:sz="4" w:space="0" w:color="auto"/>
              <w:bottom w:val="single" w:sz="4" w:space="0" w:color="auto"/>
              <w:right w:val="single" w:sz="4" w:space="0" w:color="auto"/>
            </w:tcBorders>
            <w:vAlign w:val="bottom"/>
          </w:tcPr>
          <w:p w14:paraId="347752B5" w14:textId="02D4430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16.7</w:t>
            </w:r>
          </w:p>
        </w:tc>
        <w:tc>
          <w:tcPr>
            <w:tcW w:w="392" w:type="pct"/>
            <w:tcBorders>
              <w:top w:val="single" w:sz="4" w:space="0" w:color="auto"/>
              <w:left w:val="single" w:sz="4" w:space="0" w:color="auto"/>
              <w:bottom w:val="single" w:sz="4" w:space="0" w:color="auto"/>
              <w:right w:val="single" w:sz="4" w:space="0" w:color="auto"/>
            </w:tcBorders>
            <w:vAlign w:val="bottom"/>
          </w:tcPr>
          <w:p w14:paraId="60ACB787" w14:textId="241C4DA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55</w:t>
            </w:r>
          </w:p>
        </w:tc>
        <w:tc>
          <w:tcPr>
            <w:tcW w:w="386" w:type="pct"/>
            <w:tcBorders>
              <w:top w:val="single" w:sz="4" w:space="0" w:color="auto"/>
              <w:left w:val="single" w:sz="4" w:space="0" w:color="auto"/>
              <w:bottom w:val="single" w:sz="4" w:space="0" w:color="auto"/>
              <w:right w:val="single" w:sz="4" w:space="0" w:color="auto"/>
            </w:tcBorders>
            <w:vAlign w:val="bottom"/>
          </w:tcPr>
          <w:p w14:paraId="5D09A4B6" w14:textId="6CDB6E3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83.3</w:t>
            </w:r>
          </w:p>
        </w:tc>
      </w:tr>
      <w:tr w:rsidR="00217865" w:rsidRPr="00217865" w14:paraId="146B6D11"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5A55CEC" w14:textId="391FF219"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lastRenderedPageBreak/>
              <w:t>The Australian College of Physical Education</w:t>
            </w:r>
          </w:p>
        </w:tc>
        <w:tc>
          <w:tcPr>
            <w:tcW w:w="392" w:type="pct"/>
            <w:tcBorders>
              <w:top w:val="single" w:sz="4" w:space="0" w:color="auto"/>
              <w:left w:val="single" w:sz="4" w:space="0" w:color="auto"/>
              <w:bottom w:val="single" w:sz="4" w:space="0" w:color="auto"/>
              <w:right w:val="single" w:sz="4" w:space="0" w:color="auto"/>
            </w:tcBorders>
            <w:vAlign w:val="bottom"/>
          </w:tcPr>
          <w:p w14:paraId="63EAB362" w14:textId="199772E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665</w:t>
            </w:r>
          </w:p>
        </w:tc>
        <w:tc>
          <w:tcPr>
            <w:tcW w:w="392" w:type="pct"/>
            <w:tcBorders>
              <w:top w:val="single" w:sz="4" w:space="0" w:color="auto"/>
              <w:left w:val="single" w:sz="4" w:space="0" w:color="auto"/>
              <w:bottom w:val="single" w:sz="4" w:space="0" w:color="auto"/>
              <w:right w:val="single" w:sz="4" w:space="0" w:color="auto"/>
            </w:tcBorders>
            <w:vAlign w:val="bottom"/>
          </w:tcPr>
          <w:p w14:paraId="3DF094F0" w14:textId="621F451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99.1</w:t>
            </w:r>
          </w:p>
        </w:tc>
        <w:tc>
          <w:tcPr>
            <w:tcW w:w="392" w:type="pct"/>
            <w:tcBorders>
              <w:top w:val="single" w:sz="4" w:space="0" w:color="auto"/>
              <w:left w:val="single" w:sz="4" w:space="0" w:color="auto"/>
              <w:bottom w:val="single" w:sz="4" w:space="0" w:color="auto"/>
              <w:right w:val="single" w:sz="4" w:space="0" w:color="auto"/>
            </w:tcBorders>
            <w:vAlign w:val="bottom"/>
          </w:tcPr>
          <w:p w14:paraId="518E88F6" w14:textId="64AA0F9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6</w:t>
            </w:r>
          </w:p>
        </w:tc>
        <w:tc>
          <w:tcPr>
            <w:tcW w:w="395" w:type="pct"/>
            <w:tcBorders>
              <w:top w:val="single" w:sz="4" w:space="0" w:color="auto"/>
              <w:left w:val="single" w:sz="4" w:space="0" w:color="auto"/>
              <w:bottom w:val="single" w:sz="4" w:space="0" w:color="auto"/>
              <w:right w:val="single" w:sz="4" w:space="0" w:color="auto"/>
            </w:tcBorders>
            <w:vAlign w:val="bottom"/>
          </w:tcPr>
          <w:p w14:paraId="64293409" w14:textId="6B241ED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0.9</w:t>
            </w:r>
          </w:p>
        </w:tc>
        <w:tc>
          <w:tcPr>
            <w:tcW w:w="392" w:type="pct"/>
            <w:tcBorders>
              <w:top w:val="single" w:sz="4" w:space="0" w:color="auto"/>
              <w:left w:val="single" w:sz="4" w:space="0" w:color="auto"/>
              <w:bottom w:val="single" w:sz="4" w:space="0" w:color="auto"/>
              <w:right w:val="single" w:sz="4" w:space="0" w:color="auto"/>
            </w:tcBorders>
            <w:vAlign w:val="bottom"/>
          </w:tcPr>
          <w:p w14:paraId="1BBE21FA" w14:textId="63BF1C6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191</w:t>
            </w:r>
          </w:p>
        </w:tc>
        <w:tc>
          <w:tcPr>
            <w:tcW w:w="392" w:type="pct"/>
            <w:tcBorders>
              <w:top w:val="single" w:sz="4" w:space="0" w:color="auto"/>
              <w:left w:val="single" w:sz="4" w:space="0" w:color="auto"/>
              <w:bottom w:val="single" w:sz="4" w:space="0" w:color="auto"/>
              <w:right w:val="single" w:sz="4" w:space="0" w:color="auto"/>
            </w:tcBorders>
            <w:vAlign w:val="bottom"/>
          </w:tcPr>
          <w:p w14:paraId="682A2C17" w14:textId="35B18B9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99.0</w:t>
            </w:r>
          </w:p>
        </w:tc>
        <w:tc>
          <w:tcPr>
            <w:tcW w:w="392" w:type="pct"/>
            <w:tcBorders>
              <w:top w:val="single" w:sz="4" w:space="0" w:color="auto"/>
              <w:left w:val="single" w:sz="4" w:space="0" w:color="auto"/>
              <w:bottom w:val="single" w:sz="4" w:space="0" w:color="auto"/>
              <w:right w:val="single" w:sz="4" w:space="0" w:color="auto"/>
            </w:tcBorders>
            <w:vAlign w:val="bottom"/>
          </w:tcPr>
          <w:p w14:paraId="34EA5801" w14:textId="7744D01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1D3EFC8D" w14:textId="25F09B1D"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w:t>
            </w:r>
          </w:p>
        </w:tc>
      </w:tr>
      <w:tr w:rsidR="00217865" w:rsidRPr="00217865" w14:paraId="69986C7B"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843CF5B" w14:textId="1A7B726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The Australian Institute of Music</w:t>
            </w:r>
          </w:p>
        </w:tc>
        <w:tc>
          <w:tcPr>
            <w:tcW w:w="392" w:type="pct"/>
            <w:tcBorders>
              <w:top w:val="single" w:sz="4" w:space="0" w:color="auto"/>
              <w:left w:val="single" w:sz="4" w:space="0" w:color="auto"/>
              <w:bottom w:val="single" w:sz="4" w:space="0" w:color="auto"/>
              <w:right w:val="single" w:sz="4" w:space="0" w:color="auto"/>
            </w:tcBorders>
            <w:vAlign w:val="bottom"/>
          </w:tcPr>
          <w:p w14:paraId="5C76E060" w14:textId="0CE02B6A"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394</w:t>
            </w:r>
          </w:p>
        </w:tc>
        <w:tc>
          <w:tcPr>
            <w:tcW w:w="392" w:type="pct"/>
            <w:tcBorders>
              <w:top w:val="single" w:sz="4" w:space="0" w:color="auto"/>
              <w:left w:val="single" w:sz="4" w:space="0" w:color="auto"/>
              <w:bottom w:val="single" w:sz="4" w:space="0" w:color="auto"/>
              <w:right w:val="single" w:sz="4" w:space="0" w:color="auto"/>
            </w:tcBorders>
            <w:vAlign w:val="bottom"/>
          </w:tcPr>
          <w:p w14:paraId="578AA8B4" w14:textId="0EEE471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83.3</w:t>
            </w:r>
          </w:p>
        </w:tc>
        <w:tc>
          <w:tcPr>
            <w:tcW w:w="392" w:type="pct"/>
            <w:tcBorders>
              <w:top w:val="single" w:sz="4" w:space="0" w:color="auto"/>
              <w:left w:val="single" w:sz="4" w:space="0" w:color="auto"/>
              <w:bottom w:val="single" w:sz="4" w:space="0" w:color="auto"/>
              <w:right w:val="single" w:sz="4" w:space="0" w:color="auto"/>
            </w:tcBorders>
            <w:vAlign w:val="bottom"/>
          </w:tcPr>
          <w:p w14:paraId="7D76D575" w14:textId="662B19E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79</w:t>
            </w:r>
          </w:p>
        </w:tc>
        <w:tc>
          <w:tcPr>
            <w:tcW w:w="395" w:type="pct"/>
            <w:tcBorders>
              <w:top w:val="single" w:sz="4" w:space="0" w:color="auto"/>
              <w:left w:val="single" w:sz="4" w:space="0" w:color="auto"/>
              <w:bottom w:val="single" w:sz="4" w:space="0" w:color="auto"/>
              <w:right w:val="single" w:sz="4" w:space="0" w:color="auto"/>
            </w:tcBorders>
            <w:vAlign w:val="bottom"/>
          </w:tcPr>
          <w:p w14:paraId="52E7E210" w14:textId="1E8E4C4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16.7</w:t>
            </w:r>
          </w:p>
        </w:tc>
        <w:tc>
          <w:tcPr>
            <w:tcW w:w="392" w:type="pct"/>
            <w:tcBorders>
              <w:top w:val="single" w:sz="4" w:space="0" w:color="auto"/>
              <w:left w:val="single" w:sz="4" w:space="0" w:color="auto"/>
              <w:bottom w:val="single" w:sz="4" w:space="0" w:color="auto"/>
              <w:right w:val="single" w:sz="4" w:space="0" w:color="auto"/>
            </w:tcBorders>
            <w:vAlign w:val="bottom"/>
          </w:tcPr>
          <w:p w14:paraId="24D863B2" w14:textId="5410F59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175</w:t>
            </w:r>
          </w:p>
        </w:tc>
        <w:tc>
          <w:tcPr>
            <w:tcW w:w="392" w:type="pct"/>
            <w:tcBorders>
              <w:top w:val="single" w:sz="4" w:space="0" w:color="auto"/>
              <w:left w:val="single" w:sz="4" w:space="0" w:color="auto"/>
              <w:bottom w:val="single" w:sz="4" w:space="0" w:color="auto"/>
              <w:right w:val="single" w:sz="4" w:space="0" w:color="auto"/>
            </w:tcBorders>
            <w:vAlign w:val="bottom"/>
          </w:tcPr>
          <w:p w14:paraId="1C755C03" w14:textId="29AA8BB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84.1</w:t>
            </w:r>
          </w:p>
        </w:tc>
        <w:tc>
          <w:tcPr>
            <w:tcW w:w="392" w:type="pct"/>
            <w:tcBorders>
              <w:top w:val="single" w:sz="4" w:space="0" w:color="auto"/>
              <w:left w:val="single" w:sz="4" w:space="0" w:color="auto"/>
              <w:bottom w:val="single" w:sz="4" w:space="0" w:color="auto"/>
              <w:right w:val="single" w:sz="4" w:space="0" w:color="auto"/>
            </w:tcBorders>
            <w:vAlign w:val="bottom"/>
          </w:tcPr>
          <w:p w14:paraId="5D57A958" w14:textId="0EBF51AA"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33</w:t>
            </w:r>
          </w:p>
        </w:tc>
        <w:tc>
          <w:tcPr>
            <w:tcW w:w="386" w:type="pct"/>
            <w:tcBorders>
              <w:top w:val="single" w:sz="4" w:space="0" w:color="auto"/>
              <w:left w:val="single" w:sz="4" w:space="0" w:color="auto"/>
              <w:bottom w:val="single" w:sz="4" w:space="0" w:color="auto"/>
              <w:right w:val="single" w:sz="4" w:space="0" w:color="auto"/>
            </w:tcBorders>
            <w:vAlign w:val="bottom"/>
          </w:tcPr>
          <w:p w14:paraId="07086F09" w14:textId="5CAC9A3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15.9</w:t>
            </w:r>
          </w:p>
        </w:tc>
      </w:tr>
      <w:tr w:rsidR="00217865" w:rsidRPr="00217865" w14:paraId="6FDF1560"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7869E13" w14:textId="64A5C178"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 xml:space="preserve">The </w:t>
            </w:r>
            <w:proofErr w:type="spellStart"/>
            <w:r w:rsidRPr="00217865">
              <w:rPr>
                <w:color w:val="000000" w:themeColor="text1"/>
                <w:szCs w:val="18"/>
              </w:rPr>
              <w:t>Cairnmillar</w:t>
            </w:r>
            <w:proofErr w:type="spellEnd"/>
            <w:r w:rsidRPr="00217865">
              <w:rPr>
                <w:color w:val="000000" w:themeColor="text1"/>
                <w:szCs w:val="18"/>
              </w:rPr>
              <w:t xml:space="preserve"> Institute</w:t>
            </w:r>
          </w:p>
        </w:tc>
        <w:tc>
          <w:tcPr>
            <w:tcW w:w="392" w:type="pct"/>
            <w:tcBorders>
              <w:top w:val="single" w:sz="4" w:space="0" w:color="auto"/>
              <w:left w:val="single" w:sz="4" w:space="0" w:color="auto"/>
              <w:bottom w:val="single" w:sz="4" w:space="0" w:color="auto"/>
              <w:right w:val="single" w:sz="4" w:space="0" w:color="auto"/>
            </w:tcBorders>
            <w:vAlign w:val="bottom"/>
          </w:tcPr>
          <w:p w14:paraId="226B0E41" w14:textId="45FBF1FC"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w:t>
            </w:r>
          </w:p>
        </w:tc>
        <w:tc>
          <w:tcPr>
            <w:tcW w:w="392" w:type="pct"/>
            <w:tcBorders>
              <w:top w:val="single" w:sz="4" w:space="0" w:color="auto"/>
              <w:left w:val="single" w:sz="4" w:space="0" w:color="auto"/>
              <w:bottom w:val="single" w:sz="4" w:space="0" w:color="auto"/>
              <w:right w:val="single" w:sz="4" w:space="0" w:color="auto"/>
            </w:tcBorders>
            <w:vAlign w:val="bottom"/>
          </w:tcPr>
          <w:p w14:paraId="000E94CE" w14:textId="6D7F1EC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72.7</w:t>
            </w:r>
          </w:p>
        </w:tc>
        <w:tc>
          <w:tcPr>
            <w:tcW w:w="392" w:type="pct"/>
            <w:tcBorders>
              <w:top w:val="single" w:sz="4" w:space="0" w:color="auto"/>
              <w:left w:val="single" w:sz="4" w:space="0" w:color="auto"/>
              <w:bottom w:val="single" w:sz="4" w:space="0" w:color="auto"/>
              <w:right w:val="single" w:sz="4" w:space="0" w:color="auto"/>
            </w:tcBorders>
            <w:vAlign w:val="bottom"/>
          </w:tcPr>
          <w:p w14:paraId="4A6F575C" w14:textId="40CC5DA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&lt;5</w:t>
            </w:r>
          </w:p>
        </w:tc>
        <w:tc>
          <w:tcPr>
            <w:tcW w:w="395" w:type="pct"/>
            <w:tcBorders>
              <w:top w:val="single" w:sz="4" w:space="0" w:color="auto"/>
              <w:left w:val="single" w:sz="4" w:space="0" w:color="auto"/>
              <w:bottom w:val="single" w:sz="4" w:space="0" w:color="auto"/>
              <w:right w:val="single" w:sz="4" w:space="0" w:color="auto"/>
            </w:tcBorders>
            <w:vAlign w:val="bottom"/>
          </w:tcPr>
          <w:p w14:paraId="2C774AED" w14:textId="7B32CEA0"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27.3</w:t>
            </w:r>
          </w:p>
        </w:tc>
        <w:tc>
          <w:tcPr>
            <w:tcW w:w="392" w:type="pct"/>
            <w:tcBorders>
              <w:top w:val="single" w:sz="4" w:space="0" w:color="auto"/>
              <w:left w:val="single" w:sz="4" w:space="0" w:color="auto"/>
              <w:bottom w:val="single" w:sz="4" w:space="0" w:color="auto"/>
              <w:right w:val="single" w:sz="4" w:space="0" w:color="auto"/>
            </w:tcBorders>
            <w:vAlign w:val="bottom"/>
          </w:tcPr>
          <w:p w14:paraId="778239CA" w14:textId="672DB7F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w:t>
            </w:r>
          </w:p>
        </w:tc>
        <w:tc>
          <w:tcPr>
            <w:tcW w:w="392" w:type="pct"/>
            <w:tcBorders>
              <w:top w:val="single" w:sz="4" w:space="0" w:color="auto"/>
              <w:left w:val="single" w:sz="4" w:space="0" w:color="auto"/>
              <w:bottom w:val="single" w:sz="4" w:space="0" w:color="auto"/>
              <w:right w:val="single" w:sz="4" w:space="0" w:color="auto"/>
            </w:tcBorders>
            <w:vAlign w:val="bottom"/>
          </w:tcPr>
          <w:p w14:paraId="59EFF676" w14:textId="5FF7C25E"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71.4</w:t>
            </w:r>
          </w:p>
        </w:tc>
        <w:tc>
          <w:tcPr>
            <w:tcW w:w="392" w:type="pct"/>
            <w:tcBorders>
              <w:top w:val="single" w:sz="4" w:space="0" w:color="auto"/>
              <w:left w:val="single" w:sz="4" w:space="0" w:color="auto"/>
              <w:bottom w:val="single" w:sz="4" w:space="0" w:color="auto"/>
              <w:right w:val="single" w:sz="4" w:space="0" w:color="auto"/>
            </w:tcBorders>
            <w:vAlign w:val="bottom"/>
          </w:tcPr>
          <w:p w14:paraId="65CF0546" w14:textId="3EE8741A"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520A4AA9" w14:textId="76BAEF1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28.6</w:t>
            </w:r>
          </w:p>
        </w:tc>
      </w:tr>
      <w:tr w:rsidR="00217865" w:rsidRPr="00217865" w14:paraId="5535D4BB"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5C43F7DD" w14:textId="7C7464C1"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The JMC Academy</w:t>
            </w:r>
          </w:p>
        </w:tc>
        <w:tc>
          <w:tcPr>
            <w:tcW w:w="392" w:type="pct"/>
            <w:tcBorders>
              <w:top w:val="single" w:sz="4" w:space="0" w:color="auto"/>
              <w:left w:val="single" w:sz="4" w:space="0" w:color="auto"/>
              <w:bottom w:val="single" w:sz="4" w:space="0" w:color="auto"/>
              <w:right w:val="single" w:sz="4" w:space="0" w:color="auto"/>
            </w:tcBorders>
            <w:vAlign w:val="bottom"/>
          </w:tcPr>
          <w:p w14:paraId="3688BA05" w14:textId="184A40E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1,952</w:t>
            </w:r>
          </w:p>
        </w:tc>
        <w:tc>
          <w:tcPr>
            <w:tcW w:w="392" w:type="pct"/>
            <w:tcBorders>
              <w:top w:val="single" w:sz="4" w:space="0" w:color="auto"/>
              <w:left w:val="single" w:sz="4" w:space="0" w:color="auto"/>
              <w:bottom w:val="single" w:sz="4" w:space="0" w:color="auto"/>
              <w:right w:val="single" w:sz="4" w:space="0" w:color="auto"/>
            </w:tcBorders>
            <w:vAlign w:val="bottom"/>
          </w:tcPr>
          <w:p w14:paraId="36551866" w14:textId="73A9342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91.0</w:t>
            </w:r>
          </w:p>
        </w:tc>
        <w:tc>
          <w:tcPr>
            <w:tcW w:w="392" w:type="pct"/>
            <w:tcBorders>
              <w:top w:val="single" w:sz="4" w:space="0" w:color="auto"/>
              <w:left w:val="single" w:sz="4" w:space="0" w:color="auto"/>
              <w:bottom w:val="single" w:sz="4" w:space="0" w:color="auto"/>
              <w:right w:val="single" w:sz="4" w:space="0" w:color="auto"/>
            </w:tcBorders>
            <w:vAlign w:val="bottom"/>
          </w:tcPr>
          <w:p w14:paraId="7995DEF0" w14:textId="3D42087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181</w:t>
            </w:r>
          </w:p>
        </w:tc>
        <w:tc>
          <w:tcPr>
            <w:tcW w:w="395" w:type="pct"/>
            <w:tcBorders>
              <w:top w:val="single" w:sz="4" w:space="0" w:color="auto"/>
              <w:left w:val="single" w:sz="4" w:space="0" w:color="auto"/>
              <w:bottom w:val="single" w:sz="4" w:space="0" w:color="auto"/>
              <w:right w:val="single" w:sz="4" w:space="0" w:color="auto"/>
            </w:tcBorders>
            <w:vAlign w:val="bottom"/>
          </w:tcPr>
          <w:p w14:paraId="05968DE2" w14:textId="294BB0D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8.4</w:t>
            </w:r>
          </w:p>
        </w:tc>
        <w:tc>
          <w:tcPr>
            <w:tcW w:w="392" w:type="pct"/>
            <w:tcBorders>
              <w:top w:val="single" w:sz="4" w:space="0" w:color="auto"/>
              <w:left w:val="single" w:sz="4" w:space="0" w:color="auto"/>
              <w:bottom w:val="single" w:sz="4" w:space="0" w:color="auto"/>
              <w:right w:val="single" w:sz="4" w:space="0" w:color="auto"/>
            </w:tcBorders>
            <w:vAlign w:val="bottom"/>
          </w:tcPr>
          <w:p w14:paraId="7BCDD1C4" w14:textId="57CC32B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717</w:t>
            </w:r>
          </w:p>
        </w:tc>
        <w:tc>
          <w:tcPr>
            <w:tcW w:w="392" w:type="pct"/>
            <w:tcBorders>
              <w:top w:val="single" w:sz="4" w:space="0" w:color="auto"/>
              <w:left w:val="single" w:sz="4" w:space="0" w:color="auto"/>
              <w:bottom w:val="single" w:sz="4" w:space="0" w:color="auto"/>
              <w:right w:val="single" w:sz="4" w:space="0" w:color="auto"/>
            </w:tcBorders>
            <w:vAlign w:val="bottom"/>
          </w:tcPr>
          <w:p w14:paraId="21F55506" w14:textId="4FC2BE6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88.7</w:t>
            </w:r>
          </w:p>
        </w:tc>
        <w:tc>
          <w:tcPr>
            <w:tcW w:w="392" w:type="pct"/>
            <w:tcBorders>
              <w:top w:val="single" w:sz="4" w:space="0" w:color="auto"/>
              <w:left w:val="single" w:sz="4" w:space="0" w:color="auto"/>
              <w:bottom w:val="single" w:sz="4" w:space="0" w:color="auto"/>
              <w:right w:val="single" w:sz="4" w:space="0" w:color="auto"/>
            </w:tcBorders>
            <w:vAlign w:val="bottom"/>
          </w:tcPr>
          <w:p w14:paraId="5BCB94BB" w14:textId="7D0F04B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86</w:t>
            </w:r>
          </w:p>
        </w:tc>
        <w:tc>
          <w:tcPr>
            <w:tcW w:w="386" w:type="pct"/>
            <w:tcBorders>
              <w:top w:val="single" w:sz="4" w:space="0" w:color="auto"/>
              <w:left w:val="single" w:sz="4" w:space="0" w:color="auto"/>
              <w:bottom w:val="single" w:sz="4" w:space="0" w:color="auto"/>
              <w:right w:val="single" w:sz="4" w:space="0" w:color="auto"/>
            </w:tcBorders>
            <w:vAlign w:val="bottom"/>
          </w:tcPr>
          <w:p w14:paraId="2C15A3B3" w14:textId="4434495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10.6</w:t>
            </w:r>
          </w:p>
        </w:tc>
      </w:tr>
      <w:tr w:rsidR="00217865" w:rsidRPr="00217865" w14:paraId="77E7F9BE"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0D2EE773" w14:textId="24EDF090"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Think Education</w:t>
            </w:r>
          </w:p>
        </w:tc>
        <w:tc>
          <w:tcPr>
            <w:tcW w:w="392" w:type="pct"/>
            <w:tcBorders>
              <w:top w:val="single" w:sz="4" w:space="0" w:color="auto"/>
              <w:left w:val="single" w:sz="4" w:space="0" w:color="auto"/>
              <w:bottom w:val="single" w:sz="4" w:space="0" w:color="auto"/>
              <w:right w:val="single" w:sz="4" w:space="0" w:color="auto"/>
            </w:tcBorders>
            <w:vAlign w:val="bottom"/>
          </w:tcPr>
          <w:p w14:paraId="5B71CE43" w14:textId="57327E0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56</w:t>
            </w:r>
          </w:p>
        </w:tc>
        <w:tc>
          <w:tcPr>
            <w:tcW w:w="392" w:type="pct"/>
            <w:tcBorders>
              <w:top w:val="single" w:sz="4" w:space="0" w:color="auto"/>
              <w:left w:val="single" w:sz="4" w:space="0" w:color="auto"/>
              <w:bottom w:val="single" w:sz="4" w:space="0" w:color="auto"/>
              <w:right w:val="single" w:sz="4" w:space="0" w:color="auto"/>
            </w:tcBorders>
            <w:vAlign w:val="bottom"/>
          </w:tcPr>
          <w:p w14:paraId="3802D5FA" w14:textId="4718E75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76.7</w:t>
            </w:r>
          </w:p>
        </w:tc>
        <w:tc>
          <w:tcPr>
            <w:tcW w:w="392" w:type="pct"/>
            <w:tcBorders>
              <w:top w:val="single" w:sz="4" w:space="0" w:color="auto"/>
              <w:left w:val="single" w:sz="4" w:space="0" w:color="auto"/>
              <w:bottom w:val="single" w:sz="4" w:space="0" w:color="auto"/>
              <w:right w:val="single" w:sz="4" w:space="0" w:color="auto"/>
            </w:tcBorders>
            <w:vAlign w:val="bottom"/>
          </w:tcPr>
          <w:p w14:paraId="5FD7B867" w14:textId="216F116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17</w:t>
            </w:r>
          </w:p>
        </w:tc>
        <w:tc>
          <w:tcPr>
            <w:tcW w:w="395" w:type="pct"/>
            <w:tcBorders>
              <w:top w:val="single" w:sz="4" w:space="0" w:color="auto"/>
              <w:left w:val="single" w:sz="4" w:space="0" w:color="auto"/>
              <w:bottom w:val="single" w:sz="4" w:space="0" w:color="auto"/>
              <w:right w:val="single" w:sz="4" w:space="0" w:color="auto"/>
            </w:tcBorders>
            <w:vAlign w:val="bottom"/>
          </w:tcPr>
          <w:p w14:paraId="71CA266D" w14:textId="3CFB6360"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23.3</w:t>
            </w:r>
          </w:p>
        </w:tc>
        <w:tc>
          <w:tcPr>
            <w:tcW w:w="392" w:type="pct"/>
            <w:tcBorders>
              <w:top w:val="single" w:sz="4" w:space="0" w:color="auto"/>
              <w:left w:val="single" w:sz="4" w:space="0" w:color="auto"/>
              <w:bottom w:val="single" w:sz="4" w:space="0" w:color="auto"/>
              <w:right w:val="single" w:sz="4" w:space="0" w:color="auto"/>
            </w:tcBorders>
            <w:vAlign w:val="bottom"/>
          </w:tcPr>
          <w:p w14:paraId="733109B9" w14:textId="1320343E"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26</w:t>
            </w:r>
          </w:p>
        </w:tc>
        <w:tc>
          <w:tcPr>
            <w:tcW w:w="392" w:type="pct"/>
            <w:tcBorders>
              <w:top w:val="single" w:sz="4" w:space="0" w:color="auto"/>
              <w:left w:val="single" w:sz="4" w:space="0" w:color="auto"/>
              <w:bottom w:val="single" w:sz="4" w:space="0" w:color="auto"/>
              <w:right w:val="single" w:sz="4" w:space="0" w:color="auto"/>
            </w:tcBorders>
            <w:vAlign w:val="bottom"/>
          </w:tcPr>
          <w:p w14:paraId="3B4EEE3A" w14:textId="5580E43F"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70.3</w:t>
            </w:r>
          </w:p>
        </w:tc>
        <w:tc>
          <w:tcPr>
            <w:tcW w:w="392" w:type="pct"/>
            <w:tcBorders>
              <w:top w:val="single" w:sz="4" w:space="0" w:color="auto"/>
              <w:left w:val="single" w:sz="4" w:space="0" w:color="auto"/>
              <w:bottom w:val="single" w:sz="4" w:space="0" w:color="auto"/>
              <w:right w:val="single" w:sz="4" w:space="0" w:color="auto"/>
            </w:tcBorders>
            <w:vAlign w:val="bottom"/>
          </w:tcPr>
          <w:p w14:paraId="5E15EFD3" w14:textId="4CC127CB"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11</w:t>
            </w:r>
          </w:p>
        </w:tc>
        <w:tc>
          <w:tcPr>
            <w:tcW w:w="386" w:type="pct"/>
            <w:tcBorders>
              <w:top w:val="single" w:sz="4" w:space="0" w:color="auto"/>
              <w:left w:val="single" w:sz="4" w:space="0" w:color="auto"/>
              <w:bottom w:val="single" w:sz="4" w:space="0" w:color="auto"/>
              <w:right w:val="single" w:sz="4" w:space="0" w:color="auto"/>
            </w:tcBorders>
            <w:vAlign w:val="bottom"/>
          </w:tcPr>
          <w:p w14:paraId="0A9E59CE" w14:textId="2920679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29.7</w:t>
            </w:r>
          </w:p>
        </w:tc>
      </w:tr>
      <w:tr w:rsidR="00217865" w:rsidRPr="00217865" w14:paraId="14D64EF6"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964D9EC" w14:textId="50540DC4" w:rsidR="00F20D1A" w:rsidRPr="00217865" w:rsidRDefault="00F20D1A" w:rsidP="00A43B35">
            <w:pPr>
              <w:pStyle w:val="Z"/>
              <w:spacing w:before="60" w:after="60"/>
              <w:rPr>
                <w:color w:val="000000" w:themeColor="text1"/>
                <w:szCs w:val="18"/>
                <w:highlight w:val="yellow"/>
              </w:rPr>
            </w:pPr>
            <w:r w:rsidRPr="00217865">
              <w:rPr>
                <w:color w:val="000000" w:themeColor="text1"/>
                <w:szCs w:val="18"/>
              </w:rPr>
              <w:t>Universal Business School Sydney</w:t>
            </w:r>
          </w:p>
        </w:tc>
        <w:tc>
          <w:tcPr>
            <w:tcW w:w="392" w:type="pct"/>
            <w:tcBorders>
              <w:top w:val="single" w:sz="4" w:space="0" w:color="auto"/>
              <w:left w:val="single" w:sz="4" w:space="0" w:color="auto"/>
              <w:bottom w:val="single" w:sz="4" w:space="0" w:color="auto"/>
              <w:right w:val="single" w:sz="4" w:space="0" w:color="auto"/>
            </w:tcBorders>
            <w:vAlign w:val="bottom"/>
          </w:tcPr>
          <w:p w14:paraId="4D08FBCA" w14:textId="43A1063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6CB0520A" w14:textId="13779EE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0.7</w:t>
            </w:r>
          </w:p>
        </w:tc>
        <w:tc>
          <w:tcPr>
            <w:tcW w:w="392" w:type="pct"/>
            <w:tcBorders>
              <w:top w:val="single" w:sz="4" w:space="0" w:color="auto"/>
              <w:left w:val="single" w:sz="4" w:space="0" w:color="auto"/>
              <w:bottom w:val="single" w:sz="4" w:space="0" w:color="auto"/>
              <w:right w:val="single" w:sz="4" w:space="0" w:color="auto"/>
            </w:tcBorders>
            <w:vAlign w:val="bottom"/>
          </w:tcPr>
          <w:p w14:paraId="43484BC9" w14:textId="6F16FB19"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136</w:t>
            </w:r>
          </w:p>
        </w:tc>
        <w:tc>
          <w:tcPr>
            <w:tcW w:w="395" w:type="pct"/>
            <w:tcBorders>
              <w:top w:val="single" w:sz="4" w:space="0" w:color="auto"/>
              <w:left w:val="single" w:sz="4" w:space="0" w:color="auto"/>
              <w:bottom w:val="single" w:sz="4" w:space="0" w:color="auto"/>
              <w:right w:val="single" w:sz="4" w:space="0" w:color="auto"/>
            </w:tcBorders>
            <w:vAlign w:val="bottom"/>
          </w:tcPr>
          <w:p w14:paraId="47902520" w14:textId="5FABD45C"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97.8</w:t>
            </w:r>
          </w:p>
        </w:tc>
        <w:tc>
          <w:tcPr>
            <w:tcW w:w="392" w:type="pct"/>
            <w:tcBorders>
              <w:top w:val="single" w:sz="4" w:space="0" w:color="auto"/>
              <w:left w:val="single" w:sz="4" w:space="0" w:color="auto"/>
              <w:bottom w:val="single" w:sz="4" w:space="0" w:color="auto"/>
              <w:right w:val="single" w:sz="4" w:space="0" w:color="auto"/>
            </w:tcBorders>
            <w:vAlign w:val="bottom"/>
          </w:tcPr>
          <w:p w14:paraId="7FED24EC" w14:textId="5DFEA50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47AE6BF1" w14:textId="0D0D4AE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096FE049" w14:textId="51FEEEC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31</w:t>
            </w:r>
          </w:p>
        </w:tc>
        <w:tc>
          <w:tcPr>
            <w:tcW w:w="386" w:type="pct"/>
            <w:tcBorders>
              <w:top w:val="single" w:sz="4" w:space="0" w:color="auto"/>
              <w:left w:val="single" w:sz="4" w:space="0" w:color="auto"/>
              <w:bottom w:val="single" w:sz="4" w:space="0" w:color="auto"/>
              <w:right w:val="single" w:sz="4" w:space="0" w:color="auto"/>
            </w:tcBorders>
            <w:vAlign w:val="bottom"/>
          </w:tcPr>
          <w:p w14:paraId="23FBFAEE" w14:textId="3C1A71D4"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r>
      <w:tr w:rsidR="00217865" w:rsidRPr="00217865" w14:paraId="66CDD312"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7C9FE651" w14:textId="5D8D9453" w:rsidR="00F20D1A" w:rsidRPr="00217865" w:rsidRDefault="00F20D1A" w:rsidP="00A43B35">
            <w:pPr>
              <w:pStyle w:val="Z"/>
              <w:spacing w:before="60" w:after="60"/>
              <w:rPr>
                <w:b/>
                <w:color w:val="000000" w:themeColor="text1"/>
                <w:szCs w:val="18"/>
                <w:highlight w:val="yellow"/>
              </w:rPr>
            </w:pPr>
            <w:r w:rsidRPr="00217865">
              <w:rPr>
                <w:color w:val="000000" w:themeColor="text1"/>
                <w:szCs w:val="18"/>
              </w:rPr>
              <w:t>UOW College</w:t>
            </w:r>
          </w:p>
        </w:tc>
        <w:tc>
          <w:tcPr>
            <w:tcW w:w="392" w:type="pct"/>
            <w:tcBorders>
              <w:top w:val="single" w:sz="4" w:space="0" w:color="auto"/>
              <w:left w:val="single" w:sz="4" w:space="0" w:color="auto"/>
              <w:bottom w:val="single" w:sz="4" w:space="0" w:color="auto"/>
              <w:right w:val="single" w:sz="4" w:space="0" w:color="auto"/>
            </w:tcBorders>
            <w:vAlign w:val="bottom"/>
          </w:tcPr>
          <w:p w14:paraId="1D539F0C" w14:textId="1B802AD7"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2C095F4F" w14:textId="1EF84928"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E9A2C44" w14:textId="361B4F36"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202</w:t>
            </w:r>
          </w:p>
        </w:tc>
        <w:tc>
          <w:tcPr>
            <w:tcW w:w="395" w:type="pct"/>
            <w:tcBorders>
              <w:top w:val="single" w:sz="4" w:space="0" w:color="auto"/>
              <w:left w:val="single" w:sz="4" w:space="0" w:color="auto"/>
              <w:bottom w:val="single" w:sz="4" w:space="0" w:color="auto"/>
              <w:right w:val="single" w:sz="4" w:space="0" w:color="auto"/>
            </w:tcBorders>
            <w:vAlign w:val="bottom"/>
          </w:tcPr>
          <w:p w14:paraId="7BA13359" w14:textId="50BA8FA0"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723BC6E7" w14:textId="2024D221"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A4A8992" w14:textId="3F9E1022"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188C9769" w14:textId="2DDDC185"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53</w:t>
            </w:r>
          </w:p>
        </w:tc>
        <w:tc>
          <w:tcPr>
            <w:tcW w:w="386" w:type="pct"/>
            <w:tcBorders>
              <w:top w:val="single" w:sz="4" w:space="0" w:color="auto"/>
              <w:left w:val="single" w:sz="4" w:space="0" w:color="auto"/>
              <w:bottom w:val="single" w:sz="4" w:space="0" w:color="auto"/>
              <w:right w:val="single" w:sz="4" w:space="0" w:color="auto"/>
            </w:tcBorders>
            <w:vAlign w:val="bottom"/>
          </w:tcPr>
          <w:p w14:paraId="649943E0" w14:textId="2F55C4A3" w:rsidR="00F20D1A" w:rsidRPr="00217865" w:rsidRDefault="00F20D1A" w:rsidP="00A43B35">
            <w:pPr>
              <w:pStyle w:val="Z"/>
              <w:spacing w:before="60" w:after="60"/>
              <w:jc w:val="center"/>
              <w:rPr>
                <w:b/>
                <w:color w:val="000000" w:themeColor="text1"/>
                <w:szCs w:val="18"/>
                <w:highlight w:val="yellow"/>
              </w:rPr>
            </w:pPr>
            <w:r w:rsidRPr="00217865">
              <w:rPr>
                <w:color w:val="000000" w:themeColor="text1"/>
                <w:szCs w:val="18"/>
              </w:rPr>
              <w:t>100.0</w:t>
            </w:r>
          </w:p>
        </w:tc>
      </w:tr>
      <w:tr w:rsidR="00217865" w:rsidRPr="00217865" w14:paraId="636EE8BA"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451604F" w14:textId="27FFB474" w:rsidR="00F20D1A" w:rsidRPr="00217865" w:rsidRDefault="00F20D1A" w:rsidP="00A43B35">
            <w:pPr>
              <w:pStyle w:val="Z"/>
              <w:spacing w:before="60" w:after="60"/>
              <w:rPr>
                <w:color w:val="000000" w:themeColor="text1"/>
                <w:szCs w:val="18"/>
              </w:rPr>
            </w:pPr>
            <w:r w:rsidRPr="00217865">
              <w:rPr>
                <w:color w:val="000000" w:themeColor="text1"/>
                <w:szCs w:val="18"/>
              </w:rPr>
              <w:t>UTS College</w:t>
            </w:r>
          </w:p>
        </w:tc>
        <w:tc>
          <w:tcPr>
            <w:tcW w:w="392" w:type="pct"/>
            <w:tcBorders>
              <w:top w:val="single" w:sz="4" w:space="0" w:color="auto"/>
              <w:left w:val="single" w:sz="4" w:space="0" w:color="auto"/>
              <w:bottom w:val="single" w:sz="4" w:space="0" w:color="auto"/>
              <w:right w:val="single" w:sz="4" w:space="0" w:color="auto"/>
            </w:tcBorders>
            <w:vAlign w:val="bottom"/>
          </w:tcPr>
          <w:p w14:paraId="20E89A6E" w14:textId="17BA9F88" w:rsidR="00F20D1A" w:rsidRPr="00217865" w:rsidRDefault="00F20D1A" w:rsidP="00A43B35">
            <w:pPr>
              <w:pStyle w:val="Z"/>
              <w:spacing w:before="60" w:after="60"/>
              <w:jc w:val="center"/>
              <w:rPr>
                <w:color w:val="000000" w:themeColor="text1"/>
                <w:szCs w:val="18"/>
              </w:rPr>
            </w:pPr>
            <w:r w:rsidRPr="00217865">
              <w:rPr>
                <w:color w:val="000000" w:themeColor="text1"/>
                <w:szCs w:val="18"/>
              </w:rPr>
              <w:t>634</w:t>
            </w:r>
          </w:p>
        </w:tc>
        <w:tc>
          <w:tcPr>
            <w:tcW w:w="392" w:type="pct"/>
            <w:tcBorders>
              <w:top w:val="single" w:sz="4" w:space="0" w:color="auto"/>
              <w:left w:val="single" w:sz="4" w:space="0" w:color="auto"/>
              <w:bottom w:val="single" w:sz="4" w:space="0" w:color="auto"/>
              <w:right w:val="single" w:sz="4" w:space="0" w:color="auto"/>
            </w:tcBorders>
            <w:vAlign w:val="bottom"/>
          </w:tcPr>
          <w:p w14:paraId="16793EBD" w14:textId="6D86F2A1" w:rsidR="00F20D1A" w:rsidRPr="00217865" w:rsidRDefault="00F20D1A" w:rsidP="00A43B35">
            <w:pPr>
              <w:pStyle w:val="Z"/>
              <w:spacing w:before="60" w:after="60"/>
              <w:jc w:val="center"/>
              <w:rPr>
                <w:color w:val="000000" w:themeColor="text1"/>
                <w:szCs w:val="18"/>
              </w:rPr>
            </w:pPr>
            <w:r w:rsidRPr="00217865">
              <w:rPr>
                <w:color w:val="000000" w:themeColor="text1"/>
                <w:szCs w:val="18"/>
              </w:rPr>
              <w:t>64.6</w:t>
            </w:r>
          </w:p>
        </w:tc>
        <w:tc>
          <w:tcPr>
            <w:tcW w:w="392" w:type="pct"/>
            <w:tcBorders>
              <w:top w:val="single" w:sz="4" w:space="0" w:color="auto"/>
              <w:left w:val="single" w:sz="4" w:space="0" w:color="auto"/>
              <w:bottom w:val="single" w:sz="4" w:space="0" w:color="auto"/>
              <w:right w:val="single" w:sz="4" w:space="0" w:color="auto"/>
            </w:tcBorders>
            <w:vAlign w:val="bottom"/>
          </w:tcPr>
          <w:p w14:paraId="446884CB" w14:textId="6D16FC9A" w:rsidR="00F20D1A" w:rsidRPr="00217865" w:rsidRDefault="00F20D1A" w:rsidP="00A43B35">
            <w:pPr>
              <w:pStyle w:val="Z"/>
              <w:spacing w:before="60" w:after="60"/>
              <w:jc w:val="center"/>
              <w:rPr>
                <w:color w:val="000000" w:themeColor="text1"/>
                <w:szCs w:val="18"/>
              </w:rPr>
            </w:pPr>
            <w:r w:rsidRPr="00217865">
              <w:rPr>
                <w:color w:val="000000" w:themeColor="text1"/>
                <w:szCs w:val="18"/>
              </w:rPr>
              <w:t>348</w:t>
            </w:r>
          </w:p>
        </w:tc>
        <w:tc>
          <w:tcPr>
            <w:tcW w:w="395" w:type="pct"/>
            <w:tcBorders>
              <w:top w:val="single" w:sz="4" w:space="0" w:color="auto"/>
              <w:left w:val="single" w:sz="4" w:space="0" w:color="auto"/>
              <w:bottom w:val="single" w:sz="4" w:space="0" w:color="auto"/>
              <w:right w:val="single" w:sz="4" w:space="0" w:color="auto"/>
            </w:tcBorders>
            <w:vAlign w:val="bottom"/>
          </w:tcPr>
          <w:p w14:paraId="78BB390F" w14:textId="25E5925D" w:rsidR="00F20D1A" w:rsidRPr="00217865" w:rsidRDefault="00F20D1A" w:rsidP="00A43B35">
            <w:pPr>
              <w:pStyle w:val="Z"/>
              <w:spacing w:before="60" w:after="60"/>
              <w:jc w:val="center"/>
              <w:rPr>
                <w:color w:val="000000" w:themeColor="text1"/>
                <w:szCs w:val="18"/>
              </w:rPr>
            </w:pPr>
            <w:r w:rsidRPr="00217865">
              <w:rPr>
                <w:color w:val="000000" w:themeColor="text1"/>
                <w:szCs w:val="18"/>
              </w:rPr>
              <w:t>35.4</w:t>
            </w:r>
          </w:p>
        </w:tc>
        <w:tc>
          <w:tcPr>
            <w:tcW w:w="392" w:type="pct"/>
            <w:tcBorders>
              <w:top w:val="single" w:sz="4" w:space="0" w:color="auto"/>
              <w:left w:val="single" w:sz="4" w:space="0" w:color="auto"/>
              <w:bottom w:val="single" w:sz="4" w:space="0" w:color="auto"/>
              <w:right w:val="single" w:sz="4" w:space="0" w:color="auto"/>
            </w:tcBorders>
            <w:vAlign w:val="bottom"/>
          </w:tcPr>
          <w:p w14:paraId="4188E212" w14:textId="732CBB58" w:rsidR="00F20D1A" w:rsidRPr="00217865" w:rsidRDefault="00F20D1A" w:rsidP="00A43B35">
            <w:pPr>
              <w:pStyle w:val="Z"/>
              <w:spacing w:before="60" w:after="60"/>
              <w:jc w:val="center"/>
              <w:rPr>
                <w:color w:val="000000" w:themeColor="text1"/>
                <w:szCs w:val="18"/>
              </w:rPr>
            </w:pPr>
            <w:r w:rsidRPr="00217865">
              <w:rPr>
                <w:color w:val="000000" w:themeColor="text1"/>
                <w:szCs w:val="18"/>
              </w:rPr>
              <w:t>185</w:t>
            </w:r>
          </w:p>
        </w:tc>
        <w:tc>
          <w:tcPr>
            <w:tcW w:w="392" w:type="pct"/>
            <w:tcBorders>
              <w:top w:val="single" w:sz="4" w:space="0" w:color="auto"/>
              <w:left w:val="single" w:sz="4" w:space="0" w:color="auto"/>
              <w:bottom w:val="single" w:sz="4" w:space="0" w:color="auto"/>
              <w:right w:val="single" w:sz="4" w:space="0" w:color="auto"/>
            </w:tcBorders>
            <w:vAlign w:val="bottom"/>
          </w:tcPr>
          <w:p w14:paraId="3B559C7D" w14:textId="161C1CB4" w:rsidR="00F20D1A" w:rsidRPr="00217865" w:rsidRDefault="00F20D1A" w:rsidP="00A43B35">
            <w:pPr>
              <w:pStyle w:val="Z"/>
              <w:spacing w:before="60" w:after="60"/>
              <w:jc w:val="center"/>
              <w:rPr>
                <w:color w:val="000000" w:themeColor="text1"/>
                <w:szCs w:val="18"/>
              </w:rPr>
            </w:pPr>
            <w:r w:rsidRPr="00217865">
              <w:rPr>
                <w:color w:val="000000" w:themeColor="text1"/>
                <w:szCs w:val="18"/>
              </w:rPr>
              <w:t>57.8</w:t>
            </w:r>
          </w:p>
        </w:tc>
        <w:tc>
          <w:tcPr>
            <w:tcW w:w="392" w:type="pct"/>
            <w:tcBorders>
              <w:top w:val="single" w:sz="4" w:space="0" w:color="auto"/>
              <w:left w:val="single" w:sz="4" w:space="0" w:color="auto"/>
              <w:bottom w:val="single" w:sz="4" w:space="0" w:color="auto"/>
              <w:right w:val="single" w:sz="4" w:space="0" w:color="auto"/>
            </w:tcBorders>
            <w:vAlign w:val="bottom"/>
          </w:tcPr>
          <w:p w14:paraId="5E6139FB" w14:textId="4F85D113" w:rsidR="00F20D1A" w:rsidRPr="00217865" w:rsidRDefault="00F20D1A" w:rsidP="00A43B35">
            <w:pPr>
              <w:pStyle w:val="Z"/>
              <w:spacing w:before="60" w:after="60"/>
              <w:jc w:val="center"/>
              <w:rPr>
                <w:color w:val="000000" w:themeColor="text1"/>
                <w:szCs w:val="18"/>
              </w:rPr>
            </w:pPr>
            <w:r w:rsidRPr="00217865">
              <w:rPr>
                <w:color w:val="000000" w:themeColor="text1"/>
                <w:szCs w:val="18"/>
              </w:rPr>
              <w:t>135</w:t>
            </w:r>
          </w:p>
        </w:tc>
        <w:tc>
          <w:tcPr>
            <w:tcW w:w="386" w:type="pct"/>
            <w:tcBorders>
              <w:top w:val="single" w:sz="4" w:space="0" w:color="auto"/>
              <w:left w:val="single" w:sz="4" w:space="0" w:color="auto"/>
              <w:bottom w:val="single" w:sz="4" w:space="0" w:color="auto"/>
              <w:right w:val="single" w:sz="4" w:space="0" w:color="auto"/>
            </w:tcBorders>
            <w:vAlign w:val="bottom"/>
          </w:tcPr>
          <w:p w14:paraId="52FA3277" w14:textId="5BB29BC5" w:rsidR="00F20D1A" w:rsidRPr="00217865" w:rsidRDefault="00F20D1A" w:rsidP="00A43B35">
            <w:pPr>
              <w:pStyle w:val="Z"/>
              <w:spacing w:before="60" w:after="60"/>
              <w:jc w:val="center"/>
              <w:rPr>
                <w:color w:val="000000" w:themeColor="text1"/>
                <w:szCs w:val="18"/>
              </w:rPr>
            </w:pPr>
            <w:r w:rsidRPr="00217865">
              <w:rPr>
                <w:color w:val="000000" w:themeColor="text1"/>
                <w:szCs w:val="18"/>
              </w:rPr>
              <w:t>42.2</w:t>
            </w:r>
          </w:p>
        </w:tc>
      </w:tr>
      <w:tr w:rsidR="00217865" w:rsidRPr="00217865" w14:paraId="40A3191E"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2CFB2307" w14:textId="6E0EB48C" w:rsidR="00F20D1A" w:rsidRPr="00217865" w:rsidRDefault="00F20D1A" w:rsidP="00A43B35">
            <w:pPr>
              <w:pStyle w:val="Z"/>
              <w:spacing w:before="60" w:after="60"/>
              <w:rPr>
                <w:color w:val="000000" w:themeColor="text1"/>
                <w:szCs w:val="18"/>
              </w:rPr>
            </w:pPr>
            <w:r w:rsidRPr="00217865">
              <w:rPr>
                <w:color w:val="000000" w:themeColor="text1"/>
                <w:szCs w:val="18"/>
              </w:rPr>
              <w:t>VIT (Victorian Institute of Technology)</w:t>
            </w:r>
          </w:p>
        </w:tc>
        <w:tc>
          <w:tcPr>
            <w:tcW w:w="392" w:type="pct"/>
            <w:tcBorders>
              <w:top w:val="single" w:sz="4" w:space="0" w:color="auto"/>
              <w:left w:val="single" w:sz="4" w:space="0" w:color="auto"/>
              <w:bottom w:val="single" w:sz="4" w:space="0" w:color="auto"/>
              <w:right w:val="single" w:sz="4" w:space="0" w:color="auto"/>
            </w:tcBorders>
            <w:vAlign w:val="bottom"/>
          </w:tcPr>
          <w:p w14:paraId="397B8971" w14:textId="453152D9" w:rsidR="00F20D1A" w:rsidRPr="00217865" w:rsidRDefault="00F20D1A" w:rsidP="00A43B35">
            <w:pPr>
              <w:pStyle w:val="Z"/>
              <w:spacing w:before="60" w:after="60"/>
              <w:jc w:val="center"/>
              <w:rPr>
                <w:color w:val="000000" w:themeColor="text1"/>
                <w:szCs w:val="18"/>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535490B3" w14:textId="10442F91" w:rsidR="00F20D1A" w:rsidRPr="00217865" w:rsidRDefault="00F20D1A" w:rsidP="00A43B35">
            <w:pPr>
              <w:pStyle w:val="Z"/>
              <w:spacing w:before="60" w:after="60"/>
              <w:jc w:val="center"/>
              <w:rPr>
                <w:color w:val="000000" w:themeColor="text1"/>
                <w:szCs w:val="18"/>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6E4000AF" w14:textId="22E19443" w:rsidR="00F20D1A" w:rsidRPr="00217865" w:rsidRDefault="00F20D1A" w:rsidP="00A43B35">
            <w:pPr>
              <w:pStyle w:val="Z"/>
              <w:spacing w:before="60" w:after="60"/>
              <w:jc w:val="center"/>
              <w:rPr>
                <w:color w:val="000000" w:themeColor="text1"/>
                <w:szCs w:val="18"/>
              </w:rPr>
            </w:pPr>
            <w:r w:rsidRPr="00217865">
              <w:rPr>
                <w:color w:val="000000" w:themeColor="text1"/>
                <w:szCs w:val="18"/>
              </w:rPr>
              <w:t>255</w:t>
            </w:r>
          </w:p>
        </w:tc>
        <w:tc>
          <w:tcPr>
            <w:tcW w:w="395" w:type="pct"/>
            <w:tcBorders>
              <w:top w:val="single" w:sz="4" w:space="0" w:color="auto"/>
              <w:left w:val="single" w:sz="4" w:space="0" w:color="auto"/>
              <w:bottom w:val="single" w:sz="4" w:space="0" w:color="auto"/>
              <w:right w:val="single" w:sz="4" w:space="0" w:color="auto"/>
            </w:tcBorders>
            <w:vAlign w:val="bottom"/>
          </w:tcPr>
          <w:p w14:paraId="28673BBA" w14:textId="430185DD" w:rsidR="00F20D1A" w:rsidRPr="00217865" w:rsidRDefault="00F20D1A" w:rsidP="00A43B35">
            <w:pPr>
              <w:pStyle w:val="Z"/>
              <w:spacing w:before="60" w:after="60"/>
              <w:jc w:val="center"/>
              <w:rPr>
                <w:color w:val="000000" w:themeColor="text1"/>
                <w:szCs w:val="18"/>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1B6B15AE" w14:textId="2C79399E" w:rsidR="00F20D1A" w:rsidRPr="00217865" w:rsidRDefault="00F20D1A" w:rsidP="00A43B35">
            <w:pPr>
              <w:pStyle w:val="Z"/>
              <w:spacing w:before="60" w:after="60"/>
              <w:jc w:val="center"/>
              <w:rPr>
                <w:color w:val="000000" w:themeColor="text1"/>
                <w:szCs w:val="18"/>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762B7625" w14:textId="41A41D11" w:rsidR="00F20D1A" w:rsidRPr="00217865" w:rsidRDefault="00F20D1A" w:rsidP="00A43B35">
            <w:pPr>
              <w:pStyle w:val="Z"/>
              <w:spacing w:before="60" w:after="60"/>
              <w:jc w:val="center"/>
              <w:rPr>
                <w:color w:val="000000" w:themeColor="text1"/>
                <w:szCs w:val="18"/>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C6063A5" w14:textId="4FFBF7A2" w:rsidR="00F20D1A" w:rsidRPr="00217865" w:rsidRDefault="00F20D1A" w:rsidP="00A43B35">
            <w:pPr>
              <w:pStyle w:val="Z"/>
              <w:spacing w:before="60" w:after="60"/>
              <w:jc w:val="center"/>
              <w:rPr>
                <w:color w:val="000000" w:themeColor="text1"/>
                <w:szCs w:val="18"/>
              </w:rPr>
            </w:pPr>
            <w:r w:rsidRPr="00217865">
              <w:rPr>
                <w:color w:val="000000" w:themeColor="text1"/>
                <w:szCs w:val="18"/>
              </w:rPr>
              <w:t>128</w:t>
            </w:r>
          </w:p>
        </w:tc>
        <w:tc>
          <w:tcPr>
            <w:tcW w:w="386" w:type="pct"/>
            <w:tcBorders>
              <w:top w:val="single" w:sz="4" w:space="0" w:color="auto"/>
              <w:left w:val="single" w:sz="4" w:space="0" w:color="auto"/>
              <w:bottom w:val="single" w:sz="4" w:space="0" w:color="auto"/>
              <w:right w:val="single" w:sz="4" w:space="0" w:color="auto"/>
            </w:tcBorders>
            <w:vAlign w:val="bottom"/>
          </w:tcPr>
          <w:p w14:paraId="18DBBB09" w14:textId="1057CF41" w:rsidR="00F20D1A" w:rsidRPr="00217865" w:rsidRDefault="00F20D1A" w:rsidP="00A43B35">
            <w:pPr>
              <w:pStyle w:val="Z"/>
              <w:spacing w:before="60" w:after="60"/>
              <w:jc w:val="center"/>
              <w:rPr>
                <w:color w:val="000000" w:themeColor="text1"/>
                <w:szCs w:val="18"/>
              </w:rPr>
            </w:pPr>
            <w:r w:rsidRPr="00217865">
              <w:rPr>
                <w:color w:val="000000" w:themeColor="text1"/>
                <w:szCs w:val="18"/>
              </w:rPr>
              <w:t>100.0</w:t>
            </w:r>
          </w:p>
        </w:tc>
      </w:tr>
      <w:tr w:rsidR="00217865" w:rsidRPr="00217865" w14:paraId="16535910"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1FEF8D64" w14:textId="13B6BC72" w:rsidR="00F20D1A" w:rsidRPr="00217865" w:rsidRDefault="00F20D1A" w:rsidP="00A43B35">
            <w:pPr>
              <w:pStyle w:val="Z"/>
              <w:spacing w:before="60" w:after="60"/>
              <w:rPr>
                <w:color w:val="000000" w:themeColor="text1"/>
                <w:szCs w:val="18"/>
              </w:rPr>
            </w:pPr>
            <w:r w:rsidRPr="00217865">
              <w:rPr>
                <w:color w:val="000000" w:themeColor="text1"/>
                <w:szCs w:val="18"/>
              </w:rPr>
              <w:t>Wentworth Institute of Higher Education</w:t>
            </w:r>
          </w:p>
        </w:tc>
        <w:tc>
          <w:tcPr>
            <w:tcW w:w="392" w:type="pct"/>
            <w:tcBorders>
              <w:top w:val="single" w:sz="4" w:space="0" w:color="auto"/>
              <w:left w:val="single" w:sz="4" w:space="0" w:color="auto"/>
              <w:bottom w:val="single" w:sz="4" w:space="0" w:color="auto"/>
              <w:right w:val="single" w:sz="4" w:space="0" w:color="auto"/>
            </w:tcBorders>
            <w:vAlign w:val="bottom"/>
          </w:tcPr>
          <w:p w14:paraId="44100653" w14:textId="64680DFF" w:rsidR="00F20D1A" w:rsidRPr="00217865" w:rsidRDefault="00F20D1A" w:rsidP="00A43B35">
            <w:pPr>
              <w:pStyle w:val="Z"/>
              <w:spacing w:before="60" w:after="60"/>
              <w:jc w:val="center"/>
              <w:rPr>
                <w:color w:val="000000" w:themeColor="text1"/>
                <w:szCs w:val="18"/>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35CF858E" w14:textId="06EDCC67" w:rsidR="00F20D1A" w:rsidRPr="00217865" w:rsidRDefault="00F20D1A" w:rsidP="00A43B35">
            <w:pPr>
              <w:pStyle w:val="Z"/>
              <w:spacing w:before="60" w:after="60"/>
              <w:jc w:val="center"/>
              <w:rPr>
                <w:color w:val="000000" w:themeColor="text1"/>
                <w:szCs w:val="18"/>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75436589" w14:textId="6BC739F2" w:rsidR="00F20D1A" w:rsidRPr="00217865" w:rsidRDefault="00F20D1A" w:rsidP="00A43B35">
            <w:pPr>
              <w:pStyle w:val="Z"/>
              <w:spacing w:before="60" w:after="60"/>
              <w:jc w:val="center"/>
              <w:rPr>
                <w:color w:val="000000" w:themeColor="text1"/>
                <w:szCs w:val="18"/>
              </w:rPr>
            </w:pPr>
            <w:r w:rsidRPr="00217865">
              <w:rPr>
                <w:color w:val="000000" w:themeColor="text1"/>
                <w:szCs w:val="18"/>
              </w:rPr>
              <w:t>536</w:t>
            </w:r>
          </w:p>
        </w:tc>
        <w:tc>
          <w:tcPr>
            <w:tcW w:w="395" w:type="pct"/>
            <w:tcBorders>
              <w:top w:val="single" w:sz="4" w:space="0" w:color="auto"/>
              <w:left w:val="single" w:sz="4" w:space="0" w:color="auto"/>
              <w:bottom w:val="single" w:sz="4" w:space="0" w:color="auto"/>
              <w:right w:val="single" w:sz="4" w:space="0" w:color="auto"/>
            </w:tcBorders>
            <w:vAlign w:val="bottom"/>
          </w:tcPr>
          <w:p w14:paraId="359B2784" w14:textId="5506F166" w:rsidR="00F20D1A" w:rsidRPr="00217865" w:rsidRDefault="00F20D1A" w:rsidP="00A43B35">
            <w:pPr>
              <w:pStyle w:val="Z"/>
              <w:spacing w:before="60" w:after="60"/>
              <w:jc w:val="center"/>
              <w:rPr>
                <w:color w:val="000000" w:themeColor="text1"/>
                <w:szCs w:val="18"/>
              </w:rPr>
            </w:pPr>
            <w:r w:rsidRPr="00217865">
              <w:rPr>
                <w:color w:val="000000" w:themeColor="text1"/>
                <w:szCs w:val="18"/>
              </w:rPr>
              <w:t>100.0</w:t>
            </w:r>
          </w:p>
        </w:tc>
        <w:tc>
          <w:tcPr>
            <w:tcW w:w="392" w:type="pct"/>
            <w:tcBorders>
              <w:top w:val="single" w:sz="4" w:space="0" w:color="auto"/>
              <w:left w:val="single" w:sz="4" w:space="0" w:color="auto"/>
              <w:bottom w:val="single" w:sz="4" w:space="0" w:color="auto"/>
              <w:right w:val="single" w:sz="4" w:space="0" w:color="auto"/>
            </w:tcBorders>
            <w:vAlign w:val="bottom"/>
          </w:tcPr>
          <w:p w14:paraId="1C47B86A" w14:textId="0667B2E5" w:rsidR="00F20D1A" w:rsidRPr="00217865" w:rsidRDefault="00F20D1A" w:rsidP="00A43B35">
            <w:pPr>
              <w:pStyle w:val="Z"/>
              <w:spacing w:before="60" w:after="60"/>
              <w:jc w:val="center"/>
              <w:rPr>
                <w:color w:val="000000" w:themeColor="text1"/>
                <w:szCs w:val="18"/>
              </w:rPr>
            </w:pPr>
            <w:r w:rsidRPr="00217865">
              <w:rPr>
                <w:color w:val="000000" w:themeColor="text1"/>
                <w:szCs w:val="18"/>
              </w:rPr>
              <w:t>0</w:t>
            </w:r>
          </w:p>
        </w:tc>
        <w:tc>
          <w:tcPr>
            <w:tcW w:w="392" w:type="pct"/>
            <w:tcBorders>
              <w:top w:val="single" w:sz="4" w:space="0" w:color="auto"/>
              <w:left w:val="single" w:sz="4" w:space="0" w:color="auto"/>
              <w:bottom w:val="single" w:sz="4" w:space="0" w:color="auto"/>
              <w:right w:val="single" w:sz="4" w:space="0" w:color="auto"/>
            </w:tcBorders>
            <w:vAlign w:val="bottom"/>
          </w:tcPr>
          <w:p w14:paraId="067A7C99" w14:textId="5346B0B0" w:rsidR="00F20D1A" w:rsidRPr="00217865" w:rsidRDefault="00F20D1A" w:rsidP="00A43B35">
            <w:pPr>
              <w:pStyle w:val="Z"/>
              <w:spacing w:before="60" w:after="60"/>
              <w:jc w:val="center"/>
              <w:rPr>
                <w:color w:val="000000" w:themeColor="text1"/>
                <w:szCs w:val="18"/>
              </w:rPr>
            </w:pPr>
            <w:r w:rsidRPr="00217865">
              <w:rPr>
                <w:color w:val="000000" w:themeColor="text1"/>
                <w:szCs w:val="18"/>
              </w:rPr>
              <w:t>0.0</w:t>
            </w:r>
          </w:p>
        </w:tc>
        <w:tc>
          <w:tcPr>
            <w:tcW w:w="392" w:type="pct"/>
            <w:tcBorders>
              <w:top w:val="single" w:sz="4" w:space="0" w:color="auto"/>
              <w:left w:val="single" w:sz="4" w:space="0" w:color="auto"/>
              <w:bottom w:val="single" w:sz="4" w:space="0" w:color="auto"/>
              <w:right w:val="single" w:sz="4" w:space="0" w:color="auto"/>
            </w:tcBorders>
            <w:vAlign w:val="bottom"/>
          </w:tcPr>
          <w:p w14:paraId="240AB501" w14:textId="59F5444D" w:rsidR="00F20D1A" w:rsidRPr="00217865" w:rsidRDefault="00F20D1A" w:rsidP="00A43B35">
            <w:pPr>
              <w:pStyle w:val="Z"/>
              <w:spacing w:before="60" w:after="60"/>
              <w:jc w:val="center"/>
              <w:rPr>
                <w:color w:val="000000" w:themeColor="text1"/>
                <w:szCs w:val="18"/>
              </w:rPr>
            </w:pPr>
            <w:r w:rsidRPr="00217865">
              <w:rPr>
                <w:color w:val="000000" w:themeColor="text1"/>
                <w:szCs w:val="18"/>
              </w:rPr>
              <w:t>217</w:t>
            </w:r>
          </w:p>
        </w:tc>
        <w:tc>
          <w:tcPr>
            <w:tcW w:w="386" w:type="pct"/>
            <w:tcBorders>
              <w:top w:val="single" w:sz="4" w:space="0" w:color="auto"/>
              <w:left w:val="single" w:sz="4" w:space="0" w:color="auto"/>
              <w:bottom w:val="single" w:sz="4" w:space="0" w:color="auto"/>
              <w:right w:val="single" w:sz="4" w:space="0" w:color="auto"/>
            </w:tcBorders>
            <w:vAlign w:val="bottom"/>
          </w:tcPr>
          <w:p w14:paraId="49CE9C6A" w14:textId="314A1B2F" w:rsidR="00F20D1A" w:rsidRPr="00217865" w:rsidRDefault="00F20D1A" w:rsidP="00A43B35">
            <w:pPr>
              <w:pStyle w:val="Z"/>
              <w:spacing w:before="60" w:after="60"/>
              <w:jc w:val="center"/>
              <w:rPr>
                <w:color w:val="000000" w:themeColor="text1"/>
                <w:szCs w:val="18"/>
              </w:rPr>
            </w:pPr>
            <w:r w:rsidRPr="00217865">
              <w:rPr>
                <w:color w:val="000000" w:themeColor="text1"/>
                <w:szCs w:val="18"/>
              </w:rPr>
              <w:t>100.0</w:t>
            </w:r>
          </w:p>
        </w:tc>
      </w:tr>
      <w:tr w:rsidR="00217865" w:rsidRPr="00217865" w14:paraId="5195F5E7"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62B371BA" w14:textId="0301B26B" w:rsidR="00F20D1A" w:rsidRPr="00217865" w:rsidRDefault="00F20D1A" w:rsidP="00A43B35">
            <w:pPr>
              <w:pStyle w:val="Z"/>
              <w:spacing w:before="60" w:after="60"/>
              <w:rPr>
                <w:color w:val="000000" w:themeColor="text1"/>
                <w:szCs w:val="18"/>
              </w:rPr>
            </w:pPr>
            <w:r w:rsidRPr="00217865">
              <w:rPr>
                <w:color w:val="000000" w:themeColor="text1"/>
                <w:szCs w:val="18"/>
              </w:rPr>
              <w:t xml:space="preserve">Western Sydney University International College </w:t>
            </w:r>
          </w:p>
        </w:tc>
        <w:tc>
          <w:tcPr>
            <w:tcW w:w="392" w:type="pct"/>
            <w:tcBorders>
              <w:top w:val="single" w:sz="4" w:space="0" w:color="auto"/>
              <w:left w:val="single" w:sz="4" w:space="0" w:color="auto"/>
              <w:bottom w:val="single" w:sz="4" w:space="0" w:color="auto"/>
              <w:right w:val="single" w:sz="4" w:space="0" w:color="auto"/>
            </w:tcBorders>
            <w:vAlign w:val="bottom"/>
          </w:tcPr>
          <w:p w14:paraId="191EC656" w14:textId="73266C43" w:rsidR="00F20D1A" w:rsidRPr="00217865" w:rsidRDefault="00F20D1A" w:rsidP="00A43B35">
            <w:pPr>
              <w:pStyle w:val="Z"/>
              <w:spacing w:before="60" w:after="60"/>
              <w:jc w:val="center"/>
              <w:rPr>
                <w:color w:val="000000" w:themeColor="text1"/>
                <w:szCs w:val="18"/>
              </w:rPr>
            </w:pPr>
            <w:r w:rsidRPr="00217865">
              <w:rPr>
                <w:color w:val="000000" w:themeColor="text1"/>
                <w:szCs w:val="18"/>
              </w:rPr>
              <w:t>5</w:t>
            </w:r>
          </w:p>
        </w:tc>
        <w:tc>
          <w:tcPr>
            <w:tcW w:w="392" w:type="pct"/>
            <w:tcBorders>
              <w:top w:val="single" w:sz="4" w:space="0" w:color="auto"/>
              <w:left w:val="single" w:sz="4" w:space="0" w:color="auto"/>
              <w:bottom w:val="single" w:sz="4" w:space="0" w:color="auto"/>
              <w:right w:val="single" w:sz="4" w:space="0" w:color="auto"/>
            </w:tcBorders>
            <w:vAlign w:val="bottom"/>
          </w:tcPr>
          <w:p w14:paraId="4CAB9BF2" w14:textId="24144BCB" w:rsidR="00F20D1A" w:rsidRPr="00217865" w:rsidRDefault="00F20D1A" w:rsidP="00A43B35">
            <w:pPr>
              <w:pStyle w:val="Z"/>
              <w:spacing w:before="60" w:after="60"/>
              <w:jc w:val="center"/>
              <w:rPr>
                <w:color w:val="000000" w:themeColor="text1"/>
                <w:szCs w:val="18"/>
              </w:rPr>
            </w:pPr>
            <w:r w:rsidRPr="00217865">
              <w:rPr>
                <w:color w:val="000000" w:themeColor="text1"/>
                <w:szCs w:val="18"/>
              </w:rPr>
              <w:t>4.2</w:t>
            </w:r>
          </w:p>
        </w:tc>
        <w:tc>
          <w:tcPr>
            <w:tcW w:w="392" w:type="pct"/>
            <w:tcBorders>
              <w:top w:val="single" w:sz="4" w:space="0" w:color="auto"/>
              <w:left w:val="single" w:sz="4" w:space="0" w:color="auto"/>
              <w:bottom w:val="single" w:sz="4" w:space="0" w:color="auto"/>
              <w:right w:val="single" w:sz="4" w:space="0" w:color="auto"/>
            </w:tcBorders>
            <w:vAlign w:val="bottom"/>
          </w:tcPr>
          <w:p w14:paraId="6E8A706C" w14:textId="39AC621E" w:rsidR="00F20D1A" w:rsidRPr="00217865" w:rsidRDefault="00F20D1A" w:rsidP="00A43B35">
            <w:pPr>
              <w:pStyle w:val="Z"/>
              <w:spacing w:before="60" w:after="60"/>
              <w:jc w:val="center"/>
              <w:rPr>
                <w:color w:val="000000" w:themeColor="text1"/>
                <w:szCs w:val="18"/>
              </w:rPr>
            </w:pPr>
            <w:r w:rsidRPr="00217865">
              <w:rPr>
                <w:color w:val="000000" w:themeColor="text1"/>
                <w:szCs w:val="18"/>
              </w:rPr>
              <w:t>113</w:t>
            </w:r>
          </w:p>
        </w:tc>
        <w:tc>
          <w:tcPr>
            <w:tcW w:w="395" w:type="pct"/>
            <w:tcBorders>
              <w:top w:val="single" w:sz="4" w:space="0" w:color="auto"/>
              <w:left w:val="single" w:sz="4" w:space="0" w:color="auto"/>
              <w:bottom w:val="single" w:sz="4" w:space="0" w:color="auto"/>
              <w:right w:val="single" w:sz="4" w:space="0" w:color="auto"/>
            </w:tcBorders>
            <w:vAlign w:val="bottom"/>
          </w:tcPr>
          <w:p w14:paraId="5007D373" w14:textId="253CFBA8" w:rsidR="00F20D1A" w:rsidRPr="00217865" w:rsidRDefault="00F20D1A" w:rsidP="00A43B35">
            <w:pPr>
              <w:pStyle w:val="Z"/>
              <w:spacing w:before="60" w:after="60"/>
              <w:jc w:val="center"/>
              <w:rPr>
                <w:color w:val="000000" w:themeColor="text1"/>
                <w:szCs w:val="18"/>
              </w:rPr>
            </w:pPr>
            <w:r w:rsidRPr="00217865">
              <w:rPr>
                <w:color w:val="000000" w:themeColor="text1"/>
                <w:szCs w:val="18"/>
              </w:rPr>
              <w:t>95.8</w:t>
            </w:r>
          </w:p>
        </w:tc>
        <w:tc>
          <w:tcPr>
            <w:tcW w:w="392" w:type="pct"/>
            <w:tcBorders>
              <w:top w:val="single" w:sz="4" w:space="0" w:color="auto"/>
              <w:left w:val="single" w:sz="4" w:space="0" w:color="auto"/>
              <w:bottom w:val="single" w:sz="4" w:space="0" w:color="auto"/>
              <w:right w:val="single" w:sz="4" w:space="0" w:color="auto"/>
            </w:tcBorders>
            <w:vAlign w:val="bottom"/>
          </w:tcPr>
          <w:p w14:paraId="5747B220" w14:textId="2F8F1EF2" w:rsidR="00F20D1A" w:rsidRPr="00217865" w:rsidRDefault="00F20D1A" w:rsidP="00A43B35">
            <w:pPr>
              <w:pStyle w:val="Z"/>
              <w:spacing w:before="60" w:after="60"/>
              <w:jc w:val="center"/>
              <w:rPr>
                <w:color w:val="000000" w:themeColor="text1"/>
                <w:szCs w:val="18"/>
              </w:rPr>
            </w:pPr>
            <w:r w:rsidRPr="00217865">
              <w:rPr>
                <w:color w:val="000000" w:themeColor="text1"/>
                <w:szCs w:val="18"/>
              </w:rPr>
              <w:t>&lt;5</w:t>
            </w:r>
          </w:p>
        </w:tc>
        <w:tc>
          <w:tcPr>
            <w:tcW w:w="392" w:type="pct"/>
            <w:tcBorders>
              <w:top w:val="single" w:sz="4" w:space="0" w:color="auto"/>
              <w:left w:val="single" w:sz="4" w:space="0" w:color="auto"/>
              <w:bottom w:val="single" w:sz="4" w:space="0" w:color="auto"/>
              <w:right w:val="single" w:sz="4" w:space="0" w:color="auto"/>
            </w:tcBorders>
            <w:vAlign w:val="bottom"/>
          </w:tcPr>
          <w:p w14:paraId="74895D2C" w14:textId="20A2E542" w:rsidR="00F20D1A" w:rsidRPr="00217865" w:rsidRDefault="00F20D1A" w:rsidP="00A43B35">
            <w:pPr>
              <w:pStyle w:val="Z"/>
              <w:spacing w:before="60" w:after="60"/>
              <w:jc w:val="center"/>
              <w:rPr>
                <w:color w:val="000000" w:themeColor="text1"/>
                <w:szCs w:val="18"/>
              </w:rPr>
            </w:pPr>
            <w:r w:rsidRPr="00217865">
              <w:rPr>
                <w:color w:val="000000" w:themeColor="text1"/>
                <w:szCs w:val="18"/>
              </w:rPr>
              <w:t>6.5</w:t>
            </w:r>
          </w:p>
        </w:tc>
        <w:tc>
          <w:tcPr>
            <w:tcW w:w="392" w:type="pct"/>
            <w:tcBorders>
              <w:top w:val="single" w:sz="4" w:space="0" w:color="auto"/>
              <w:left w:val="single" w:sz="4" w:space="0" w:color="auto"/>
              <w:bottom w:val="single" w:sz="4" w:space="0" w:color="auto"/>
              <w:right w:val="single" w:sz="4" w:space="0" w:color="auto"/>
            </w:tcBorders>
            <w:vAlign w:val="bottom"/>
          </w:tcPr>
          <w:p w14:paraId="54C8623C" w14:textId="2441E96C" w:rsidR="00F20D1A" w:rsidRPr="00217865" w:rsidRDefault="00F20D1A" w:rsidP="00A43B35">
            <w:pPr>
              <w:pStyle w:val="Z"/>
              <w:spacing w:before="60" w:after="60"/>
              <w:jc w:val="center"/>
              <w:rPr>
                <w:color w:val="000000" w:themeColor="text1"/>
                <w:szCs w:val="18"/>
              </w:rPr>
            </w:pPr>
            <w:r w:rsidRPr="00217865">
              <w:rPr>
                <w:color w:val="000000" w:themeColor="text1"/>
                <w:szCs w:val="18"/>
              </w:rPr>
              <w:t>29</w:t>
            </w:r>
          </w:p>
        </w:tc>
        <w:tc>
          <w:tcPr>
            <w:tcW w:w="386" w:type="pct"/>
            <w:tcBorders>
              <w:top w:val="single" w:sz="4" w:space="0" w:color="auto"/>
              <w:left w:val="single" w:sz="4" w:space="0" w:color="auto"/>
              <w:bottom w:val="single" w:sz="4" w:space="0" w:color="auto"/>
              <w:right w:val="single" w:sz="4" w:space="0" w:color="auto"/>
            </w:tcBorders>
            <w:vAlign w:val="bottom"/>
          </w:tcPr>
          <w:p w14:paraId="266D7E60" w14:textId="0FA4A2EA" w:rsidR="00F20D1A" w:rsidRPr="00217865" w:rsidRDefault="00F20D1A" w:rsidP="00A43B35">
            <w:pPr>
              <w:pStyle w:val="Z"/>
              <w:spacing w:before="60" w:after="60"/>
              <w:jc w:val="center"/>
              <w:rPr>
                <w:color w:val="000000" w:themeColor="text1"/>
                <w:szCs w:val="18"/>
              </w:rPr>
            </w:pPr>
            <w:r w:rsidRPr="00217865">
              <w:rPr>
                <w:color w:val="000000" w:themeColor="text1"/>
                <w:szCs w:val="18"/>
              </w:rPr>
              <w:t>93.5</w:t>
            </w:r>
          </w:p>
        </w:tc>
      </w:tr>
      <w:tr w:rsidR="00217865" w:rsidRPr="00217865" w14:paraId="394D8B34"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0A67EA2" w14:textId="3A0A93D8" w:rsidR="00F20D1A" w:rsidRPr="00217865" w:rsidRDefault="00F20D1A" w:rsidP="00A43B35">
            <w:pPr>
              <w:pStyle w:val="Z"/>
              <w:spacing w:before="60" w:after="60"/>
              <w:rPr>
                <w:color w:val="000000" w:themeColor="text1"/>
                <w:szCs w:val="18"/>
              </w:rPr>
            </w:pPr>
            <w:r w:rsidRPr="00217865">
              <w:rPr>
                <w:color w:val="000000" w:themeColor="text1"/>
                <w:szCs w:val="18"/>
              </w:rPr>
              <w:t>Whitehouse Institute of Design, Australia</w:t>
            </w:r>
          </w:p>
        </w:tc>
        <w:tc>
          <w:tcPr>
            <w:tcW w:w="392" w:type="pct"/>
            <w:tcBorders>
              <w:top w:val="single" w:sz="4" w:space="0" w:color="auto"/>
              <w:left w:val="single" w:sz="4" w:space="0" w:color="auto"/>
              <w:bottom w:val="single" w:sz="4" w:space="0" w:color="auto"/>
              <w:right w:val="single" w:sz="4" w:space="0" w:color="auto"/>
            </w:tcBorders>
            <w:vAlign w:val="bottom"/>
          </w:tcPr>
          <w:p w14:paraId="7E54E9E9" w14:textId="42D69F15" w:rsidR="00F20D1A" w:rsidRPr="00217865" w:rsidRDefault="00F20D1A" w:rsidP="00A43B35">
            <w:pPr>
              <w:pStyle w:val="Z"/>
              <w:spacing w:before="60" w:after="60"/>
              <w:jc w:val="center"/>
              <w:rPr>
                <w:color w:val="000000" w:themeColor="text1"/>
                <w:szCs w:val="18"/>
              </w:rPr>
            </w:pPr>
            <w:r w:rsidRPr="00217865">
              <w:rPr>
                <w:color w:val="000000" w:themeColor="text1"/>
                <w:szCs w:val="18"/>
              </w:rPr>
              <w:t>247</w:t>
            </w:r>
          </w:p>
        </w:tc>
        <w:tc>
          <w:tcPr>
            <w:tcW w:w="392" w:type="pct"/>
            <w:tcBorders>
              <w:top w:val="single" w:sz="4" w:space="0" w:color="auto"/>
              <w:left w:val="single" w:sz="4" w:space="0" w:color="auto"/>
              <w:bottom w:val="single" w:sz="4" w:space="0" w:color="auto"/>
              <w:right w:val="single" w:sz="4" w:space="0" w:color="auto"/>
            </w:tcBorders>
            <w:vAlign w:val="bottom"/>
          </w:tcPr>
          <w:p w14:paraId="1A9E806A" w14:textId="3EA1CBC2" w:rsidR="00F20D1A" w:rsidRPr="00217865" w:rsidRDefault="00F20D1A" w:rsidP="00A43B35">
            <w:pPr>
              <w:pStyle w:val="Z"/>
              <w:spacing w:before="60" w:after="60"/>
              <w:jc w:val="center"/>
              <w:rPr>
                <w:color w:val="000000" w:themeColor="text1"/>
                <w:szCs w:val="18"/>
              </w:rPr>
            </w:pPr>
            <w:r w:rsidRPr="00217865">
              <w:rPr>
                <w:color w:val="000000" w:themeColor="text1"/>
                <w:szCs w:val="18"/>
              </w:rPr>
              <w:t>97.2</w:t>
            </w:r>
          </w:p>
        </w:tc>
        <w:tc>
          <w:tcPr>
            <w:tcW w:w="392" w:type="pct"/>
            <w:tcBorders>
              <w:top w:val="single" w:sz="4" w:space="0" w:color="auto"/>
              <w:left w:val="single" w:sz="4" w:space="0" w:color="auto"/>
              <w:bottom w:val="single" w:sz="4" w:space="0" w:color="auto"/>
              <w:right w:val="single" w:sz="4" w:space="0" w:color="auto"/>
            </w:tcBorders>
            <w:vAlign w:val="bottom"/>
          </w:tcPr>
          <w:p w14:paraId="4DB12438" w14:textId="6012B73A" w:rsidR="00F20D1A" w:rsidRPr="00217865" w:rsidRDefault="00F20D1A" w:rsidP="00A43B35">
            <w:pPr>
              <w:pStyle w:val="Z"/>
              <w:spacing w:before="60" w:after="60"/>
              <w:jc w:val="center"/>
              <w:rPr>
                <w:color w:val="000000" w:themeColor="text1"/>
                <w:szCs w:val="18"/>
              </w:rPr>
            </w:pPr>
            <w:r w:rsidRPr="00217865">
              <w:rPr>
                <w:color w:val="000000" w:themeColor="text1"/>
                <w:szCs w:val="18"/>
              </w:rPr>
              <w:t>7</w:t>
            </w:r>
          </w:p>
        </w:tc>
        <w:tc>
          <w:tcPr>
            <w:tcW w:w="395" w:type="pct"/>
            <w:tcBorders>
              <w:top w:val="single" w:sz="4" w:space="0" w:color="auto"/>
              <w:left w:val="single" w:sz="4" w:space="0" w:color="auto"/>
              <w:bottom w:val="single" w:sz="4" w:space="0" w:color="auto"/>
              <w:right w:val="single" w:sz="4" w:space="0" w:color="auto"/>
            </w:tcBorders>
            <w:vAlign w:val="bottom"/>
          </w:tcPr>
          <w:p w14:paraId="1FC75DA6" w14:textId="490C1F89" w:rsidR="00F20D1A" w:rsidRPr="00217865" w:rsidRDefault="00F20D1A" w:rsidP="00A43B35">
            <w:pPr>
              <w:pStyle w:val="Z"/>
              <w:spacing w:before="60" w:after="60"/>
              <w:jc w:val="center"/>
              <w:rPr>
                <w:color w:val="000000" w:themeColor="text1"/>
                <w:szCs w:val="18"/>
              </w:rPr>
            </w:pPr>
            <w:r w:rsidRPr="00217865">
              <w:rPr>
                <w:color w:val="000000" w:themeColor="text1"/>
                <w:szCs w:val="18"/>
              </w:rPr>
              <w:t>2.8</w:t>
            </w:r>
          </w:p>
        </w:tc>
        <w:tc>
          <w:tcPr>
            <w:tcW w:w="392" w:type="pct"/>
            <w:tcBorders>
              <w:top w:val="single" w:sz="4" w:space="0" w:color="auto"/>
              <w:left w:val="single" w:sz="4" w:space="0" w:color="auto"/>
              <w:bottom w:val="single" w:sz="4" w:space="0" w:color="auto"/>
              <w:right w:val="single" w:sz="4" w:space="0" w:color="auto"/>
            </w:tcBorders>
            <w:vAlign w:val="bottom"/>
          </w:tcPr>
          <w:p w14:paraId="3E6072F6" w14:textId="7122A116" w:rsidR="00F20D1A" w:rsidRPr="00217865" w:rsidRDefault="00F20D1A" w:rsidP="00A43B35">
            <w:pPr>
              <w:pStyle w:val="Z"/>
              <w:spacing w:before="60" w:after="60"/>
              <w:jc w:val="center"/>
              <w:rPr>
                <w:color w:val="000000" w:themeColor="text1"/>
                <w:szCs w:val="18"/>
              </w:rPr>
            </w:pPr>
            <w:r w:rsidRPr="00217865">
              <w:rPr>
                <w:color w:val="000000" w:themeColor="text1"/>
                <w:szCs w:val="18"/>
              </w:rPr>
              <w:t>128</w:t>
            </w:r>
          </w:p>
        </w:tc>
        <w:tc>
          <w:tcPr>
            <w:tcW w:w="392" w:type="pct"/>
            <w:tcBorders>
              <w:top w:val="single" w:sz="4" w:space="0" w:color="auto"/>
              <w:left w:val="single" w:sz="4" w:space="0" w:color="auto"/>
              <w:bottom w:val="single" w:sz="4" w:space="0" w:color="auto"/>
              <w:right w:val="single" w:sz="4" w:space="0" w:color="auto"/>
            </w:tcBorders>
            <w:vAlign w:val="bottom"/>
          </w:tcPr>
          <w:p w14:paraId="1527100D" w14:textId="588AAC6C" w:rsidR="00F20D1A" w:rsidRPr="00217865" w:rsidRDefault="00F20D1A" w:rsidP="00A43B35">
            <w:pPr>
              <w:pStyle w:val="Z"/>
              <w:spacing w:before="60" w:after="60"/>
              <w:jc w:val="center"/>
              <w:rPr>
                <w:color w:val="000000" w:themeColor="text1"/>
                <w:szCs w:val="18"/>
              </w:rPr>
            </w:pPr>
            <w:r w:rsidRPr="00217865">
              <w:rPr>
                <w:color w:val="000000" w:themeColor="text1"/>
                <w:szCs w:val="18"/>
              </w:rPr>
              <w:t>97.0</w:t>
            </w:r>
          </w:p>
        </w:tc>
        <w:tc>
          <w:tcPr>
            <w:tcW w:w="392" w:type="pct"/>
            <w:tcBorders>
              <w:top w:val="single" w:sz="4" w:space="0" w:color="auto"/>
              <w:left w:val="single" w:sz="4" w:space="0" w:color="auto"/>
              <w:bottom w:val="single" w:sz="4" w:space="0" w:color="auto"/>
              <w:right w:val="single" w:sz="4" w:space="0" w:color="auto"/>
            </w:tcBorders>
            <w:vAlign w:val="bottom"/>
          </w:tcPr>
          <w:p w14:paraId="169F7D8B" w14:textId="5B058692" w:rsidR="00F20D1A" w:rsidRPr="00217865" w:rsidRDefault="00F20D1A" w:rsidP="00A43B35">
            <w:pPr>
              <w:pStyle w:val="Z"/>
              <w:spacing w:before="60" w:after="60"/>
              <w:jc w:val="center"/>
              <w:rPr>
                <w:color w:val="000000" w:themeColor="text1"/>
                <w:szCs w:val="18"/>
              </w:rPr>
            </w:pPr>
            <w:r w:rsidRPr="00217865">
              <w:rPr>
                <w:color w:val="000000" w:themeColor="text1"/>
                <w:szCs w:val="18"/>
              </w:rPr>
              <w:t>&lt;5</w:t>
            </w:r>
          </w:p>
        </w:tc>
        <w:tc>
          <w:tcPr>
            <w:tcW w:w="386" w:type="pct"/>
            <w:tcBorders>
              <w:top w:val="single" w:sz="4" w:space="0" w:color="auto"/>
              <w:left w:val="single" w:sz="4" w:space="0" w:color="auto"/>
              <w:bottom w:val="single" w:sz="4" w:space="0" w:color="auto"/>
              <w:right w:val="single" w:sz="4" w:space="0" w:color="auto"/>
            </w:tcBorders>
            <w:vAlign w:val="bottom"/>
          </w:tcPr>
          <w:p w14:paraId="7FA00786" w14:textId="7E0878FC" w:rsidR="00F20D1A" w:rsidRPr="00217865" w:rsidRDefault="00F20D1A" w:rsidP="00A43B35">
            <w:pPr>
              <w:pStyle w:val="Z"/>
              <w:spacing w:before="60" w:after="60"/>
              <w:jc w:val="center"/>
              <w:rPr>
                <w:color w:val="000000" w:themeColor="text1"/>
                <w:szCs w:val="18"/>
              </w:rPr>
            </w:pPr>
            <w:r w:rsidRPr="00217865">
              <w:rPr>
                <w:color w:val="000000" w:themeColor="text1"/>
                <w:szCs w:val="18"/>
              </w:rPr>
              <w:t>3.0</w:t>
            </w:r>
          </w:p>
        </w:tc>
      </w:tr>
      <w:tr w:rsidR="00217865" w:rsidRPr="00217865" w14:paraId="7BD55125"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40B6378C" w14:textId="2616559B" w:rsidR="00F20D1A" w:rsidRPr="00217865" w:rsidRDefault="00F20D1A" w:rsidP="00A43B35">
            <w:pPr>
              <w:pStyle w:val="Z"/>
              <w:spacing w:before="60" w:after="60"/>
              <w:rPr>
                <w:color w:val="000000" w:themeColor="text1"/>
                <w:szCs w:val="18"/>
              </w:rPr>
            </w:pPr>
            <w:r w:rsidRPr="00217865">
              <w:rPr>
                <w:color w:val="000000" w:themeColor="text1"/>
                <w:szCs w:val="18"/>
              </w:rPr>
              <w:t>William Angliss Institute</w:t>
            </w:r>
          </w:p>
        </w:tc>
        <w:tc>
          <w:tcPr>
            <w:tcW w:w="392" w:type="pct"/>
            <w:tcBorders>
              <w:top w:val="single" w:sz="4" w:space="0" w:color="auto"/>
              <w:left w:val="single" w:sz="4" w:space="0" w:color="auto"/>
              <w:bottom w:val="single" w:sz="4" w:space="0" w:color="auto"/>
              <w:right w:val="single" w:sz="4" w:space="0" w:color="auto"/>
            </w:tcBorders>
            <w:vAlign w:val="bottom"/>
          </w:tcPr>
          <w:p w14:paraId="297DBCBE" w14:textId="41DEF11A" w:rsidR="00F20D1A" w:rsidRPr="00217865" w:rsidRDefault="00F20D1A" w:rsidP="00A43B35">
            <w:pPr>
              <w:pStyle w:val="Z"/>
              <w:spacing w:before="60" w:after="60"/>
              <w:jc w:val="center"/>
              <w:rPr>
                <w:color w:val="000000" w:themeColor="text1"/>
                <w:szCs w:val="18"/>
              </w:rPr>
            </w:pPr>
            <w:r w:rsidRPr="00217865">
              <w:rPr>
                <w:color w:val="000000" w:themeColor="text1"/>
                <w:szCs w:val="18"/>
              </w:rPr>
              <w:t>108</w:t>
            </w:r>
          </w:p>
        </w:tc>
        <w:tc>
          <w:tcPr>
            <w:tcW w:w="392" w:type="pct"/>
            <w:tcBorders>
              <w:top w:val="single" w:sz="4" w:space="0" w:color="auto"/>
              <w:left w:val="single" w:sz="4" w:space="0" w:color="auto"/>
              <w:bottom w:val="single" w:sz="4" w:space="0" w:color="auto"/>
              <w:right w:val="single" w:sz="4" w:space="0" w:color="auto"/>
            </w:tcBorders>
            <w:vAlign w:val="bottom"/>
          </w:tcPr>
          <w:p w14:paraId="57BE986B" w14:textId="20D44B76" w:rsidR="00F20D1A" w:rsidRPr="00217865" w:rsidRDefault="00F20D1A" w:rsidP="00A43B35">
            <w:pPr>
              <w:pStyle w:val="Z"/>
              <w:spacing w:before="60" w:after="60"/>
              <w:jc w:val="center"/>
              <w:rPr>
                <w:color w:val="000000" w:themeColor="text1"/>
                <w:szCs w:val="18"/>
              </w:rPr>
            </w:pPr>
            <w:r w:rsidRPr="00217865">
              <w:rPr>
                <w:color w:val="000000" w:themeColor="text1"/>
                <w:szCs w:val="18"/>
              </w:rPr>
              <w:t>27.8</w:t>
            </w:r>
          </w:p>
        </w:tc>
        <w:tc>
          <w:tcPr>
            <w:tcW w:w="392" w:type="pct"/>
            <w:tcBorders>
              <w:top w:val="single" w:sz="4" w:space="0" w:color="auto"/>
              <w:left w:val="single" w:sz="4" w:space="0" w:color="auto"/>
              <w:bottom w:val="single" w:sz="4" w:space="0" w:color="auto"/>
              <w:right w:val="single" w:sz="4" w:space="0" w:color="auto"/>
            </w:tcBorders>
            <w:vAlign w:val="bottom"/>
          </w:tcPr>
          <w:p w14:paraId="45EA2114" w14:textId="0B5FBF9E" w:rsidR="00F20D1A" w:rsidRPr="00217865" w:rsidRDefault="00F20D1A" w:rsidP="00A43B35">
            <w:pPr>
              <w:pStyle w:val="Z"/>
              <w:spacing w:before="60" w:after="60"/>
              <w:jc w:val="center"/>
              <w:rPr>
                <w:color w:val="000000" w:themeColor="text1"/>
                <w:szCs w:val="18"/>
              </w:rPr>
            </w:pPr>
            <w:r w:rsidRPr="00217865">
              <w:rPr>
                <w:color w:val="000000" w:themeColor="text1"/>
                <w:szCs w:val="18"/>
              </w:rPr>
              <w:t>280</w:t>
            </w:r>
          </w:p>
        </w:tc>
        <w:tc>
          <w:tcPr>
            <w:tcW w:w="395" w:type="pct"/>
            <w:tcBorders>
              <w:top w:val="single" w:sz="4" w:space="0" w:color="auto"/>
              <w:left w:val="single" w:sz="4" w:space="0" w:color="auto"/>
              <w:bottom w:val="single" w:sz="4" w:space="0" w:color="auto"/>
              <w:right w:val="single" w:sz="4" w:space="0" w:color="auto"/>
            </w:tcBorders>
            <w:vAlign w:val="bottom"/>
          </w:tcPr>
          <w:p w14:paraId="4203DECC" w14:textId="7346CA64" w:rsidR="00F20D1A" w:rsidRPr="00217865" w:rsidRDefault="00F20D1A" w:rsidP="00A43B35">
            <w:pPr>
              <w:pStyle w:val="Z"/>
              <w:spacing w:before="60" w:after="60"/>
              <w:jc w:val="center"/>
              <w:rPr>
                <w:color w:val="000000" w:themeColor="text1"/>
                <w:szCs w:val="18"/>
              </w:rPr>
            </w:pPr>
            <w:r w:rsidRPr="00217865">
              <w:rPr>
                <w:color w:val="000000" w:themeColor="text1"/>
                <w:szCs w:val="18"/>
              </w:rPr>
              <w:t>72.2</w:t>
            </w:r>
          </w:p>
        </w:tc>
        <w:tc>
          <w:tcPr>
            <w:tcW w:w="392" w:type="pct"/>
            <w:tcBorders>
              <w:top w:val="single" w:sz="4" w:space="0" w:color="auto"/>
              <w:left w:val="single" w:sz="4" w:space="0" w:color="auto"/>
              <w:bottom w:val="single" w:sz="4" w:space="0" w:color="auto"/>
              <w:right w:val="single" w:sz="4" w:space="0" w:color="auto"/>
            </w:tcBorders>
            <w:vAlign w:val="bottom"/>
          </w:tcPr>
          <w:p w14:paraId="29870C7B" w14:textId="7DCF4ECB" w:rsidR="00F20D1A" w:rsidRPr="00217865" w:rsidRDefault="00F20D1A" w:rsidP="00A43B35">
            <w:pPr>
              <w:pStyle w:val="Z"/>
              <w:spacing w:before="60" w:after="60"/>
              <w:jc w:val="center"/>
              <w:rPr>
                <w:color w:val="000000" w:themeColor="text1"/>
                <w:szCs w:val="18"/>
              </w:rPr>
            </w:pPr>
            <w:r w:rsidRPr="00217865">
              <w:rPr>
                <w:color w:val="000000" w:themeColor="text1"/>
                <w:szCs w:val="18"/>
              </w:rPr>
              <w:t>40</w:t>
            </w:r>
          </w:p>
        </w:tc>
        <w:tc>
          <w:tcPr>
            <w:tcW w:w="392" w:type="pct"/>
            <w:tcBorders>
              <w:top w:val="single" w:sz="4" w:space="0" w:color="auto"/>
              <w:left w:val="single" w:sz="4" w:space="0" w:color="auto"/>
              <w:bottom w:val="single" w:sz="4" w:space="0" w:color="auto"/>
              <w:right w:val="single" w:sz="4" w:space="0" w:color="auto"/>
            </w:tcBorders>
            <w:vAlign w:val="bottom"/>
          </w:tcPr>
          <w:p w14:paraId="3CF69264" w14:textId="150EB450" w:rsidR="00F20D1A" w:rsidRPr="00217865" w:rsidRDefault="00F20D1A" w:rsidP="00A43B35">
            <w:pPr>
              <w:pStyle w:val="Z"/>
              <w:spacing w:before="60" w:after="60"/>
              <w:jc w:val="center"/>
              <w:rPr>
                <w:color w:val="000000" w:themeColor="text1"/>
                <w:szCs w:val="18"/>
              </w:rPr>
            </w:pPr>
            <w:r w:rsidRPr="00217865">
              <w:rPr>
                <w:color w:val="000000" w:themeColor="text1"/>
                <w:szCs w:val="18"/>
              </w:rPr>
              <w:t>39.2</w:t>
            </w:r>
          </w:p>
        </w:tc>
        <w:tc>
          <w:tcPr>
            <w:tcW w:w="392" w:type="pct"/>
            <w:tcBorders>
              <w:top w:val="single" w:sz="4" w:space="0" w:color="auto"/>
              <w:left w:val="single" w:sz="4" w:space="0" w:color="auto"/>
              <w:bottom w:val="single" w:sz="4" w:space="0" w:color="auto"/>
              <w:right w:val="single" w:sz="4" w:space="0" w:color="auto"/>
            </w:tcBorders>
            <w:vAlign w:val="bottom"/>
          </w:tcPr>
          <w:p w14:paraId="5A5AD9A6" w14:textId="7028308F" w:rsidR="00F20D1A" w:rsidRPr="00217865" w:rsidRDefault="00F20D1A" w:rsidP="00A43B35">
            <w:pPr>
              <w:pStyle w:val="Z"/>
              <w:spacing w:before="60" w:after="60"/>
              <w:jc w:val="center"/>
              <w:rPr>
                <w:color w:val="000000" w:themeColor="text1"/>
                <w:szCs w:val="18"/>
              </w:rPr>
            </w:pPr>
            <w:r w:rsidRPr="00217865">
              <w:rPr>
                <w:color w:val="000000" w:themeColor="text1"/>
                <w:szCs w:val="18"/>
              </w:rPr>
              <w:t>62</w:t>
            </w:r>
          </w:p>
        </w:tc>
        <w:tc>
          <w:tcPr>
            <w:tcW w:w="386" w:type="pct"/>
            <w:tcBorders>
              <w:top w:val="single" w:sz="4" w:space="0" w:color="auto"/>
              <w:left w:val="single" w:sz="4" w:space="0" w:color="auto"/>
              <w:bottom w:val="single" w:sz="4" w:space="0" w:color="auto"/>
              <w:right w:val="single" w:sz="4" w:space="0" w:color="auto"/>
            </w:tcBorders>
            <w:vAlign w:val="bottom"/>
          </w:tcPr>
          <w:p w14:paraId="6A5C8E8B" w14:textId="50DBD370" w:rsidR="00F20D1A" w:rsidRPr="00217865" w:rsidRDefault="00F20D1A" w:rsidP="00A43B35">
            <w:pPr>
              <w:pStyle w:val="Z"/>
              <w:spacing w:before="60" w:after="60"/>
              <w:jc w:val="center"/>
              <w:rPr>
                <w:color w:val="000000" w:themeColor="text1"/>
                <w:szCs w:val="18"/>
              </w:rPr>
            </w:pPr>
            <w:r w:rsidRPr="00217865">
              <w:rPr>
                <w:color w:val="000000" w:themeColor="text1"/>
                <w:szCs w:val="18"/>
              </w:rPr>
              <w:t>60.8</w:t>
            </w:r>
          </w:p>
        </w:tc>
      </w:tr>
      <w:tr w:rsidR="00CF00B5" w:rsidRPr="00217865" w14:paraId="5B1EDFC5" w14:textId="77777777" w:rsidTr="00E2454F">
        <w:trPr>
          <w:trHeight w:val="74"/>
        </w:trPr>
        <w:tc>
          <w:tcPr>
            <w:tcW w:w="1867" w:type="pct"/>
            <w:tcBorders>
              <w:top w:val="single" w:sz="4" w:space="0" w:color="000000"/>
              <w:left w:val="single" w:sz="4" w:space="0" w:color="000000"/>
              <w:bottom w:val="single" w:sz="4" w:space="0" w:color="000000"/>
              <w:right w:val="single" w:sz="4" w:space="0" w:color="auto"/>
            </w:tcBorders>
            <w:tcMar>
              <w:top w:w="113" w:type="dxa"/>
              <w:left w:w="57" w:type="dxa"/>
              <w:bottom w:w="113" w:type="dxa"/>
              <w:right w:w="0" w:type="dxa"/>
            </w:tcMar>
            <w:vAlign w:val="bottom"/>
          </w:tcPr>
          <w:p w14:paraId="36A83CF6" w14:textId="1C4B4256" w:rsidR="00F20D1A" w:rsidRPr="00217865" w:rsidRDefault="00F20D1A" w:rsidP="00A43B35">
            <w:pPr>
              <w:pStyle w:val="Z"/>
              <w:spacing w:before="60" w:after="60"/>
              <w:rPr>
                <w:b/>
                <w:bCs/>
                <w:color w:val="000000" w:themeColor="text1"/>
                <w:szCs w:val="18"/>
              </w:rPr>
            </w:pPr>
            <w:r w:rsidRPr="00217865">
              <w:rPr>
                <w:b/>
                <w:bCs/>
                <w:color w:val="000000" w:themeColor="text1"/>
                <w:szCs w:val="18"/>
              </w:rPr>
              <w:t>All NUHEIs</w:t>
            </w:r>
          </w:p>
        </w:tc>
        <w:tc>
          <w:tcPr>
            <w:tcW w:w="392" w:type="pct"/>
            <w:tcBorders>
              <w:top w:val="single" w:sz="4" w:space="0" w:color="auto"/>
              <w:left w:val="single" w:sz="4" w:space="0" w:color="auto"/>
              <w:bottom w:val="single" w:sz="4" w:space="0" w:color="auto"/>
              <w:right w:val="single" w:sz="4" w:space="0" w:color="auto"/>
            </w:tcBorders>
            <w:vAlign w:val="bottom"/>
          </w:tcPr>
          <w:p w14:paraId="6F377DCF" w14:textId="0E3C9E22"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24,189</w:t>
            </w:r>
          </w:p>
        </w:tc>
        <w:tc>
          <w:tcPr>
            <w:tcW w:w="392" w:type="pct"/>
            <w:tcBorders>
              <w:top w:val="single" w:sz="4" w:space="0" w:color="auto"/>
              <w:left w:val="single" w:sz="4" w:space="0" w:color="auto"/>
              <w:bottom w:val="single" w:sz="4" w:space="0" w:color="auto"/>
              <w:right w:val="single" w:sz="4" w:space="0" w:color="auto"/>
            </w:tcBorders>
            <w:vAlign w:val="bottom"/>
          </w:tcPr>
          <w:p w14:paraId="3EE2633D" w14:textId="468B3D5E"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54.1</w:t>
            </w:r>
          </w:p>
        </w:tc>
        <w:tc>
          <w:tcPr>
            <w:tcW w:w="392" w:type="pct"/>
            <w:tcBorders>
              <w:top w:val="single" w:sz="4" w:space="0" w:color="auto"/>
              <w:left w:val="single" w:sz="4" w:space="0" w:color="auto"/>
              <w:bottom w:val="single" w:sz="4" w:space="0" w:color="auto"/>
              <w:right w:val="single" w:sz="4" w:space="0" w:color="auto"/>
            </w:tcBorders>
            <w:vAlign w:val="bottom"/>
          </w:tcPr>
          <w:p w14:paraId="0E05EA83" w14:textId="66BE0FC5"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20,515</w:t>
            </w:r>
          </w:p>
        </w:tc>
        <w:tc>
          <w:tcPr>
            <w:tcW w:w="395" w:type="pct"/>
            <w:tcBorders>
              <w:top w:val="single" w:sz="4" w:space="0" w:color="auto"/>
              <w:left w:val="single" w:sz="4" w:space="0" w:color="auto"/>
              <w:bottom w:val="single" w:sz="4" w:space="0" w:color="auto"/>
              <w:right w:val="single" w:sz="4" w:space="0" w:color="auto"/>
            </w:tcBorders>
            <w:vAlign w:val="bottom"/>
          </w:tcPr>
          <w:p w14:paraId="140264C8" w14:textId="246FE37E"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45.8</w:t>
            </w:r>
          </w:p>
        </w:tc>
        <w:tc>
          <w:tcPr>
            <w:tcW w:w="392" w:type="pct"/>
            <w:tcBorders>
              <w:top w:val="single" w:sz="4" w:space="0" w:color="auto"/>
              <w:left w:val="single" w:sz="4" w:space="0" w:color="auto"/>
              <w:bottom w:val="single" w:sz="4" w:space="0" w:color="auto"/>
              <w:right w:val="single" w:sz="4" w:space="0" w:color="auto"/>
            </w:tcBorders>
            <w:vAlign w:val="bottom"/>
          </w:tcPr>
          <w:p w14:paraId="3AE1012E" w14:textId="737713F7"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8,644</w:t>
            </w:r>
          </w:p>
        </w:tc>
        <w:tc>
          <w:tcPr>
            <w:tcW w:w="392" w:type="pct"/>
            <w:tcBorders>
              <w:top w:val="single" w:sz="4" w:space="0" w:color="auto"/>
              <w:left w:val="single" w:sz="4" w:space="0" w:color="auto"/>
              <w:bottom w:val="single" w:sz="4" w:space="0" w:color="auto"/>
              <w:right w:val="single" w:sz="4" w:space="0" w:color="auto"/>
            </w:tcBorders>
            <w:vAlign w:val="bottom"/>
          </w:tcPr>
          <w:p w14:paraId="64F72836" w14:textId="3A45D79A"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53.5</w:t>
            </w:r>
          </w:p>
        </w:tc>
        <w:tc>
          <w:tcPr>
            <w:tcW w:w="392" w:type="pct"/>
            <w:tcBorders>
              <w:top w:val="single" w:sz="4" w:space="0" w:color="auto"/>
              <w:left w:val="single" w:sz="4" w:space="0" w:color="auto"/>
              <w:bottom w:val="single" w:sz="4" w:space="0" w:color="auto"/>
              <w:right w:val="single" w:sz="4" w:space="0" w:color="auto"/>
            </w:tcBorders>
            <w:vAlign w:val="bottom"/>
          </w:tcPr>
          <w:p w14:paraId="78CE8C09" w14:textId="246D05F0"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7,486</w:t>
            </w:r>
          </w:p>
        </w:tc>
        <w:tc>
          <w:tcPr>
            <w:tcW w:w="386" w:type="pct"/>
            <w:tcBorders>
              <w:top w:val="single" w:sz="4" w:space="0" w:color="auto"/>
              <w:left w:val="single" w:sz="4" w:space="0" w:color="auto"/>
              <w:bottom w:val="single" w:sz="4" w:space="0" w:color="auto"/>
              <w:right w:val="single" w:sz="4" w:space="0" w:color="auto"/>
            </w:tcBorders>
            <w:vAlign w:val="bottom"/>
          </w:tcPr>
          <w:p w14:paraId="26DF2F1B" w14:textId="05899D9C" w:rsidR="00F20D1A" w:rsidRPr="00217865" w:rsidRDefault="00F20D1A" w:rsidP="00A43B35">
            <w:pPr>
              <w:pStyle w:val="Z"/>
              <w:spacing w:before="60" w:after="60"/>
              <w:jc w:val="center"/>
              <w:rPr>
                <w:b/>
                <w:bCs/>
                <w:color w:val="000000" w:themeColor="text1"/>
                <w:szCs w:val="18"/>
              </w:rPr>
            </w:pPr>
            <w:r w:rsidRPr="00217865">
              <w:rPr>
                <w:b/>
                <w:bCs/>
                <w:color w:val="000000" w:themeColor="text1"/>
                <w:szCs w:val="18"/>
              </w:rPr>
              <w:t>46.4</w:t>
            </w:r>
          </w:p>
        </w:tc>
      </w:tr>
    </w:tbl>
    <w:p w14:paraId="2EDE0CCB" w14:textId="77777777" w:rsidR="00821227" w:rsidRPr="00217865" w:rsidRDefault="00821227" w:rsidP="00821227">
      <w:pPr>
        <w:pStyle w:val="Body"/>
        <w:rPr>
          <w:rFonts w:cs="Arial"/>
          <w:color w:val="000000" w:themeColor="text1"/>
        </w:rPr>
      </w:pPr>
    </w:p>
    <w:p w14:paraId="480E3D18" w14:textId="76301D39" w:rsidR="005A5905" w:rsidRPr="00217865" w:rsidRDefault="005A5905" w:rsidP="00E13525">
      <w:pPr>
        <w:pStyle w:val="Appendix2"/>
        <w:ind w:left="1276" w:hanging="1276"/>
      </w:pPr>
      <w:bookmarkStart w:id="341" w:name="_Toc178599302"/>
      <w:r w:rsidRPr="00217865">
        <w:t>Precision of national estimates</w:t>
      </w:r>
      <w:bookmarkEnd w:id="321"/>
      <w:bookmarkEnd w:id="341"/>
    </w:p>
    <w:p w14:paraId="0178F20D" w14:textId="76B0119A" w:rsidR="00821227" w:rsidRPr="00217865" w:rsidRDefault="00821227" w:rsidP="00306192">
      <w:pPr>
        <w:pStyle w:val="Body"/>
        <w:rPr>
          <w:rFonts w:cs="Arial"/>
          <w:color w:val="000000" w:themeColor="text1"/>
        </w:rPr>
      </w:pPr>
      <w:bookmarkStart w:id="342" w:name="_Ref58490999"/>
      <w:r w:rsidRPr="00217865">
        <w:rPr>
          <w:rFonts w:cs="Arial"/>
          <w:color w:val="000000" w:themeColor="text1"/>
        </w:rPr>
        <w:t>As the 2023 SES data constituted a representative sample of the in-scope student population, it is reasonable to use statistical methods to analyse the achieved sample to make inferences about the population. To gauge the variability of the estimated results due to sampling variation,</w:t>
      </w:r>
      <w:r w:rsidR="001E2723" w:rsidRPr="00217865">
        <w:rPr>
          <w:rFonts w:cs="Arial"/>
          <w:b/>
          <w:color w:val="000000" w:themeColor="text1"/>
        </w:rPr>
        <w:t xml:space="preserve"> </w:t>
      </w:r>
      <w:r w:rsidRPr="001E2723">
        <w:rPr>
          <w:rFonts w:cs="Arial"/>
          <w:b/>
          <w:color w:val="000000" w:themeColor="text1"/>
        </w:rPr>
        <w:fldChar w:fldCharType="begin"/>
      </w:r>
      <w:r w:rsidRPr="001E2723">
        <w:rPr>
          <w:rFonts w:cs="Arial"/>
          <w:b/>
          <w:color w:val="000000" w:themeColor="text1"/>
        </w:rPr>
        <w:instrText xml:space="preserve"> REF _Ref66272737 \h  \* MERGEFORMAT </w:instrText>
      </w:r>
      <w:r w:rsidRPr="001E2723">
        <w:rPr>
          <w:rFonts w:cs="Arial"/>
          <w:b/>
          <w:color w:val="000000" w:themeColor="text1"/>
        </w:rPr>
      </w:r>
      <w:r w:rsidRPr="001E2723">
        <w:rPr>
          <w:rFonts w:cs="Arial"/>
          <w:b/>
          <w:color w:val="000000" w:themeColor="text1"/>
        </w:rPr>
        <w:fldChar w:fldCharType="separate"/>
      </w:r>
      <w:r w:rsidR="005D5678" w:rsidRPr="001E2723">
        <w:rPr>
          <w:b/>
          <w:color w:val="000000" w:themeColor="text1"/>
        </w:rPr>
        <w:t xml:space="preserve">Table </w:t>
      </w:r>
      <w:r w:rsidR="005D5678" w:rsidRPr="001E2723">
        <w:rPr>
          <w:b/>
          <w:noProof/>
          <w:color w:val="000000" w:themeColor="text1"/>
        </w:rPr>
        <w:t>20</w:t>
      </w:r>
      <w:r w:rsidRPr="001E2723">
        <w:rPr>
          <w:rFonts w:cs="Arial"/>
          <w:b/>
          <w:color w:val="000000" w:themeColor="text1"/>
        </w:rPr>
        <w:fldChar w:fldCharType="end"/>
      </w:r>
      <w:r w:rsidRPr="00217865">
        <w:rPr>
          <w:rFonts w:cs="Arial"/>
          <w:color w:val="000000" w:themeColor="text1"/>
        </w:rPr>
        <w:t xml:space="preserve"> and </w:t>
      </w:r>
      <w:r w:rsidR="00DD23BD" w:rsidRPr="001E2723">
        <w:rPr>
          <w:rFonts w:cs="Arial"/>
          <w:b/>
          <w:bCs/>
          <w:color w:val="000000" w:themeColor="text1"/>
        </w:rPr>
        <w:fldChar w:fldCharType="begin"/>
      </w:r>
      <w:r w:rsidR="00DD23BD" w:rsidRPr="001E2723">
        <w:rPr>
          <w:rFonts w:cs="Arial"/>
          <w:b/>
          <w:bCs/>
          <w:color w:val="000000" w:themeColor="text1"/>
        </w:rPr>
        <w:instrText xml:space="preserve"> REF _Ref66272742 \h </w:instrText>
      </w:r>
      <w:r w:rsidR="00A6216F" w:rsidRPr="001E2723">
        <w:rPr>
          <w:rFonts w:cs="Arial"/>
          <w:b/>
          <w:bCs/>
          <w:color w:val="000000" w:themeColor="text1"/>
        </w:rPr>
        <w:instrText xml:space="preserve"> \* MERGEFORMAT </w:instrText>
      </w:r>
      <w:r w:rsidR="00DD23BD" w:rsidRPr="001E2723">
        <w:rPr>
          <w:rFonts w:cs="Arial"/>
          <w:b/>
          <w:bCs/>
          <w:color w:val="000000" w:themeColor="text1"/>
        </w:rPr>
      </w:r>
      <w:r w:rsidR="00DD23BD"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21</w:t>
      </w:r>
      <w:r w:rsidR="00DD23BD" w:rsidRPr="001E2723">
        <w:rPr>
          <w:rFonts w:cs="Arial"/>
          <w:b/>
          <w:bCs/>
          <w:color w:val="000000" w:themeColor="text1"/>
        </w:rPr>
        <w:fldChar w:fldCharType="end"/>
      </w:r>
      <w:r w:rsidRPr="00217865">
        <w:rPr>
          <w:rFonts w:cs="Arial"/>
          <w:b/>
          <w:color w:val="000000" w:themeColor="text1"/>
        </w:rPr>
        <w:fldChar w:fldCharType="begin"/>
      </w:r>
      <w:r w:rsidRPr="00217865">
        <w:rPr>
          <w:rFonts w:cs="Arial"/>
          <w:b/>
          <w:color w:val="000000" w:themeColor="text1"/>
        </w:rPr>
        <w:instrText xml:space="preserve"> REF _Ref66272742 \h  \* MERGEFORMAT </w:instrText>
      </w:r>
      <w:r w:rsidRPr="00217865">
        <w:rPr>
          <w:rFonts w:cs="Arial"/>
          <w:b/>
          <w:color w:val="000000" w:themeColor="text1"/>
        </w:rPr>
      </w:r>
      <w:r w:rsidRPr="00217865">
        <w:rPr>
          <w:rFonts w:cs="Arial"/>
          <w:b/>
          <w:color w:val="000000" w:themeColor="text1"/>
        </w:rPr>
        <w:fldChar w:fldCharType="separate"/>
      </w:r>
      <w:r w:rsidRPr="00217865">
        <w:rPr>
          <w:rFonts w:cs="Arial"/>
          <w:b/>
          <w:color w:val="000000" w:themeColor="text1"/>
        </w:rPr>
        <w:fldChar w:fldCharType="end"/>
      </w:r>
      <w:r w:rsidRPr="00217865">
        <w:rPr>
          <w:rFonts w:cs="Arial"/>
          <w:color w:val="000000" w:themeColor="text1"/>
        </w:rPr>
        <w:t xml:space="preserve"> present student ratings of the Quality of entire educational experience and the Quality of teaching items by subgroup and study area, respectively, with 90 per cent confidence intervals around the point estimates. These confidence intervals have been calculated as 1.645 times the standard error. Given that the number of responses constitutes more than 10 per cent of the student population, standard errors have been adjusted by a finite population correction. This correction reduces the size of the confidence intervals surrounding the estimates. The calculation of these confidence intervals is detailed in Appendix 5.</w:t>
      </w:r>
    </w:p>
    <w:p w14:paraId="17EA9632" w14:textId="3F7B5338" w:rsidR="00821227" w:rsidRPr="00217865" w:rsidRDefault="00821227" w:rsidP="00306192">
      <w:pPr>
        <w:pStyle w:val="Body"/>
        <w:rPr>
          <w:rFonts w:cs="Arial"/>
          <w:color w:val="000000" w:themeColor="text1"/>
        </w:rPr>
      </w:pPr>
      <w:r w:rsidRPr="00217865">
        <w:rPr>
          <w:rFonts w:cs="Arial"/>
          <w:color w:val="000000" w:themeColor="text1"/>
        </w:rPr>
        <w:t>As expected in a large national sample, the confidence intervals are generally narrow. At a national level for international undergraduate students, for example, the 90 per cent confidence interval is around 0.7 percentage points for the Quality of entire educational experience and 0.</w:t>
      </w:r>
      <w:r w:rsidR="0058051B" w:rsidRPr="00217865">
        <w:rPr>
          <w:rFonts w:cs="Arial"/>
          <w:color w:val="000000" w:themeColor="text1"/>
        </w:rPr>
        <w:t>6</w:t>
      </w:r>
      <w:r w:rsidRPr="00217865">
        <w:rPr>
          <w:rFonts w:cs="Arial"/>
          <w:color w:val="000000" w:themeColor="text1"/>
        </w:rPr>
        <w:t xml:space="preserve"> percentage points for the Quality of teaching (see bottom row of </w:t>
      </w:r>
      <w:r w:rsidR="00D61B34" w:rsidRPr="001E2723">
        <w:rPr>
          <w:rFonts w:cs="Arial"/>
          <w:b/>
          <w:bCs/>
          <w:color w:val="000000" w:themeColor="text1"/>
        </w:rPr>
        <w:fldChar w:fldCharType="begin"/>
      </w:r>
      <w:r w:rsidR="00D61B34" w:rsidRPr="001E2723">
        <w:rPr>
          <w:rFonts w:cs="Arial"/>
          <w:b/>
          <w:bCs/>
          <w:color w:val="000000" w:themeColor="text1"/>
        </w:rPr>
        <w:instrText xml:space="preserve"> REF _Ref66272737 \h </w:instrText>
      </w:r>
      <w:r w:rsidR="00A6216F" w:rsidRPr="001E2723">
        <w:rPr>
          <w:rFonts w:cs="Arial"/>
          <w:b/>
          <w:bCs/>
          <w:color w:val="000000" w:themeColor="text1"/>
        </w:rPr>
        <w:instrText xml:space="preserve"> \* MERGEFORMAT </w:instrText>
      </w:r>
      <w:r w:rsidR="00D61B34" w:rsidRPr="001E2723">
        <w:rPr>
          <w:rFonts w:cs="Arial"/>
          <w:b/>
          <w:bCs/>
          <w:color w:val="000000" w:themeColor="text1"/>
        </w:rPr>
      </w:r>
      <w:r w:rsidR="00D61B34"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20</w:t>
      </w:r>
      <w:r w:rsidR="00D61B34" w:rsidRPr="001E2723">
        <w:rPr>
          <w:rFonts w:cs="Arial"/>
          <w:b/>
          <w:bCs/>
          <w:color w:val="000000" w:themeColor="text1"/>
        </w:rPr>
        <w:fldChar w:fldCharType="end"/>
      </w:r>
      <w:r w:rsidR="001E2723">
        <w:rPr>
          <w:rFonts w:cs="Arial"/>
          <w:color w:val="000000" w:themeColor="text1"/>
        </w:rPr>
        <w:t xml:space="preserve"> and </w:t>
      </w:r>
      <w:r w:rsidRPr="001E2723">
        <w:rPr>
          <w:rFonts w:cs="Arial"/>
          <w:b/>
          <w:color w:val="000000" w:themeColor="text1"/>
        </w:rPr>
        <w:fldChar w:fldCharType="begin"/>
      </w:r>
      <w:r w:rsidRPr="001E2723">
        <w:rPr>
          <w:rFonts w:cs="Arial"/>
          <w:b/>
          <w:color w:val="000000" w:themeColor="text1"/>
        </w:rPr>
        <w:instrText xml:space="preserve"> REF _Ref66272742 \h  \* MERGEFORMAT </w:instrText>
      </w:r>
      <w:r w:rsidRPr="001E2723">
        <w:rPr>
          <w:rFonts w:cs="Arial"/>
          <w:b/>
          <w:color w:val="000000" w:themeColor="text1"/>
        </w:rPr>
      </w:r>
      <w:r w:rsidRPr="001E2723">
        <w:rPr>
          <w:rFonts w:cs="Arial"/>
          <w:b/>
          <w:color w:val="000000" w:themeColor="text1"/>
        </w:rPr>
        <w:fldChar w:fldCharType="separate"/>
      </w:r>
      <w:r w:rsidR="005D5678" w:rsidRPr="001E2723">
        <w:rPr>
          <w:b/>
          <w:color w:val="000000" w:themeColor="text1"/>
        </w:rPr>
        <w:t xml:space="preserve">Table </w:t>
      </w:r>
      <w:r w:rsidR="005D5678" w:rsidRPr="001E2723">
        <w:rPr>
          <w:b/>
          <w:noProof/>
          <w:color w:val="000000" w:themeColor="text1"/>
        </w:rPr>
        <w:t>21</w:t>
      </w:r>
      <w:r w:rsidRPr="001E2723">
        <w:rPr>
          <w:rFonts w:cs="Arial"/>
          <w:b/>
          <w:color w:val="000000" w:themeColor="text1"/>
        </w:rPr>
        <w:fldChar w:fldCharType="end"/>
      </w:r>
      <w:r w:rsidRPr="00217865">
        <w:rPr>
          <w:rFonts w:cs="Arial"/>
          <w:color w:val="000000" w:themeColor="text1"/>
        </w:rPr>
        <w:t xml:space="preserve">). </w:t>
      </w:r>
    </w:p>
    <w:p w14:paraId="1D90BBDB" w14:textId="35FA9A9B" w:rsidR="00821227" w:rsidRPr="00217865" w:rsidRDefault="00821227" w:rsidP="00306192">
      <w:pPr>
        <w:pStyle w:val="Body"/>
        <w:rPr>
          <w:rFonts w:cs="Arial"/>
          <w:color w:val="000000" w:themeColor="text1"/>
        </w:rPr>
      </w:pPr>
      <w:r w:rsidRPr="00217865">
        <w:rPr>
          <w:rFonts w:cs="Arial"/>
          <w:color w:val="000000" w:themeColor="text1"/>
        </w:rPr>
        <w:t xml:space="preserve">Confidence intervals for international undergraduate estimates tend to be wider for cohorts with smaller populations, such as those aged 40 and over and those </w:t>
      </w:r>
      <w:r w:rsidR="00F14EC6" w:rsidRPr="00217865">
        <w:rPr>
          <w:rFonts w:cs="Arial"/>
          <w:color w:val="000000" w:themeColor="text1"/>
        </w:rPr>
        <w:t>studying externally</w:t>
      </w:r>
      <w:r w:rsidRPr="00217865">
        <w:rPr>
          <w:rFonts w:cs="Arial"/>
          <w:color w:val="000000" w:themeColor="text1"/>
        </w:rPr>
        <w:t>.</w:t>
      </w:r>
    </w:p>
    <w:p w14:paraId="54838EAC" w14:textId="21DAF37A" w:rsidR="00821227" w:rsidRPr="00217865" w:rsidRDefault="00821227" w:rsidP="00306192">
      <w:pPr>
        <w:pStyle w:val="Body"/>
        <w:rPr>
          <w:rFonts w:cs="Arial"/>
          <w:color w:val="000000" w:themeColor="text1"/>
        </w:rPr>
      </w:pPr>
      <w:r w:rsidRPr="00217865">
        <w:rPr>
          <w:rFonts w:cs="Arial"/>
          <w:color w:val="000000" w:themeColor="text1"/>
        </w:rPr>
        <w:lastRenderedPageBreak/>
        <w:t xml:space="preserve">Similarly, undergraduate confidence intervals tend to be wider when responses are broken down into the 21 study areas (see </w:t>
      </w:r>
      <w:r w:rsidR="00D61B34" w:rsidRPr="001E2723">
        <w:rPr>
          <w:rFonts w:cs="Arial"/>
          <w:b/>
          <w:bCs/>
          <w:color w:val="000000" w:themeColor="text1"/>
        </w:rPr>
        <w:fldChar w:fldCharType="begin"/>
      </w:r>
      <w:r w:rsidR="00D61B34" w:rsidRPr="001E2723">
        <w:rPr>
          <w:rFonts w:cs="Arial"/>
          <w:b/>
          <w:bCs/>
          <w:color w:val="000000" w:themeColor="text1"/>
        </w:rPr>
        <w:instrText xml:space="preserve"> REF _Ref66272742 \h </w:instrText>
      </w:r>
      <w:r w:rsidR="00A6216F" w:rsidRPr="001E2723">
        <w:rPr>
          <w:rFonts w:cs="Arial"/>
          <w:b/>
          <w:bCs/>
          <w:color w:val="000000" w:themeColor="text1"/>
        </w:rPr>
        <w:instrText xml:space="preserve"> \* MERGEFORMAT </w:instrText>
      </w:r>
      <w:r w:rsidR="00D61B34" w:rsidRPr="001E2723">
        <w:rPr>
          <w:rFonts w:cs="Arial"/>
          <w:b/>
          <w:bCs/>
          <w:color w:val="000000" w:themeColor="text1"/>
        </w:rPr>
      </w:r>
      <w:r w:rsidR="00D61B34" w:rsidRPr="001E2723">
        <w:rPr>
          <w:rFonts w:cs="Arial"/>
          <w:b/>
          <w:bCs/>
          <w:color w:val="000000" w:themeColor="text1"/>
        </w:rPr>
        <w:fldChar w:fldCharType="separate"/>
      </w:r>
      <w:r w:rsidR="00D61B34" w:rsidRPr="001E2723">
        <w:rPr>
          <w:rFonts w:cs="Arial"/>
          <w:b/>
          <w:bCs/>
          <w:color w:val="000000" w:themeColor="text1"/>
        </w:rPr>
        <w:fldChar w:fldCharType="end"/>
      </w:r>
      <w:r w:rsidRPr="001E2723">
        <w:rPr>
          <w:rFonts w:cs="Arial"/>
          <w:b/>
          <w:bCs/>
          <w:color w:val="000000" w:themeColor="text1"/>
        </w:rPr>
        <w:fldChar w:fldCharType="begin"/>
      </w:r>
      <w:r w:rsidRPr="001E2723">
        <w:rPr>
          <w:rFonts w:cs="Arial"/>
          <w:b/>
          <w:bCs/>
          <w:color w:val="000000" w:themeColor="text1"/>
        </w:rPr>
        <w:instrText xml:space="preserve"> REF _Ref66272742 \h  \* MERGEFORMAT </w:instrText>
      </w:r>
      <w:r w:rsidRPr="001E2723">
        <w:rPr>
          <w:rFonts w:cs="Arial"/>
          <w:b/>
          <w:bCs/>
          <w:color w:val="000000" w:themeColor="text1"/>
        </w:rPr>
      </w:r>
      <w:r w:rsidRPr="001E2723">
        <w:rPr>
          <w:rFonts w:cs="Arial"/>
          <w:b/>
          <w:bCs/>
          <w:color w:val="000000" w:themeColor="text1"/>
        </w:rPr>
        <w:fldChar w:fldCharType="separate"/>
      </w:r>
      <w:r w:rsidR="005D5678" w:rsidRPr="001E2723">
        <w:rPr>
          <w:b/>
          <w:bCs/>
          <w:color w:val="000000" w:themeColor="text1"/>
        </w:rPr>
        <w:t xml:space="preserve">Table </w:t>
      </w:r>
      <w:r w:rsidR="005D5678" w:rsidRPr="001E2723">
        <w:rPr>
          <w:b/>
          <w:bCs/>
          <w:noProof/>
          <w:color w:val="000000" w:themeColor="text1"/>
        </w:rPr>
        <w:t>21</w:t>
      </w:r>
      <w:r w:rsidRPr="001E2723">
        <w:rPr>
          <w:rFonts w:cs="Arial"/>
          <w:b/>
          <w:bCs/>
          <w:color w:val="000000" w:themeColor="text1"/>
        </w:rPr>
        <w:fldChar w:fldCharType="end"/>
      </w:r>
      <w:r w:rsidRPr="00217865">
        <w:rPr>
          <w:rFonts w:cs="Arial"/>
          <w:color w:val="000000" w:themeColor="text1"/>
        </w:rPr>
        <w:t xml:space="preserve">). The study areas with the smallest populations and widest confidence intervals were </w:t>
      </w:r>
      <w:r w:rsidR="00131425" w:rsidRPr="00217865">
        <w:rPr>
          <w:rFonts w:cs="Arial"/>
          <w:color w:val="000000" w:themeColor="text1"/>
        </w:rPr>
        <w:t xml:space="preserve">Dentistry, </w:t>
      </w:r>
      <w:r w:rsidRPr="00217865">
        <w:rPr>
          <w:rFonts w:cs="Arial"/>
          <w:color w:val="000000" w:themeColor="text1"/>
        </w:rPr>
        <w:t xml:space="preserve">Tourism, hospitality, personal services, sport and recreation, </w:t>
      </w:r>
      <w:r w:rsidR="007205D8" w:rsidRPr="00217865">
        <w:rPr>
          <w:rFonts w:cs="Arial"/>
          <w:color w:val="000000" w:themeColor="text1"/>
        </w:rPr>
        <w:t>Law and paralegal studies</w:t>
      </w:r>
      <w:r w:rsidRPr="00217865">
        <w:rPr>
          <w:rFonts w:cs="Arial"/>
          <w:color w:val="000000" w:themeColor="text1"/>
        </w:rPr>
        <w:t>, Veterinary Science and Agriculture and environmental studies, with widths ranging from 1</w:t>
      </w:r>
      <w:r w:rsidR="00581E7C" w:rsidRPr="00217865">
        <w:rPr>
          <w:rFonts w:cs="Arial"/>
          <w:color w:val="000000" w:themeColor="text1"/>
        </w:rPr>
        <w:t>1.5</w:t>
      </w:r>
      <w:r w:rsidRPr="00217865">
        <w:rPr>
          <w:rFonts w:cs="Arial"/>
          <w:color w:val="000000" w:themeColor="text1"/>
        </w:rPr>
        <w:t xml:space="preserve"> to </w:t>
      </w:r>
      <w:r w:rsidR="003A3CA7" w:rsidRPr="00217865">
        <w:rPr>
          <w:rFonts w:cs="Arial"/>
          <w:color w:val="000000" w:themeColor="text1"/>
        </w:rPr>
        <w:t>7</w:t>
      </w:r>
      <w:r w:rsidRPr="00217865">
        <w:rPr>
          <w:rFonts w:cs="Arial"/>
          <w:color w:val="000000" w:themeColor="text1"/>
        </w:rPr>
        <w:t xml:space="preserve">.9 percentage points observed in relation to the Quality of entire educational experience. </w:t>
      </w:r>
    </w:p>
    <w:p w14:paraId="560530F7" w14:textId="755E6B42" w:rsidR="00821227" w:rsidRPr="00217865" w:rsidRDefault="00821227" w:rsidP="00306192">
      <w:pPr>
        <w:pStyle w:val="Body"/>
        <w:rPr>
          <w:rFonts w:cs="Arial"/>
          <w:color w:val="000000" w:themeColor="text1"/>
          <w:lang w:val="en-US"/>
        </w:rPr>
      </w:pPr>
      <w:r w:rsidRPr="00217865">
        <w:rPr>
          <w:rFonts w:cs="Arial"/>
          <w:color w:val="000000" w:themeColor="text1"/>
        </w:rPr>
        <w:t>It is important to note that greater variability would likely be observed if this same exercise was performed on the data of a single institution. Notwithstanding this point, the analysis presented in</w:t>
      </w:r>
      <w:r w:rsidR="001E2723">
        <w:rPr>
          <w:rFonts w:cs="Arial"/>
          <w:color w:val="000000" w:themeColor="text1"/>
        </w:rPr>
        <w:t xml:space="preserve"> </w:t>
      </w:r>
      <w:r w:rsidRPr="001E2723">
        <w:rPr>
          <w:rFonts w:cs="Arial"/>
          <w:b/>
          <w:color w:val="000000" w:themeColor="text1"/>
        </w:rPr>
        <w:fldChar w:fldCharType="begin"/>
      </w:r>
      <w:r w:rsidRPr="001E2723">
        <w:rPr>
          <w:rFonts w:cs="Arial"/>
          <w:b/>
          <w:color w:val="000000" w:themeColor="text1"/>
        </w:rPr>
        <w:instrText xml:space="preserve"> REF _Ref66272737 \h  \* MERGEFORMAT </w:instrText>
      </w:r>
      <w:r w:rsidRPr="001E2723">
        <w:rPr>
          <w:rFonts w:cs="Arial"/>
          <w:b/>
          <w:color w:val="000000" w:themeColor="text1"/>
        </w:rPr>
      </w:r>
      <w:r w:rsidRPr="001E2723">
        <w:rPr>
          <w:rFonts w:cs="Arial"/>
          <w:b/>
          <w:color w:val="000000" w:themeColor="text1"/>
        </w:rPr>
        <w:fldChar w:fldCharType="separate"/>
      </w:r>
      <w:r w:rsidR="005D5678" w:rsidRPr="001E2723">
        <w:rPr>
          <w:b/>
          <w:color w:val="000000" w:themeColor="text1"/>
        </w:rPr>
        <w:t xml:space="preserve">Table </w:t>
      </w:r>
      <w:r w:rsidR="005D5678" w:rsidRPr="001E2723">
        <w:rPr>
          <w:b/>
          <w:noProof/>
          <w:color w:val="000000" w:themeColor="text1"/>
        </w:rPr>
        <w:t>20</w:t>
      </w:r>
      <w:r w:rsidRPr="001E2723">
        <w:rPr>
          <w:rFonts w:cs="Arial"/>
          <w:b/>
          <w:color w:val="000000" w:themeColor="text1"/>
        </w:rPr>
        <w:fldChar w:fldCharType="end"/>
      </w:r>
      <w:r w:rsidRPr="00217865">
        <w:rPr>
          <w:rFonts w:cs="Arial"/>
          <w:color w:val="000000" w:themeColor="text1"/>
        </w:rPr>
        <w:t xml:space="preserve"> and </w:t>
      </w:r>
      <w:r w:rsidRPr="001E2723">
        <w:rPr>
          <w:rFonts w:cs="Arial"/>
          <w:b/>
          <w:color w:val="000000" w:themeColor="text1"/>
        </w:rPr>
        <w:fldChar w:fldCharType="begin"/>
      </w:r>
      <w:r w:rsidRPr="001E2723">
        <w:rPr>
          <w:rFonts w:cs="Arial"/>
          <w:b/>
          <w:color w:val="000000" w:themeColor="text1"/>
        </w:rPr>
        <w:instrText xml:space="preserve"> REF _Ref66272742 \h  \* MERGEFORMAT </w:instrText>
      </w:r>
      <w:r w:rsidRPr="001E2723">
        <w:rPr>
          <w:rFonts w:cs="Arial"/>
          <w:b/>
          <w:color w:val="000000" w:themeColor="text1"/>
        </w:rPr>
      </w:r>
      <w:r w:rsidRPr="001E2723">
        <w:rPr>
          <w:rFonts w:cs="Arial"/>
          <w:b/>
          <w:color w:val="000000" w:themeColor="text1"/>
        </w:rPr>
        <w:fldChar w:fldCharType="separate"/>
      </w:r>
      <w:r w:rsidR="005D5678" w:rsidRPr="001E2723">
        <w:rPr>
          <w:b/>
          <w:color w:val="000000" w:themeColor="text1"/>
        </w:rPr>
        <w:t xml:space="preserve">Table </w:t>
      </w:r>
      <w:r w:rsidR="005D5678" w:rsidRPr="001E2723">
        <w:rPr>
          <w:b/>
          <w:noProof/>
          <w:color w:val="000000" w:themeColor="text1"/>
        </w:rPr>
        <w:t>21</w:t>
      </w:r>
      <w:r w:rsidRPr="001E2723">
        <w:rPr>
          <w:rFonts w:cs="Arial"/>
          <w:b/>
          <w:color w:val="000000" w:themeColor="text1"/>
        </w:rPr>
        <w:fldChar w:fldCharType="end"/>
      </w:r>
      <w:r w:rsidRPr="00217865">
        <w:rPr>
          <w:rFonts w:cs="Arial"/>
          <w:color w:val="000000" w:themeColor="text1"/>
        </w:rPr>
        <w:t xml:space="preserve"> suggests that at sector wide level, </w:t>
      </w:r>
      <w:bookmarkStart w:id="343" w:name="_Hlk109142254"/>
      <w:r w:rsidRPr="00217865">
        <w:rPr>
          <w:rFonts w:cs="Arial"/>
          <w:color w:val="000000" w:themeColor="text1"/>
        </w:rPr>
        <w:t>the estimates presented in this report are likely to be close to the true values.</w:t>
      </w:r>
      <w:bookmarkEnd w:id="343"/>
    </w:p>
    <w:p w14:paraId="20345909" w14:textId="77777777" w:rsidR="00821227" w:rsidRPr="00217865" w:rsidRDefault="00821227" w:rsidP="00306192">
      <w:pPr>
        <w:pStyle w:val="Body"/>
        <w:rPr>
          <w:rFonts w:cs="Arial"/>
          <w:color w:val="000000" w:themeColor="text1"/>
        </w:rPr>
      </w:pPr>
      <w:r w:rsidRPr="00217865">
        <w:rPr>
          <w:rFonts w:cs="Arial"/>
          <w:color w:val="000000" w:themeColor="text1"/>
        </w:rPr>
        <w:t xml:space="preserve">Confidence intervals for international postgraduate coursework student estimates were broadly </w:t>
      </w:r>
      <w:proofErr w:type="gramStart"/>
      <w:r w:rsidRPr="00217865">
        <w:rPr>
          <w:rFonts w:cs="Arial"/>
          <w:color w:val="000000" w:themeColor="text1"/>
        </w:rPr>
        <w:t>similar to</w:t>
      </w:r>
      <w:proofErr w:type="gramEnd"/>
      <w:r w:rsidRPr="00217865">
        <w:rPr>
          <w:rFonts w:cs="Arial"/>
          <w:color w:val="000000" w:themeColor="text1"/>
        </w:rPr>
        <w:t xml:space="preserve"> undergraduate student estimates and are presented in the additional tables associated with this report available from the QILT website as listed in Appendix 7. </w:t>
      </w:r>
    </w:p>
    <w:p w14:paraId="134877ED" w14:textId="1CBA6606" w:rsidR="00821227" w:rsidRPr="00217865" w:rsidRDefault="00821227" w:rsidP="00306192">
      <w:pPr>
        <w:pStyle w:val="Caption"/>
        <w:rPr>
          <w:i/>
          <w:iCs/>
          <w:color w:val="000000" w:themeColor="text1"/>
        </w:rPr>
      </w:pPr>
      <w:bookmarkStart w:id="344" w:name="_Ref66272737"/>
      <w:bookmarkStart w:id="345" w:name="_Toc178599385"/>
      <w:r w:rsidRPr="00217865">
        <w:rPr>
          <w:color w:val="000000" w:themeColor="text1"/>
        </w:rPr>
        <w:t xml:space="preserve">Table </w:t>
      </w:r>
      <w:r w:rsidR="001706E8" w:rsidRPr="00217865">
        <w:rPr>
          <w:color w:val="000000" w:themeColor="text1"/>
        </w:rPr>
        <w:fldChar w:fldCharType="begin"/>
      </w:r>
      <w:r w:rsidR="001706E8" w:rsidRPr="00217865">
        <w:rPr>
          <w:color w:val="000000" w:themeColor="text1"/>
        </w:rPr>
        <w:instrText xml:space="preserve"> SEQ Table \* ARABIC </w:instrText>
      </w:r>
      <w:r w:rsidR="001706E8" w:rsidRPr="00217865">
        <w:rPr>
          <w:color w:val="000000" w:themeColor="text1"/>
        </w:rPr>
        <w:fldChar w:fldCharType="separate"/>
      </w:r>
      <w:r w:rsidR="005D5678">
        <w:rPr>
          <w:noProof/>
          <w:color w:val="000000" w:themeColor="text1"/>
        </w:rPr>
        <w:t>20</w:t>
      </w:r>
      <w:r w:rsidR="001706E8" w:rsidRPr="00217865">
        <w:rPr>
          <w:noProof/>
          <w:color w:val="000000" w:themeColor="text1"/>
        </w:rPr>
        <w:fldChar w:fldCharType="end"/>
      </w:r>
      <w:bookmarkEnd w:id="344"/>
      <w:r w:rsidR="00CF00B5">
        <w:rPr>
          <w:color w:val="000000" w:themeColor="text1"/>
        </w:rPr>
        <w:tab/>
      </w:r>
      <w:r w:rsidRPr="00217865">
        <w:rPr>
          <w:color w:val="000000" w:themeColor="text1"/>
        </w:rPr>
        <w:t>Percentage positive ratings, international undergraduates by student sub-group, 2023 (with 90% confidence intervals)</w:t>
      </w:r>
      <w:bookmarkEnd w:id="345"/>
    </w:p>
    <w:tbl>
      <w:tblPr>
        <w:tblW w:w="4652" w:type="pct"/>
        <w:tblCellMar>
          <w:top w:w="57" w:type="dxa"/>
          <w:left w:w="57" w:type="dxa"/>
          <w:bottom w:w="57" w:type="dxa"/>
          <w:right w:w="57" w:type="dxa"/>
        </w:tblCellMar>
        <w:tblLook w:val="0000" w:firstRow="0" w:lastRow="0" w:firstColumn="0" w:lastColumn="0" w:noHBand="0" w:noVBand="0"/>
      </w:tblPr>
      <w:tblGrid>
        <w:gridCol w:w="1695"/>
        <w:gridCol w:w="3559"/>
        <w:gridCol w:w="2256"/>
        <w:gridCol w:w="2213"/>
      </w:tblGrid>
      <w:tr w:rsidR="00217865" w:rsidRPr="00217865" w14:paraId="04361324" w14:textId="77777777" w:rsidTr="00CF00B5">
        <w:trPr>
          <w:trHeight w:val="60"/>
          <w:tblHeader/>
        </w:trPr>
        <w:tc>
          <w:tcPr>
            <w:tcW w:w="872" w:type="pct"/>
            <w:tcBorders>
              <w:top w:val="single" w:sz="4" w:space="0" w:color="000000"/>
              <w:left w:val="single" w:sz="4" w:space="0" w:color="000000"/>
              <w:bottom w:val="single" w:sz="4" w:space="0" w:color="000000"/>
              <w:right w:val="single" w:sz="4" w:space="0" w:color="000000"/>
            </w:tcBorders>
            <w:vAlign w:val="center"/>
          </w:tcPr>
          <w:p w14:paraId="5E2D87C7" w14:textId="47BD55AF" w:rsidR="00821227" w:rsidRPr="00217865" w:rsidRDefault="007B7CAD" w:rsidP="007B7CAD">
            <w:pPr>
              <w:pStyle w:val="zz"/>
              <w:framePr w:wrap="auto"/>
              <w:spacing w:before="60" w:after="60"/>
              <w:jc w:val="left"/>
              <w:rPr>
                <w:rFonts w:ascii="Arial" w:hAnsi="Arial" w:cs="Arial"/>
                <w:color w:val="000000" w:themeColor="text1"/>
              </w:rPr>
            </w:pPr>
            <w:r w:rsidRPr="00217865">
              <w:rPr>
                <w:rFonts w:ascii="Arial" w:hAnsi="Arial" w:cs="Arial"/>
                <w:color w:val="000000" w:themeColor="text1"/>
              </w:rPr>
              <w:t>-</w:t>
            </w:r>
            <w:bookmarkStart w:id="346" w:name="Title_20"/>
            <w:bookmarkEnd w:id="346"/>
          </w:p>
        </w:tc>
        <w:tc>
          <w:tcPr>
            <w:tcW w:w="1830" w:type="pct"/>
            <w:tcBorders>
              <w:top w:val="single" w:sz="4" w:space="0" w:color="000000"/>
              <w:left w:val="single" w:sz="4" w:space="0" w:color="000000"/>
              <w:bottom w:val="single" w:sz="4" w:space="0" w:color="000000"/>
              <w:right w:val="single" w:sz="4" w:space="0" w:color="000000"/>
            </w:tcBorders>
            <w:vAlign w:val="bottom"/>
          </w:tcPr>
          <w:p w14:paraId="13BEBE7A" w14:textId="77777777" w:rsidR="00821227" w:rsidRPr="00217865" w:rsidRDefault="00821227" w:rsidP="007B7CAD">
            <w:pPr>
              <w:pStyle w:val="zz"/>
              <w:framePr w:wrap="auto"/>
              <w:spacing w:before="60" w:after="60"/>
              <w:jc w:val="left"/>
              <w:rPr>
                <w:rFonts w:ascii="Arial" w:hAnsi="Arial" w:cs="Arial"/>
                <w:color w:val="000000" w:themeColor="text1"/>
              </w:rPr>
            </w:pPr>
            <w:r w:rsidRPr="00217865">
              <w:rPr>
                <w:rFonts w:ascii="Arial" w:hAnsi="Arial" w:cs="Arial"/>
                <w:color w:val="000000" w:themeColor="text1"/>
              </w:rPr>
              <w:t>Group/subgroup</w:t>
            </w:r>
          </w:p>
        </w:tc>
        <w:tc>
          <w:tcPr>
            <w:tcW w:w="1160" w:type="pct"/>
            <w:tcBorders>
              <w:top w:val="single" w:sz="4" w:space="0" w:color="000000"/>
              <w:left w:val="single" w:sz="4" w:space="0" w:color="000000"/>
              <w:bottom w:val="single" w:sz="4" w:space="0" w:color="auto"/>
              <w:right w:val="single" w:sz="4" w:space="0" w:color="000000"/>
            </w:tcBorders>
            <w:tcMar>
              <w:top w:w="113" w:type="dxa"/>
              <w:left w:w="80" w:type="dxa"/>
              <w:bottom w:w="113" w:type="dxa"/>
              <w:right w:w="57" w:type="dxa"/>
            </w:tcMar>
            <w:vAlign w:val="bottom"/>
          </w:tcPr>
          <w:p w14:paraId="179E185A" w14:textId="77777777" w:rsidR="00821227" w:rsidRPr="00217865" w:rsidRDefault="00821227" w:rsidP="007B7CAD">
            <w:pPr>
              <w:pStyle w:val="zz"/>
              <w:framePr w:wrap="auto"/>
              <w:spacing w:before="60" w:after="60"/>
              <w:rPr>
                <w:rFonts w:ascii="Arial" w:hAnsi="Arial" w:cs="Arial"/>
                <w:color w:val="000000" w:themeColor="text1"/>
              </w:rPr>
            </w:pPr>
            <w:r w:rsidRPr="00217865">
              <w:rPr>
                <w:rFonts w:ascii="Arial" w:hAnsi="Arial" w:cs="Arial"/>
                <w:color w:val="000000" w:themeColor="text1"/>
              </w:rPr>
              <w:t>Quality of entire educational experience</w:t>
            </w:r>
          </w:p>
        </w:tc>
        <w:tc>
          <w:tcPr>
            <w:tcW w:w="1138" w:type="pct"/>
            <w:tcBorders>
              <w:top w:val="single" w:sz="4" w:space="0" w:color="000000"/>
              <w:left w:val="single" w:sz="4" w:space="0" w:color="000000"/>
              <w:bottom w:val="single" w:sz="4" w:space="0" w:color="auto"/>
              <w:right w:val="single" w:sz="4" w:space="0" w:color="000000"/>
            </w:tcBorders>
            <w:tcMar>
              <w:top w:w="113" w:type="dxa"/>
              <w:left w:w="80" w:type="dxa"/>
              <w:bottom w:w="113" w:type="dxa"/>
              <w:right w:w="57" w:type="dxa"/>
            </w:tcMar>
            <w:vAlign w:val="bottom"/>
          </w:tcPr>
          <w:p w14:paraId="2718F9DB" w14:textId="77777777" w:rsidR="00821227" w:rsidRPr="00217865" w:rsidRDefault="00821227" w:rsidP="007B7CAD">
            <w:pPr>
              <w:pStyle w:val="zz"/>
              <w:framePr w:wrap="auto"/>
              <w:spacing w:before="60" w:after="60"/>
              <w:rPr>
                <w:rFonts w:ascii="Arial" w:hAnsi="Arial" w:cs="Arial"/>
                <w:color w:val="000000" w:themeColor="text1"/>
              </w:rPr>
            </w:pPr>
            <w:r w:rsidRPr="00217865">
              <w:rPr>
                <w:rFonts w:ascii="Arial" w:hAnsi="Arial" w:cs="Arial"/>
                <w:color w:val="000000" w:themeColor="text1"/>
              </w:rPr>
              <w:t>Quality of teaching</w:t>
            </w:r>
          </w:p>
        </w:tc>
      </w:tr>
      <w:tr w:rsidR="00217865" w:rsidRPr="00217865" w14:paraId="5FE298FE" w14:textId="77777777" w:rsidTr="00CF00B5">
        <w:trPr>
          <w:trHeight w:val="60"/>
        </w:trPr>
        <w:tc>
          <w:tcPr>
            <w:tcW w:w="872" w:type="pct"/>
            <w:tcBorders>
              <w:top w:val="single" w:sz="4" w:space="0" w:color="000000"/>
              <w:left w:val="single" w:sz="4" w:space="0" w:color="000000"/>
              <w:right w:val="single" w:sz="4" w:space="0" w:color="000000"/>
            </w:tcBorders>
            <w:vAlign w:val="center"/>
          </w:tcPr>
          <w:p w14:paraId="2988F19E"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Stage of studies</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05AA1451"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Commencing</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8DA19B3"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78.6 (78.1, 79.0)</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218E3AA"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80.4 (80.0, 80.8)</w:t>
            </w:r>
          </w:p>
        </w:tc>
      </w:tr>
      <w:tr w:rsidR="00217865" w:rsidRPr="00217865" w14:paraId="03A6DC97"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131436DF" w14:textId="5B0E8EB1"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0989C063"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Later year*</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4A6525C"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73.0 (72.5, 73.5)</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BB25654"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75.0 (74.5, 75.5)</w:t>
            </w:r>
          </w:p>
        </w:tc>
      </w:tr>
      <w:tr w:rsidR="00217865" w:rsidRPr="00217865" w14:paraId="42077486" w14:textId="77777777" w:rsidTr="00CF00B5">
        <w:trPr>
          <w:trHeight w:val="60"/>
        </w:trPr>
        <w:tc>
          <w:tcPr>
            <w:tcW w:w="872" w:type="pct"/>
            <w:tcBorders>
              <w:top w:val="single" w:sz="4" w:space="0" w:color="000000"/>
              <w:left w:val="single" w:sz="4" w:space="0" w:color="000000"/>
              <w:right w:val="single" w:sz="4" w:space="0" w:color="000000"/>
            </w:tcBorders>
            <w:vAlign w:val="center"/>
          </w:tcPr>
          <w:p w14:paraId="33693AF0"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Gender</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6706D7DC"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Male</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94087D"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73.7 (73.2, 74.3)</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61656AA"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75.6 (75.1, 76.2)</w:t>
            </w:r>
          </w:p>
        </w:tc>
      </w:tr>
      <w:tr w:rsidR="00217865" w:rsidRPr="00217865" w14:paraId="214AB3F4"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330E1E6F" w14:textId="5884F29E"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3FB2556D"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Female</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7840CEA"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77.3 (76.9, 77.7)</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FF05070"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79.2 (78.8, 79.7)</w:t>
            </w:r>
          </w:p>
        </w:tc>
      </w:tr>
      <w:tr w:rsidR="00217865" w:rsidRPr="00217865" w14:paraId="08F75736" w14:textId="77777777" w:rsidTr="00CF00B5">
        <w:trPr>
          <w:trHeight w:val="60"/>
        </w:trPr>
        <w:tc>
          <w:tcPr>
            <w:tcW w:w="872" w:type="pct"/>
            <w:tcBorders>
              <w:left w:val="single" w:sz="4" w:space="0" w:color="000000"/>
              <w:right w:val="single" w:sz="4" w:space="0" w:color="000000"/>
            </w:tcBorders>
            <w:vAlign w:val="center"/>
          </w:tcPr>
          <w:p w14:paraId="49E65442"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Age group</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243B3FCB"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Under 25</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00B2418"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75.4 (75.0, 75.7)</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6745BED"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77.5 (77.1, 77.8)</w:t>
            </w:r>
          </w:p>
        </w:tc>
      </w:tr>
      <w:tr w:rsidR="00217865" w:rsidRPr="00217865" w14:paraId="55B44453" w14:textId="77777777" w:rsidTr="00CF00B5">
        <w:trPr>
          <w:trHeight w:val="60"/>
        </w:trPr>
        <w:tc>
          <w:tcPr>
            <w:tcW w:w="872" w:type="pct"/>
            <w:tcBorders>
              <w:left w:val="single" w:sz="4" w:space="0" w:color="000000"/>
              <w:right w:val="single" w:sz="4" w:space="0" w:color="000000"/>
            </w:tcBorders>
            <w:vAlign w:val="center"/>
          </w:tcPr>
          <w:p w14:paraId="13D96A5E" w14:textId="7F5C7AD3"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16D25106"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25-29</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D7B017D"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76.4 (75.3, 77.5)</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2F4D5A1"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77.2 (76.1, 78.3)</w:t>
            </w:r>
          </w:p>
        </w:tc>
      </w:tr>
      <w:tr w:rsidR="00217865" w:rsidRPr="00217865" w14:paraId="1968C947" w14:textId="77777777" w:rsidTr="00CF00B5">
        <w:trPr>
          <w:trHeight w:val="60"/>
        </w:trPr>
        <w:tc>
          <w:tcPr>
            <w:tcW w:w="872" w:type="pct"/>
            <w:tcBorders>
              <w:left w:val="single" w:sz="4" w:space="0" w:color="000000"/>
              <w:right w:val="single" w:sz="4" w:space="0" w:color="000000"/>
            </w:tcBorders>
            <w:vAlign w:val="center"/>
          </w:tcPr>
          <w:p w14:paraId="7FADFEE3" w14:textId="19E0F248"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51184965"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30-39</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BC47625"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80.7 (79.4, 81.8)</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AF523BD"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81.4 (80.2, 82.5)</w:t>
            </w:r>
          </w:p>
        </w:tc>
      </w:tr>
      <w:tr w:rsidR="00217865" w:rsidRPr="00217865" w14:paraId="0FB91941"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63FE646F" w14:textId="65BB70EC"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315FE6A5"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40 and over</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7200622"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80.7 (77.1, 83.5)</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298170D"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81.5 (77.8, 84.3)</w:t>
            </w:r>
          </w:p>
        </w:tc>
      </w:tr>
      <w:tr w:rsidR="00217865" w:rsidRPr="00217865" w14:paraId="546A4A0F" w14:textId="77777777" w:rsidTr="00CF00B5">
        <w:trPr>
          <w:trHeight w:val="60"/>
        </w:trPr>
        <w:tc>
          <w:tcPr>
            <w:tcW w:w="872" w:type="pct"/>
            <w:tcBorders>
              <w:top w:val="single" w:sz="4" w:space="0" w:color="000000"/>
              <w:left w:val="single" w:sz="4" w:space="0" w:color="000000"/>
              <w:right w:val="single" w:sz="4" w:space="0" w:color="000000"/>
            </w:tcBorders>
            <w:vAlign w:val="center"/>
          </w:tcPr>
          <w:p w14:paraId="4B0A89AF"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Home language</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6E50EBD1"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English</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173AAAF"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72.9 (72.0, 73.8)</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67DBDC"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76.9 (76.1, 77.8)</w:t>
            </w:r>
          </w:p>
        </w:tc>
      </w:tr>
      <w:tr w:rsidR="00217865" w:rsidRPr="00217865" w14:paraId="39678CE2"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0CA7F1B3" w14:textId="62E7F37C"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21F0281C"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Other</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53F89F9"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80.5 (79.6, 81.4)</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19CDA17"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81.6 (80.7, 82.5)</w:t>
            </w:r>
          </w:p>
        </w:tc>
      </w:tr>
      <w:tr w:rsidR="00217865" w:rsidRPr="00217865" w14:paraId="691FBAF4" w14:textId="77777777" w:rsidTr="00CF00B5">
        <w:trPr>
          <w:trHeight w:val="60"/>
        </w:trPr>
        <w:tc>
          <w:tcPr>
            <w:tcW w:w="872" w:type="pct"/>
            <w:tcBorders>
              <w:left w:val="single" w:sz="4" w:space="0" w:color="000000"/>
              <w:right w:val="single" w:sz="4" w:space="0" w:color="000000"/>
            </w:tcBorders>
            <w:vAlign w:val="center"/>
          </w:tcPr>
          <w:p w14:paraId="54947C7D"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Country of birth</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5F789EB3" w14:textId="513EB304" w:rsidR="00821227" w:rsidRPr="00217865" w:rsidRDefault="003A0943" w:rsidP="007B7CAD">
            <w:pPr>
              <w:pStyle w:val="Tabletext"/>
              <w:spacing w:before="60" w:after="60"/>
              <w:rPr>
                <w:rFonts w:cs="Arial"/>
                <w:color w:val="000000" w:themeColor="text1"/>
              </w:rPr>
            </w:pPr>
            <w:r>
              <w:rPr>
                <w:rFonts w:cs="Arial"/>
                <w:color w:val="000000" w:themeColor="text1"/>
              </w:rPr>
              <w:t>China (excludes SARs and Taiwan)</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16D2A52"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78.1 (77.3, 78.8)</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3FD57D7"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78.8 (78.0, 79.6)</w:t>
            </w:r>
          </w:p>
        </w:tc>
      </w:tr>
      <w:tr w:rsidR="00217865" w:rsidRPr="00217865" w14:paraId="5598E4BC" w14:textId="77777777" w:rsidTr="00CF00B5">
        <w:trPr>
          <w:trHeight w:val="60"/>
        </w:trPr>
        <w:tc>
          <w:tcPr>
            <w:tcW w:w="872" w:type="pct"/>
            <w:tcBorders>
              <w:left w:val="single" w:sz="4" w:space="0" w:color="000000"/>
              <w:right w:val="single" w:sz="4" w:space="0" w:color="000000"/>
            </w:tcBorders>
            <w:vAlign w:val="center"/>
          </w:tcPr>
          <w:p w14:paraId="01541968" w14:textId="7774CF82"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125F5A70"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India</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1D423E"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72.1 (70.7, 73.4)</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0833BC5"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75.8 (74.4, 77.0)</w:t>
            </w:r>
          </w:p>
        </w:tc>
      </w:tr>
      <w:tr w:rsidR="00217865" w:rsidRPr="00217865" w14:paraId="4D214D68" w14:textId="77777777" w:rsidTr="00CF00B5">
        <w:trPr>
          <w:trHeight w:val="60"/>
        </w:trPr>
        <w:tc>
          <w:tcPr>
            <w:tcW w:w="872" w:type="pct"/>
            <w:tcBorders>
              <w:left w:val="single" w:sz="4" w:space="0" w:color="000000"/>
              <w:right w:val="single" w:sz="4" w:space="0" w:color="000000"/>
            </w:tcBorders>
            <w:vAlign w:val="center"/>
          </w:tcPr>
          <w:p w14:paraId="658BD6E9" w14:textId="5749AAE8"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40C0A7F3"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Nepal</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9F7E00E"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74.9 (73.2, 76.4)</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55B5D90"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75.7 (74.0, 77.2)</w:t>
            </w:r>
          </w:p>
        </w:tc>
      </w:tr>
      <w:tr w:rsidR="00217865" w:rsidRPr="00217865" w14:paraId="0BC24754" w14:textId="77777777" w:rsidTr="00CF00B5">
        <w:trPr>
          <w:trHeight w:val="60"/>
        </w:trPr>
        <w:tc>
          <w:tcPr>
            <w:tcW w:w="872" w:type="pct"/>
            <w:tcBorders>
              <w:left w:val="single" w:sz="4" w:space="0" w:color="000000"/>
              <w:right w:val="single" w:sz="4" w:space="0" w:color="000000"/>
            </w:tcBorders>
            <w:vAlign w:val="center"/>
          </w:tcPr>
          <w:p w14:paraId="11A35E6F" w14:textId="402E69B6"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436A7F06"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Vietnam</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797D395"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76.0 (75.4, 76.6)</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69CE321"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78.0 (77.4, 78.6)</w:t>
            </w:r>
          </w:p>
        </w:tc>
      </w:tr>
      <w:tr w:rsidR="00217865" w:rsidRPr="00217865" w14:paraId="215731A9"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373708EE" w14:textId="4F9A4661"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555E5AC4"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Malaysia</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FCCF5E9"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75.7 (75.3, 76.1)</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502A3EB" w14:textId="77777777" w:rsidR="00821227" w:rsidRPr="00217865" w:rsidRDefault="00821227" w:rsidP="007B7CAD">
            <w:pPr>
              <w:pStyle w:val="Tabletextcentred"/>
              <w:spacing w:before="60" w:after="60"/>
              <w:rPr>
                <w:rFonts w:ascii="Arial" w:eastAsiaTheme="minorEastAsia" w:hAnsi="Arial" w:cs="Arial"/>
                <w:color w:val="000000" w:themeColor="text1"/>
                <w:spacing w:val="-2"/>
                <w:szCs w:val="18"/>
                <w:highlight w:val="yellow"/>
                <w:lang w:eastAsia="en-US"/>
              </w:rPr>
            </w:pPr>
            <w:r w:rsidRPr="00217865">
              <w:rPr>
                <w:rFonts w:ascii="Arial" w:hAnsi="Arial" w:cs="Arial"/>
                <w:color w:val="000000" w:themeColor="text1"/>
                <w:szCs w:val="18"/>
              </w:rPr>
              <w:t>77.6 (77.2, 78.0)</w:t>
            </w:r>
          </w:p>
        </w:tc>
      </w:tr>
      <w:tr w:rsidR="00217865" w:rsidRPr="00217865" w14:paraId="7EA8CC28" w14:textId="77777777" w:rsidTr="00CF00B5">
        <w:trPr>
          <w:trHeight w:val="60"/>
        </w:trPr>
        <w:tc>
          <w:tcPr>
            <w:tcW w:w="872" w:type="pct"/>
            <w:tcBorders>
              <w:top w:val="single" w:sz="4" w:space="0" w:color="000000"/>
              <w:left w:val="single" w:sz="4" w:space="0" w:color="000000"/>
              <w:right w:val="single" w:sz="4" w:space="0" w:color="000000"/>
            </w:tcBorders>
            <w:vAlign w:val="center"/>
          </w:tcPr>
          <w:p w14:paraId="2918D838"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Disability</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392B9C2F"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Disability reported</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913879F"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76.4 (75.3, 77.5)</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D46C2B7"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79.2 (78.1, 80.2)</w:t>
            </w:r>
          </w:p>
        </w:tc>
      </w:tr>
      <w:tr w:rsidR="00217865" w:rsidRPr="00217865" w14:paraId="45AB8423"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2CAD0707" w14:textId="6C8ADA37" w:rsidR="00821227" w:rsidRPr="00217865" w:rsidRDefault="00CF00B5" w:rsidP="007B7CAD">
            <w:pPr>
              <w:pStyle w:val="Tabletext"/>
              <w:spacing w:before="60" w:after="60"/>
              <w:rPr>
                <w:rFonts w:cs="Arial"/>
                <w:color w:val="000000" w:themeColor="text1"/>
              </w:rPr>
            </w:pPr>
            <w:r>
              <w:rPr>
                <w:rFonts w:cs="Arial"/>
                <w:color w:val="000000" w:themeColor="text1"/>
              </w:rPr>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04F371FC"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No disability reported</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A688D3E"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75.7 (75.4, 76.1)</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7FF3BF1"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77.6 (77.2, 77.9)</w:t>
            </w:r>
          </w:p>
        </w:tc>
      </w:tr>
      <w:tr w:rsidR="00217865" w:rsidRPr="00217865" w14:paraId="7ECBD14F" w14:textId="77777777" w:rsidTr="00CF00B5">
        <w:trPr>
          <w:trHeight w:val="60"/>
        </w:trPr>
        <w:tc>
          <w:tcPr>
            <w:tcW w:w="872" w:type="pct"/>
            <w:tcBorders>
              <w:top w:val="single" w:sz="4" w:space="0" w:color="000000"/>
              <w:left w:val="single" w:sz="4" w:space="0" w:color="000000"/>
              <w:right w:val="single" w:sz="4" w:space="0" w:color="000000"/>
            </w:tcBorders>
            <w:vAlign w:val="center"/>
          </w:tcPr>
          <w:p w14:paraId="5FF908A8"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Study mode†</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6FCDFBFB"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Internal/Mixed study mode</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48BC0D"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75.8 (75.4, 76.1)</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D631FE8"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77.6 (77.3, 77.9)</w:t>
            </w:r>
          </w:p>
        </w:tc>
      </w:tr>
      <w:tr w:rsidR="00217865" w:rsidRPr="00217865" w14:paraId="20C9B78A" w14:textId="77777777" w:rsidTr="00CF00B5">
        <w:trPr>
          <w:trHeight w:val="60"/>
        </w:trPr>
        <w:tc>
          <w:tcPr>
            <w:tcW w:w="872" w:type="pct"/>
            <w:tcBorders>
              <w:left w:val="single" w:sz="4" w:space="0" w:color="000000"/>
              <w:bottom w:val="single" w:sz="4" w:space="0" w:color="000000"/>
              <w:right w:val="single" w:sz="4" w:space="0" w:color="000000"/>
            </w:tcBorders>
            <w:vAlign w:val="center"/>
          </w:tcPr>
          <w:p w14:paraId="6C29AF38" w14:textId="25E26E29" w:rsidR="00821227" w:rsidRPr="00217865" w:rsidRDefault="00CF00B5" w:rsidP="007B7CAD">
            <w:pPr>
              <w:pStyle w:val="Tabletext"/>
              <w:spacing w:before="60" w:after="60"/>
              <w:rPr>
                <w:rFonts w:cs="Arial"/>
                <w:color w:val="000000" w:themeColor="text1"/>
              </w:rPr>
            </w:pPr>
            <w:r>
              <w:rPr>
                <w:rFonts w:cs="Arial"/>
                <w:color w:val="000000" w:themeColor="text1"/>
              </w:rPr>
              <w:lastRenderedPageBreak/>
              <w:t>-</w:t>
            </w:r>
          </w:p>
        </w:tc>
        <w:tc>
          <w:tcPr>
            <w:tcW w:w="1830" w:type="pct"/>
            <w:tcBorders>
              <w:top w:val="single" w:sz="4" w:space="0" w:color="000000"/>
              <w:left w:val="single" w:sz="4" w:space="0" w:color="000000"/>
              <w:bottom w:val="single" w:sz="4" w:space="0" w:color="000000"/>
              <w:right w:val="single" w:sz="4" w:space="0" w:color="auto"/>
            </w:tcBorders>
            <w:tcMar>
              <w:left w:w="57" w:type="dxa"/>
            </w:tcMar>
            <w:vAlign w:val="bottom"/>
          </w:tcPr>
          <w:p w14:paraId="1633EA5D" w14:textId="77777777" w:rsidR="00821227" w:rsidRPr="00217865" w:rsidRDefault="00821227" w:rsidP="007B7CAD">
            <w:pPr>
              <w:pStyle w:val="Tabletext"/>
              <w:spacing w:before="60" w:after="60"/>
              <w:rPr>
                <w:rFonts w:cs="Arial"/>
                <w:color w:val="000000" w:themeColor="text1"/>
              </w:rPr>
            </w:pPr>
            <w:r w:rsidRPr="00217865">
              <w:rPr>
                <w:rFonts w:cs="Arial"/>
                <w:color w:val="000000" w:themeColor="text1"/>
              </w:rPr>
              <w:t>External study mode</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0B29E5E" w14:textId="77777777" w:rsidR="00821227" w:rsidRPr="00217865" w:rsidRDefault="00821227" w:rsidP="007B7CAD">
            <w:pPr>
              <w:pStyle w:val="Tabletext"/>
              <w:spacing w:before="60" w:after="60"/>
              <w:jc w:val="center"/>
              <w:rPr>
                <w:rFonts w:cs="Arial"/>
                <w:color w:val="000000" w:themeColor="text1"/>
                <w:highlight w:val="yellow"/>
              </w:rPr>
            </w:pPr>
            <w:r w:rsidRPr="00217865">
              <w:rPr>
                <w:rFonts w:cs="Arial"/>
                <w:color w:val="000000" w:themeColor="text1"/>
              </w:rPr>
              <w:t>76.9 (74.7, 79.0)</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F7258E9" w14:textId="77777777" w:rsidR="00821227" w:rsidRPr="00217865" w:rsidRDefault="00821227" w:rsidP="007B7CAD">
            <w:pPr>
              <w:pStyle w:val="Tabletextcentred"/>
              <w:spacing w:before="60" w:after="60"/>
              <w:rPr>
                <w:rFonts w:ascii="Arial" w:hAnsi="Arial" w:cs="Arial"/>
                <w:color w:val="000000" w:themeColor="text1"/>
                <w:szCs w:val="18"/>
                <w:highlight w:val="yellow"/>
              </w:rPr>
            </w:pPr>
            <w:r w:rsidRPr="00217865">
              <w:rPr>
                <w:rFonts w:ascii="Arial" w:hAnsi="Arial" w:cs="Arial"/>
                <w:color w:val="000000" w:themeColor="text1"/>
                <w:szCs w:val="18"/>
              </w:rPr>
              <w:t>81.7 (79.6, 83.6)</w:t>
            </w:r>
          </w:p>
        </w:tc>
      </w:tr>
      <w:tr w:rsidR="00CF00B5" w:rsidRPr="00217865" w14:paraId="47E86D73" w14:textId="77777777" w:rsidTr="00CF00B5">
        <w:trPr>
          <w:trHeight w:val="60"/>
        </w:trPr>
        <w:tc>
          <w:tcPr>
            <w:tcW w:w="872" w:type="pct"/>
            <w:tcBorders>
              <w:top w:val="single" w:sz="4" w:space="0" w:color="000000"/>
              <w:left w:val="single" w:sz="4" w:space="0" w:color="000000"/>
              <w:bottom w:val="single" w:sz="4" w:space="0" w:color="000000"/>
              <w:right w:val="single" w:sz="4" w:space="0" w:color="auto"/>
            </w:tcBorders>
            <w:vAlign w:val="bottom"/>
          </w:tcPr>
          <w:p w14:paraId="173F33F3" w14:textId="77777777" w:rsidR="00CF00B5" w:rsidRPr="00217865" w:rsidRDefault="00CF00B5" w:rsidP="007B7CAD">
            <w:pPr>
              <w:pStyle w:val="Tabletext"/>
              <w:spacing w:before="60" w:after="60"/>
              <w:rPr>
                <w:rStyle w:val="Body02BOLD"/>
                <w:color w:val="000000" w:themeColor="text1"/>
              </w:rPr>
            </w:pPr>
            <w:r w:rsidRPr="00217865">
              <w:rPr>
                <w:rStyle w:val="Body02BOLD"/>
                <w:color w:val="000000" w:themeColor="text1"/>
              </w:rPr>
              <w:t>Total</w:t>
            </w:r>
          </w:p>
        </w:tc>
        <w:tc>
          <w:tcPr>
            <w:tcW w:w="1830" w:type="pct"/>
            <w:tcBorders>
              <w:top w:val="single" w:sz="4" w:space="0" w:color="000000"/>
              <w:left w:val="single" w:sz="4" w:space="0" w:color="000000"/>
              <w:bottom w:val="single" w:sz="4" w:space="0" w:color="000000"/>
              <w:right w:val="single" w:sz="4" w:space="0" w:color="auto"/>
            </w:tcBorders>
            <w:vAlign w:val="bottom"/>
          </w:tcPr>
          <w:p w14:paraId="7592FB40" w14:textId="7BAB0479" w:rsidR="00CF00B5" w:rsidRPr="00217865" w:rsidRDefault="00CF00B5" w:rsidP="007B7CAD">
            <w:pPr>
              <w:pStyle w:val="Tabletext"/>
              <w:spacing w:before="60" w:after="60"/>
              <w:rPr>
                <w:rStyle w:val="Body02BOLD"/>
                <w:color w:val="000000" w:themeColor="text1"/>
              </w:rPr>
            </w:pPr>
            <w:r>
              <w:rPr>
                <w:rStyle w:val="Body02BOLD"/>
                <w:color w:val="000000" w:themeColor="text1"/>
              </w:rPr>
              <w:t>-</w:t>
            </w:r>
          </w:p>
        </w:tc>
        <w:tc>
          <w:tcPr>
            <w:tcW w:w="1160"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2BDC974" w14:textId="77777777" w:rsidR="00CF00B5" w:rsidRPr="00217865" w:rsidRDefault="00CF00B5" w:rsidP="007B7CAD">
            <w:pPr>
              <w:pStyle w:val="Z"/>
              <w:spacing w:before="60" w:after="60"/>
              <w:jc w:val="center"/>
              <w:rPr>
                <w:rStyle w:val="Body02BOLD"/>
                <w:color w:val="000000" w:themeColor="text1"/>
                <w:szCs w:val="18"/>
              </w:rPr>
            </w:pPr>
            <w:r w:rsidRPr="00217865">
              <w:rPr>
                <w:color w:val="000000" w:themeColor="text1"/>
                <w:szCs w:val="18"/>
              </w:rPr>
              <w:t>75.8 (75.4, 76.1)</w:t>
            </w:r>
          </w:p>
        </w:tc>
        <w:tc>
          <w:tcPr>
            <w:tcW w:w="1138" w:type="pct"/>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5E61CB6" w14:textId="77777777" w:rsidR="00CF00B5" w:rsidRPr="00217865" w:rsidRDefault="00CF00B5" w:rsidP="007B7CAD">
            <w:pPr>
              <w:spacing w:before="60" w:after="60"/>
              <w:jc w:val="center"/>
              <w:rPr>
                <w:rStyle w:val="Body02BOLD"/>
                <w:b w:val="0"/>
                <w:color w:val="000000" w:themeColor="text1"/>
                <w:lang w:val="en-US"/>
              </w:rPr>
            </w:pPr>
            <w:r w:rsidRPr="00217865">
              <w:rPr>
                <w:rFonts w:cs="Arial"/>
                <w:color w:val="000000" w:themeColor="text1"/>
                <w:sz w:val="18"/>
              </w:rPr>
              <w:t>77.7 (77.4, 78.0)</w:t>
            </w:r>
          </w:p>
        </w:tc>
      </w:tr>
    </w:tbl>
    <w:p w14:paraId="3ABBADDE" w14:textId="77777777" w:rsidR="00821227" w:rsidRPr="00217865" w:rsidRDefault="00821227" w:rsidP="00306192">
      <w:pPr>
        <w:pStyle w:val="FigureNote"/>
        <w:rPr>
          <w:rFonts w:cs="Arial"/>
          <w:color w:val="000000" w:themeColor="text1"/>
          <w:sz w:val="18"/>
          <w:szCs w:val="24"/>
        </w:rPr>
      </w:pPr>
      <w:r w:rsidRPr="00217865">
        <w:rPr>
          <w:rFonts w:cs="Arial"/>
          <w:color w:val="000000" w:themeColor="text1"/>
          <w:sz w:val="18"/>
          <w:szCs w:val="24"/>
        </w:rPr>
        <w:t>*Later year includes middle year students where for NUHEIs a census was conducted (refer to 2023 SES Methodological Report for more details).</w:t>
      </w:r>
    </w:p>
    <w:p w14:paraId="4D09F65D" w14:textId="77777777" w:rsidR="00821227" w:rsidRPr="00217865" w:rsidRDefault="00821227" w:rsidP="00306192">
      <w:pPr>
        <w:pStyle w:val="FigureNote"/>
        <w:rPr>
          <w:rFonts w:cs="Arial"/>
          <w:color w:val="000000" w:themeColor="text1"/>
          <w:sz w:val="18"/>
          <w:szCs w:val="24"/>
        </w:rPr>
      </w:pPr>
      <w:r w:rsidRPr="00217865">
        <w:rPr>
          <w:rFonts w:cs="Arial"/>
          <w:color w:val="000000" w:themeColor="text1"/>
          <w:sz w:val="18"/>
          <w:szCs w:val="24"/>
        </w:rPr>
        <w:t>† Institutions appear to have taken different approaches to reporting students’ mode of study in 2023, with inconsistencies in the reporting of internal/mixed mode and external study modes. Therefore, these figures should be treated with caution.</w:t>
      </w:r>
    </w:p>
    <w:p w14:paraId="4F81F2A8" w14:textId="6A8EB689" w:rsidR="00821227" w:rsidRPr="00217865" w:rsidRDefault="00821227" w:rsidP="00306192">
      <w:pPr>
        <w:pStyle w:val="Caption"/>
        <w:rPr>
          <w:i/>
          <w:iCs/>
          <w:color w:val="000000" w:themeColor="text1"/>
        </w:rPr>
      </w:pPr>
      <w:bookmarkStart w:id="347" w:name="_Ref66272742"/>
      <w:bookmarkStart w:id="348" w:name="_Toc178599386"/>
      <w:r w:rsidRPr="00217865">
        <w:rPr>
          <w:color w:val="000000" w:themeColor="text1"/>
        </w:rPr>
        <w:t xml:space="preserve">Table </w:t>
      </w:r>
      <w:r w:rsidR="001706E8" w:rsidRPr="00217865">
        <w:rPr>
          <w:color w:val="000000" w:themeColor="text1"/>
        </w:rPr>
        <w:fldChar w:fldCharType="begin"/>
      </w:r>
      <w:r w:rsidR="001706E8" w:rsidRPr="00217865">
        <w:rPr>
          <w:color w:val="000000" w:themeColor="text1"/>
        </w:rPr>
        <w:instrText xml:space="preserve"> SEQ Table \* ARABIC </w:instrText>
      </w:r>
      <w:r w:rsidR="001706E8" w:rsidRPr="00217865">
        <w:rPr>
          <w:color w:val="000000" w:themeColor="text1"/>
        </w:rPr>
        <w:fldChar w:fldCharType="separate"/>
      </w:r>
      <w:r w:rsidR="005D5678">
        <w:rPr>
          <w:noProof/>
          <w:color w:val="000000" w:themeColor="text1"/>
        </w:rPr>
        <w:t>21</w:t>
      </w:r>
      <w:r w:rsidR="001706E8" w:rsidRPr="00217865">
        <w:rPr>
          <w:noProof/>
          <w:color w:val="000000" w:themeColor="text1"/>
        </w:rPr>
        <w:fldChar w:fldCharType="end"/>
      </w:r>
      <w:bookmarkEnd w:id="347"/>
      <w:r w:rsidR="00CF00B5">
        <w:rPr>
          <w:noProof/>
          <w:color w:val="000000" w:themeColor="text1"/>
        </w:rPr>
        <w:tab/>
      </w:r>
      <w:r w:rsidRPr="00217865">
        <w:rPr>
          <w:color w:val="000000" w:themeColor="text1"/>
        </w:rPr>
        <w:t>Percentage positive ratings, international undergraduates by study area, 2023 (with 90% confidence intervals)</w:t>
      </w:r>
      <w:bookmarkEnd w:id="348"/>
    </w:p>
    <w:tbl>
      <w:tblPr>
        <w:tblW w:w="4678" w:type="pct"/>
        <w:tblCellMar>
          <w:left w:w="0" w:type="dxa"/>
          <w:right w:w="0" w:type="dxa"/>
        </w:tblCellMar>
        <w:tblLook w:val="0000" w:firstRow="0" w:lastRow="0" w:firstColumn="0" w:lastColumn="0" w:noHBand="0" w:noVBand="0"/>
      </w:tblPr>
      <w:tblGrid>
        <w:gridCol w:w="4189"/>
        <w:gridCol w:w="2794"/>
        <w:gridCol w:w="2794"/>
      </w:tblGrid>
      <w:tr w:rsidR="00217865" w:rsidRPr="00217865" w14:paraId="449B8123" w14:textId="77777777" w:rsidTr="006121CF">
        <w:trPr>
          <w:trHeight w:val="180"/>
          <w:tblHeader/>
        </w:trPr>
        <w:tc>
          <w:tcPr>
            <w:tcW w:w="2142" w:type="pct"/>
            <w:tcBorders>
              <w:top w:val="single" w:sz="4" w:space="0" w:color="000000"/>
              <w:left w:val="single" w:sz="4" w:space="0" w:color="000000"/>
              <w:bottom w:val="single" w:sz="4" w:space="0" w:color="000000"/>
              <w:right w:val="single" w:sz="4" w:space="0" w:color="000000"/>
            </w:tcBorders>
            <w:tcMar>
              <w:top w:w="113" w:type="dxa"/>
              <w:left w:w="80" w:type="dxa"/>
              <w:bottom w:w="113" w:type="dxa"/>
              <w:right w:w="57" w:type="dxa"/>
            </w:tcMar>
            <w:vAlign w:val="center"/>
          </w:tcPr>
          <w:p w14:paraId="47470600" w14:textId="331B2E4D" w:rsidR="00821227" w:rsidRPr="00217865" w:rsidRDefault="00A43B35" w:rsidP="00A43B35">
            <w:pPr>
              <w:pStyle w:val="zz"/>
              <w:framePr w:wrap="auto"/>
              <w:jc w:val="left"/>
              <w:rPr>
                <w:rFonts w:ascii="Arial" w:hAnsi="Arial" w:cs="Arial"/>
                <w:color w:val="000000" w:themeColor="text1"/>
              </w:rPr>
            </w:pPr>
            <w:r w:rsidRPr="00217865">
              <w:rPr>
                <w:rFonts w:ascii="Arial" w:hAnsi="Arial" w:cs="Arial"/>
                <w:color w:val="000000" w:themeColor="text1"/>
              </w:rPr>
              <w:t>-</w:t>
            </w:r>
            <w:bookmarkStart w:id="349" w:name="Title_21"/>
            <w:bookmarkEnd w:id="349"/>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0ABE0838" w14:textId="77777777" w:rsidR="00821227" w:rsidRPr="00217865" w:rsidRDefault="00821227" w:rsidP="00A43B35">
            <w:pPr>
              <w:pStyle w:val="zz"/>
              <w:framePr w:wrap="auto"/>
              <w:rPr>
                <w:rFonts w:ascii="Arial" w:hAnsi="Arial" w:cs="Arial"/>
                <w:color w:val="000000" w:themeColor="text1"/>
              </w:rPr>
            </w:pPr>
            <w:r w:rsidRPr="00217865">
              <w:rPr>
                <w:rFonts w:ascii="Arial" w:hAnsi="Arial" w:cs="Arial"/>
                <w:color w:val="000000" w:themeColor="text1"/>
              </w:rPr>
              <w:t>Quality of entire educational experience</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bottom"/>
          </w:tcPr>
          <w:p w14:paraId="374DF422" w14:textId="77777777" w:rsidR="00821227" w:rsidRPr="00217865" w:rsidRDefault="00821227" w:rsidP="00A43B35">
            <w:pPr>
              <w:pStyle w:val="zz"/>
              <w:framePr w:wrap="auto"/>
              <w:rPr>
                <w:rFonts w:ascii="Arial" w:hAnsi="Arial" w:cs="Arial"/>
                <w:color w:val="000000" w:themeColor="text1"/>
              </w:rPr>
            </w:pPr>
            <w:r w:rsidRPr="00217865">
              <w:rPr>
                <w:rFonts w:ascii="Arial" w:hAnsi="Arial" w:cs="Arial"/>
                <w:color w:val="000000" w:themeColor="text1"/>
              </w:rPr>
              <w:t>Quality of teaching</w:t>
            </w:r>
          </w:p>
        </w:tc>
      </w:tr>
      <w:tr w:rsidR="00217865" w:rsidRPr="00217865" w14:paraId="6CDB3D03"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CB5EBD1" w14:textId="45961E46" w:rsidR="00821227" w:rsidRPr="00217865" w:rsidRDefault="00B6122E" w:rsidP="00A43B35">
            <w:pPr>
              <w:pStyle w:val="Tabletext"/>
              <w:rPr>
                <w:rFonts w:cs="Arial"/>
                <w:color w:val="000000" w:themeColor="text1"/>
                <w:highlight w:val="yellow"/>
              </w:rPr>
            </w:pPr>
            <w:r w:rsidRPr="00217865">
              <w:rPr>
                <w:rFonts w:cs="Arial"/>
                <w:color w:val="000000" w:themeColor="text1"/>
              </w:rPr>
              <w:t>Agriculture and environmental studies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A246B13" w14:textId="2B14400B" w:rsidR="00821227" w:rsidRPr="00217865" w:rsidRDefault="00B6122E" w:rsidP="00A43B35">
            <w:pPr>
              <w:pStyle w:val="Z"/>
              <w:jc w:val="center"/>
              <w:rPr>
                <w:color w:val="000000" w:themeColor="text1"/>
                <w:szCs w:val="18"/>
                <w:highlight w:val="yellow"/>
              </w:rPr>
            </w:pPr>
            <w:r w:rsidRPr="00217865">
              <w:rPr>
                <w:color w:val="000000" w:themeColor="text1"/>
                <w:szCs w:val="18"/>
              </w:rPr>
              <w:t>81.4 (77.0, 84.9)</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22C6995" w14:textId="42E9ACF4" w:rsidR="00821227" w:rsidRPr="00217865" w:rsidRDefault="00B6122E" w:rsidP="00A43B35">
            <w:pPr>
              <w:pStyle w:val="Z"/>
              <w:jc w:val="center"/>
              <w:rPr>
                <w:color w:val="000000" w:themeColor="text1"/>
                <w:szCs w:val="18"/>
                <w:highlight w:val="yellow"/>
              </w:rPr>
            </w:pPr>
            <w:r w:rsidRPr="00217865">
              <w:rPr>
                <w:color w:val="000000" w:themeColor="text1"/>
                <w:szCs w:val="18"/>
              </w:rPr>
              <w:t>84.4 (80.2, 87.6)</w:t>
            </w:r>
          </w:p>
        </w:tc>
      </w:tr>
      <w:tr w:rsidR="00217865" w:rsidRPr="00217865" w14:paraId="30F4BDF1"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1C08BA9" w14:textId="199CE702" w:rsidR="00821227" w:rsidRPr="00217865" w:rsidRDefault="00B6122E" w:rsidP="00A43B35">
            <w:pPr>
              <w:pStyle w:val="Tabletext"/>
              <w:rPr>
                <w:rFonts w:cs="Arial"/>
                <w:color w:val="000000" w:themeColor="text1"/>
                <w:highlight w:val="yellow"/>
              </w:rPr>
            </w:pPr>
            <w:r w:rsidRPr="00217865">
              <w:rPr>
                <w:rFonts w:cs="Arial"/>
                <w:color w:val="000000" w:themeColor="text1"/>
              </w:rPr>
              <w:t>Architecture and built environment</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2BA97B4" w14:textId="3356ED74" w:rsidR="00821227" w:rsidRPr="00217865" w:rsidRDefault="00B6122E" w:rsidP="00A43B35">
            <w:pPr>
              <w:pStyle w:val="Z"/>
              <w:jc w:val="center"/>
              <w:rPr>
                <w:color w:val="000000" w:themeColor="text1"/>
                <w:szCs w:val="18"/>
                <w:highlight w:val="yellow"/>
              </w:rPr>
            </w:pPr>
            <w:r w:rsidRPr="00217865">
              <w:rPr>
                <w:color w:val="000000" w:themeColor="text1"/>
                <w:szCs w:val="18"/>
              </w:rPr>
              <w:t>71.1 (68.9, 73.2)</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B5AAEE8" w14:textId="28E037AF" w:rsidR="00821227" w:rsidRPr="00217865" w:rsidRDefault="00B6122E" w:rsidP="00A43B35">
            <w:pPr>
              <w:pStyle w:val="Z"/>
              <w:jc w:val="center"/>
              <w:rPr>
                <w:color w:val="000000" w:themeColor="text1"/>
                <w:szCs w:val="18"/>
                <w:highlight w:val="yellow"/>
              </w:rPr>
            </w:pPr>
            <w:r w:rsidRPr="00217865">
              <w:rPr>
                <w:color w:val="000000" w:themeColor="text1"/>
                <w:szCs w:val="18"/>
              </w:rPr>
              <w:t>74.5 (72.4, 76.5)</w:t>
            </w:r>
          </w:p>
        </w:tc>
      </w:tr>
      <w:tr w:rsidR="00217865" w:rsidRPr="00217865" w14:paraId="6AF4EFC8"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827A137" w14:textId="3CC5056C" w:rsidR="00821227" w:rsidRPr="00217865" w:rsidRDefault="00B6122E" w:rsidP="00A43B35">
            <w:pPr>
              <w:pStyle w:val="Tabletext"/>
              <w:rPr>
                <w:rFonts w:cs="Arial"/>
                <w:color w:val="000000" w:themeColor="text1"/>
                <w:highlight w:val="yellow"/>
              </w:rPr>
            </w:pPr>
            <w:r w:rsidRPr="00217865">
              <w:rPr>
                <w:rFonts w:cs="Arial"/>
                <w:color w:val="000000" w:themeColor="text1"/>
              </w:rPr>
              <w:t>Business and management</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3608C93" w14:textId="6D6DD9B2" w:rsidR="00821227" w:rsidRPr="00217865" w:rsidRDefault="00B6122E" w:rsidP="00A43B35">
            <w:pPr>
              <w:pStyle w:val="Z"/>
              <w:jc w:val="center"/>
              <w:rPr>
                <w:color w:val="000000" w:themeColor="text1"/>
                <w:szCs w:val="18"/>
                <w:highlight w:val="yellow"/>
              </w:rPr>
            </w:pPr>
            <w:r w:rsidRPr="00217865">
              <w:rPr>
                <w:color w:val="000000" w:themeColor="text1"/>
                <w:szCs w:val="18"/>
              </w:rPr>
              <w:t>77.4 (76.7, 78.1)</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9FDDC31" w14:textId="2A457D39" w:rsidR="00821227" w:rsidRPr="00217865" w:rsidRDefault="00B6122E" w:rsidP="00A43B35">
            <w:pPr>
              <w:pStyle w:val="Z"/>
              <w:jc w:val="center"/>
              <w:rPr>
                <w:color w:val="000000" w:themeColor="text1"/>
                <w:szCs w:val="18"/>
                <w:highlight w:val="yellow"/>
              </w:rPr>
            </w:pPr>
            <w:r w:rsidRPr="00217865">
              <w:rPr>
                <w:color w:val="000000" w:themeColor="text1"/>
                <w:szCs w:val="18"/>
              </w:rPr>
              <w:t>80.2 (79.5, 80.8)</w:t>
            </w:r>
          </w:p>
        </w:tc>
      </w:tr>
      <w:tr w:rsidR="00217865" w:rsidRPr="00217865" w14:paraId="7BE873B1"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19FBD66" w14:textId="46E1BB6A" w:rsidR="00821227" w:rsidRPr="00217865" w:rsidRDefault="00B6122E" w:rsidP="00A43B35">
            <w:pPr>
              <w:pStyle w:val="Tabletext"/>
              <w:rPr>
                <w:rFonts w:cs="Arial"/>
                <w:color w:val="000000" w:themeColor="text1"/>
                <w:highlight w:val="yellow"/>
              </w:rPr>
            </w:pPr>
            <w:r w:rsidRPr="00217865">
              <w:rPr>
                <w:rFonts w:cs="Arial"/>
                <w:color w:val="000000" w:themeColor="text1"/>
              </w:rPr>
              <w:t>Communications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831C1B3" w14:textId="5CDFA4D4" w:rsidR="00821227" w:rsidRPr="00217865" w:rsidRDefault="00B6122E" w:rsidP="00A43B35">
            <w:pPr>
              <w:pStyle w:val="Z"/>
              <w:jc w:val="center"/>
              <w:rPr>
                <w:color w:val="000000" w:themeColor="text1"/>
                <w:szCs w:val="18"/>
                <w:highlight w:val="yellow"/>
              </w:rPr>
            </w:pPr>
            <w:r w:rsidRPr="00217865">
              <w:rPr>
                <w:color w:val="000000" w:themeColor="text1"/>
                <w:szCs w:val="18"/>
              </w:rPr>
              <w:t>76.8 (74.6, 78.8)</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7E0F374" w14:textId="0AC33242" w:rsidR="00821227" w:rsidRPr="00217865" w:rsidRDefault="00B6122E" w:rsidP="00A43B35">
            <w:pPr>
              <w:pStyle w:val="Z"/>
              <w:jc w:val="center"/>
              <w:rPr>
                <w:color w:val="000000" w:themeColor="text1"/>
                <w:szCs w:val="18"/>
                <w:highlight w:val="yellow"/>
              </w:rPr>
            </w:pPr>
            <w:r w:rsidRPr="00217865">
              <w:rPr>
                <w:color w:val="000000" w:themeColor="text1"/>
                <w:szCs w:val="18"/>
              </w:rPr>
              <w:t>80.2 (78.1, 82.1)</w:t>
            </w:r>
          </w:p>
        </w:tc>
      </w:tr>
      <w:tr w:rsidR="00217865" w:rsidRPr="00217865" w14:paraId="4F1B6F1F"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FAB433D" w14:textId="7D6BCE43" w:rsidR="00821227" w:rsidRPr="00217865" w:rsidRDefault="00B6122E" w:rsidP="00A43B35">
            <w:pPr>
              <w:pStyle w:val="Tabletext"/>
              <w:rPr>
                <w:rFonts w:cs="Arial"/>
                <w:color w:val="000000" w:themeColor="text1"/>
                <w:highlight w:val="yellow"/>
              </w:rPr>
            </w:pPr>
            <w:r w:rsidRPr="00217865">
              <w:rPr>
                <w:rFonts w:cs="Arial"/>
                <w:color w:val="000000" w:themeColor="text1"/>
              </w:rPr>
              <w:t>Computing and information systems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83F5168" w14:textId="2BD4DAB3" w:rsidR="00821227" w:rsidRPr="00217865" w:rsidRDefault="00B6122E" w:rsidP="00A43B35">
            <w:pPr>
              <w:pStyle w:val="Z"/>
              <w:jc w:val="center"/>
              <w:rPr>
                <w:color w:val="000000" w:themeColor="text1"/>
                <w:szCs w:val="18"/>
                <w:highlight w:val="yellow"/>
              </w:rPr>
            </w:pPr>
            <w:r w:rsidRPr="00217865">
              <w:rPr>
                <w:color w:val="000000" w:themeColor="text1"/>
                <w:szCs w:val="18"/>
              </w:rPr>
              <w:t>71.0 (70.0, 71.9)</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022B8E2" w14:textId="1FD6D055" w:rsidR="00821227" w:rsidRPr="00217865" w:rsidRDefault="00B6122E" w:rsidP="00A43B35">
            <w:pPr>
              <w:pStyle w:val="Z"/>
              <w:jc w:val="center"/>
              <w:rPr>
                <w:color w:val="000000" w:themeColor="text1"/>
                <w:szCs w:val="18"/>
                <w:highlight w:val="yellow"/>
              </w:rPr>
            </w:pPr>
            <w:r w:rsidRPr="00217865">
              <w:rPr>
                <w:color w:val="000000" w:themeColor="text1"/>
                <w:szCs w:val="18"/>
              </w:rPr>
              <w:t>71.8 (70.9, 72.7)</w:t>
            </w:r>
          </w:p>
        </w:tc>
      </w:tr>
      <w:tr w:rsidR="00217865" w:rsidRPr="00217865" w14:paraId="38FDB8D7"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A82DADE" w14:textId="0F03156A" w:rsidR="00821227" w:rsidRPr="00217865" w:rsidRDefault="00B6122E" w:rsidP="00A43B35">
            <w:pPr>
              <w:pStyle w:val="Tabletext"/>
              <w:rPr>
                <w:rFonts w:cs="Arial"/>
                <w:color w:val="000000" w:themeColor="text1"/>
                <w:highlight w:val="yellow"/>
              </w:rPr>
            </w:pPr>
            <w:r w:rsidRPr="00217865">
              <w:rPr>
                <w:rFonts w:cs="Arial"/>
                <w:color w:val="000000" w:themeColor="text1"/>
              </w:rPr>
              <w:t>Creative arts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913605F" w14:textId="04593065" w:rsidR="00821227" w:rsidRPr="00217865" w:rsidRDefault="00B6122E" w:rsidP="00A43B35">
            <w:pPr>
              <w:pStyle w:val="Z"/>
              <w:jc w:val="center"/>
              <w:rPr>
                <w:color w:val="000000" w:themeColor="text1"/>
                <w:szCs w:val="18"/>
                <w:highlight w:val="yellow"/>
              </w:rPr>
            </w:pPr>
            <w:r w:rsidRPr="00217865">
              <w:rPr>
                <w:color w:val="000000" w:themeColor="text1"/>
                <w:szCs w:val="18"/>
              </w:rPr>
              <w:t>75.6 (73.7, 77.4)</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76501AA" w14:textId="6CA23E99" w:rsidR="00821227" w:rsidRPr="00217865" w:rsidRDefault="00B6122E" w:rsidP="00A43B35">
            <w:pPr>
              <w:pStyle w:val="Z"/>
              <w:jc w:val="center"/>
              <w:rPr>
                <w:color w:val="000000" w:themeColor="text1"/>
                <w:szCs w:val="18"/>
                <w:highlight w:val="yellow"/>
              </w:rPr>
            </w:pPr>
            <w:r w:rsidRPr="00217865">
              <w:rPr>
                <w:color w:val="000000" w:themeColor="text1"/>
                <w:szCs w:val="18"/>
              </w:rPr>
              <w:t>79.9 (78.1, 81.6)</w:t>
            </w:r>
          </w:p>
        </w:tc>
      </w:tr>
      <w:tr w:rsidR="00217865" w:rsidRPr="00217865" w14:paraId="4A3E7512"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8A8E106" w14:textId="27485E5B" w:rsidR="00821227" w:rsidRPr="00217865" w:rsidRDefault="00B6122E" w:rsidP="00A43B35">
            <w:pPr>
              <w:pStyle w:val="Tabletext"/>
              <w:rPr>
                <w:rFonts w:cs="Arial"/>
                <w:color w:val="000000" w:themeColor="text1"/>
                <w:highlight w:val="yellow"/>
              </w:rPr>
            </w:pPr>
            <w:r w:rsidRPr="00217865">
              <w:rPr>
                <w:rFonts w:cs="Arial"/>
                <w:color w:val="000000" w:themeColor="text1"/>
              </w:rPr>
              <w:t>Dentistry</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1CDA9FB" w14:textId="1E589CC2" w:rsidR="00821227" w:rsidRPr="00217865" w:rsidRDefault="00B6122E" w:rsidP="00A43B35">
            <w:pPr>
              <w:pStyle w:val="Z"/>
              <w:jc w:val="center"/>
              <w:rPr>
                <w:color w:val="000000" w:themeColor="text1"/>
                <w:szCs w:val="18"/>
                <w:highlight w:val="yellow"/>
              </w:rPr>
            </w:pPr>
            <w:r w:rsidRPr="00217865">
              <w:rPr>
                <w:color w:val="000000" w:themeColor="text1"/>
                <w:szCs w:val="18"/>
              </w:rPr>
              <w:t>65.8 (59.7, 71.2)</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9FEACF8" w14:textId="48826DD5" w:rsidR="00821227" w:rsidRPr="00217865" w:rsidRDefault="00B6122E" w:rsidP="00A43B35">
            <w:pPr>
              <w:pStyle w:val="Z"/>
              <w:jc w:val="center"/>
              <w:rPr>
                <w:color w:val="000000" w:themeColor="text1"/>
                <w:szCs w:val="18"/>
                <w:highlight w:val="yellow"/>
              </w:rPr>
            </w:pPr>
            <w:r w:rsidRPr="00217865">
              <w:rPr>
                <w:color w:val="000000" w:themeColor="text1"/>
                <w:szCs w:val="18"/>
              </w:rPr>
              <w:t>66.7 (60.5, 72.0)</w:t>
            </w:r>
          </w:p>
        </w:tc>
      </w:tr>
      <w:tr w:rsidR="00217865" w:rsidRPr="00217865" w14:paraId="739E1BB6"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91E0F40" w14:textId="4EBC566D" w:rsidR="00821227" w:rsidRPr="00217865" w:rsidRDefault="00B6122E" w:rsidP="00A43B35">
            <w:pPr>
              <w:pStyle w:val="Tabletext"/>
              <w:rPr>
                <w:rFonts w:cs="Arial"/>
                <w:color w:val="000000" w:themeColor="text1"/>
                <w:highlight w:val="yellow"/>
              </w:rPr>
            </w:pPr>
            <w:r w:rsidRPr="00217865">
              <w:rPr>
                <w:rFonts w:cs="Arial"/>
                <w:color w:val="000000" w:themeColor="text1"/>
              </w:rPr>
              <w:t>Engineering</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13BF0AD" w14:textId="2A4C6978" w:rsidR="00821227" w:rsidRPr="00217865" w:rsidRDefault="00B6122E" w:rsidP="00A43B35">
            <w:pPr>
              <w:pStyle w:val="Z"/>
              <w:jc w:val="center"/>
              <w:rPr>
                <w:color w:val="000000" w:themeColor="text1"/>
                <w:szCs w:val="18"/>
                <w:highlight w:val="yellow"/>
              </w:rPr>
            </w:pPr>
            <w:r w:rsidRPr="00217865">
              <w:rPr>
                <w:color w:val="000000" w:themeColor="text1"/>
                <w:szCs w:val="18"/>
              </w:rPr>
              <w:t>71.8 (70.4, 73.2)</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38D024D" w14:textId="5076DA37" w:rsidR="00821227" w:rsidRPr="00217865" w:rsidRDefault="00B6122E" w:rsidP="00A43B35">
            <w:pPr>
              <w:pStyle w:val="Z"/>
              <w:jc w:val="center"/>
              <w:rPr>
                <w:color w:val="000000" w:themeColor="text1"/>
                <w:szCs w:val="18"/>
                <w:highlight w:val="yellow"/>
              </w:rPr>
            </w:pPr>
            <w:r w:rsidRPr="00217865">
              <w:rPr>
                <w:color w:val="000000" w:themeColor="text1"/>
                <w:szCs w:val="18"/>
              </w:rPr>
              <w:t>73.7 (72.3, 75.0)</w:t>
            </w:r>
          </w:p>
        </w:tc>
      </w:tr>
      <w:tr w:rsidR="00217865" w:rsidRPr="00217865" w14:paraId="675E9AF5"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39A09DC" w14:textId="7A9E3D9A" w:rsidR="00821227" w:rsidRPr="00217865" w:rsidRDefault="00B6122E" w:rsidP="00A43B35">
            <w:pPr>
              <w:pStyle w:val="Tabletext"/>
              <w:rPr>
                <w:rFonts w:cs="Arial"/>
                <w:color w:val="000000" w:themeColor="text1"/>
                <w:highlight w:val="yellow"/>
              </w:rPr>
            </w:pPr>
            <w:r w:rsidRPr="00217865">
              <w:rPr>
                <w:rFonts w:cs="Arial"/>
                <w:color w:val="000000" w:themeColor="text1"/>
              </w:rPr>
              <w:t>Health services and support</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778F067" w14:textId="23AE440B" w:rsidR="00821227" w:rsidRPr="00217865" w:rsidRDefault="00B6122E" w:rsidP="00A43B35">
            <w:pPr>
              <w:pStyle w:val="Z"/>
              <w:jc w:val="center"/>
              <w:rPr>
                <w:color w:val="000000" w:themeColor="text1"/>
                <w:szCs w:val="18"/>
                <w:highlight w:val="yellow"/>
              </w:rPr>
            </w:pPr>
            <w:r w:rsidRPr="00217865">
              <w:rPr>
                <w:color w:val="000000" w:themeColor="text1"/>
                <w:szCs w:val="18"/>
              </w:rPr>
              <w:t>79.1 (77.5, 80.5)</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5AB4ABB" w14:textId="6F7520A7" w:rsidR="00821227" w:rsidRPr="00217865" w:rsidRDefault="00B6122E" w:rsidP="00A43B35">
            <w:pPr>
              <w:pStyle w:val="Z"/>
              <w:jc w:val="center"/>
              <w:rPr>
                <w:color w:val="000000" w:themeColor="text1"/>
                <w:szCs w:val="18"/>
                <w:highlight w:val="yellow"/>
              </w:rPr>
            </w:pPr>
            <w:r w:rsidRPr="00217865">
              <w:rPr>
                <w:color w:val="000000" w:themeColor="text1"/>
                <w:szCs w:val="18"/>
              </w:rPr>
              <w:t>81.0 (79.5, 82.4)</w:t>
            </w:r>
          </w:p>
        </w:tc>
      </w:tr>
      <w:tr w:rsidR="00217865" w:rsidRPr="00217865" w14:paraId="66F36234"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36B9D98" w14:textId="7B728B85" w:rsidR="00821227" w:rsidRPr="00217865" w:rsidRDefault="00B6122E" w:rsidP="00A43B35">
            <w:pPr>
              <w:pStyle w:val="Tabletext"/>
              <w:rPr>
                <w:rFonts w:cs="Arial"/>
                <w:color w:val="000000" w:themeColor="text1"/>
                <w:highlight w:val="yellow"/>
              </w:rPr>
            </w:pPr>
            <w:r w:rsidRPr="00217865">
              <w:rPr>
                <w:rFonts w:cs="Arial"/>
                <w:color w:val="000000" w:themeColor="text1"/>
              </w:rPr>
              <w:t>Humanities, culture and social sciences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2899BF9" w14:textId="745F5A09" w:rsidR="00821227" w:rsidRPr="00217865" w:rsidRDefault="00B6122E" w:rsidP="00A43B35">
            <w:pPr>
              <w:pStyle w:val="Z"/>
              <w:jc w:val="center"/>
              <w:rPr>
                <w:color w:val="000000" w:themeColor="text1"/>
                <w:szCs w:val="18"/>
                <w:highlight w:val="yellow"/>
              </w:rPr>
            </w:pPr>
            <w:r w:rsidRPr="00217865">
              <w:rPr>
                <w:color w:val="000000" w:themeColor="text1"/>
                <w:szCs w:val="18"/>
              </w:rPr>
              <w:t>74.2 (72.5, 75.8)</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4316B6F" w14:textId="090DFAB1" w:rsidR="00821227" w:rsidRPr="00217865" w:rsidRDefault="00B6122E" w:rsidP="00A43B35">
            <w:pPr>
              <w:pStyle w:val="Z"/>
              <w:jc w:val="center"/>
              <w:rPr>
                <w:color w:val="000000" w:themeColor="text1"/>
                <w:szCs w:val="18"/>
                <w:highlight w:val="yellow"/>
              </w:rPr>
            </w:pPr>
            <w:r w:rsidRPr="00217865">
              <w:rPr>
                <w:color w:val="000000" w:themeColor="text1"/>
                <w:szCs w:val="18"/>
              </w:rPr>
              <w:t>78.9 (77.3, 80.4)</w:t>
            </w:r>
          </w:p>
        </w:tc>
      </w:tr>
      <w:tr w:rsidR="00217865" w:rsidRPr="00217865" w14:paraId="6FFEB6AB"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20B5FC6" w14:textId="78570FAB" w:rsidR="00821227" w:rsidRPr="00217865" w:rsidRDefault="00B6122E" w:rsidP="00A43B35">
            <w:pPr>
              <w:pStyle w:val="Tabletext"/>
              <w:rPr>
                <w:rFonts w:cs="Arial"/>
                <w:color w:val="000000" w:themeColor="text1"/>
                <w:highlight w:val="yellow"/>
              </w:rPr>
            </w:pPr>
            <w:r w:rsidRPr="00217865">
              <w:rPr>
                <w:rFonts w:cs="Arial"/>
                <w:color w:val="000000" w:themeColor="text1"/>
              </w:rPr>
              <w:t>Law and paralegal studies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29660493" w14:textId="3F011C3E" w:rsidR="00821227" w:rsidRPr="00217865" w:rsidRDefault="00B6122E" w:rsidP="00A43B35">
            <w:pPr>
              <w:pStyle w:val="Z"/>
              <w:jc w:val="center"/>
              <w:rPr>
                <w:color w:val="000000" w:themeColor="text1"/>
                <w:szCs w:val="18"/>
                <w:highlight w:val="yellow"/>
              </w:rPr>
            </w:pPr>
            <w:r w:rsidRPr="00217865">
              <w:rPr>
                <w:color w:val="000000" w:themeColor="text1"/>
                <w:szCs w:val="18"/>
              </w:rPr>
              <w:t>72.4 (67.5, 76.5)</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9CA467B" w14:textId="28A53996" w:rsidR="00821227" w:rsidRPr="00217865" w:rsidRDefault="00B6122E" w:rsidP="00A43B35">
            <w:pPr>
              <w:pStyle w:val="Z"/>
              <w:jc w:val="center"/>
              <w:rPr>
                <w:color w:val="000000" w:themeColor="text1"/>
                <w:szCs w:val="18"/>
                <w:highlight w:val="yellow"/>
              </w:rPr>
            </w:pPr>
            <w:r w:rsidRPr="00217865">
              <w:rPr>
                <w:color w:val="000000" w:themeColor="text1"/>
                <w:szCs w:val="18"/>
              </w:rPr>
              <w:t>77.2 (72.6, 81.1)</w:t>
            </w:r>
          </w:p>
        </w:tc>
      </w:tr>
      <w:tr w:rsidR="00217865" w:rsidRPr="00217865" w14:paraId="3BB8EAFC"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9B2C418" w14:textId="659EF8C5" w:rsidR="00821227" w:rsidRPr="00217865" w:rsidRDefault="00B6122E" w:rsidP="00A43B35">
            <w:pPr>
              <w:pStyle w:val="Tabletext"/>
              <w:rPr>
                <w:rFonts w:cs="Arial"/>
                <w:color w:val="000000" w:themeColor="text1"/>
                <w:highlight w:val="yellow"/>
              </w:rPr>
            </w:pPr>
            <w:r w:rsidRPr="00217865">
              <w:rPr>
                <w:rFonts w:cs="Arial"/>
                <w:color w:val="000000" w:themeColor="text1"/>
              </w:rPr>
              <w:t>Medicine</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A199DDD" w14:textId="1EBA9022" w:rsidR="00821227" w:rsidRPr="00217865" w:rsidRDefault="00B6122E" w:rsidP="00A43B35">
            <w:pPr>
              <w:pStyle w:val="Z"/>
              <w:jc w:val="center"/>
              <w:rPr>
                <w:color w:val="000000" w:themeColor="text1"/>
                <w:szCs w:val="18"/>
                <w:highlight w:val="yellow"/>
              </w:rPr>
            </w:pPr>
            <w:r w:rsidRPr="00217865">
              <w:rPr>
                <w:color w:val="000000" w:themeColor="text1"/>
                <w:szCs w:val="18"/>
              </w:rPr>
              <w:t>73.7 (70.1, 76.8)</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3CA1C9F" w14:textId="763837C6" w:rsidR="00821227" w:rsidRPr="00217865" w:rsidRDefault="00B6122E" w:rsidP="00A43B35">
            <w:pPr>
              <w:pStyle w:val="Z"/>
              <w:jc w:val="center"/>
              <w:rPr>
                <w:color w:val="000000" w:themeColor="text1"/>
                <w:szCs w:val="18"/>
                <w:highlight w:val="yellow"/>
              </w:rPr>
            </w:pPr>
            <w:r w:rsidRPr="00217865">
              <w:rPr>
                <w:color w:val="000000" w:themeColor="text1"/>
                <w:szCs w:val="18"/>
              </w:rPr>
              <w:t>68.9 (65.2, 72.3)</w:t>
            </w:r>
          </w:p>
        </w:tc>
      </w:tr>
      <w:tr w:rsidR="00217865" w:rsidRPr="00217865" w14:paraId="33CE1908"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01B9C9D" w14:textId="65C09572" w:rsidR="00821227" w:rsidRPr="00217865" w:rsidRDefault="00B6122E" w:rsidP="00A43B35">
            <w:pPr>
              <w:pStyle w:val="Tabletext"/>
              <w:rPr>
                <w:rFonts w:cs="Arial"/>
                <w:color w:val="000000" w:themeColor="text1"/>
                <w:highlight w:val="yellow"/>
              </w:rPr>
            </w:pPr>
            <w:r w:rsidRPr="00217865">
              <w:rPr>
                <w:rFonts w:cs="Arial"/>
                <w:color w:val="000000" w:themeColor="text1"/>
              </w:rPr>
              <w:t>Nursing</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E540F6B" w14:textId="2832339F" w:rsidR="00821227" w:rsidRPr="00217865" w:rsidRDefault="00B6122E" w:rsidP="00A43B35">
            <w:pPr>
              <w:pStyle w:val="Z"/>
              <w:jc w:val="center"/>
              <w:rPr>
                <w:color w:val="000000" w:themeColor="text1"/>
                <w:szCs w:val="18"/>
                <w:highlight w:val="yellow"/>
              </w:rPr>
            </w:pPr>
            <w:r w:rsidRPr="00217865">
              <w:rPr>
                <w:color w:val="000000" w:themeColor="text1"/>
                <w:szCs w:val="18"/>
              </w:rPr>
              <w:t>80.9 (80.1, 81.7)</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9E07AA6" w14:textId="28F3223F" w:rsidR="00821227" w:rsidRPr="00217865" w:rsidRDefault="00B6122E" w:rsidP="00A43B35">
            <w:pPr>
              <w:pStyle w:val="Z"/>
              <w:jc w:val="center"/>
              <w:rPr>
                <w:color w:val="000000" w:themeColor="text1"/>
                <w:szCs w:val="18"/>
                <w:highlight w:val="yellow"/>
              </w:rPr>
            </w:pPr>
            <w:r w:rsidRPr="00217865">
              <w:rPr>
                <w:color w:val="000000" w:themeColor="text1"/>
                <w:szCs w:val="18"/>
              </w:rPr>
              <w:t>80.7 (79.8, 81.5)</w:t>
            </w:r>
          </w:p>
        </w:tc>
      </w:tr>
      <w:tr w:rsidR="00217865" w:rsidRPr="00217865" w14:paraId="58EC1F93"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4A322F3" w14:textId="1275894E" w:rsidR="00821227" w:rsidRPr="00217865" w:rsidRDefault="00B6122E" w:rsidP="00A43B35">
            <w:pPr>
              <w:pStyle w:val="Tabletext"/>
              <w:rPr>
                <w:rFonts w:cs="Arial"/>
                <w:color w:val="000000" w:themeColor="text1"/>
                <w:highlight w:val="yellow"/>
              </w:rPr>
            </w:pPr>
            <w:r w:rsidRPr="00217865">
              <w:rPr>
                <w:rFonts w:cs="Arial"/>
                <w:color w:val="000000" w:themeColor="text1"/>
              </w:rPr>
              <w:t>Pharmacy</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1806BFE" w14:textId="42213493" w:rsidR="00821227" w:rsidRPr="00217865" w:rsidRDefault="00B6122E" w:rsidP="00A43B35">
            <w:pPr>
              <w:pStyle w:val="Z"/>
              <w:jc w:val="center"/>
              <w:rPr>
                <w:color w:val="000000" w:themeColor="text1"/>
                <w:szCs w:val="18"/>
                <w:highlight w:val="yellow"/>
              </w:rPr>
            </w:pPr>
            <w:r w:rsidRPr="00217865">
              <w:rPr>
                <w:color w:val="000000" w:themeColor="text1"/>
                <w:szCs w:val="18"/>
              </w:rPr>
              <w:t>74.6 (71.0, 77.7)</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6BBAD17" w14:textId="0EEAD0EF" w:rsidR="00821227" w:rsidRPr="00217865" w:rsidRDefault="00B6122E" w:rsidP="00A43B35">
            <w:pPr>
              <w:pStyle w:val="Z"/>
              <w:jc w:val="center"/>
              <w:rPr>
                <w:color w:val="000000" w:themeColor="text1"/>
                <w:szCs w:val="18"/>
                <w:highlight w:val="yellow"/>
              </w:rPr>
            </w:pPr>
            <w:r w:rsidRPr="00217865">
              <w:rPr>
                <w:color w:val="000000" w:themeColor="text1"/>
                <w:szCs w:val="18"/>
              </w:rPr>
              <w:t>75.1 (71.5, 78.2)</w:t>
            </w:r>
          </w:p>
        </w:tc>
      </w:tr>
      <w:tr w:rsidR="00217865" w:rsidRPr="00217865" w14:paraId="32D580D0"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758435FF" w14:textId="615E1905" w:rsidR="00821227" w:rsidRPr="00217865" w:rsidRDefault="00B6122E" w:rsidP="00A43B35">
            <w:pPr>
              <w:pStyle w:val="Tabletext"/>
              <w:rPr>
                <w:rFonts w:cs="Arial"/>
                <w:color w:val="000000" w:themeColor="text1"/>
                <w:highlight w:val="yellow"/>
              </w:rPr>
            </w:pPr>
            <w:r w:rsidRPr="00217865">
              <w:rPr>
                <w:rFonts w:cs="Arial"/>
                <w:color w:val="000000" w:themeColor="text1"/>
              </w:rPr>
              <w:t>Psychology</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C18718B" w14:textId="71F2B77F" w:rsidR="00821227" w:rsidRPr="00217865" w:rsidRDefault="00B6122E" w:rsidP="00A43B35">
            <w:pPr>
              <w:pStyle w:val="Z"/>
              <w:jc w:val="center"/>
              <w:rPr>
                <w:color w:val="000000" w:themeColor="text1"/>
                <w:szCs w:val="18"/>
                <w:highlight w:val="yellow"/>
              </w:rPr>
            </w:pPr>
            <w:r w:rsidRPr="00217865">
              <w:rPr>
                <w:color w:val="000000" w:themeColor="text1"/>
                <w:szCs w:val="18"/>
              </w:rPr>
              <w:t>73.7 (71.2, 75.9)</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0C8CFB8" w14:textId="07766572" w:rsidR="00821227" w:rsidRPr="00217865" w:rsidRDefault="00B6122E" w:rsidP="00A43B35">
            <w:pPr>
              <w:pStyle w:val="Z"/>
              <w:jc w:val="center"/>
              <w:rPr>
                <w:color w:val="000000" w:themeColor="text1"/>
                <w:szCs w:val="18"/>
                <w:highlight w:val="yellow"/>
              </w:rPr>
            </w:pPr>
            <w:r w:rsidRPr="00217865">
              <w:rPr>
                <w:color w:val="000000" w:themeColor="text1"/>
                <w:szCs w:val="18"/>
              </w:rPr>
              <w:t>78.7 (76.4, 80.8)</w:t>
            </w:r>
          </w:p>
        </w:tc>
      </w:tr>
      <w:tr w:rsidR="00217865" w:rsidRPr="00217865" w14:paraId="3DBA67B2"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3BB8388" w14:textId="641E85E0" w:rsidR="00821227" w:rsidRPr="00217865" w:rsidRDefault="00B6122E" w:rsidP="00A43B35">
            <w:pPr>
              <w:pStyle w:val="Tabletext"/>
              <w:rPr>
                <w:rFonts w:cs="Arial"/>
                <w:color w:val="000000" w:themeColor="text1"/>
                <w:highlight w:val="yellow"/>
              </w:rPr>
            </w:pPr>
            <w:r w:rsidRPr="00217865">
              <w:rPr>
                <w:rFonts w:cs="Arial"/>
                <w:color w:val="000000" w:themeColor="text1"/>
              </w:rPr>
              <w:t>Rehabilitation</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BB1C0D4" w14:textId="0202DCD0" w:rsidR="00821227" w:rsidRPr="00217865" w:rsidRDefault="00B6122E" w:rsidP="00A43B35">
            <w:pPr>
              <w:pStyle w:val="Z"/>
              <w:jc w:val="center"/>
              <w:rPr>
                <w:color w:val="000000" w:themeColor="text1"/>
                <w:szCs w:val="18"/>
                <w:highlight w:val="yellow"/>
              </w:rPr>
            </w:pPr>
            <w:r w:rsidRPr="00217865">
              <w:rPr>
                <w:color w:val="000000" w:themeColor="text1"/>
                <w:szCs w:val="18"/>
              </w:rPr>
              <w:t>74.0 (70.4, 77.2)</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D3F3AAA" w14:textId="42DDC365" w:rsidR="00821227" w:rsidRPr="00217865" w:rsidRDefault="00B6122E" w:rsidP="00A43B35">
            <w:pPr>
              <w:pStyle w:val="Z"/>
              <w:jc w:val="center"/>
              <w:rPr>
                <w:color w:val="000000" w:themeColor="text1"/>
                <w:szCs w:val="18"/>
                <w:highlight w:val="yellow"/>
              </w:rPr>
            </w:pPr>
            <w:r w:rsidRPr="00217865">
              <w:rPr>
                <w:color w:val="000000" w:themeColor="text1"/>
                <w:szCs w:val="18"/>
              </w:rPr>
              <w:t>71.1 (67.4, 74.4)</w:t>
            </w:r>
          </w:p>
        </w:tc>
      </w:tr>
      <w:tr w:rsidR="00217865" w:rsidRPr="00217865" w14:paraId="15995DF1"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328ECA2" w14:textId="509DDD7F" w:rsidR="00821227" w:rsidRPr="00217865" w:rsidRDefault="00B6122E" w:rsidP="00A43B35">
            <w:pPr>
              <w:pStyle w:val="Tabletext"/>
              <w:rPr>
                <w:rFonts w:cs="Arial"/>
                <w:color w:val="000000" w:themeColor="text1"/>
                <w:highlight w:val="yellow"/>
              </w:rPr>
            </w:pPr>
            <w:r w:rsidRPr="00217865">
              <w:rPr>
                <w:rFonts w:cs="Arial"/>
                <w:color w:val="000000" w:themeColor="text1"/>
              </w:rPr>
              <w:t>Science and mathematics</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40ADBF1" w14:textId="53473FE1" w:rsidR="00821227" w:rsidRPr="00217865" w:rsidRDefault="00B6122E" w:rsidP="00A43B35">
            <w:pPr>
              <w:pStyle w:val="Z"/>
              <w:jc w:val="center"/>
              <w:rPr>
                <w:color w:val="000000" w:themeColor="text1"/>
                <w:szCs w:val="18"/>
                <w:highlight w:val="yellow"/>
              </w:rPr>
            </w:pPr>
            <w:r w:rsidRPr="00217865">
              <w:rPr>
                <w:color w:val="000000" w:themeColor="text1"/>
                <w:szCs w:val="18"/>
              </w:rPr>
              <w:t>74.2 (72.9, 75.4)</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FA48543" w14:textId="6F6A8668" w:rsidR="00821227" w:rsidRPr="00217865" w:rsidRDefault="00B6122E" w:rsidP="00A43B35">
            <w:pPr>
              <w:pStyle w:val="Z"/>
              <w:jc w:val="center"/>
              <w:rPr>
                <w:color w:val="000000" w:themeColor="text1"/>
                <w:szCs w:val="18"/>
                <w:highlight w:val="yellow"/>
              </w:rPr>
            </w:pPr>
            <w:r w:rsidRPr="00217865">
              <w:rPr>
                <w:color w:val="000000" w:themeColor="text1"/>
                <w:szCs w:val="18"/>
              </w:rPr>
              <w:t>76.9 (75.7, 78.1)</w:t>
            </w:r>
          </w:p>
        </w:tc>
      </w:tr>
      <w:tr w:rsidR="00217865" w:rsidRPr="00217865" w14:paraId="0CA43431"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7B5B11B" w14:textId="64B344A8" w:rsidR="00821227" w:rsidRPr="00217865" w:rsidRDefault="00B6122E" w:rsidP="00A43B35">
            <w:pPr>
              <w:pStyle w:val="Tabletext"/>
              <w:rPr>
                <w:rFonts w:cs="Arial"/>
                <w:color w:val="000000" w:themeColor="text1"/>
                <w:highlight w:val="yellow"/>
              </w:rPr>
            </w:pPr>
            <w:r w:rsidRPr="00217865">
              <w:rPr>
                <w:rFonts w:cs="Arial"/>
                <w:color w:val="000000" w:themeColor="text1"/>
              </w:rPr>
              <w:t>Social work</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0582862" w14:textId="4C5DCB0E" w:rsidR="00821227" w:rsidRPr="00217865" w:rsidRDefault="00B6122E" w:rsidP="00A43B35">
            <w:pPr>
              <w:pStyle w:val="Z"/>
              <w:jc w:val="center"/>
              <w:rPr>
                <w:color w:val="000000" w:themeColor="text1"/>
                <w:szCs w:val="18"/>
                <w:highlight w:val="yellow"/>
              </w:rPr>
            </w:pPr>
            <w:r w:rsidRPr="00217865">
              <w:rPr>
                <w:color w:val="000000" w:themeColor="text1"/>
                <w:szCs w:val="18"/>
              </w:rPr>
              <w:t>78.6 (77.3, 79.9)</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1120DB1" w14:textId="4543B2C0" w:rsidR="00821227" w:rsidRPr="00217865" w:rsidRDefault="00B6122E" w:rsidP="00A43B35">
            <w:pPr>
              <w:pStyle w:val="Z"/>
              <w:jc w:val="center"/>
              <w:rPr>
                <w:color w:val="000000" w:themeColor="text1"/>
                <w:szCs w:val="18"/>
                <w:highlight w:val="yellow"/>
              </w:rPr>
            </w:pPr>
            <w:r w:rsidRPr="00217865">
              <w:rPr>
                <w:color w:val="000000" w:themeColor="text1"/>
                <w:szCs w:val="18"/>
              </w:rPr>
              <w:t>80.1 (78.8, 81.3)</w:t>
            </w:r>
          </w:p>
        </w:tc>
      </w:tr>
      <w:tr w:rsidR="00217865" w:rsidRPr="00217865" w14:paraId="67BA054B"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272FD11" w14:textId="512D4159" w:rsidR="00821227" w:rsidRPr="00217865" w:rsidRDefault="00B6122E" w:rsidP="00A43B35">
            <w:pPr>
              <w:pStyle w:val="Tabletext"/>
              <w:rPr>
                <w:rFonts w:cs="Arial"/>
                <w:color w:val="000000" w:themeColor="text1"/>
                <w:highlight w:val="yellow"/>
              </w:rPr>
            </w:pPr>
            <w:r w:rsidRPr="00217865">
              <w:rPr>
                <w:rFonts w:cs="Arial"/>
                <w:color w:val="000000" w:themeColor="text1"/>
              </w:rPr>
              <w:t>Teacher education</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06330AB" w14:textId="5030C5C1" w:rsidR="00821227" w:rsidRPr="00217865" w:rsidRDefault="00B6122E" w:rsidP="00A43B35">
            <w:pPr>
              <w:pStyle w:val="Z"/>
              <w:jc w:val="center"/>
              <w:rPr>
                <w:color w:val="000000" w:themeColor="text1"/>
                <w:szCs w:val="18"/>
                <w:highlight w:val="yellow"/>
              </w:rPr>
            </w:pPr>
            <w:r w:rsidRPr="00217865">
              <w:rPr>
                <w:color w:val="000000" w:themeColor="text1"/>
                <w:szCs w:val="18"/>
              </w:rPr>
              <w:t>78.4 (76.8, 79.8)</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584EF280" w14:textId="7A1F4F75" w:rsidR="00821227" w:rsidRPr="00217865" w:rsidRDefault="00B6122E" w:rsidP="00A43B35">
            <w:pPr>
              <w:pStyle w:val="Z"/>
              <w:jc w:val="center"/>
              <w:rPr>
                <w:color w:val="000000" w:themeColor="text1"/>
                <w:szCs w:val="18"/>
                <w:highlight w:val="yellow"/>
              </w:rPr>
            </w:pPr>
            <w:r w:rsidRPr="00217865">
              <w:rPr>
                <w:color w:val="000000" w:themeColor="text1"/>
                <w:szCs w:val="18"/>
              </w:rPr>
              <w:t>78.5 (76.9, 79.9)</w:t>
            </w:r>
          </w:p>
        </w:tc>
      </w:tr>
      <w:tr w:rsidR="00217865" w:rsidRPr="00217865" w14:paraId="4AF90115"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666A048E" w14:textId="1E382D3F" w:rsidR="00821227" w:rsidRPr="00217865" w:rsidRDefault="00B6122E" w:rsidP="00A43B35">
            <w:pPr>
              <w:pStyle w:val="Tabletext"/>
              <w:rPr>
                <w:rFonts w:cs="Arial"/>
                <w:color w:val="000000" w:themeColor="text1"/>
                <w:highlight w:val="yellow"/>
              </w:rPr>
            </w:pPr>
            <w:r w:rsidRPr="00217865">
              <w:rPr>
                <w:rFonts w:cs="Arial"/>
                <w:color w:val="000000" w:themeColor="text1"/>
              </w:rPr>
              <w:t>Tourism, hospitality, personal services, sport and recreation</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C3DB486" w14:textId="6C2C9988" w:rsidR="00821227" w:rsidRPr="00217865" w:rsidRDefault="00B6122E" w:rsidP="00A43B35">
            <w:pPr>
              <w:pStyle w:val="Z"/>
              <w:jc w:val="center"/>
              <w:rPr>
                <w:color w:val="000000" w:themeColor="text1"/>
                <w:szCs w:val="18"/>
                <w:highlight w:val="yellow"/>
              </w:rPr>
            </w:pPr>
            <w:r w:rsidRPr="00217865">
              <w:rPr>
                <w:color w:val="000000" w:themeColor="text1"/>
                <w:szCs w:val="18"/>
              </w:rPr>
              <w:t>85.7 (81.1, 89.0)</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643329A" w14:textId="060AF9D6" w:rsidR="00821227" w:rsidRPr="00217865" w:rsidRDefault="00B6122E" w:rsidP="00A43B35">
            <w:pPr>
              <w:pStyle w:val="Z"/>
              <w:jc w:val="center"/>
              <w:rPr>
                <w:color w:val="000000" w:themeColor="text1"/>
                <w:szCs w:val="18"/>
                <w:highlight w:val="yellow"/>
              </w:rPr>
            </w:pPr>
            <w:r w:rsidRPr="00217865">
              <w:rPr>
                <w:color w:val="000000" w:themeColor="text1"/>
                <w:szCs w:val="18"/>
              </w:rPr>
              <w:t>87.7 (83.2, 90.8)</w:t>
            </w:r>
          </w:p>
        </w:tc>
      </w:tr>
      <w:tr w:rsidR="00217865" w:rsidRPr="00217865" w14:paraId="6B83AFFD"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DAB52E0" w14:textId="6E1F2AEE" w:rsidR="00821227" w:rsidRPr="00217865" w:rsidRDefault="00B6122E" w:rsidP="00A43B35">
            <w:pPr>
              <w:pStyle w:val="Tabletext"/>
              <w:rPr>
                <w:rFonts w:cs="Arial"/>
                <w:color w:val="000000" w:themeColor="text1"/>
                <w:highlight w:val="yellow"/>
              </w:rPr>
            </w:pPr>
            <w:r w:rsidRPr="00217865">
              <w:rPr>
                <w:rFonts w:cs="Arial"/>
                <w:color w:val="000000" w:themeColor="text1"/>
              </w:rPr>
              <w:t>Veterinary science</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409749D2" w14:textId="3CBEE266" w:rsidR="00821227" w:rsidRPr="00217865" w:rsidRDefault="00B6122E" w:rsidP="00A43B35">
            <w:pPr>
              <w:pStyle w:val="Z"/>
              <w:jc w:val="center"/>
              <w:rPr>
                <w:color w:val="000000" w:themeColor="text1"/>
                <w:szCs w:val="18"/>
                <w:highlight w:val="yellow"/>
              </w:rPr>
            </w:pPr>
            <w:r w:rsidRPr="00217865">
              <w:rPr>
                <w:color w:val="000000" w:themeColor="text1"/>
                <w:szCs w:val="18"/>
              </w:rPr>
              <w:t>84.0 (78.7, 87.5)</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06F7CD17" w14:textId="0200394D" w:rsidR="00821227" w:rsidRPr="00217865" w:rsidRDefault="00B6122E" w:rsidP="00A43B35">
            <w:pPr>
              <w:pStyle w:val="Z"/>
              <w:jc w:val="center"/>
              <w:rPr>
                <w:color w:val="000000" w:themeColor="text1"/>
                <w:szCs w:val="18"/>
                <w:highlight w:val="yellow"/>
              </w:rPr>
            </w:pPr>
            <w:r w:rsidRPr="00217865">
              <w:rPr>
                <w:color w:val="000000" w:themeColor="text1"/>
                <w:szCs w:val="18"/>
              </w:rPr>
              <w:t>81.1 (75.7, 85.0)</w:t>
            </w:r>
          </w:p>
        </w:tc>
      </w:tr>
      <w:tr w:rsidR="00217865" w:rsidRPr="00217865" w14:paraId="74F7BEFB" w14:textId="77777777" w:rsidTr="006121CF">
        <w:trPr>
          <w:trHeight w:val="60"/>
        </w:trPr>
        <w:tc>
          <w:tcPr>
            <w:tcW w:w="2142"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6036570" w14:textId="5DA2F512" w:rsidR="00821227" w:rsidRPr="00217865" w:rsidRDefault="00821227" w:rsidP="00A43B35">
            <w:pPr>
              <w:pStyle w:val="Tabletext"/>
              <w:rPr>
                <w:rFonts w:cs="Arial"/>
                <w:b/>
                <w:bCs/>
                <w:color w:val="000000" w:themeColor="text1"/>
                <w:highlight w:val="yellow"/>
                <w:lang w:val="en-US"/>
              </w:rPr>
            </w:pPr>
            <w:r w:rsidRPr="00217865">
              <w:rPr>
                <w:rFonts w:cs="Arial"/>
                <w:color w:val="000000" w:themeColor="text1"/>
              </w:rPr>
              <w:t>Total</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3B573C26" w14:textId="4FA092ED" w:rsidR="00821227" w:rsidRPr="00217865" w:rsidRDefault="00821227" w:rsidP="00A43B35">
            <w:pPr>
              <w:pStyle w:val="Z"/>
              <w:jc w:val="center"/>
              <w:rPr>
                <w:b/>
                <w:bCs/>
                <w:color w:val="000000" w:themeColor="text1"/>
                <w:szCs w:val="18"/>
                <w:highlight w:val="yellow"/>
              </w:rPr>
            </w:pPr>
            <w:r w:rsidRPr="00217865">
              <w:rPr>
                <w:color w:val="000000" w:themeColor="text1"/>
                <w:szCs w:val="18"/>
              </w:rPr>
              <w:t>75.8 (75.4, 76.1)</w:t>
            </w:r>
          </w:p>
        </w:tc>
        <w:tc>
          <w:tcPr>
            <w:tcW w:w="142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14:paraId="1CAB5C11" w14:textId="5E316157" w:rsidR="00821227" w:rsidRPr="00217865" w:rsidRDefault="00821227" w:rsidP="00A43B35">
            <w:pPr>
              <w:pStyle w:val="Z"/>
              <w:jc w:val="center"/>
              <w:rPr>
                <w:b/>
                <w:bCs/>
                <w:color w:val="000000" w:themeColor="text1"/>
                <w:szCs w:val="18"/>
                <w:highlight w:val="yellow"/>
              </w:rPr>
            </w:pPr>
            <w:r w:rsidRPr="00217865">
              <w:rPr>
                <w:color w:val="000000" w:themeColor="text1"/>
                <w:szCs w:val="18"/>
              </w:rPr>
              <w:t>77.7 (77.4, 78.0)</w:t>
            </w:r>
          </w:p>
        </w:tc>
      </w:tr>
    </w:tbl>
    <w:p w14:paraId="5F6695F9" w14:textId="77777777" w:rsidR="00821227" w:rsidRPr="00217865" w:rsidRDefault="00821227" w:rsidP="007B7CAD">
      <w:pPr>
        <w:pStyle w:val="Body"/>
        <w:rPr>
          <w:color w:val="000000" w:themeColor="text1"/>
          <w:sz w:val="21"/>
          <w:highlight w:val="yellow"/>
        </w:rPr>
      </w:pPr>
      <w:r w:rsidRPr="00217865">
        <w:rPr>
          <w:color w:val="000000" w:themeColor="text1"/>
          <w:highlight w:val="yellow"/>
        </w:rPr>
        <w:br w:type="page"/>
      </w:r>
    </w:p>
    <w:p w14:paraId="1ED3EBBB" w14:textId="77777777" w:rsidR="005A5905" w:rsidRPr="00217865" w:rsidRDefault="005A5905" w:rsidP="00821227">
      <w:pPr>
        <w:pStyle w:val="Heading1"/>
        <w:numPr>
          <w:ilvl w:val="0"/>
          <w:numId w:val="0"/>
        </w:numPr>
        <w:ind w:left="851"/>
        <w:rPr>
          <w:rFonts w:cs="Arial"/>
          <w:color w:val="000000" w:themeColor="text1"/>
        </w:rPr>
        <w:sectPr w:rsidR="005A5905" w:rsidRPr="00217865" w:rsidSect="008D3DEC">
          <w:footerReference w:type="default" r:id="rId87"/>
          <w:pgSz w:w="11900" w:h="16840"/>
          <w:pgMar w:top="720" w:right="720" w:bottom="720" w:left="720" w:header="397" w:footer="283" w:gutter="0"/>
          <w:cols w:space="708"/>
          <w:docGrid w:linePitch="360"/>
        </w:sectPr>
      </w:pPr>
    </w:p>
    <w:p w14:paraId="304D7DE7" w14:textId="186DDE98" w:rsidR="009F5875" w:rsidRPr="00217865" w:rsidRDefault="009F5875" w:rsidP="00535E2A">
      <w:pPr>
        <w:pStyle w:val="AppendixHeading"/>
        <w:numPr>
          <w:ilvl w:val="0"/>
          <w:numId w:val="44"/>
        </w:numPr>
        <w:rPr>
          <w:rFonts w:cs="Arial"/>
          <w:color w:val="000000" w:themeColor="text1"/>
        </w:rPr>
      </w:pPr>
      <w:bookmarkStart w:id="350" w:name="_Ref167179143"/>
      <w:bookmarkStart w:id="351" w:name="_Toc169679802"/>
      <w:bookmarkStart w:id="352" w:name="_Toc178599303"/>
      <w:bookmarkStart w:id="353" w:name="_Ref167179362"/>
      <w:bookmarkStart w:id="354" w:name="_Toc167872815"/>
      <w:r w:rsidRPr="00217865">
        <w:rPr>
          <w:rFonts w:cs="Arial"/>
          <w:color w:val="000000" w:themeColor="text1"/>
        </w:rPr>
        <w:lastRenderedPageBreak/>
        <w:t>Review of the SES</w:t>
      </w:r>
      <w:bookmarkEnd w:id="350"/>
      <w:bookmarkEnd w:id="351"/>
      <w:bookmarkEnd w:id="352"/>
    </w:p>
    <w:p w14:paraId="27E3DB37"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lang w:val="en-GB"/>
        </w:rPr>
        <w:t xml:space="preserve">In 2022, the Australian Council for Educational Research, in collaboration with the Social Research Centre, was commissioned by the Australian Government Department of Education to review the SES instrument to determine whether it was still appropriate for measuring the experience of higher education students and meeting the needs of data users. Following this review, recommendations were made to improve the instrument, resulting in </w:t>
      </w:r>
      <w:proofErr w:type="gramStart"/>
      <w:r w:rsidRPr="00217865">
        <w:rPr>
          <w:rFonts w:eastAsia="Times New Roman" w:cs="Arial"/>
          <w:color w:val="000000" w:themeColor="text1"/>
          <w:szCs w:val="20"/>
          <w:lang w:val="en-GB"/>
        </w:rPr>
        <w:t>a number of</w:t>
      </w:r>
      <w:proofErr w:type="gramEnd"/>
      <w:r w:rsidRPr="00217865">
        <w:rPr>
          <w:rFonts w:eastAsia="Times New Roman" w:cs="Arial"/>
          <w:color w:val="000000" w:themeColor="text1"/>
          <w:szCs w:val="20"/>
          <w:lang w:val="en-GB"/>
        </w:rPr>
        <w:t xml:space="preserve"> changes being made to the 2023 SES. </w:t>
      </w:r>
      <w:r w:rsidRPr="00217865">
        <w:rPr>
          <w:rFonts w:eastAsia="Times New Roman" w:cs="Arial"/>
          <w:color w:val="000000" w:themeColor="text1"/>
          <w:szCs w:val="20"/>
        </w:rPr>
        <w:t xml:space="preserve">These changes are outlined in detail below. A complete item summary of the 2023 SES is available in </w:t>
      </w:r>
      <w:r w:rsidRPr="00217865">
        <w:rPr>
          <w:rFonts w:eastAsia="Times New Roman" w:cs="Arial"/>
          <w:b/>
          <w:bCs/>
          <w:color w:val="000000" w:themeColor="text1"/>
          <w:szCs w:val="20"/>
        </w:rPr>
        <w:t>Appendix 2,</w:t>
      </w:r>
      <w:r w:rsidRPr="00217865">
        <w:rPr>
          <w:rFonts w:eastAsia="Times New Roman" w:cs="Arial"/>
          <w:color w:val="000000" w:themeColor="text1"/>
          <w:szCs w:val="20"/>
        </w:rPr>
        <w:t xml:space="preserve"> </w:t>
      </w:r>
      <w:r w:rsidRPr="00217865">
        <w:rPr>
          <w:rFonts w:eastAsia="Times New Roman" w:cs="Arial"/>
          <w:b/>
          <w:bCs/>
          <w:color w:val="000000" w:themeColor="text1"/>
          <w:szCs w:val="20"/>
        </w:rPr>
        <w:t>Section 2.1 Core instrument</w:t>
      </w:r>
      <w:r w:rsidRPr="00217865">
        <w:rPr>
          <w:rFonts w:eastAsia="Times New Roman" w:cs="Arial"/>
          <w:color w:val="000000" w:themeColor="text1"/>
          <w:szCs w:val="20"/>
        </w:rPr>
        <w:t>.</w:t>
      </w:r>
    </w:p>
    <w:p w14:paraId="6B5D8DB7" w14:textId="77777777" w:rsidR="009F5875" w:rsidRPr="00217865" w:rsidRDefault="009F5875" w:rsidP="00E13525">
      <w:pPr>
        <w:keepNext/>
        <w:keepLines/>
        <w:numPr>
          <w:ilvl w:val="0"/>
          <w:numId w:val="43"/>
        </w:numPr>
        <w:spacing w:before="240" w:after="120"/>
        <w:ind w:left="993" w:hanging="993"/>
        <w:outlineLvl w:val="1"/>
        <w:rPr>
          <w:rFonts w:eastAsiaTheme="majorEastAsia" w:cs="Arial"/>
          <w:color w:val="000000" w:themeColor="text1"/>
          <w:sz w:val="32"/>
          <w:szCs w:val="32"/>
        </w:rPr>
      </w:pPr>
      <w:bookmarkStart w:id="355" w:name="_Toc169679803"/>
      <w:bookmarkStart w:id="356" w:name="_Toc178599304"/>
      <w:r w:rsidRPr="00217865">
        <w:rPr>
          <w:rFonts w:eastAsiaTheme="majorEastAsia" w:cs="Arial"/>
          <w:color w:val="000000" w:themeColor="text1"/>
          <w:sz w:val="32"/>
          <w:szCs w:val="32"/>
        </w:rPr>
        <w:t>Changes to the SES instrument</w:t>
      </w:r>
      <w:bookmarkEnd w:id="355"/>
      <w:bookmarkEnd w:id="356"/>
    </w:p>
    <w:p w14:paraId="7F12A348"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Based on findings from the review of the SES, the following changes were made to the 2023 SES instrument: </w:t>
      </w:r>
    </w:p>
    <w:p w14:paraId="090F0077" w14:textId="77777777" w:rsidR="009F5875" w:rsidRPr="00217865" w:rsidRDefault="009F5875" w:rsidP="009F5875">
      <w:pPr>
        <w:numPr>
          <w:ilvl w:val="0"/>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 xml:space="preserve">The addition of a set of questions related to study mode. </w:t>
      </w:r>
    </w:p>
    <w:p w14:paraId="1F9179B9" w14:textId="77777777" w:rsidR="009F5875" w:rsidRPr="00217865" w:rsidRDefault="009F5875" w:rsidP="009F5875">
      <w:pPr>
        <w:numPr>
          <w:ilvl w:val="0"/>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The redevelopment</w:t>
      </w:r>
      <w:r w:rsidRPr="00217865">
        <w:rPr>
          <w:rFonts w:eastAsia="Times New Roman" w:cs="Arial"/>
          <w:b/>
          <w:bCs/>
          <w:color w:val="000000" w:themeColor="text1"/>
          <w:szCs w:val="20"/>
        </w:rPr>
        <w:t xml:space="preserve"> </w:t>
      </w:r>
      <w:r w:rsidRPr="00217865">
        <w:rPr>
          <w:rFonts w:eastAsia="Times New Roman" w:cs="Arial"/>
          <w:color w:val="000000" w:themeColor="text1"/>
          <w:szCs w:val="20"/>
        </w:rPr>
        <w:t xml:space="preserve">of two focus areas and one item: </w:t>
      </w:r>
    </w:p>
    <w:p w14:paraId="2AF7734B"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Peer Engagement focus area (previously known as the Learner Engagement focus area)</w:t>
      </w:r>
    </w:p>
    <w:p w14:paraId="720EC9DA"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Student Support and Services</w:t>
      </w:r>
      <w:r w:rsidRPr="00217865">
        <w:rPr>
          <w:rFonts w:eastAsia="Times New Roman" w:cs="Arial"/>
          <w:b/>
          <w:bCs/>
          <w:color w:val="000000" w:themeColor="text1"/>
          <w:szCs w:val="20"/>
        </w:rPr>
        <w:t xml:space="preserve"> </w:t>
      </w:r>
      <w:r w:rsidRPr="00217865">
        <w:rPr>
          <w:rFonts w:eastAsia="Times New Roman" w:cs="Arial"/>
          <w:color w:val="000000" w:themeColor="text1"/>
          <w:szCs w:val="20"/>
        </w:rPr>
        <w:t>focus area (previously known as the Student Support focus area)</w:t>
      </w:r>
    </w:p>
    <w:p w14:paraId="3C62A695"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Response options for the ‘Seriously considered leaving’ question.</w:t>
      </w:r>
    </w:p>
    <w:p w14:paraId="2F9D7BAB" w14:textId="77777777" w:rsidR="009F5875" w:rsidRPr="00217865" w:rsidRDefault="009F5875" w:rsidP="009F5875">
      <w:pPr>
        <w:numPr>
          <w:ilvl w:val="0"/>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The removal</w:t>
      </w:r>
      <w:r w:rsidRPr="00217865">
        <w:rPr>
          <w:rFonts w:eastAsia="Times New Roman" w:cs="Arial"/>
          <w:b/>
          <w:bCs/>
          <w:color w:val="000000" w:themeColor="text1"/>
          <w:szCs w:val="20"/>
        </w:rPr>
        <w:t xml:space="preserve"> </w:t>
      </w:r>
      <w:r w:rsidRPr="00217865">
        <w:rPr>
          <w:rFonts w:eastAsia="Times New Roman" w:cs="Arial"/>
          <w:color w:val="000000" w:themeColor="text1"/>
          <w:szCs w:val="20"/>
        </w:rPr>
        <w:t xml:space="preserve">of questions related to: </w:t>
      </w:r>
    </w:p>
    <w:p w14:paraId="479E2B48"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 xml:space="preserve">where students’ study is based and the amount of study done online, </w:t>
      </w:r>
    </w:p>
    <w:p w14:paraId="19EF5308"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 xml:space="preserve">students’ average grade, and </w:t>
      </w:r>
    </w:p>
    <w:p w14:paraId="0D5126A3" w14:textId="77777777" w:rsidR="009F5875" w:rsidRPr="00217865" w:rsidRDefault="009F5875" w:rsidP="009F5875">
      <w:pPr>
        <w:numPr>
          <w:ilvl w:val="1"/>
          <w:numId w:val="3"/>
        </w:numPr>
        <w:spacing w:before="60" w:after="60" w:line="300" w:lineRule="auto"/>
        <w:rPr>
          <w:rFonts w:eastAsia="Times New Roman" w:cs="Arial"/>
          <w:color w:val="000000" w:themeColor="text1"/>
          <w:szCs w:val="20"/>
        </w:rPr>
      </w:pPr>
      <w:r w:rsidRPr="00217865">
        <w:rPr>
          <w:rFonts w:eastAsia="Times New Roman" w:cs="Arial"/>
          <w:color w:val="000000" w:themeColor="text1"/>
          <w:szCs w:val="20"/>
        </w:rPr>
        <w:t>visa type.</w:t>
      </w:r>
    </w:p>
    <w:p w14:paraId="7D43EEB0"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57" w:name="_Toc147266452"/>
      <w:bookmarkStart w:id="358" w:name="_Toc148606699"/>
      <w:bookmarkStart w:id="359" w:name="_Ref167872500"/>
      <w:bookmarkStart w:id="360" w:name="_Toc169679804"/>
      <w:bookmarkStart w:id="361" w:name="_Toc178599305"/>
      <w:r w:rsidRPr="00217865">
        <w:rPr>
          <w:rFonts w:cs="Arial"/>
          <w:color w:val="000000" w:themeColor="text1"/>
          <w:sz w:val="28"/>
        </w:rPr>
        <w:t>Peer Engagement focus area – previously known as Learner Engagement</w:t>
      </w:r>
      <w:bookmarkEnd w:id="357"/>
      <w:bookmarkEnd w:id="358"/>
      <w:bookmarkEnd w:id="359"/>
      <w:bookmarkEnd w:id="360"/>
      <w:bookmarkEnd w:id="361"/>
    </w:p>
    <w:p w14:paraId="3228CDF9" w14:textId="77777777" w:rsidR="009F5875" w:rsidRPr="00217865" w:rsidRDefault="009F5875" w:rsidP="009F5875">
      <w:pPr>
        <w:spacing w:before="120" w:after="120" w:line="300" w:lineRule="auto"/>
        <w:rPr>
          <w:rFonts w:eastAsia="Times New Roman" w:cs="Arial"/>
          <w:color w:val="000000" w:themeColor="text1"/>
          <w:szCs w:val="20"/>
        </w:rPr>
      </w:pPr>
      <w:proofErr w:type="gramStart"/>
      <w:r w:rsidRPr="00217865">
        <w:rPr>
          <w:rFonts w:eastAsia="Times New Roman" w:cs="Arial"/>
          <w:color w:val="000000" w:themeColor="text1"/>
          <w:szCs w:val="20"/>
        </w:rPr>
        <w:t>A number of</w:t>
      </w:r>
      <w:proofErr w:type="gramEnd"/>
      <w:r w:rsidRPr="00217865">
        <w:rPr>
          <w:rFonts w:eastAsia="Times New Roman" w:cs="Arial"/>
          <w:color w:val="000000" w:themeColor="text1"/>
          <w:szCs w:val="20"/>
        </w:rPr>
        <w:t xml:space="preserve"> issues were identified with the original Learner Engagement focus area, including statistical issues with the underlying items, concerns expressed by sector stakeholders relating to difficulties in interpreting and communicating findings, and a sense that the underlying items were too narrow and not important to students. This focus area was redeveloped to better align the items included in this focus area and to ensure that items focus on one factor psychometrically. </w:t>
      </w:r>
    </w:p>
    <w:p w14:paraId="6272A2FF"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OPPLOC (</w:t>
      </w:r>
      <w:r w:rsidRPr="00217865">
        <w:rPr>
          <w:rFonts w:eastAsia="Times New Roman" w:cs="Arial"/>
          <w:i/>
          <w:iCs/>
          <w:color w:val="000000" w:themeColor="text1"/>
          <w:szCs w:val="20"/>
        </w:rPr>
        <w:t>At your institution during 2022, to what extent have you been given opportunities to interact with local students?</w:t>
      </w:r>
      <w:r w:rsidRPr="00217865">
        <w:rPr>
          <w:rFonts w:eastAsia="Times New Roman" w:cs="Arial"/>
          <w:color w:val="000000" w:themeColor="text1"/>
          <w:szCs w:val="20"/>
        </w:rPr>
        <w:t>) and FEELPREP</w:t>
      </w:r>
      <w:r w:rsidRPr="00217865">
        <w:rPr>
          <w:rFonts w:eastAsia="Times New Roman" w:cs="Arial"/>
          <w:color w:val="000000" w:themeColor="text1"/>
          <w:sz w:val="14"/>
          <w:szCs w:val="14"/>
        </w:rPr>
        <w:t xml:space="preserve"> </w:t>
      </w:r>
      <w:r w:rsidRPr="00217865">
        <w:rPr>
          <w:rFonts w:eastAsia="Times New Roman" w:cs="Arial"/>
          <w:color w:val="000000" w:themeColor="text1"/>
          <w:szCs w:val="20"/>
        </w:rPr>
        <w:t>(</w:t>
      </w:r>
      <w:r w:rsidRPr="00217865">
        <w:rPr>
          <w:rFonts w:eastAsia="Times New Roman" w:cs="Arial"/>
          <w:i/>
          <w:iCs/>
          <w:color w:val="000000" w:themeColor="text1"/>
          <w:szCs w:val="20"/>
        </w:rPr>
        <w:t>At your institution during 2022, to what extent have you felt prepared for your study?</w:t>
      </w:r>
      <w:r w:rsidRPr="00217865">
        <w:rPr>
          <w:rFonts w:eastAsia="Times New Roman" w:cs="Arial"/>
          <w:color w:val="000000" w:themeColor="text1"/>
          <w:szCs w:val="20"/>
        </w:rPr>
        <w:t xml:space="preserve">) were removed from the 2023 SES instrument. Analysis from the review found OPPLOC was mostly relevant to international students only and FEELPREP was more closely associated with items in the Student Support focus area. </w:t>
      </w:r>
    </w:p>
    <w:p w14:paraId="62E3ECCC"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BELONG (</w:t>
      </w:r>
      <w:r w:rsidRPr="00217865">
        <w:rPr>
          <w:rFonts w:eastAsia="Times New Roman" w:cs="Arial"/>
          <w:i/>
          <w:iCs/>
          <w:color w:val="000000" w:themeColor="text1"/>
          <w:szCs w:val="20"/>
        </w:rPr>
        <w:t>At your institution during 2022, to what extent have you had a sense of belonging to your institution?</w:t>
      </w:r>
      <w:r w:rsidRPr="00217865">
        <w:rPr>
          <w:rFonts w:eastAsia="Times New Roman" w:cs="Arial"/>
          <w:color w:val="000000" w:themeColor="text1"/>
          <w:szCs w:val="20"/>
        </w:rPr>
        <w:t>), a benchmark and KPI for many institutions, was removed from the focus area but retained in the SES instrument to be reported separately.</w:t>
      </w:r>
    </w:p>
    <w:p w14:paraId="5D0037FB"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The name of this focus area was changed to Peer Engagement to better reflect the items being interrogated. </w:t>
      </w:r>
    </w:p>
    <w:p w14:paraId="6C708B45" w14:textId="77777777" w:rsidR="009F5875" w:rsidRPr="00217865" w:rsidRDefault="009F5875" w:rsidP="009F5875">
      <w:pPr>
        <w:spacing w:after="160" w:line="259" w:lineRule="auto"/>
        <w:rPr>
          <w:rFonts w:eastAsia="Times New Roman" w:cs="Arial"/>
          <w:color w:val="000000" w:themeColor="text1"/>
          <w:szCs w:val="20"/>
        </w:rPr>
      </w:pPr>
      <w:r w:rsidRPr="00217865">
        <w:rPr>
          <w:rFonts w:cs="Arial"/>
          <w:color w:val="000000" w:themeColor="text1"/>
        </w:rPr>
        <w:br w:type="page"/>
      </w:r>
    </w:p>
    <w:p w14:paraId="349BD645" w14:textId="3A629A1C" w:rsidR="009F5875" w:rsidRPr="00217865" w:rsidRDefault="009F5875" w:rsidP="009F5875">
      <w:pPr>
        <w:keepNext/>
        <w:tabs>
          <w:tab w:val="left" w:pos="1134"/>
        </w:tabs>
        <w:spacing w:before="120" w:after="120"/>
        <w:ind w:left="1134" w:hanging="1134"/>
        <w:rPr>
          <w:rFonts w:eastAsia="Times New Roman" w:cs="Arial"/>
          <w:b/>
          <w:bCs/>
          <w:color w:val="000000" w:themeColor="text1"/>
          <w:sz w:val="21"/>
          <w:szCs w:val="21"/>
          <w:lang w:eastAsia="en-AU"/>
        </w:rPr>
      </w:pPr>
      <w:bookmarkStart w:id="362" w:name="_Toc147265502"/>
      <w:bookmarkStart w:id="363" w:name="_Toc148606707"/>
      <w:bookmarkStart w:id="364" w:name="_Toc167872863"/>
      <w:bookmarkStart w:id="365" w:name="_Toc178599387"/>
      <w:r w:rsidRPr="00217865">
        <w:rPr>
          <w:rFonts w:eastAsia="Times New Roman" w:cs="Arial"/>
          <w:b/>
          <w:bCs/>
          <w:color w:val="000000" w:themeColor="text1"/>
          <w:sz w:val="21"/>
          <w:szCs w:val="21"/>
          <w:lang w:eastAsia="en-AU"/>
        </w:rPr>
        <w:lastRenderedPageBreak/>
        <w:t xml:space="preserve">Table </w:t>
      </w:r>
      <w:r w:rsidRPr="00217865">
        <w:rPr>
          <w:rFonts w:eastAsia="Times New Roman" w:cs="Arial"/>
          <w:b/>
          <w:bCs/>
          <w:color w:val="000000" w:themeColor="text1"/>
          <w:sz w:val="21"/>
          <w:szCs w:val="21"/>
          <w:lang w:eastAsia="en-AU"/>
        </w:rPr>
        <w:fldChar w:fldCharType="begin"/>
      </w:r>
      <w:r w:rsidRPr="00217865">
        <w:rPr>
          <w:rFonts w:eastAsia="Times New Roman" w:cs="Arial"/>
          <w:b/>
          <w:bCs/>
          <w:color w:val="000000" w:themeColor="text1"/>
          <w:sz w:val="21"/>
          <w:szCs w:val="21"/>
          <w:lang w:eastAsia="en-AU"/>
        </w:rPr>
        <w:instrText xml:space="preserve"> SEQ Table \* ARABIC </w:instrText>
      </w:r>
      <w:r w:rsidRPr="00217865">
        <w:rPr>
          <w:rFonts w:eastAsia="Times New Roman" w:cs="Arial"/>
          <w:b/>
          <w:bCs/>
          <w:color w:val="000000" w:themeColor="text1"/>
          <w:sz w:val="21"/>
          <w:szCs w:val="21"/>
          <w:lang w:eastAsia="en-AU"/>
        </w:rPr>
        <w:fldChar w:fldCharType="separate"/>
      </w:r>
      <w:r w:rsidR="005D5678">
        <w:rPr>
          <w:rFonts w:eastAsia="Times New Roman" w:cs="Arial"/>
          <w:b/>
          <w:bCs/>
          <w:noProof/>
          <w:color w:val="000000" w:themeColor="text1"/>
          <w:sz w:val="21"/>
          <w:szCs w:val="21"/>
          <w:lang w:eastAsia="en-AU"/>
        </w:rPr>
        <w:t>22</w:t>
      </w:r>
      <w:r w:rsidRPr="00217865">
        <w:rPr>
          <w:rFonts w:eastAsia="Times New Roman" w:cs="Arial"/>
          <w:b/>
          <w:bCs/>
          <w:color w:val="000000" w:themeColor="text1"/>
          <w:sz w:val="21"/>
          <w:szCs w:val="21"/>
          <w:lang w:eastAsia="en-AU"/>
        </w:rPr>
        <w:fldChar w:fldCharType="end"/>
      </w:r>
      <w:r w:rsidR="00CF00B5">
        <w:rPr>
          <w:rFonts w:eastAsia="Times New Roman" w:cs="Arial"/>
          <w:b/>
          <w:bCs/>
          <w:color w:val="000000" w:themeColor="text1"/>
          <w:sz w:val="21"/>
          <w:szCs w:val="21"/>
          <w:lang w:eastAsia="en-AU"/>
        </w:rPr>
        <w:tab/>
      </w:r>
      <w:r w:rsidRPr="00217865">
        <w:rPr>
          <w:rFonts w:eastAsia="Times New Roman" w:cs="Arial"/>
          <w:b/>
          <w:bCs/>
          <w:color w:val="000000" w:themeColor="text1"/>
          <w:sz w:val="21"/>
          <w:szCs w:val="21"/>
          <w:lang w:eastAsia="en-AU"/>
        </w:rPr>
        <w:t>New Peer Engagement focus area items</w:t>
      </w:r>
      <w:bookmarkEnd w:id="362"/>
      <w:bookmarkEnd w:id="363"/>
      <w:bookmarkEnd w:id="364"/>
      <w:bookmarkEnd w:id="365"/>
    </w:p>
    <w:tbl>
      <w:tblPr>
        <w:tblStyle w:val="TableGrid"/>
        <w:tblW w:w="9356" w:type="dxa"/>
        <w:tblLayout w:type="fixed"/>
        <w:tblLook w:val="0020" w:firstRow="1" w:lastRow="0" w:firstColumn="0" w:lastColumn="0" w:noHBand="0" w:noVBand="0"/>
      </w:tblPr>
      <w:tblGrid>
        <w:gridCol w:w="2268"/>
        <w:gridCol w:w="5387"/>
        <w:gridCol w:w="1701"/>
      </w:tblGrid>
      <w:tr w:rsidR="00217865" w:rsidRPr="00217865" w14:paraId="2D30503C" w14:textId="77777777" w:rsidTr="007B7CAD">
        <w:trPr>
          <w:cnfStyle w:val="100000000000" w:firstRow="1" w:lastRow="0" w:firstColumn="0" w:lastColumn="0" w:oddVBand="0" w:evenVBand="0" w:oddHBand="0" w:evenHBand="0" w:firstRowFirstColumn="0" w:firstRowLastColumn="0" w:lastRowFirstColumn="0" w:lastRowLastColumn="0"/>
          <w:trHeight w:val="284"/>
          <w:tblHeader/>
        </w:trPr>
        <w:tc>
          <w:tcPr>
            <w:tcW w:w="2268" w:type="dxa"/>
            <w:vAlign w:val="center"/>
          </w:tcPr>
          <w:p w14:paraId="5977E6D0" w14:textId="77777777" w:rsidR="009F5875" w:rsidRPr="00217865" w:rsidRDefault="009F5875" w:rsidP="007B7CAD">
            <w:pPr>
              <w:autoSpaceDE w:val="0"/>
              <w:autoSpaceDN w:val="0"/>
              <w:adjustRightInd w:val="0"/>
              <w:spacing w:before="60" w:after="60"/>
              <w:rPr>
                <w:rFonts w:cs="Arial"/>
                <w:b w:val="0"/>
                <w:bCs/>
                <w:szCs w:val="20"/>
              </w:rPr>
            </w:pPr>
            <w:r w:rsidRPr="00217865">
              <w:rPr>
                <w:rFonts w:cs="Arial"/>
                <w:bCs/>
                <w:szCs w:val="20"/>
              </w:rPr>
              <w:t>Va</w:t>
            </w:r>
            <w:bookmarkStart w:id="366" w:name="Title_22"/>
            <w:bookmarkEnd w:id="366"/>
            <w:r w:rsidRPr="00217865">
              <w:rPr>
                <w:rFonts w:cs="Arial"/>
                <w:bCs/>
                <w:szCs w:val="20"/>
              </w:rPr>
              <w:t xml:space="preserve">riable </w:t>
            </w:r>
          </w:p>
        </w:tc>
        <w:tc>
          <w:tcPr>
            <w:tcW w:w="5387" w:type="dxa"/>
            <w:vAlign w:val="center"/>
          </w:tcPr>
          <w:p w14:paraId="67DE99EB" w14:textId="77777777" w:rsidR="009F5875" w:rsidRPr="00217865" w:rsidRDefault="009F5875" w:rsidP="009F5875">
            <w:pPr>
              <w:autoSpaceDE w:val="0"/>
              <w:autoSpaceDN w:val="0"/>
              <w:adjustRightInd w:val="0"/>
              <w:spacing w:after="60"/>
              <w:rPr>
                <w:rFonts w:cs="Arial"/>
                <w:b w:val="0"/>
                <w:bCs/>
                <w:szCs w:val="20"/>
              </w:rPr>
            </w:pPr>
            <w:r w:rsidRPr="00217865">
              <w:rPr>
                <w:rFonts w:cs="Arial"/>
                <w:bCs/>
                <w:szCs w:val="20"/>
              </w:rPr>
              <w:t>Question</w:t>
            </w:r>
          </w:p>
        </w:tc>
        <w:tc>
          <w:tcPr>
            <w:tcW w:w="1701" w:type="dxa"/>
            <w:vAlign w:val="center"/>
          </w:tcPr>
          <w:p w14:paraId="61C3BCD6" w14:textId="77777777" w:rsidR="009F5875" w:rsidRPr="00217865" w:rsidRDefault="009F5875" w:rsidP="009F5875">
            <w:pPr>
              <w:autoSpaceDE w:val="0"/>
              <w:autoSpaceDN w:val="0"/>
              <w:adjustRightInd w:val="0"/>
              <w:spacing w:after="60"/>
              <w:rPr>
                <w:rFonts w:cs="Arial"/>
                <w:b w:val="0"/>
                <w:bCs/>
                <w:szCs w:val="20"/>
              </w:rPr>
            </w:pPr>
            <w:r w:rsidRPr="00217865">
              <w:rPr>
                <w:rFonts w:cs="Arial"/>
                <w:bCs/>
                <w:szCs w:val="20"/>
              </w:rPr>
              <w:t xml:space="preserve">Response options </w:t>
            </w:r>
          </w:p>
        </w:tc>
      </w:tr>
      <w:tr w:rsidR="00217865" w:rsidRPr="00217865" w14:paraId="2C866237" w14:textId="77777777" w:rsidTr="00735EE6">
        <w:trPr>
          <w:trHeight w:val="276"/>
        </w:trPr>
        <w:tc>
          <w:tcPr>
            <w:tcW w:w="2268" w:type="dxa"/>
          </w:tcPr>
          <w:p w14:paraId="3182D641"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INTERACTINTROA/ INTERACTINTROB</w:t>
            </w:r>
          </w:p>
          <w:p w14:paraId="036247E5" w14:textId="77777777" w:rsidR="009F5875" w:rsidRPr="00217865" w:rsidRDefault="009F5875" w:rsidP="009F5875">
            <w:pPr>
              <w:autoSpaceDE w:val="0"/>
              <w:autoSpaceDN w:val="0"/>
              <w:adjustRightInd w:val="0"/>
              <w:spacing w:after="60"/>
              <w:rPr>
                <w:rFonts w:cs="Arial"/>
                <w:color w:val="000000" w:themeColor="text1"/>
                <w:szCs w:val="20"/>
              </w:rPr>
            </w:pPr>
          </w:p>
          <w:p w14:paraId="6C6CCC38" w14:textId="77777777" w:rsidR="009F5875" w:rsidRPr="00217865" w:rsidRDefault="009F5875" w:rsidP="009F5875">
            <w:pPr>
              <w:autoSpaceDE w:val="0"/>
              <w:autoSpaceDN w:val="0"/>
              <w:adjustRightInd w:val="0"/>
              <w:spacing w:after="60"/>
              <w:rPr>
                <w:rFonts w:cs="Arial"/>
                <w:color w:val="000000" w:themeColor="text1"/>
                <w:szCs w:val="20"/>
              </w:rPr>
            </w:pPr>
          </w:p>
          <w:p w14:paraId="24E36ABE" w14:textId="77777777" w:rsidR="009F5875" w:rsidRPr="00217865" w:rsidRDefault="009F5875" w:rsidP="009F5875">
            <w:pPr>
              <w:autoSpaceDE w:val="0"/>
              <w:autoSpaceDN w:val="0"/>
              <w:adjustRightInd w:val="0"/>
              <w:spacing w:after="60"/>
              <w:rPr>
                <w:rFonts w:cs="Arial"/>
                <w:color w:val="000000" w:themeColor="text1"/>
                <w:szCs w:val="20"/>
              </w:rPr>
            </w:pPr>
          </w:p>
          <w:p w14:paraId="4382D22A" w14:textId="77777777" w:rsidR="009F5875" w:rsidRPr="00217865" w:rsidRDefault="009F5875" w:rsidP="009F5875">
            <w:pPr>
              <w:autoSpaceDE w:val="0"/>
              <w:autoSpaceDN w:val="0"/>
              <w:adjustRightInd w:val="0"/>
              <w:spacing w:after="60"/>
              <w:rPr>
                <w:rFonts w:cs="Arial"/>
                <w:color w:val="000000" w:themeColor="text1"/>
                <w:sz w:val="18"/>
              </w:rPr>
            </w:pPr>
            <w:r w:rsidRPr="00217865">
              <w:rPr>
                <w:rFonts w:cs="Arial"/>
                <w:color w:val="000000" w:themeColor="text1"/>
                <w:szCs w:val="20"/>
              </w:rPr>
              <w:t>DISCUSS_REV</w:t>
            </w:r>
            <w:r w:rsidRPr="00217865">
              <w:rPr>
                <w:rFonts w:cs="Arial"/>
                <w:color w:val="000000" w:themeColor="text1"/>
                <w:sz w:val="18"/>
              </w:rPr>
              <w:tab/>
            </w:r>
          </w:p>
          <w:p w14:paraId="0CC5789E" w14:textId="77777777" w:rsidR="009F5875" w:rsidRPr="00217865" w:rsidRDefault="009F5875" w:rsidP="009F5875">
            <w:pPr>
              <w:autoSpaceDE w:val="0"/>
              <w:autoSpaceDN w:val="0"/>
              <w:adjustRightInd w:val="0"/>
              <w:spacing w:after="60"/>
              <w:rPr>
                <w:rFonts w:cs="Arial"/>
                <w:color w:val="000000" w:themeColor="text1"/>
                <w:szCs w:val="20"/>
              </w:rPr>
            </w:pPr>
          </w:p>
          <w:p w14:paraId="0EB0F355" w14:textId="77777777" w:rsidR="009F5875" w:rsidRPr="00217865" w:rsidRDefault="009F5875" w:rsidP="009F5875">
            <w:pPr>
              <w:autoSpaceDE w:val="0"/>
              <w:autoSpaceDN w:val="0"/>
              <w:adjustRightInd w:val="0"/>
              <w:spacing w:after="60"/>
              <w:rPr>
                <w:rFonts w:cs="Arial"/>
                <w:color w:val="000000" w:themeColor="text1"/>
                <w:sz w:val="18"/>
              </w:rPr>
            </w:pPr>
            <w:r w:rsidRPr="00217865">
              <w:rPr>
                <w:rFonts w:cs="Arial"/>
                <w:color w:val="000000" w:themeColor="text1"/>
                <w:szCs w:val="20"/>
              </w:rPr>
              <w:t xml:space="preserve">WRKOTHER_REV </w:t>
            </w:r>
          </w:p>
          <w:p w14:paraId="3573C49E" w14:textId="77777777" w:rsidR="009F5875" w:rsidRPr="00217865" w:rsidRDefault="009F5875" w:rsidP="009F5875">
            <w:pPr>
              <w:autoSpaceDE w:val="0"/>
              <w:autoSpaceDN w:val="0"/>
              <w:adjustRightInd w:val="0"/>
              <w:spacing w:after="60"/>
              <w:rPr>
                <w:rFonts w:cs="Arial"/>
                <w:color w:val="000000" w:themeColor="text1"/>
                <w:szCs w:val="20"/>
              </w:rPr>
            </w:pPr>
          </w:p>
          <w:p w14:paraId="354AB8D7"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INTERHELP</w:t>
            </w:r>
          </w:p>
          <w:p w14:paraId="0EA1E8F9" w14:textId="77777777" w:rsidR="009F5875" w:rsidRPr="00217865" w:rsidRDefault="009F5875" w:rsidP="009F5875">
            <w:pPr>
              <w:autoSpaceDE w:val="0"/>
              <w:autoSpaceDN w:val="0"/>
              <w:adjustRightInd w:val="0"/>
              <w:spacing w:after="60"/>
              <w:rPr>
                <w:rFonts w:cs="Arial"/>
                <w:color w:val="000000" w:themeColor="text1"/>
                <w:szCs w:val="20"/>
              </w:rPr>
            </w:pPr>
          </w:p>
          <w:p w14:paraId="74735C44"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INTEROUR_REV</w:t>
            </w:r>
          </w:p>
          <w:p w14:paraId="08A7854F" w14:textId="77777777" w:rsidR="009F5875" w:rsidRPr="00217865" w:rsidRDefault="009F5875" w:rsidP="009F5875">
            <w:pPr>
              <w:autoSpaceDE w:val="0"/>
              <w:autoSpaceDN w:val="0"/>
              <w:adjustRightInd w:val="0"/>
              <w:spacing w:after="60"/>
              <w:rPr>
                <w:rFonts w:cs="Arial"/>
                <w:color w:val="000000" w:themeColor="text1"/>
                <w:szCs w:val="20"/>
              </w:rPr>
            </w:pPr>
          </w:p>
          <w:p w14:paraId="1DB1CAB1"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INTERDIVER</w:t>
            </w:r>
          </w:p>
        </w:tc>
        <w:tc>
          <w:tcPr>
            <w:tcW w:w="5387" w:type="dxa"/>
          </w:tcPr>
          <w:p w14:paraId="48B9BB79"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Thinking about your &lt;FINALCOURSEA/FINALCOURSEB&gt; &lt;course&gt; in &lt;SURVEYYEAR&gt;, how frequently have you…</w:t>
            </w:r>
          </w:p>
          <w:p w14:paraId="1859DC43" w14:textId="77777777" w:rsidR="009F5875" w:rsidRPr="00217865" w:rsidRDefault="009F5875" w:rsidP="009F5875">
            <w:pPr>
              <w:autoSpaceDE w:val="0"/>
              <w:autoSpaceDN w:val="0"/>
              <w:adjustRightInd w:val="0"/>
              <w:spacing w:after="60"/>
              <w:rPr>
                <w:rFonts w:cs="Arial"/>
                <w:color w:val="000000" w:themeColor="text1"/>
                <w:szCs w:val="20"/>
              </w:rPr>
            </w:pPr>
          </w:p>
          <w:p w14:paraId="4A63BEDF"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(STATEMENTS)</w:t>
            </w:r>
          </w:p>
          <w:p w14:paraId="6F9E4441" w14:textId="77777777" w:rsidR="009F5875" w:rsidRPr="00217865" w:rsidRDefault="009F5875" w:rsidP="009F5875">
            <w:pPr>
              <w:numPr>
                <w:ilvl w:val="0"/>
                <w:numId w:val="16"/>
              </w:numPr>
              <w:autoSpaceDE w:val="0"/>
              <w:autoSpaceDN w:val="0"/>
              <w:adjustRightInd w:val="0"/>
              <w:spacing w:before="60" w:after="60"/>
              <w:ind w:right="113"/>
              <w:rPr>
                <w:rFonts w:cs="Arial"/>
                <w:color w:val="000000" w:themeColor="text1"/>
                <w:szCs w:val="20"/>
              </w:rPr>
            </w:pPr>
            <w:r w:rsidRPr="00217865">
              <w:rPr>
                <w:rFonts w:cs="Arial"/>
                <w:color w:val="000000" w:themeColor="text1"/>
                <w:szCs w:val="20"/>
              </w:rPr>
              <w:t>Contributed to class discussion? (e.g. in-person discussions, online chat forums, discussion boards)</w:t>
            </w:r>
          </w:p>
          <w:p w14:paraId="25AD6A40" w14:textId="77777777" w:rsidR="009F5875" w:rsidRPr="00217865" w:rsidRDefault="009F5875" w:rsidP="009F5875">
            <w:pPr>
              <w:numPr>
                <w:ilvl w:val="0"/>
                <w:numId w:val="16"/>
              </w:numPr>
              <w:autoSpaceDE w:val="0"/>
              <w:autoSpaceDN w:val="0"/>
              <w:adjustRightInd w:val="0"/>
              <w:spacing w:before="60" w:after="60"/>
              <w:ind w:right="113"/>
              <w:rPr>
                <w:rFonts w:cs="Arial"/>
                <w:color w:val="000000" w:themeColor="text1"/>
                <w:szCs w:val="20"/>
              </w:rPr>
            </w:pPr>
            <w:r w:rsidRPr="00217865">
              <w:rPr>
                <w:rFonts w:cs="Arial"/>
                <w:color w:val="000000" w:themeColor="text1"/>
                <w:szCs w:val="20"/>
              </w:rPr>
              <w:t>Worked with other students as part of your &lt;COURSE&gt;? (e.g. group assignments, in-class collaboration)</w:t>
            </w:r>
          </w:p>
          <w:p w14:paraId="08D1DDD0" w14:textId="77777777" w:rsidR="009F5875" w:rsidRPr="00217865" w:rsidRDefault="009F5875" w:rsidP="009F5875">
            <w:pPr>
              <w:numPr>
                <w:ilvl w:val="0"/>
                <w:numId w:val="16"/>
              </w:numPr>
              <w:autoSpaceDE w:val="0"/>
              <w:autoSpaceDN w:val="0"/>
              <w:adjustRightInd w:val="0"/>
              <w:spacing w:before="60" w:after="60"/>
              <w:ind w:right="113"/>
              <w:rPr>
                <w:rFonts w:cs="Arial"/>
                <w:color w:val="000000" w:themeColor="text1"/>
                <w:szCs w:val="20"/>
              </w:rPr>
            </w:pPr>
            <w:r w:rsidRPr="00217865">
              <w:rPr>
                <w:rFonts w:cs="Arial"/>
                <w:color w:val="000000" w:themeColor="text1"/>
                <w:szCs w:val="20"/>
              </w:rPr>
              <w:t>Interacted with other students to give or receive help with your study? (e.g. study groups, informal conversations about your study)</w:t>
            </w:r>
          </w:p>
          <w:p w14:paraId="76372FC1" w14:textId="77777777" w:rsidR="009F5875" w:rsidRPr="00217865" w:rsidRDefault="009F5875" w:rsidP="009F5875">
            <w:pPr>
              <w:numPr>
                <w:ilvl w:val="0"/>
                <w:numId w:val="16"/>
              </w:numPr>
              <w:autoSpaceDE w:val="0"/>
              <w:autoSpaceDN w:val="0"/>
              <w:adjustRightInd w:val="0"/>
              <w:spacing w:before="60" w:after="60"/>
              <w:ind w:right="113"/>
              <w:rPr>
                <w:rFonts w:cs="Arial"/>
                <w:color w:val="000000" w:themeColor="text1"/>
                <w:szCs w:val="20"/>
              </w:rPr>
            </w:pPr>
            <w:r w:rsidRPr="00217865">
              <w:rPr>
                <w:rFonts w:cs="Arial"/>
                <w:color w:val="000000" w:themeColor="text1"/>
                <w:szCs w:val="20"/>
              </w:rPr>
              <w:t>Interacted socially with other students outside of your study?</w:t>
            </w:r>
          </w:p>
          <w:p w14:paraId="3E2FEBFC" w14:textId="77777777" w:rsidR="009F5875" w:rsidRPr="00217865" w:rsidRDefault="009F5875" w:rsidP="009F5875">
            <w:pPr>
              <w:numPr>
                <w:ilvl w:val="0"/>
                <w:numId w:val="16"/>
              </w:numPr>
              <w:autoSpaceDE w:val="0"/>
              <w:autoSpaceDN w:val="0"/>
              <w:adjustRightInd w:val="0"/>
              <w:spacing w:before="60" w:after="60"/>
              <w:ind w:right="113"/>
              <w:rPr>
                <w:rFonts w:cs="Arial"/>
                <w:color w:val="000000" w:themeColor="text1"/>
                <w:szCs w:val="20"/>
              </w:rPr>
            </w:pPr>
            <w:r w:rsidRPr="00217865">
              <w:rPr>
                <w:rFonts w:cs="Arial"/>
                <w:color w:val="000000" w:themeColor="text1"/>
                <w:szCs w:val="20"/>
              </w:rPr>
              <w:t>Interacted with a diverse range of students?</w:t>
            </w:r>
          </w:p>
        </w:tc>
        <w:tc>
          <w:tcPr>
            <w:tcW w:w="1701" w:type="dxa"/>
          </w:tcPr>
          <w:p w14:paraId="4F7CF98A"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1. Never</w:t>
            </w:r>
          </w:p>
          <w:p w14:paraId="087DF88E"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2. Rarely</w:t>
            </w:r>
          </w:p>
          <w:p w14:paraId="63B515C2"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3. Sometimes</w:t>
            </w:r>
          </w:p>
          <w:p w14:paraId="351099D4"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4. Often</w:t>
            </w:r>
          </w:p>
          <w:p w14:paraId="58EA3880" w14:textId="77777777" w:rsidR="009F5875" w:rsidRPr="00217865" w:rsidRDefault="009F5875" w:rsidP="009F5875">
            <w:pPr>
              <w:autoSpaceDE w:val="0"/>
              <w:autoSpaceDN w:val="0"/>
              <w:adjustRightInd w:val="0"/>
              <w:spacing w:after="60"/>
              <w:rPr>
                <w:rFonts w:cs="Arial"/>
                <w:color w:val="000000" w:themeColor="text1"/>
                <w:szCs w:val="20"/>
              </w:rPr>
            </w:pPr>
            <w:r w:rsidRPr="00217865">
              <w:rPr>
                <w:rFonts w:cs="Arial"/>
                <w:color w:val="000000" w:themeColor="text1"/>
                <w:szCs w:val="20"/>
              </w:rPr>
              <w:t>5. Always</w:t>
            </w:r>
          </w:p>
        </w:tc>
      </w:tr>
    </w:tbl>
    <w:p w14:paraId="3A72980B" w14:textId="77777777" w:rsidR="009F5875" w:rsidRPr="00217865" w:rsidRDefault="009F5875" w:rsidP="009F5875">
      <w:pPr>
        <w:tabs>
          <w:tab w:val="left" w:pos="1800"/>
        </w:tabs>
        <w:rPr>
          <w:rFonts w:cs="Arial"/>
          <w:color w:val="000000" w:themeColor="text1"/>
        </w:rPr>
      </w:pPr>
    </w:p>
    <w:p w14:paraId="593FC373"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67" w:name="_Toc147266453"/>
      <w:bookmarkStart w:id="368" w:name="_Toc148606700"/>
      <w:bookmarkStart w:id="369" w:name="_Ref167872511"/>
      <w:bookmarkStart w:id="370" w:name="_Toc169679805"/>
      <w:bookmarkStart w:id="371" w:name="_Toc178599306"/>
      <w:r w:rsidRPr="00217865">
        <w:rPr>
          <w:rFonts w:cs="Arial"/>
          <w:color w:val="000000" w:themeColor="text1"/>
          <w:sz w:val="28"/>
        </w:rPr>
        <w:t>Student Support and Services focus area – previously known as Student Support</w:t>
      </w:r>
      <w:bookmarkEnd w:id="367"/>
      <w:bookmarkEnd w:id="368"/>
      <w:bookmarkEnd w:id="369"/>
      <w:bookmarkEnd w:id="370"/>
      <w:bookmarkEnd w:id="371"/>
    </w:p>
    <w:p w14:paraId="7E39EA5D"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Analysis of the Student Support focus area conducted in Phase 1 of the review identified some statistical issues. It also became apparent through the consultation process that the items were focused on students’ interactions with traditional centralised support services and did not capture the many different types of support currently available and how students access them.</w:t>
      </w:r>
    </w:p>
    <w:p w14:paraId="0EE0FEF4"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The Student Support focus area was redeveloped to ensure the items were relevant to the way student support and services are delivered in 2023 and beyond, as well as to address the psychometric issues found with this focus area. The response options were also updated to ensure they answered the question being asked. Additionally, all the items found in this focus area were given the same question and answer format to streamline the responses and reduce respondent burden.</w:t>
      </w:r>
    </w:p>
    <w:p w14:paraId="68A19235"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The name of this focus area was changed to Student Support and Services to better reflect the underlying items measured. </w:t>
      </w:r>
    </w:p>
    <w:p w14:paraId="1972E49B" w14:textId="77777777" w:rsidR="009F5875" w:rsidRPr="00217865" w:rsidRDefault="009F5875" w:rsidP="009F5875">
      <w:pPr>
        <w:spacing w:after="160" w:line="259" w:lineRule="auto"/>
        <w:rPr>
          <w:rFonts w:eastAsia="Times New Roman" w:cs="Arial"/>
          <w:color w:val="000000" w:themeColor="text1"/>
          <w:szCs w:val="20"/>
        </w:rPr>
      </w:pPr>
      <w:r w:rsidRPr="00217865">
        <w:rPr>
          <w:rFonts w:cs="Arial"/>
          <w:color w:val="000000" w:themeColor="text1"/>
        </w:rPr>
        <w:br w:type="page"/>
      </w:r>
    </w:p>
    <w:p w14:paraId="67B8D09E" w14:textId="2DC3308E" w:rsidR="009F5875" w:rsidRPr="00217865" w:rsidRDefault="009F5875" w:rsidP="009F5875">
      <w:pPr>
        <w:keepNext/>
        <w:tabs>
          <w:tab w:val="left" w:pos="1134"/>
        </w:tabs>
        <w:spacing w:before="120" w:after="120"/>
        <w:ind w:left="1134" w:hanging="1134"/>
        <w:rPr>
          <w:rFonts w:eastAsia="Times New Roman" w:cs="Arial"/>
          <w:b/>
          <w:bCs/>
          <w:color w:val="000000" w:themeColor="text1"/>
          <w:sz w:val="21"/>
          <w:szCs w:val="21"/>
          <w:lang w:eastAsia="en-AU"/>
        </w:rPr>
      </w:pPr>
      <w:bookmarkStart w:id="372" w:name="_Ref141905578"/>
      <w:bookmarkStart w:id="373" w:name="_Toc147265503"/>
      <w:bookmarkStart w:id="374" w:name="_Toc148606708"/>
      <w:bookmarkStart w:id="375" w:name="_Toc167872864"/>
      <w:bookmarkStart w:id="376" w:name="_Toc178599388"/>
      <w:r w:rsidRPr="00217865">
        <w:rPr>
          <w:rFonts w:eastAsia="Times New Roman" w:cs="Arial"/>
          <w:b/>
          <w:bCs/>
          <w:color w:val="000000" w:themeColor="text1"/>
          <w:sz w:val="21"/>
          <w:szCs w:val="21"/>
          <w:lang w:eastAsia="en-AU"/>
        </w:rPr>
        <w:lastRenderedPageBreak/>
        <w:t xml:space="preserve">Table </w:t>
      </w:r>
      <w:r w:rsidRPr="00217865">
        <w:rPr>
          <w:rFonts w:eastAsia="Times New Roman" w:cs="Arial"/>
          <w:b/>
          <w:bCs/>
          <w:color w:val="000000" w:themeColor="text1"/>
          <w:sz w:val="21"/>
          <w:szCs w:val="21"/>
          <w:lang w:eastAsia="en-AU"/>
        </w:rPr>
        <w:fldChar w:fldCharType="begin"/>
      </w:r>
      <w:r w:rsidRPr="00217865">
        <w:rPr>
          <w:rFonts w:eastAsia="Times New Roman" w:cs="Arial"/>
          <w:b/>
          <w:bCs/>
          <w:color w:val="000000" w:themeColor="text1"/>
          <w:sz w:val="21"/>
          <w:szCs w:val="21"/>
          <w:lang w:eastAsia="en-AU"/>
        </w:rPr>
        <w:instrText xml:space="preserve"> SEQ Table \* ARABIC </w:instrText>
      </w:r>
      <w:r w:rsidRPr="00217865">
        <w:rPr>
          <w:rFonts w:eastAsia="Times New Roman" w:cs="Arial"/>
          <w:b/>
          <w:bCs/>
          <w:color w:val="000000" w:themeColor="text1"/>
          <w:sz w:val="21"/>
          <w:szCs w:val="21"/>
          <w:lang w:eastAsia="en-AU"/>
        </w:rPr>
        <w:fldChar w:fldCharType="separate"/>
      </w:r>
      <w:r w:rsidR="005D5678">
        <w:rPr>
          <w:rFonts w:eastAsia="Times New Roman" w:cs="Arial"/>
          <w:b/>
          <w:bCs/>
          <w:noProof/>
          <w:color w:val="000000" w:themeColor="text1"/>
          <w:sz w:val="21"/>
          <w:szCs w:val="21"/>
          <w:lang w:eastAsia="en-AU"/>
        </w:rPr>
        <w:t>23</w:t>
      </w:r>
      <w:r w:rsidRPr="00217865">
        <w:rPr>
          <w:rFonts w:eastAsia="Times New Roman" w:cs="Arial"/>
          <w:b/>
          <w:bCs/>
          <w:color w:val="000000" w:themeColor="text1"/>
          <w:sz w:val="21"/>
          <w:szCs w:val="21"/>
          <w:lang w:eastAsia="en-AU"/>
        </w:rPr>
        <w:fldChar w:fldCharType="end"/>
      </w:r>
      <w:bookmarkEnd w:id="372"/>
      <w:r w:rsidR="00CF00B5">
        <w:rPr>
          <w:rFonts w:eastAsia="Times New Roman" w:cs="Arial"/>
          <w:b/>
          <w:bCs/>
          <w:color w:val="000000" w:themeColor="text1"/>
          <w:sz w:val="21"/>
          <w:szCs w:val="21"/>
          <w:lang w:eastAsia="en-AU"/>
        </w:rPr>
        <w:tab/>
      </w:r>
      <w:r w:rsidRPr="00217865">
        <w:rPr>
          <w:rFonts w:eastAsia="Times New Roman" w:cs="Arial"/>
          <w:b/>
          <w:bCs/>
          <w:color w:val="000000" w:themeColor="text1"/>
          <w:sz w:val="21"/>
          <w:szCs w:val="21"/>
          <w:lang w:eastAsia="en-AU"/>
        </w:rPr>
        <w:t>New Student Support and Services focus area items</w:t>
      </w:r>
      <w:bookmarkEnd w:id="373"/>
      <w:bookmarkEnd w:id="374"/>
      <w:bookmarkEnd w:id="375"/>
      <w:bookmarkEnd w:id="376"/>
    </w:p>
    <w:tbl>
      <w:tblPr>
        <w:tblStyle w:val="TableGrid"/>
        <w:tblW w:w="9639" w:type="dxa"/>
        <w:tblLayout w:type="fixed"/>
        <w:tblLook w:val="0020" w:firstRow="1" w:lastRow="0" w:firstColumn="0" w:lastColumn="0" w:noHBand="0" w:noVBand="0"/>
      </w:tblPr>
      <w:tblGrid>
        <w:gridCol w:w="1701"/>
        <w:gridCol w:w="5812"/>
        <w:gridCol w:w="2126"/>
      </w:tblGrid>
      <w:tr w:rsidR="00217865" w:rsidRPr="00217865" w14:paraId="3A28F602" w14:textId="77777777" w:rsidTr="007B7CAD">
        <w:trPr>
          <w:cnfStyle w:val="100000000000" w:firstRow="1" w:lastRow="0" w:firstColumn="0" w:lastColumn="0" w:oddVBand="0" w:evenVBand="0" w:oddHBand="0" w:evenHBand="0" w:firstRowFirstColumn="0" w:firstRowLastColumn="0" w:lastRowFirstColumn="0" w:lastRowLastColumn="0"/>
          <w:trHeight w:val="284"/>
          <w:tblHeader/>
        </w:trPr>
        <w:tc>
          <w:tcPr>
            <w:tcW w:w="1701" w:type="dxa"/>
          </w:tcPr>
          <w:p w14:paraId="38283416" w14:textId="77777777" w:rsidR="009F5875" w:rsidRPr="00217865" w:rsidRDefault="009F5875" w:rsidP="007B7CAD">
            <w:pPr>
              <w:autoSpaceDE w:val="0"/>
              <w:autoSpaceDN w:val="0"/>
              <w:adjustRightInd w:val="0"/>
              <w:spacing w:before="60" w:after="60"/>
              <w:rPr>
                <w:rFonts w:cs="Arial"/>
                <w:b w:val="0"/>
                <w:szCs w:val="20"/>
              </w:rPr>
            </w:pPr>
            <w:r w:rsidRPr="00217865">
              <w:rPr>
                <w:rFonts w:cs="Arial"/>
                <w:szCs w:val="20"/>
              </w:rPr>
              <w:t>Varia</w:t>
            </w:r>
            <w:bookmarkStart w:id="377" w:name="Title_23"/>
            <w:bookmarkEnd w:id="377"/>
            <w:r w:rsidRPr="00217865">
              <w:rPr>
                <w:rFonts w:cs="Arial"/>
                <w:szCs w:val="20"/>
              </w:rPr>
              <w:t xml:space="preserve">ble </w:t>
            </w:r>
          </w:p>
        </w:tc>
        <w:tc>
          <w:tcPr>
            <w:tcW w:w="5812" w:type="dxa"/>
          </w:tcPr>
          <w:p w14:paraId="7962FF0A" w14:textId="77777777" w:rsidR="009F5875" w:rsidRPr="00217865" w:rsidRDefault="009F5875" w:rsidP="007B7CAD">
            <w:pPr>
              <w:autoSpaceDE w:val="0"/>
              <w:autoSpaceDN w:val="0"/>
              <w:adjustRightInd w:val="0"/>
              <w:spacing w:before="60" w:after="60"/>
              <w:rPr>
                <w:rFonts w:cs="Arial"/>
                <w:b w:val="0"/>
                <w:szCs w:val="20"/>
              </w:rPr>
            </w:pPr>
            <w:r w:rsidRPr="00217865">
              <w:rPr>
                <w:rFonts w:cs="Arial"/>
                <w:szCs w:val="20"/>
              </w:rPr>
              <w:t>Question</w:t>
            </w:r>
          </w:p>
        </w:tc>
        <w:tc>
          <w:tcPr>
            <w:tcW w:w="2126" w:type="dxa"/>
          </w:tcPr>
          <w:p w14:paraId="65DF14AC" w14:textId="77777777" w:rsidR="009F5875" w:rsidRPr="00217865" w:rsidRDefault="009F5875" w:rsidP="007B7CAD">
            <w:pPr>
              <w:autoSpaceDE w:val="0"/>
              <w:autoSpaceDN w:val="0"/>
              <w:adjustRightInd w:val="0"/>
              <w:spacing w:before="60" w:after="60"/>
              <w:rPr>
                <w:rFonts w:cs="Arial"/>
                <w:b w:val="0"/>
                <w:szCs w:val="20"/>
              </w:rPr>
            </w:pPr>
            <w:r w:rsidRPr="00217865">
              <w:rPr>
                <w:rFonts w:cs="Arial"/>
                <w:szCs w:val="20"/>
              </w:rPr>
              <w:t xml:space="preserve">Response options </w:t>
            </w:r>
          </w:p>
        </w:tc>
      </w:tr>
      <w:tr w:rsidR="00217865" w:rsidRPr="00217865" w14:paraId="6C5802F6" w14:textId="77777777" w:rsidTr="00735EE6">
        <w:trPr>
          <w:trHeight w:val="276"/>
        </w:trPr>
        <w:tc>
          <w:tcPr>
            <w:tcW w:w="1701" w:type="dxa"/>
          </w:tcPr>
          <w:p w14:paraId="5072774D"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SUPPSERV</w:t>
            </w:r>
          </w:p>
          <w:p w14:paraId="5257B73D" w14:textId="77777777" w:rsidR="009F5875" w:rsidRPr="00217865" w:rsidRDefault="009F5875" w:rsidP="007B7CAD">
            <w:pPr>
              <w:autoSpaceDE w:val="0"/>
              <w:autoSpaceDN w:val="0"/>
              <w:adjustRightInd w:val="0"/>
              <w:spacing w:before="60" w:after="60"/>
              <w:rPr>
                <w:rFonts w:cs="Arial"/>
                <w:bCs/>
                <w:color w:val="000000" w:themeColor="text1"/>
                <w:szCs w:val="20"/>
              </w:rPr>
            </w:pPr>
          </w:p>
          <w:p w14:paraId="0A1D7914" w14:textId="77777777" w:rsidR="009F5875" w:rsidRPr="00217865" w:rsidRDefault="009F5875" w:rsidP="007B7CAD">
            <w:pPr>
              <w:autoSpaceDE w:val="0"/>
              <w:autoSpaceDN w:val="0"/>
              <w:adjustRightInd w:val="0"/>
              <w:spacing w:before="60" w:after="60"/>
              <w:rPr>
                <w:rFonts w:cs="Arial"/>
                <w:bCs/>
                <w:color w:val="000000" w:themeColor="text1"/>
                <w:szCs w:val="20"/>
              </w:rPr>
            </w:pPr>
          </w:p>
          <w:p w14:paraId="27BAA68B" w14:textId="77777777" w:rsidR="009F5875" w:rsidRPr="00217865" w:rsidRDefault="009F5875" w:rsidP="007B7CAD">
            <w:pPr>
              <w:autoSpaceDE w:val="0"/>
              <w:autoSpaceDN w:val="0"/>
              <w:adjustRightInd w:val="0"/>
              <w:spacing w:before="60" w:after="60"/>
              <w:rPr>
                <w:rFonts w:cs="Arial"/>
                <w:bCs/>
                <w:color w:val="000000" w:themeColor="text1"/>
                <w:sz w:val="16"/>
                <w:szCs w:val="16"/>
              </w:rPr>
            </w:pPr>
          </w:p>
          <w:p w14:paraId="3E93F7C4"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 xml:space="preserve">SUP_ENROL </w:t>
            </w:r>
          </w:p>
          <w:p w14:paraId="4D94E8CD"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 xml:space="preserve">SUP_INDUCT </w:t>
            </w:r>
          </w:p>
          <w:p w14:paraId="64B3EF11"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SUP_LMS</w:t>
            </w:r>
          </w:p>
          <w:p w14:paraId="65E73CE9" w14:textId="77777777" w:rsidR="009F5875" w:rsidRPr="00217865" w:rsidRDefault="009F5875" w:rsidP="007B7CAD">
            <w:pPr>
              <w:autoSpaceDE w:val="0"/>
              <w:autoSpaceDN w:val="0"/>
              <w:adjustRightInd w:val="0"/>
              <w:spacing w:before="60" w:after="60"/>
              <w:rPr>
                <w:rFonts w:cs="Arial"/>
                <w:bCs/>
                <w:color w:val="000000" w:themeColor="text1"/>
                <w:szCs w:val="20"/>
              </w:rPr>
            </w:pPr>
          </w:p>
          <w:p w14:paraId="73189966"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SUP_CARDEV</w:t>
            </w:r>
          </w:p>
          <w:p w14:paraId="11C1C755" w14:textId="77777777" w:rsidR="009F5875" w:rsidRPr="00217865" w:rsidRDefault="009F5875" w:rsidP="007B7CAD">
            <w:pPr>
              <w:autoSpaceDE w:val="0"/>
              <w:autoSpaceDN w:val="0"/>
              <w:adjustRightInd w:val="0"/>
              <w:spacing w:before="60" w:after="60"/>
              <w:rPr>
                <w:rFonts w:cs="Arial"/>
                <w:bCs/>
                <w:color w:val="000000" w:themeColor="text1"/>
                <w:sz w:val="10"/>
                <w:szCs w:val="10"/>
              </w:rPr>
            </w:pPr>
          </w:p>
          <w:p w14:paraId="5208C34C"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SUP_STUDY</w:t>
            </w:r>
          </w:p>
          <w:p w14:paraId="35391606"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SUP_HEALTH SUP_FINLEG</w:t>
            </w:r>
          </w:p>
        </w:tc>
        <w:tc>
          <w:tcPr>
            <w:tcW w:w="5812" w:type="dxa"/>
          </w:tcPr>
          <w:p w14:paraId="6A0EAEBB"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How helpful have you found the following supports and services provided by your institution during 2023?</w:t>
            </w:r>
          </w:p>
          <w:p w14:paraId="505231DF" w14:textId="77777777" w:rsidR="009F5875" w:rsidRPr="00217865" w:rsidRDefault="009F5875" w:rsidP="007B7CAD">
            <w:pPr>
              <w:autoSpaceDE w:val="0"/>
              <w:autoSpaceDN w:val="0"/>
              <w:adjustRightInd w:val="0"/>
              <w:spacing w:before="60" w:after="60"/>
              <w:rPr>
                <w:rFonts w:cs="Arial"/>
                <w:bCs/>
                <w:color w:val="000000" w:themeColor="text1"/>
                <w:szCs w:val="20"/>
              </w:rPr>
            </w:pPr>
          </w:p>
          <w:p w14:paraId="7C500E1A"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(STATEMENTS)</w:t>
            </w:r>
          </w:p>
          <w:p w14:paraId="2639F056"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enrolment processes and support</w:t>
            </w:r>
          </w:p>
          <w:p w14:paraId="17C5D482"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induction/orientation activities </w:t>
            </w:r>
          </w:p>
          <w:p w14:paraId="1B763AB9"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online learning platform (i.e. Learning Management System)</w:t>
            </w:r>
          </w:p>
          <w:p w14:paraId="21B7873A"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career development services (including employability skill development, careers advice and planning) </w:t>
            </w:r>
          </w:p>
          <w:p w14:paraId="18CB8281"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study or learning support services </w:t>
            </w:r>
          </w:p>
          <w:p w14:paraId="525A5ED0"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counsellors and/or health services </w:t>
            </w:r>
          </w:p>
          <w:p w14:paraId="6FF42422" w14:textId="77777777" w:rsidR="009F5875" w:rsidRPr="00217865" w:rsidRDefault="009F5875" w:rsidP="007B7CAD">
            <w:pPr>
              <w:numPr>
                <w:ilvl w:val="0"/>
                <w:numId w:val="15"/>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financial and/or legal advisors</w:t>
            </w:r>
          </w:p>
        </w:tc>
        <w:tc>
          <w:tcPr>
            <w:tcW w:w="2126" w:type="dxa"/>
          </w:tcPr>
          <w:p w14:paraId="041B0CA3" w14:textId="77777777" w:rsidR="009F5875" w:rsidRPr="00217865" w:rsidRDefault="009F5875" w:rsidP="007B7CAD">
            <w:pPr>
              <w:numPr>
                <w:ilvl w:val="0"/>
                <w:numId w:val="34"/>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Not at all helpful </w:t>
            </w:r>
          </w:p>
          <w:p w14:paraId="1CC08C6E" w14:textId="77777777" w:rsidR="009F5875" w:rsidRPr="00217865" w:rsidRDefault="009F5875" w:rsidP="007B7CAD">
            <w:pPr>
              <w:numPr>
                <w:ilvl w:val="0"/>
                <w:numId w:val="34"/>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A little helpful </w:t>
            </w:r>
          </w:p>
          <w:p w14:paraId="21D808D1" w14:textId="77777777" w:rsidR="009F5875" w:rsidRPr="00217865" w:rsidRDefault="009F5875" w:rsidP="007B7CAD">
            <w:pPr>
              <w:numPr>
                <w:ilvl w:val="0"/>
                <w:numId w:val="34"/>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Somewhat helpful </w:t>
            </w:r>
          </w:p>
          <w:p w14:paraId="77D6FDE2" w14:textId="77777777" w:rsidR="009F5875" w:rsidRPr="00217865" w:rsidRDefault="009F5875" w:rsidP="007B7CAD">
            <w:pPr>
              <w:numPr>
                <w:ilvl w:val="0"/>
                <w:numId w:val="34"/>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Quite helpful </w:t>
            </w:r>
          </w:p>
          <w:p w14:paraId="0DD6BDA4" w14:textId="77777777" w:rsidR="009F5875" w:rsidRPr="00217865" w:rsidRDefault="009F5875" w:rsidP="007B7CAD">
            <w:pPr>
              <w:numPr>
                <w:ilvl w:val="0"/>
                <w:numId w:val="34"/>
              </w:numPr>
              <w:autoSpaceDE w:val="0"/>
              <w:autoSpaceDN w:val="0"/>
              <w:adjustRightInd w:val="0"/>
              <w:spacing w:before="60" w:after="60"/>
              <w:ind w:right="113"/>
              <w:rPr>
                <w:rFonts w:cs="Arial"/>
                <w:bCs/>
                <w:color w:val="000000" w:themeColor="text1"/>
                <w:szCs w:val="20"/>
              </w:rPr>
            </w:pPr>
            <w:r w:rsidRPr="00217865">
              <w:rPr>
                <w:rFonts w:cs="Arial"/>
                <w:bCs/>
                <w:color w:val="000000" w:themeColor="text1"/>
                <w:szCs w:val="20"/>
              </w:rPr>
              <w:t xml:space="preserve">Very helpful </w:t>
            </w:r>
          </w:p>
          <w:p w14:paraId="0235FDD8" w14:textId="77777777" w:rsidR="009F5875" w:rsidRPr="00217865" w:rsidRDefault="009F5875" w:rsidP="007B7CAD">
            <w:pPr>
              <w:autoSpaceDE w:val="0"/>
              <w:autoSpaceDN w:val="0"/>
              <w:adjustRightInd w:val="0"/>
              <w:spacing w:before="60" w:after="60"/>
              <w:rPr>
                <w:rFonts w:cs="Arial"/>
                <w:bCs/>
                <w:color w:val="000000" w:themeColor="text1"/>
                <w:szCs w:val="20"/>
              </w:rPr>
            </w:pPr>
            <w:r w:rsidRPr="00217865">
              <w:rPr>
                <w:rFonts w:cs="Arial"/>
                <w:bCs/>
                <w:color w:val="000000" w:themeColor="text1"/>
                <w:szCs w:val="20"/>
              </w:rPr>
              <w:t>97.  Not applicable</w:t>
            </w:r>
          </w:p>
        </w:tc>
      </w:tr>
    </w:tbl>
    <w:p w14:paraId="077679C1" w14:textId="77777777" w:rsidR="009F5875" w:rsidRPr="00217865" w:rsidRDefault="009F5875" w:rsidP="009F5875">
      <w:pPr>
        <w:spacing w:before="120" w:after="120" w:line="300" w:lineRule="auto"/>
        <w:rPr>
          <w:rFonts w:eastAsia="Times New Roman" w:cs="Arial"/>
          <w:color w:val="000000" w:themeColor="text1"/>
          <w:szCs w:val="20"/>
        </w:rPr>
      </w:pPr>
    </w:p>
    <w:p w14:paraId="6729982F"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78" w:name="_Toc147266454"/>
      <w:bookmarkStart w:id="379" w:name="_Toc148606701"/>
      <w:bookmarkStart w:id="380" w:name="_Toc169679806"/>
      <w:bookmarkStart w:id="381" w:name="_Toc178599307"/>
      <w:r w:rsidRPr="00217865">
        <w:rPr>
          <w:rFonts w:cs="Arial"/>
          <w:color w:val="000000" w:themeColor="text1"/>
          <w:sz w:val="28"/>
        </w:rPr>
        <w:t>Teaching Quality and Engagement focus area – previously known as Teaching Quality</w:t>
      </w:r>
      <w:bookmarkEnd w:id="378"/>
      <w:bookmarkEnd w:id="379"/>
      <w:bookmarkEnd w:id="380"/>
      <w:bookmarkEnd w:id="381"/>
    </w:p>
    <w:p w14:paraId="41C03052"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No changes were made to the underlying items within the Teaching Quality focus area. However, the name was expanded to Teaching Quality and Engagement to better reflect what this focus area measures.</w:t>
      </w:r>
    </w:p>
    <w:p w14:paraId="050A8D30"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82" w:name="_Toc147266455"/>
      <w:bookmarkStart w:id="383" w:name="_Toc148606702"/>
      <w:bookmarkStart w:id="384" w:name="_Toc169679807"/>
      <w:bookmarkStart w:id="385" w:name="_Toc178599308"/>
      <w:r w:rsidRPr="00217865">
        <w:rPr>
          <w:rFonts w:cs="Arial"/>
          <w:color w:val="000000" w:themeColor="text1"/>
          <w:sz w:val="28"/>
        </w:rPr>
        <w:t>Learning Resources</w:t>
      </w:r>
      <w:bookmarkEnd w:id="382"/>
      <w:bookmarkEnd w:id="383"/>
      <w:bookmarkEnd w:id="384"/>
      <w:bookmarkEnd w:id="385"/>
    </w:p>
    <w:p w14:paraId="00D72449" w14:textId="5A1DCCD5" w:rsidR="009F5875" w:rsidRPr="00217865" w:rsidRDefault="009F5875" w:rsidP="009F5875">
      <w:pPr>
        <w:spacing w:before="120" w:after="120" w:line="300" w:lineRule="auto"/>
        <w:rPr>
          <w:rFonts w:eastAsia="Times New Roman" w:cs="Arial"/>
          <w:color w:val="000000" w:themeColor="text1"/>
          <w:szCs w:val="20"/>
          <w:lang w:eastAsia="en-AU"/>
        </w:rPr>
      </w:pPr>
      <w:r w:rsidRPr="00217865">
        <w:rPr>
          <w:rFonts w:eastAsia="Times New Roman" w:cs="Arial"/>
          <w:color w:val="000000" w:themeColor="text1"/>
          <w:szCs w:val="20"/>
        </w:rPr>
        <w:t>No changes were made to the underlying items within the Learning Resources focus area. However, ‘</w:t>
      </w:r>
      <w:r w:rsidRPr="00217865">
        <w:rPr>
          <w:rFonts w:eastAsia="Times New Roman" w:cs="Arial"/>
          <w:color w:val="000000" w:themeColor="text1"/>
          <w:szCs w:val="20"/>
          <w:lang w:eastAsia="en-AU"/>
        </w:rPr>
        <w:t>Online Learning Platform’ (i.e. Learning Management System), which was added to the 2020 SES but never included in the Learning Resources focus area score, has moved and will now be included as part of the new Student and Support Services focus area items (refer to</w:t>
      </w:r>
      <w:r w:rsidR="001E2723">
        <w:rPr>
          <w:rFonts w:eastAsia="Times New Roman" w:cs="Arial"/>
          <w:color w:val="000000" w:themeColor="text1"/>
          <w:szCs w:val="20"/>
          <w:lang w:eastAsia="en-AU"/>
        </w:rPr>
        <w:t xml:space="preserve"> </w:t>
      </w:r>
      <w:r w:rsidRPr="00217865">
        <w:rPr>
          <w:rFonts w:eastAsia="Times New Roman" w:cs="Arial"/>
          <w:color w:val="000000" w:themeColor="text1"/>
          <w:szCs w:val="20"/>
          <w:lang w:eastAsia="en-AU"/>
        </w:rPr>
        <w:fldChar w:fldCharType="begin"/>
      </w:r>
      <w:r w:rsidRPr="00217865">
        <w:rPr>
          <w:rFonts w:eastAsia="Times New Roman" w:cs="Arial"/>
          <w:color w:val="000000" w:themeColor="text1"/>
          <w:szCs w:val="20"/>
          <w:lang w:eastAsia="en-AU"/>
        </w:rPr>
        <w:instrText xml:space="preserve"> REF _Ref141905578 \h </w:instrText>
      </w:r>
      <w:r w:rsidR="00A6216F" w:rsidRPr="00217865">
        <w:rPr>
          <w:rFonts w:eastAsia="Times New Roman" w:cs="Arial"/>
          <w:color w:val="000000" w:themeColor="text1"/>
          <w:szCs w:val="20"/>
          <w:lang w:eastAsia="en-AU"/>
        </w:rPr>
        <w:instrText xml:space="preserve"> \* MERGEFORMAT </w:instrText>
      </w:r>
      <w:r w:rsidRPr="00217865">
        <w:rPr>
          <w:rFonts w:eastAsia="Times New Roman" w:cs="Arial"/>
          <w:color w:val="000000" w:themeColor="text1"/>
          <w:szCs w:val="20"/>
          <w:lang w:eastAsia="en-AU"/>
        </w:rPr>
      </w:r>
      <w:r w:rsidRPr="00217865">
        <w:rPr>
          <w:rFonts w:eastAsia="Times New Roman" w:cs="Arial"/>
          <w:color w:val="000000" w:themeColor="text1"/>
          <w:szCs w:val="20"/>
          <w:lang w:eastAsia="en-AU"/>
        </w:rPr>
        <w:fldChar w:fldCharType="separate"/>
      </w:r>
      <w:r w:rsidR="005D5678" w:rsidRPr="00217865">
        <w:rPr>
          <w:rFonts w:eastAsia="Times New Roman" w:cs="Arial"/>
          <w:b/>
          <w:bCs/>
          <w:color w:val="000000" w:themeColor="text1"/>
          <w:sz w:val="21"/>
          <w:szCs w:val="21"/>
          <w:lang w:eastAsia="en-AU"/>
        </w:rPr>
        <w:t xml:space="preserve">Table </w:t>
      </w:r>
      <w:r w:rsidR="005D5678">
        <w:rPr>
          <w:rFonts w:eastAsia="Times New Roman" w:cs="Arial"/>
          <w:b/>
          <w:bCs/>
          <w:noProof/>
          <w:color w:val="000000" w:themeColor="text1"/>
          <w:sz w:val="21"/>
          <w:szCs w:val="21"/>
          <w:lang w:eastAsia="en-AU"/>
        </w:rPr>
        <w:t>23</w:t>
      </w:r>
      <w:r w:rsidRPr="00217865">
        <w:rPr>
          <w:rFonts w:eastAsia="Times New Roman" w:cs="Arial"/>
          <w:color w:val="000000" w:themeColor="text1"/>
          <w:szCs w:val="20"/>
          <w:lang w:eastAsia="en-AU"/>
        </w:rPr>
        <w:fldChar w:fldCharType="end"/>
      </w:r>
      <w:r w:rsidRPr="00217865">
        <w:rPr>
          <w:rFonts w:eastAsia="Times New Roman" w:cs="Arial"/>
          <w:color w:val="000000" w:themeColor="text1"/>
          <w:szCs w:val="20"/>
          <w:lang w:eastAsia="en-AU"/>
        </w:rPr>
        <w:t>).</w:t>
      </w:r>
    </w:p>
    <w:p w14:paraId="5897C0B0"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86" w:name="_Toc147266456"/>
      <w:bookmarkStart w:id="387" w:name="_Toc148606703"/>
      <w:bookmarkStart w:id="388" w:name="_Toc169679808"/>
      <w:bookmarkStart w:id="389" w:name="_Toc178599309"/>
      <w:r w:rsidRPr="00217865">
        <w:rPr>
          <w:rFonts w:cs="Arial"/>
          <w:color w:val="000000" w:themeColor="text1"/>
          <w:sz w:val="28"/>
        </w:rPr>
        <w:t>Study mode</w:t>
      </w:r>
      <w:bookmarkEnd w:id="386"/>
      <w:bookmarkEnd w:id="387"/>
      <w:bookmarkEnd w:id="388"/>
      <w:bookmarkEnd w:id="389"/>
    </w:p>
    <w:p w14:paraId="50C7F44F"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Mode of study is an important variable in understanding differences in students’ educational experiences. Over the past 10 years since the instrument was first developed, there has been a rapid increase in students studying online. There has also been a proliferation of flexible study options available to students. This has made it increasingly difficult for institutions to record accurate study mode data for students. Throughout the consultation process of the review, it was apparent that there was a need for more accurate data related to students’ mode of study. </w:t>
      </w:r>
    </w:p>
    <w:p w14:paraId="21F44DDF"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A set of items was developed for the 2023 SES that could be used to derive mode of study outcomes for students. The aim of these three multi-layer questions is to derive </w:t>
      </w:r>
      <w:bookmarkStart w:id="390" w:name="_Hlk142036284"/>
      <w:r w:rsidRPr="00217865">
        <w:rPr>
          <w:rFonts w:eastAsia="Times New Roman" w:cs="Arial"/>
          <w:color w:val="000000" w:themeColor="text1"/>
          <w:szCs w:val="20"/>
        </w:rPr>
        <w:t>five modes of study: on-campus, blended – less than half online, hybrid – half or more online, all online – with some or all synchronous and all online – asynchronous</w:t>
      </w:r>
      <w:bookmarkEnd w:id="390"/>
      <w:r w:rsidRPr="00217865">
        <w:rPr>
          <w:rFonts w:eastAsia="Times New Roman" w:cs="Arial"/>
          <w:color w:val="000000" w:themeColor="text1"/>
          <w:szCs w:val="20"/>
        </w:rPr>
        <w:t>.</w:t>
      </w:r>
    </w:p>
    <w:p w14:paraId="345C2F51"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To provide additional context to data users, an additional item related to the proportion of students’ course time spent on work-integrated learning was also added to the 2023 SES. It is expected that this data will provide additional nuance when analysing results.</w:t>
      </w:r>
    </w:p>
    <w:p w14:paraId="4F8FFEF5" w14:textId="77777777" w:rsidR="009F5875" w:rsidRPr="00217865" w:rsidRDefault="009F5875" w:rsidP="009F5875">
      <w:pPr>
        <w:spacing w:after="160" w:line="259" w:lineRule="auto"/>
        <w:rPr>
          <w:rFonts w:eastAsia="Times New Roman" w:cs="Arial"/>
          <w:color w:val="000000" w:themeColor="text1"/>
          <w:szCs w:val="20"/>
        </w:rPr>
      </w:pPr>
      <w:r w:rsidRPr="00217865">
        <w:rPr>
          <w:rFonts w:cs="Arial"/>
          <w:color w:val="000000" w:themeColor="text1"/>
        </w:rPr>
        <w:br w:type="page"/>
      </w:r>
    </w:p>
    <w:p w14:paraId="6234D03F" w14:textId="57BEB149" w:rsidR="009F5875" w:rsidRPr="00217865" w:rsidRDefault="009F5875" w:rsidP="009F5875">
      <w:pPr>
        <w:keepNext/>
        <w:tabs>
          <w:tab w:val="left" w:pos="1134"/>
        </w:tabs>
        <w:spacing w:before="120" w:after="120"/>
        <w:ind w:left="1134" w:hanging="1134"/>
        <w:rPr>
          <w:rFonts w:eastAsia="Times New Roman" w:cs="Arial"/>
          <w:b/>
          <w:bCs/>
          <w:color w:val="000000" w:themeColor="text1"/>
          <w:sz w:val="21"/>
          <w:szCs w:val="21"/>
          <w:lang w:eastAsia="en-AU"/>
        </w:rPr>
      </w:pPr>
      <w:r w:rsidRPr="00217865">
        <w:rPr>
          <w:rFonts w:eastAsia="Times New Roman" w:cs="Arial"/>
          <w:b/>
          <w:bCs/>
          <w:color w:val="000000" w:themeColor="text1"/>
          <w:sz w:val="21"/>
          <w:szCs w:val="21"/>
          <w:lang w:eastAsia="en-AU"/>
        </w:rPr>
        <w:lastRenderedPageBreak/>
        <w:fldChar w:fldCharType="begin"/>
      </w:r>
      <w:r w:rsidRPr="00217865">
        <w:rPr>
          <w:rFonts w:eastAsia="Times New Roman" w:cs="Arial"/>
          <w:b/>
          <w:bCs/>
          <w:color w:val="000000" w:themeColor="text1"/>
          <w:sz w:val="21"/>
          <w:szCs w:val="21"/>
          <w:lang w:eastAsia="en-AU"/>
        </w:rPr>
        <w:instrText xml:space="preserve">  </w:instrText>
      </w:r>
      <w:r w:rsidRPr="00217865">
        <w:rPr>
          <w:rFonts w:eastAsia="Times New Roman" w:cs="Arial"/>
          <w:b/>
          <w:bCs/>
          <w:color w:val="000000" w:themeColor="text1"/>
          <w:sz w:val="21"/>
          <w:szCs w:val="21"/>
          <w:lang w:eastAsia="en-AU"/>
        </w:rPr>
        <w:fldChar w:fldCharType="end"/>
      </w:r>
      <w:bookmarkStart w:id="391" w:name="_Toc147265504"/>
      <w:bookmarkStart w:id="392" w:name="_Toc148606709"/>
      <w:bookmarkStart w:id="393" w:name="_Toc167872865"/>
      <w:bookmarkStart w:id="394" w:name="_Toc178599389"/>
      <w:r w:rsidRPr="00217865">
        <w:rPr>
          <w:rFonts w:eastAsia="Times New Roman" w:cs="Arial"/>
          <w:b/>
          <w:bCs/>
          <w:color w:val="000000" w:themeColor="text1"/>
          <w:sz w:val="21"/>
          <w:szCs w:val="21"/>
          <w:lang w:eastAsia="en-AU"/>
        </w:rPr>
        <w:t xml:space="preserve">Table </w:t>
      </w:r>
      <w:r w:rsidRPr="00217865">
        <w:rPr>
          <w:rFonts w:eastAsia="Times New Roman" w:cs="Arial"/>
          <w:b/>
          <w:bCs/>
          <w:color w:val="000000" w:themeColor="text1"/>
          <w:sz w:val="21"/>
          <w:szCs w:val="21"/>
          <w:lang w:eastAsia="en-AU"/>
        </w:rPr>
        <w:fldChar w:fldCharType="begin"/>
      </w:r>
      <w:r w:rsidRPr="00217865">
        <w:rPr>
          <w:rFonts w:eastAsia="Times New Roman" w:cs="Arial"/>
          <w:b/>
          <w:bCs/>
          <w:color w:val="000000" w:themeColor="text1"/>
          <w:sz w:val="21"/>
          <w:szCs w:val="21"/>
          <w:lang w:eastAsia="en-AU"/>
        </w:rPr>
        <w:instrText xml:space="preserve"> SEQ Table \* ARABIC </w:instrText>
      </w:r>
      <w:r w:rsidRPr="00217865">
        <w:rPr>
          <w:rFonts w:eastAsia="Times New Roman" w:cs="Arial"/>
          <w:b/>
          <w:bCs/>
          <w:color w:val="000000" w:themeColor="text1"/>
          <w:sz w:val="21"/>
          <w:szCs w:val="21"/>
          <w:lang w:eastAsia="en-AU"/>
        </w:rPr>
        <w:fldChar w:fldCharType="separate"/>
      </w:r>
      <w:r w:rsidR="005D5678">
        <w:rPr>
          <w:rFonts w:eastAsia="Times New Roman" w:cs="Arial"/>
          <w:b/>
          <w:bCs/>
          <w:noProof/>
          <w:color w:val="000000" w:themeColor="text1"/>
          <w:sz w:val="21"/>
          <w:szCs w:val="21"/>
          <w:lang w:eastAsia="en-AU"/>
        </w:rPr>
        <w:t>24</w:t>
      </w:r>
      <w:r w:rsidRPr="00217865">
        <w:rPr>
          <w:rFonts w:eastAsia="Times New Roman" w:cs="Arial"/>
          <w:b/>
          <w:bCs/>
          <w:color w:val="000000" w:themeColor="text1"/>
          <w:sz w:val="21"/>
          <w:szCs w:val="21"/>
          <w:lang w:eastAsia="en-AU"/>
        </w:rPr>
        <w:fldChar w:fldCharType="end"/>
      </w:r>
      <w:r w:rsidR="00CF00B5">
        <w:rPr>
          <w:rFonts w:eastAsia="Times New Roman" w:cs="Arial"/>
          <w:b/>
          <w:bCs/>
          <w:color w:val="000000" w:themeColor="text1"/>
          <w:sz w:val="21"/>
          <w:szCs w:val="21"/>
          <w:lang w:eastAsia="en-AU"/>
        </w:rPr>
        <w:tab/>
      </w:r>
      <w:r w:rsidRPr="00217865">
        <w:rPr>
          <w:rFonts w:eastAsia="Times New Roman" w:cs="Arial"/>
          <w:b/>
          <w:bCs/>
          <w:color w:val="000000" w:themeColor="text1"/>
          <w:sz w:val="21"/>
          <w:szCs w:val="21"/>
          <w:lang w:eastAsia="en-AU"/>
        </w:rPr>
        <w:t>New study mode questions</w:t>
      </w:r>
      <w:bookmarkEnd w:id="391"/>
      <w:bookmarkEnd w:id="392"/>
      <w:bookmarkEnd w:id="393"/>
      <w:bookmarkEnd w:id="394"/>
    </w:p>
    <w:tbl>
      <w:tblPr>
        <w:tblStyle w:val="TableGrid"/>
        <w:tblW w:w="9214" w:type="dxa"/>
        <w:tblLayout w:type="fixed"/>
        <w:tblLook w:val="0020" w:firstRow="1" w:lastRow="0" w:firstColumn="0" w:lastColumn="0" w:noHBand="0" w:noVBand="0"/>
      </w:tblPr>
      <w:tblGrid>
        <w:gridCol w:w="1701"/>
        <w:gridCol w:w="3686"/>
        <w:gridCol w:w="3827"/>
      </w:tblGrid>
      <w:tr w:rsidR="00217865" w:rsidRPr="00217865" w14:paraId="4F9E9492" w14:textId="77777777" w:rsidTr="00735EE6">
        <w:trPr>
          <w:cnfStyle w:val="100000000000" w:firstRow="1" w:lastRow="0" w:firstColumn="0" w:lastColumn="0" w:oddVBand="0" w:evenVBand="0" w:oddHBand="0" w:evenHBand="0" w:firstRowFirstColumn="0" w:firstRowLastColumn="0" w:lastRowFirstColumn="0" w:lastRowLastColumn="0"/>
          <w:trHeight w:val="284"/>
        </w:trPr>
        <w:tc>
          <w:tcPr>
            <w:tcW w:w="1701" w:type="dxa"/>
          </w:tcPr>
          <w:p w14:paraId="1F25F986" w14:textId="77777777" w:rsidR="009F5875" w:rsidRPr="00217865" w:rsidRDefault="009F5875" w:rsidP="007B7CAD">
            <w:pPr>
              <w:autoSpaceDE w:val="0"/>
              <w:autoSpaceDN w:val="0"/>
              <w:adjustRightInd w:val="0"/>
              <w:spacing w:before="60" w:after="60"/>
              <w:rPr>
                <w:rFonts w:cs="Arial"/>
                <w:b w:val="0"/>
                <w:bCs/>
                <w:szCs w:val="20"/>
              </w:rPr>
            </w:pPr>
            <w:r w:rsidRPr="00217865">
              <w:rPr>
                <w:rFonts w:cs="Arial"/>
                <w:bCs/>
                <w:szCs w:val="20"/>
              </w:rPr>
              <w:t>Varia</w:t>
            </w:r>
            <w:bookmarkStart w:id="395" w:name="Title_24"/>
            <w:bookmarkEnd w:id="395"/>
            <w:r w:rsidRPr="00217865">
              <w:rPr>
                <w:rFonts w:cs="Arial"/>
                <w:bCs/>
                <w:szCs w:val="20"/>
              </w:rPr>
              <w:t xml:space="preserve">ble </w:t>
            </w:r>
          </w:p>
        </w:tc>
        <w:tc>
          <w:tcPr>
            <w:tcW w:w="3686" w:type="dxa"/>
          </w:tcPr>
          <w:p w14:paraId="0EE24E18" w14:textId="77777777" w:rsidR="009F5875" w:rsidRPr="00217865" w:rsidRDefault="009F5875" w:rsidP="007B7CAD">
            <w:pPr>
              <w:autoSpaceDE w:val="0"/>
              <w:autoSpaceDN w:val="0"/>
              <w:adjustRightInd w:val="0"/>
              <w:spacing w:before="60" w:after="60"/>
              <w:rPr>
                <w:rFonts w:cs="Arial"/>
                <w:b w:val="0"/>
                <w:bCs/>
                <w:szCs w:val="20"/>
              </w:rPr>
            </w:pPr>
            <w:r w:rsidRPr="00217865">
              <w:rPr>
                <w:rFonts w:cs="Arial"/>
                <w:bCs/>
                <w:szCs w:val="20"/>
              </w:rPr>
              <w:t>Question</w:t>
            </w:r>
          </w:p>
        </w:tc>
        <w:tc>
          <w:tcPr>
            <w:tcW w:w="3827" w:type="dxa"/>
          </w:tcPr>
          <w:p w14:paraId="1ADA9BFA" w14:textId="77777777" w:rsidR="009F5875" w:rsidRPr="00217865" w:rsidRDefault="009F5875" w:rsidP="007B7CAD">
            <w:pPr>
              <w:autoSpaceDE w:val="0"/>
              <w:autoSpaceDN w:val="0"/>
              <w:adjustRightInd w:val="0"/>
              <w:spacing w:before="60" w:after="60"/>
              <w:rPr>
                <w:rFonts w:cs="Arial"/>
                <w:b w:val="0"/>
                <w:bCs/>
                <w:szCs w:val="20"/>
              </w:rPr>
            </w:pPr>
            <w:r w:rsidRPr="00217865">
              <w:rPr>
                <w:rFonts w:cs="Arial"/>
                <w:bCs/>
                <w:szCs w:val="20"/>
              </w:rPr>
              <w:t xml:space="preserve">Response options </w:t>
            </w:r>
          </w:p>
        </w:tc>
      </w:tr>
      <w:tr w:rsidR="00217865" w:rsidRPr="00217865" w14:paraId="4ADAB8C3" w14:textId="77777777" w:rsidTr="00735EE6">
        <w:trPr>
          <w:trHeight w:val="276"/>
        </w:trPr>
        <w:tc>
          <w:tcPr>
            <w:tcW w:w="1701" w:type="dxa"/>
          </w:tcPr>
          <w:p w14:paraId="11B67B36" w14:textId="77777777" w:rsidR="009F5875" w:rsidRPr="00217865" w:rsidRDefault="009F5875" w:rsidP="007B7CAD">
            <w:pPr>
              <w:autoSpaceDE w:val="0"/>
              <w:autoSpaceDN w:val="0"/>
              <w:adjustRightInd w:val="0"/>
              <w:spacing w:before="60" w:after="60"/>
              <w:rPr>
                <w:rFonts w:cs="Arial"/>
                <w:color w:val="000000" w:themeColor="text1"/>
                <w:szCs w:val="20"/>
              </w:rPr>
            </w:pPr>
            <w:r w:rsidRPr="00217865">
              <w:rPr>
                <w:rFonts w:cs="Arial"/>
                <w:color w:val="000000" w:themeColor="text1"/>
                <w:szCs w:val="20"/>
              </w:rPr>
              <w:t>CONTENT</w:t>
            </w:r>
          </w:p>
        </w:tc>
        <w:tc>
          <w:tcPr>
            <w:tcW w:w="3686" w:type="dxa"/>
          </w:tcPr>
          <w:p w14:paraId="20A175C0" w14:textId="77777777" w:rsidR="009F5875" w:rsidRPr="00217865" w:rsidRDefault="009F5875" w:rsidP="007B7CAD">
            <w:pPr>
              <w:spacing w:before="60" w:after="60"/>
              <w:rPr>
                <w:rFonts w:cs="Arial"/>
                <w:color w:val="000000" w:themeColor="text1"/>
                <w:szCs w:val="20"/>
              </w:rPr>
            </w:pPr>
            <w:r w:rsidRPr="00217865">
              <w:rPr>
                <w:rFonts w:cs="Arial"/>
                <w:color w:val="000000" w:themeColor="text1"/>
                <w:szCs w:val="20"/>
              </w:rPr>
              <w:t xml:space="preserve">Which of </w:t>
            </w:r>
            <w:proofErr w:type="gramStart"/>
            <w:r w:rsidRPr="00217865">
              <w:rPr>
                <w:rFonts w:cs="Arial"/>
                <w:color w:val="000000" w:themeColor="text1"/>
                <w:szCs w:val="20"/>
              </w:rPr>
              <w:t>these best</w:t>
            </w:r>
            <w:proofErr w:type="gramEnd"/>
            <w:r w:rsidRPr="00217865">
              <w:rPr>
                <w:rFonts w:cs="Arial"/>
                <w:color w:val="000000" w:themeColor="text1"/>
                <w:szCs w:val="20"/>
              </w:rPr>
              <w:t xml:space="preserve"> describes how you participated in your classes in &lt;SURVEYYEAR&gt;? This may include lectures, tutorials, seminars, practicals, laboratories and workshops.</w:t>
            </w:r>
          </w:p>
        </w:tc>
        <w:tc>
          <w:tcPr>
            <w:tcW w:w="3827" w:type="dxa"/>
          </w:tcPr>
          <w:p w14:paraId="6D2F03E4" w14:textId="77777777" w:rsidR="009F5875" w:rsidRPr="00217865" w:rsidRDefault="009F5875" w:rsidP="007B7CAD">
            <w:pPr>
              <w:numPr>
                <w:ilvl w:val="0"/>
                <w:numId w:val="38"/>
              </w:numPr>
              <w:spacing w:before="60" w:after="60"/>
              <w:ind w:right="113"/>
              <w:rPr>
                <w:rFonts w:eastAsia="Times New Roman" w:cs="Arial"/>
                <w:color w:val="000000" w:themeColor="text1"/>
                <w:szCs w:val="20"/>
              </w:rPr>
            </w:pPr>
            <w:r w:rsidRPr="00217865">
              <w:rPr>
                <w:rFonts w:eastAsia="Times New Roman" w:cs="Arial"/>
                <w:color w:val="000000" w:themeColor="text1"/>
                <w:szCs w:val="20"/>
              </w:rPr>
              <w:t>All online, i.e. all students and teachers are online</w:t>
            </w:r>
          </w:p>
          <w:p w14:paraId="3FB5240F" w14:textId="77777777" w:rsidR="009F5875" w:rsidRPr="00217865" w:rsidRDefault="009F5875" w:rsidP="007B7CAD">
            <w:pPr>
              <w:numPr>
                <w:ilvl w:val="0"/>
                <w:numId w:val="38"/>
              </w:numPr>
              <w:spacing w:before="60" w:after="60"/>
              <w:ind w:right="113"/>
              <w:rPr>
                <w:rFonts w:eastAsia="Times New Roman" w:cs="Arial"/>
                <w:color w:val="000000" w:themeColor="text1"/>
                <w:szCs w:val="20"/>
              </w:rPr>
            </w:pPr>
            <w:r w:rsidRPr="00217865">
              <w:rPr>
                <w:rFonts w:eastAsia="Times New Roman" w:cs="Arial"/>
                <w:color w:val="000000" w:themeColor="text1"/>
                <w:szCs w:val="20"/>
              </w:rPr>
              <w:t>All on-campus, i.e. students and teachers in the same physical place at the same time</w:t>
            </w:r>
          </w:p>
          <w:p w14:paraId="23353263" w14:textId="77777777" w:rsidR="009F5875" w:rsidRPr="00217865" w:rsidRDefault="009F5875" w:rsidP="007B7CAD">
            <w:pPr>
              <w:numPr>
                <w:ilvl w:val="0"/>
                <w:numId w:val="38"/>
              </w:numPr>
              <w:spacing w:before="60" w:after="60"/>
              <w:ind w:right="113"/>
              <w:rPr>
                <w:rFonts w:eastAsia="Times New Roman" w:cs="Arial"/>
                <w:color w:val="000000" w:themeColor="text1"/>
                <w:szCs w:val="20"/>
              </w:rPr>
            </w:pPr>
            <w:r w:rsidRPr="00217865">
              <w:rPr>
                <w:rFonts w:eastAsia="Times New Roman" w:cs="Arial"/>
                <w:color w:val="000000" w:themeColor="text1"/>
                <w:szCs w:val="20"/>
              </w:rPr>
              <w:t>Blended / hybrid, i.e. a mix of online and on-campus</w:t>
            </w:r>
          </w:p>
        </w:tc>
      </w:tr>
      <w:tr w:rsidR="00217865" w:rsidRPr="00217865" w14:paraId="5C09C923" w14:textId="77777777" w:rsidTr="00735EE6">
        <w:trPr>
          <w:trHeight w:val="276"/>
        </w:trPr>
        <w:tc>
          <w:tcPr>
            <w:tcW w:w="1701" w:type="dxa"/>
          </w:tcPr>
          <w:p w14:paraId="43EEDE8A" w14:textId="77777777" w:rsidR="009F5875" w:rsidRPr="00217865" w:rsidRDefault="009F5875" w:rsidP="007B7CAD">
            <w:pPr>
              <w:autoSpaceDE w:val="0"/>
              <w:autoSpaceDN w:val="0"/>
              <w:adjustRightInd w:val="0"/>
              <w:spacing w:before="60" w:after="60"/>
              <w:rPr>
                <w:rFonts w:cs="Arial"/>
                <w:color w:val="000000" w:themeColor="text1"/>
                <w:szCs w:val="20"/>
              </w:rPr>
            </w:pPr>
            <w:r w:rsidRPr="00217865">
              <w:rPr>
                <w:rFonts w:cs="Arial"/>
                <w:color w:val="000000" w:themeColor="text1"/>
                <w:szCs w:val="20"/>
              </w:rPr>
              <w:t>ONLINE_REV</w:t>
            </w:r>
          </w:p>
        </w:tc>
        <w:tc>
          <w:tcPr>
            <w:tcW w:w="3686" w:type="dxa"/>
          </w:tcPr>
          <w:p w14:paraId="3DDC3BD6" w14:textId="77777777" w:rsidR="009F5875" w:rsidRPr="00217865" w:rsidRDefault="009F5875" w:rsidP="007B7CAD">
            <w:pPr>
              <w:spacing w:before="60" w:after="60"/>
              <w:rPr>
                <w:rFonts w:cs="Arial"/>
                <w:color w:val="000000" w:themeColor="text1"/>
                <w:szCs w:val="20"/>
              </w:rPr>
            </w:pPr>
            <w:r w:rsidRPr="00217865">
              <w:rPr>
                <w:rFonts w:cs="Arial"/>
                <w:color w:val="000000" w:themeColor="text1"/>
                <w:szCs w:val="22"/>
              </w:rPr>
              <w:t>In &lt;SURVEYYEAR&gt;, what proportion of all your classes did you participate in online? This may include lectures, tutorials, seminars, practicals, laboratories and workshops.</w:t>
            </w:r>
          </w:p>
        </w:tc>
        <w:tc>
          <w:tcPr>
            <w:tcW w:w="3827" w:type="dxa"/>
          </w:tcPr>
          <w:p w14:paraId="44F04334" w14:textId="77777777" w:rsidR="009F5875" w:rsidRPr="00217865" w:rsidRDefault="009F5875" w:rsidP="007B7CAD">
            <w:pPr>
              <w:numPr>
                <w:ilvl w:val="0"/>
                <w:numId w:val="39"/>
              </w:numPr>
              <w:spacing w:before="60" w:after="60"/>
              <w:ind w:right="113"/>
              <w:rPr>
                <w:rFonts w:eastAsia="Times New Roman" w:cs="Arial"/>
                <w:color w:val="000000" w:themeColor="text1"/>
                <w:szCs w:val="20"/>
              </w:rPr>
            </w:pPr>
            <w:r w:rsidRPr="00217865">
              <w:rPr>
                <w:rFonts w:eastAsia="Times New Roman" w:cs="Arial"/>
                <w:color w:val="000000" w:themeColor="text1"/>
                <w:szCs w:val="20"/>
              </w:rPr>
              <w:t xml:space="preserve">None </w:t>
            </w:r>
          </w:p>
          <w:p w14:paraId="504F0026" w14:textId="77777777" w:rsidR="009F5875" w:rsidRPr="00217865" w:rsidRDefault="009F5875" w:rsidP="007B7CAD">
            <w:pPr>
              <w:numPr>
                <w:ilvl w:val="0"/>
                <w:numId w:val="39"/>
              </w:numPr>
              <w:spacing w:before="60" w:after="60"/>
              <w:ind w:right="113"/>
              <w:rPr>
                <w:rFonts w:eastAsia="Times New Roman" w:cs="Arial"/>
                <w:color w:val="000000" w:themeColor="text1"/>
                <w:szCs w:val="20"/>
              </w:rPr>
            </w:pPr>
            <w:r w:rsidRPr="00217865">
              <w:rPr>
                <w:rFonts w:eastAsia="Times New Roman" w:cs="Arial"/>
                <w:color w:val="000000" w:themeColor="text1"/>
                <w:szCs w:val="20"/>
              </w:rPr>
              <w:t xml:space="preserve">Some </w:t>
            </w:r>
          </w:p>
          <w:p w14:paraId="01C59EFB" w14:textId="77777777" w:rsidR="009F5875" w:rsidRPr="00217865" w:rsidRDefault="009F5875" w:rsidP="007B7CAD">
            <w:pPr>
              <w:numPr>
                <w:ilvl w:val="0"/>
                <w:numId w:val="39"/>
              </w:numPr>
              <w:spacing w:before="60" w:after="60"/>
              <w:ind w:right="113"/>
              <w:rPr>
                <w:rFonts w:eastAsia="Times New Roman" w:cs="Arial"/>
                <w:color w:val="000000" w:themeColor="text1"/>
                <w:szCs w:val="20"/>
              </w:rPr>
            </w:pPr>
            <w:r w:rsidRPr="00217865">
              <w:rPr>
                <w:rFonts w:eastAsia="Times New Roman" w:cs="Arial"/>
                <w:color w:val="000000" w:themeColor="text1"/>
                <w:szCs w:val="20"/>
              </w:rPr>
              <w:t xml:space="preserve">About half </w:t>
            </w:r>
          </w:p>
          <w:p w14:paraId="1570A940" w14:textId="77777777" w:rsidR="009F5875" w:rsidRPr="00217865" w:rsidRDefault="009F5875" w:rsidP="007B7CAD">
            <w:pPr>
              <w:numPr>
                <w:ilvl w:val="0"/>
                <w:numId w:val="39"/>
              </w:numPr>
              <w:spacing w:before="60" w:after="60"/>
              <w:ind w:right="113"/>
              <w:rPr>
                <w:rFonts w:eastAsia="Times New Roman" w:cs="Arial"/>
                <w:color w:val="000000" w:themeColor="text1"/>
                <w:szCs w:val="20"/>
              </w:rPr>
            </w:pPr>
            <w:r w:rsidRPr="00217865">
              <w:rPr>
                <w:rFonts w:eastAsia="Times New Roman" w:cs="Arial"/>
                <w:color w:val="000000" w:themeColor="text1"/>
                <w:szCs w:val="20"/>
              </w:rPr>
              <w:t xml:space="preserve">Most </w:t>
            </w:r>
          </w:p>
          <w:p w14:paraId="1E19BA38" w14:textId="77777777" w:rsidR="009F5875" w:rsidRPr="00217865" w:rsidRDefault="009F5875" w:rsidP="007B7CAD">
            <w:pPr>
              <w:numPr>
                <w:ilvl w:val="0"/>
                <w:numId w:val="39"/>
              </w:numPr>
              <w:spacing w:before="60" w:after="60"/>
              <w:ind w:right="113"/>
              <w:rPr>
                <w:rFonts w:eastAsia="Times New Roman" w:cs="Arial"/>
                <w:color w:val="000000" w:themeColor="text1"/>
                <w:szCs w:val="20"/>
              </w:rPr>
            </w:pPr>
            <w:r w:rsidRPr="00217865">
              <w:rPr>
                <w:rFonts w:eastAsia="Times New Roman" w:cs="Arial"/>
                <w:color w:val="000000" w:themeColor="text1"/>
                <w:szCs w:val="20"/>
              </w:rPr>
              <w:t>All</w:t>
            </w:r>
          </w:p>
        </w:tc>
      </w:tr>
      <w:tr w:rsidR="00217865" w:rsidRPr="00217865" w14:paraId="035C1ADD" w14:textId="77777777" w:rsidTr="00735EE6">
        <w:trPr>
          <w:trHeight w:val="276"/>
        </w:trPr>
        <w:tc>
          <w:tcPr>
            <w:tcW w:w="1701" w:type="dxa"/>
          </w:tcPr>
          <w:p w14:paraId="7E7638E6" w14:textId="77777777" w:rsidR="009F5875" w:rsidRPr="00217865" w:rsidRDefault="009F5875" w:rsidP="007B7CAD">
            <w:pPr>
              <w:autoSpaceDE w:val="0"/>
              <w:autoSpaceDN w:val="0"/>
              <w:adjustRightInd w:val="0"/>
              <w:spacing w:before="60" w:after="60"/>
              <w:rPr>
                <w:rFonts w:cs="Arial"/>
                <w:color w:val="000000" w:themeColor="text1"/>
                <w:szCs w:val="20"/>
              </w:rPr>
            </w:pPr>
            <w:r w:rsidRPr="00217865">
              <w:rPr>
                <w:rFonts w:cs="Arial"/>
                <w:color w:val="000000" w:themeColor="text1"/>
                <w:szCs w:val="20"/>
              </w:rPr>
              <w:t>ONLINETYP</w:t>
            </w:r>
          </w:p>
        </w:tc>
        <w:tc>
          <w:tcPr>
            <w:tcW w:w="3686" w:type="dxa"/>
          </w:tcPr>
          <w:p w14:paraId="1871D30E" w14:textId="77777777" w:rsidR="009F5875" w:rsidRPr="00217865" w:rsidRDefault="009F5875" w:rsidP="007B7CAD">
            <w:pPr>
              <w:spacing w:before="60" w:after="60"/>
              <w:ind w:left="28" w:hanging="28"/>
              <w:rPr>
                <w:rFonts w:cs="Arial"/>
                <w:color w:val="000000" w:themeColor="text1"/>
                <w:szCs w:val="22"/>
              </w:rPr>
            </w:pPr>
            <w:r w:rsidRPr="00217865">
              <w:rPr>
                <w:rFonts w:cs="Arial"/>
                <w:color w:val="000000" w:themeColor="text1"/>
                <w:szCs w:val="20"/>
              </w:rPr>
              <w:t>In &lt;SURVEYYEAR&gt;, which best describes your online &lt;course&gt;?</w:t>
            </w:r>
          </w:p>
        </w:tc>
        <w:tc>
          <w:tcPr>
            <w:tcW w:w="3827" w:type="dxa"/>
          </w:tcPr>
          <w:p w14:paraId="61BA9188" w14:textId="77777777" w:rsidR="009F5875" w:rsidRPr="00217865" w:rsidRDefault="009F5875" w:rsidP="007B7CAD">
            <w:pPr>
              <w:numPr>
                <w:ilvl w:val="0"/>
                <w:numId w:val="40"/>
              </w:numPr>
              <w:spacing w:before="60" w:after="60"/>
              <w:ind w:right="113"/>
              <w:rPr>
                <w:rFonts w:cs="Arial"/>
                <w:noProof/>
                <w:color w:val="000000" w:themeColor="text1"/>
                <w:szCs w:val="20"/>
                <w:lang w:val="en-US"/>
              </w:rPr>
            </w:pPr>
            <w:r w:rsidRPr="00217865">
              <w:rPr>
                <w:rFonts w:cs="Arial"/>
                <w:noProof/>
                <w:color w:val="000000" w:themeColor="text1"/>
                <w:szCs w:val="20"/>
                <w:lang w:val="en-US"/>
              </w:rPr>
              <w:t>My &lt;course&gt; requires me to participate in classes with teachers and other students at the same time</w:t>
            </w:r>
          </w:p>
          <w:p w14:paraId="4D6DF941" w14:textId="77777777" w:rsidR="009F5875" w:rsidRPr="00217865" w:rsidRDefault="009F5875" w:rsidP="007B7CAD">
            <w:pPr>
              <w:numPr>
                <w:ilvl w:val="0"/>
                <w:numId w:val="40"/>
              </w:numPr>
              <w:spacing w:before="60" w:after="60"/>
              <w:ind w:right="113"/>
              <w:rPr>
                <w:rFonts w:cs="Arial"/>
                <w:noProof/>
                <w:color w:val="000000" w:themeColor="text1"/>
                <w:szCs w:val="20"/>
                <w:lang w:val="en-US"/>
              </w:rPr>
            </w:pPr>
            <w:r w:rsidRPr="00217865">
              <w:rPr>
                <w:rFonts w:cs="Arial"/>
                <w:noProof/>
                <w:color w:val="000000" w:themeColor="text1"/>
                <w:szCs w:val="20"/>
                <w:lang w:val="en-US"/>
              </w:rPr>
              <w:t>My &lt;course&gt; requires me to access content in my own time. I don’t have classes with other teachers or students</w:t>
            </w:r>
          </w:p>
          <w:p w14:paraId="0F000D34" w14:textId="77777777" w:rsidR="009F5875" w:rsidRPr="00217865" w:rsidRDefault="009F5875" w:rsidP="007B7CAD">
            <w:pPr>
              <w:numPr>
                <w:ilvl w:val="0"/>
                <w:numId w:val="40"/>
              </w:numPr>
              <w:spacing w:before="60" w:after="60"/>
              <w:ind w:right="113"/>
              <w:rPr>
                <w:rFonts w:cs="Arial"/>
                <w:noProof/>
                <w:color w:val="000000" w:themeColor="text1"/>
                <w:szCs w:val="20"/>
                <w:lang w:val="en-US"/>
              </w:rPr>
            </w:pPr>
            <w:r w:rsidRPr="00217865">
              <w:rPr>
                <w:rFonts w:cs="Arial"/>
                <w:noProof/>
                <w:color w:val="000000" w:themeColor="text1"/>
                <w:szCs w:val="20"/>
                <w:lang w:val="en-US"/>
              </w:rPr>
              <w:t>My &lt;course&gt; is a mix of the above. Some &lt;units&gt; have classes with students and teachers in them at the same time. Some &lt;units&gt; have no classes and I access content in my own time.</w:t>
            </w:r>
          </w:p>
          <w:p w14:paraId="10074E86" w14:textId="77777777" w:rsidR="009F5875" w:rsidRPr="00217865" w:rsidRDefault="009F5875" w:rsidP="007B7CAD">
            <w:pPr>
              <w:numPr>
                <w:ilvl w:val="0"/>
                <w:numId w:val="40"/>
              </w:numPr>
              <w:spacing w:before="60" w:after="60"/>
              <w:ind w:right="113"/>
              <w:rPr>
                <w:rFonts w:cs="Arial"/>
                <w:color w:val="000000" w:themeColor="text1"/>
                <w:szCs w:val="20"/>
              </w:rPr>
            </w:pPr>
            <w:r w:rsidRPr="00217865">
              <w:rPr>
                <w:rFonts w:cs="Arial"/>
                <w:color w:val="000000" w:themeColor="text1"/>
                <w:szCs w:val="20"/>
              </w:rPr>
              <w:t>Other (please describe)</w:t>
            </w:r>
          </w:p>
        </w:tc>
      </w:tr>
      <w:tr w:rsidR="00217865" w:rsidRPr="00217865" w14:paraId="30C23F62" w14:textId="77777777" w:rsidTr="00735EE6">
        <w:trPr>
          <w:trHeight w:val="276"/>
        </w:trPr>
        <w:tc>
          <w:tcPr>
            <w:tcW w:w="1701" w:type="dxa"/>
          </w:tcPr>
          <w:p w14:paraId="7F7F3BE4" w14:textId="77777777" w:rsidR="009F5875" w:rsidRPr="00217865" w:rsidRDefault="009F5875" w:rsidP="007B7CAD">
            <w:pPr>
              <w:autoSpaceDE w:val="0"/>
              <w:autoSpaceDN w:val="0"/>
              <w:adjustRightInd w:val="0"/>
              <w:spacing w:before="60" w:after="60"/>
              <w:rPr>
                <w:rFonts w:cs="Arial"/>
                <w:color w:val="000000" w:themeColor="text1"/>
                <w:szCs w:val="20"/>
              </w:rPr>
            </w:pPr>
            <w:r w:rsidRPr="00217865">
              <w:rPr>
                <w:rFonts w:cs="Arial"/>
                <w:color w:val="000000" w:themeColor="text1"/>
                <w:szCs w:val="20"/>
              </w:rPr>
              <w:t>WIL</w:t>
            </w:r>
          </w:p>
        </w:tc>
        <w:tc>
          <w:tcPr>
            <w:tcW w:w="3686" w:type="dxa"/>
          </w:tcPr>
          <w:p w14:paraId="4F298F17" w14:textId="77777777" w:rsidR="009F5875" w:rsidRPr="00217865" w:rsidRDefault="009F5875" w:rsidP="007B7CAD">
            <w:pPr>
              <w:spacing w:before="60" w:after="60"/>
              <w:ind w:left="28" w:hanging="28"/>
              <w:rPr>
                <w:rFonts w:cs="Arial"/>
                <w:color w:val="000000" w:themeColor="text1"/>
                <w:szCs w:val="20"/>
              </w:rPr>
            </w:pPr>
            <w:r w:rsidRPr="00217865">
              <w:rPr>
                <w:rFonts w:cs="Arial"/>
                <w:color w:val="000000" w:themeColor="text1"/>
                <w:szCs w:val="22"/>
              </w:rPr>
              <w:t>In &lt;SURVEYYEAR&gt;, what proportion of your &lt;course&gt; involved activities such as placements, internships or work integrated learning?</w:t>
            </w:r>
          </w:p>
        </w:tc>
        <w:tc>
          <w:tcPr>
            <w:tcW w:w="3827" w:type="dxa"/>
          </w:tcPr>
          <w:p w14:paraId="0863498A" w14:textId="77777777" w:rsidR="009F5875" w:rsidRPr="00217865" w:rsidRDefault="009F5875" w:rsidP="007B7CAD">
            <w:pPr>
              <w:numPr>
                <w:ilvl w:val="0"/>
                <w:numId w:val="41"/>
              </w:numPr>
              <w:spacing w:before="60" w:after="60"/>
              <w:ind w:right="113"/>
              <w:rPr>
                <w:rFonts w:cs="Arial"/>
                <w:color w:val="000000" w:themeColor="text1"/>
                <w:szCs w:val="20"/>
              </w:rPr>
            </w:pPr>
            <w:r w:rsidRPr="00217865">
              <w:rPr>
                <w:rFonts w:cs="Arial"/>
                <w:color w:val="000000" w:themeColor="text1"/>
                <w:szCs w:val="20"/>
              </w:rPr>
              <w:t xml:space="preserve">None </w:t>
            </w:r>
          </w:p>
          <w:p w14:paraId="6408E0FD" w14:textId="77777777" w:rsidR="009F5875" w:rsidRPr="00217865" w:rsidRDefault="009F5875" w:rsidP="007B7CAD">
            <w:pPr>
              <w:numPr>
                <w:ilvl w:val="0"/>
                <w:numId w:val="41"/>
              </w:numPr>
              <w:spacing w:before="60" w:after="60"/>
              <w:ind w:right="113"/>
              <w:rPr>
                <w:rFonts w:cs="Arial"/>
                <w:color w:val="000000" w:themeColor="text1"/>
                <w:szCs w:val="20"/>
              </w:rPr>
            </w:pPr>
            <w:r w:rsidRPr="00217865">
              <w:rPr>
                <w:rFonts w:cs="Arial"/>
                <w:color w:val="000000" w:themeColor="text1"/>
                <w:szCs w:val="20"/>
              </w:rPr>
              <w:t xml:space="preserve">Some </w:t>
            </w:r>
          </w:p>
          <w:p w14:paraId="43AC2A0B" w14:textId="77777777" w:rsidR="009F5875" w:rsidRPr="00217865" w:rsidRDefault="009F5875" w:rsidP="007B7CAD">
            <w:pPr>
              <w:numPr>
                <w:ilvl w:val="0"/>
                <w:numId w:val="41"/>
              </w:numPr>
              <w:spacing w:before="60" w:after="60"/>
              <w:ind w:right="113"/>
              <w:rPr>
                <w:rFonts w:cs="Arial"/>
                <w:color w:val="000000" w:themeColor="text1"/>
                <w:szCs w:val="20"/>
              </w:rPr>
            </w:pPr>
            <w:r w:rsidRPr="00217865">
              <w:rPr>
                <w:rFonts w:cs="Arial"/>
                <w:color w:val="000000" w:themeColor="text1"/>
                <w:szCs w:val="20"/>
              </w:rPr>
              <w:t xml:space="preserve">About half </w:t>
            </w:r>
          </w:p>
          <w:p w14:paraId="3ED5C38F" w14:textId="77777777" w:rsidR="009F5875" w:rsidRPr="00217865" w:rsidRDefault="009F5875" w:rsidP="007B7CAD">
            <w:pPr>
              <w:numPr>
                <w:ilvl w:val="0"/>
                <w:numId w:val="41"/>
              </w:numPr>
              <w:spacing w:before="60" w:after="60"/>
              <w:ind w:right="113"/>
              <w:rPr>
                <w:rFonts w:cs="Arial"/>
                <w:color w:val="000000" w:themeColor="text1"/>
                <w:szCs w:val="20"/>
              </w:rPr>
            </w:pPr>
            <w:r w:rsidRPr="00217865">
              <w:rPr>
                <w:rFonts w:cs="Arial"/>
                <w:color w:val="000000" w:themeColor="text1"/>
                <w:szCs w:val="20"/>
              </w:rPr>
              <w:t xml:space="preserve">Most </w:t>
            </w:r>
          </w:p>
          <w:p w14:paraId="29BC1D71" w14:textId="77777777" w:rsidR="009F5875" w:rsidRPr="00217865" w:rsidRDefault="009F5875" w:rsidP="007B7CAD">
            <w:pPr>
              <w:numPr>
                <w:ilvl w:val="0"/>
                <w:numId w:val="41"/>
              </w:numPr>
              <w:spacing w:before="60" w:after="60"/>
              <w:ind w:right="113"/>
              <w:rPr>
                <w:rFonts w:cs="Arial"/>
                <w:color w:val="000000" w:themeColor="text1"/>
                <w:szCs w:val="20"/>
              </w:rPr>
            </w:pPr>
            <w:r w:rsidRPr="00217865">
              <w:rPr>
                <w:rFonts w:cs="Arial"/>
                <w:color w:val="000000" w:themeColor="text1"/>
                <w:szCs w:val="20"/>
              </w:rPr>
              <w:t>All</w:t>
            </w:r>
          </w:p>
        </w:tc>
      </w:tr>
    </w:tbl>
    <w:p w14:paraId="27066972"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396" w:name="_Toc147266457"/>
      <w:bookmarkStart w:id="397" w:name="_Toc148606704"/>
      <w:bookmarkStart w:id="398" w:name="_Toc169679809"/>
      <w:bookmarkStart w:id="399" w:name="_Toc178599310"/>
      <w:r w:rsidRPr="00217865">
        <w:rPr>
          <w:rFonts w:cs="Arial"/>
          <w:color w:val="000000" w:themeColor="text1"/>
          <w:sz w:val="28"/>
        </w:rPr>
        <w:t>Considered leaving</w:t>
      </w:r>
      <w:bookmarkEnd w:id="396"/>
      <w:bookmarkEnd w:id="397"/>
      <w:bookmarkEnd w:id="398"/>
      <w:bookmarkEnd w:id="399"/>
    </w:p>
    <w:p w14:paraId="3C0801E5" w14:textId="77777777" w:rsidR="009F5875" w:rsidRPr="00217865" w:rsidRDefault="009F5875" w:rsidP="009F5875">
      <w:pPr>
        <w:spacing w:before="120" w:after="120" w:line="300" w:lineRule="auto"/>
        <w:rPr>
          <w:rFonts w:eastAsia="Times New Roman" w:cs="Arial"/>
          <w:b/>
          <w:bCs/>
          <w:color w:val="000000" w:themeColor="text1"/>
          <w:szCs w:val="20"/>
        </w:rPr>
      </w:pPr>
      <w:r w:rsidRPr="00217865">
        <w:rPr>
          <w:rFonts w:eastAsia="Times New Roman" w:cs="Arial"/>
          <w:color w:val="000000" w:themeColor="text1"/>
          <w:szCs w:val="20"/>
        </w:rPr>
        <w:t>Students are asked in the SES if they have seriously considered leaving their institution in the survey year and if so, they can provide their reasons from a list displayed in survey, or they can write in their reason if an appropriate option is not available. There were several response options in the previous list that were ambiguous or overlapped (e.g., ‘Difficulty paying fees’ and ‘Financial difficulties’). In addition, the most common reason chosen by approximately half of respondents was ‘Health or stress’ which was difficult to interpret as it potentially covered three separate reasons.</w:t>
      </w:r>
      <w:r w:rsidRPr="00217865">
        <w:rPr>
          <w:rFonts w:eastAsia="Times New Roman" w:cs="Arial"/>
          <w:b/>
          <w:bCs/>
          <w:color w:val="000000" w:themeColor="text1"/>
          <w:szCs w:val="20"/>
        </w:rPr>
        <w:t xml:space="preserve"> </w:t>
      </w:r>
    </w:p>
    <w:p w14:paraId="1A3D92F9"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Response options were reviewed and updated ahead of the 2023 SES. In some cases, previous response options were retained but clarifying text was added. For example, ‘Career prospects’ was updated to ‘Lack of career </w:t>
      </w:r>
      <w:proofErr w:type="gramStart"/>
      <w:r w:rsidRPr="00217865">
        <w:rPr>
          <w:rFonts w:eastAsia="Times New Roman" w:cs="Arial"/>
          <w:color w:val="000000" w:themeColor="text1"/>
          <w:szCs w:val="20"/>
        </w:rPr>
        <w:t>prospects’</w:t>
      </w:r>
      <w:proofErr w:type="gramEnd"/>
      <w:r w:rsidRPr="00217865">
        <w:rPr>
          <w:rFonts w:eastAsia="Times New Roman" w:cs="Arial"/>
          <w:color w:val="000000" w:themeColor="text1"/>
          <w:szCs w:val="20"/>
        </w:rPr>
        <w:t xml:space="preserve">. Some options were removed, such as ‘Graduating’, which did not make sense in the context of the question asked. </w:t>
      </w:r>
    </w:p>
    <w:p w14:paraId="473C19B2" w14:textId="77777777"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lastRenderedPageBreak/>
        <w:t>‘Health or stress’ was replaced with three new options: ‘My physical health’, ‘My mental health’, and ‘My stress levels’. This change is intended to provide institutions with more nuanced information they can utilise to better support students.</w:t>
      </w:r>
    </w:p>
    <w:p w14:paraId="67B2A731" w14:textId="77777777" w:rsidR="009F5875" w:rsidRPr="00217865" w:rsidRDefault="009F5875" w:rsidP="009F5875">
      <w:pPr>
        <w:spacing w:before="120" w:line="300" w:lineRule="auto"/>
        <w:rPr>
          <w:rFonts w:eastAsia="Times New Roman" w:cs="Arial"/>
          <w:color w:val="000000" w:themeColor="text1"/>
          <w:szCs w:val="20"/>
        </w:rPr>
      </w:pPr>
      <w:r w:rsidRPr="00217865">
        <w:rPr>
          <w:rFonts w:eastAsia="Times New Roman" w:cs="Arial"/>
          <w:color w:val="000000" w:themeColor="text1"/>
          <w:szCs w:val="20"/>
        </w:rPr>
        <w:t>Respondents are also able to continue to write in other reasons. These will be monitored and used to inform future refinement to this list of response options.</w:t>
      </w:r>
    </w:p>
    <w:p w14:paraId="4BC4E15C" w14:textId="77777777" w:rsidR="009F5875" w:rsidRPr="00217865" w:rsidRDefault="009F5875" w:rsidP="009F5875">
      <w:pPr>
        <w:spacing w:after="160" w:line="259" w:lineRule="auto"/>
        <w:rPr>
          <w:rFonts w:eastAsia="Times New Roman" w:cs="Arial"/>
          <w:color w:val="000000" w:themeColor="text1"/>
          <w:szCs w:val="20"/>
        </w:rPr>
      </w:pPr>
    </w:p>
    <w:p w14:paraId="5B06691A" w14:textId="59B24C6A" w:rsidR="009F5875" w:rsidRPr="00217865" w:rsidRDefault="009F5875" w:rsidP="009F5875">
      <w:pPr>
        <w:keepNext/>
        <w:tabs>
          <w:tab w:val="left" w:pos="1134"/>
        </w:tabs>
        <w:spacing w:before="120" w:after="120"/>
        <w:ind w:left="1134" w:hanging="1134"/>
        <w:rPr>
          <w:rFonts w:eastAsia="Times New Roman" w:cs="Arial"/>
          <w:b/>
          <w:bCs/>
          <w:color w:val="000000" w:themeColor="text1"/>
          <w:sz w:val="21"/>
          <w:szCs w:val="21"/>
          <w:lang w:eastAsia="en-AU"/>
        </w:rPr>
      </w:pPr>
      <w:bookmarkStart w:id="400" w:name="_Toc147265505"/>
      <w:bookmarkStart w:id="401" w:name="_Toc148606710"/>
      <w:bookmarkStart w:id="402" w:name="_Toc167872866"/>
      <w:bookmarkStart w:id="403" w:name="_Toc178599390"/>
      <w:r w:rsidRPr="00217865">
        <w:rPr>
          <w:rFonts w:eastAsia="Times New Roman" w:cs="Arial"/>
          <w:b/>
          <w:bCs/>
          <w:color w:val="000000" w:themeColor="text1"/>
          <w:sz w:val="21"/>
          <w:szCs w:val="21"/>
          <w:lang w:eastAsia="en-AU"/>
        </w:rPr>
        <w:t xml:space="preserve">Table </w:t>
      </w:r>
      <w:r w:rsidRPr="00217865">
        <w:rPr>
          <w:rFonts w:eastAsia="Times New Roman" w:cs="Arial"/>
          <w:b/>
          <w:bCs/>
          <w:color w:val="000000" w:themeColor="text1"/>
          <w:sz w:val="21"/>
          <w:szCs w:val="21"/>
          <w:lang w:eastAsia="en-AU"/>
        </w:rPr>
        <w:fldChar w:fldCharType="begin"/>
      </w:r>
      <w:r w:rsidRPr="00217865">
        <w:rPr>
          <w:rFonts w:eastAsia="Times New Roman" w:cs="Arial"/>
          <w:b/>
          <w:bCs/>
          <w:color w:val="000000" w:themeColor="text1"/>
          <w:sz w:val="21"/>
          <w:szCs w:val="21"/>
          <w:lang w:eastAsia="en-AU"/>
        </w:rPr>
        <w:instrText xml:space="preserve"> SEQ Table \* ARABIC </w:instrText>
      </w:r>
      <w:r w:rsidRPr="00217865">
        <w:rPr>
          <w:rFonts w:eastAsia="Times New Roman" w:cs="Arial"/>
          <w:b/>
          <w:bCs/>
          <w:color w:val="000000" w:themeColor="text1"/>
          <w:sz w:val="21"/>
          <w:szCs w:val="21"/>
          <w:lang w:eastAsia="en-AU"/>
        </w:rPr>
        <w:fldChar w:fldCharType="separate"/>
      </w:r>
      <w:r w:rsidR="005D5678">
        <w:rPr>
          <w:rFonts w:eastAsia="Times New Roman" w:cs="Arial"/>
          <w:b/>
          <w:bCs/>
          <w:noProof/>
          <w:color w:val="000000" w:themeColor="text1"/>
          <w:sz w:val="21"/>
          <w:szCs w:val="21"/>
          <w:lang w:eastAsia="en-AU"/>
        </w:rPr>
        <w:t>25</w:t>
      </w:r>
      <w:r w:rsidRPr="00217865">
        <w:rPr>
          <w:rFonts w:eastAsia="Times New Roman" w:cs="Arial"/>
          <w:b/>
          <w:bCs/>
          <w:color w:val="000000" w:themeColor="text1"/>
          <w:sz w:val="21"/>
          <w:szCs w:val="21"/>
          <w:lang w:eastAsia="en-AU"/>
        </w:rPr>
        <w:fldChar w:fldCharType="end"/>
      </w:r>
      <w:r w:rsidR="00CF00B5">
        <w:rPr>
          <w:rFonts w:eastAsia="Times New Roman" w:cs="Arial"/>
          <w:b/>
          <w:bCs/>
          <w:color w:val="000000" w:themeColor="text1"/>
          <w:sz w:val="21"/>
          <w:szCs w:val="21"/>
          <w:lang w:eastAsia="en-AU"/>
        </w:rPr>
        <w:tab/>
      </w:r>
      <w:r w:rsidRPr="00217865">
        <w:rPr>
          <w:rFonts w:eastAsia="Times New Roman" w:cs="Arial"/>
          <w:b/>
          <w:bCs/>
          <w:color w:val="000000" w:themeColor="text1"/>
          <w:sz w:val="21"/>
          <w:szCs w:val="21"/>
          <w:lang w:eastAsia="en-AU"/>
        </w:rPr>
        <w:t>List of the old and new response options for reasons considered leaving</w:t>
      </w:r>
      <w:bookmarkEnd w:id="400"/>
      <w:bookmarkEnd w:id="401"/>
      <w:bookmarkEnd w:id="402"/>
      <w:bookmarkEnd w:id="403"/>
    </w:p>
    <w:tbl>
      <w:tblPr>
        <w:tblStyle w:val="TableGrid"/>
        <w:tblW w:w="9028" w:type="dxa"/>
        <w:tblLook w:val="04A0" w:firstRow="1" w:lastRow="0" w:firstColumn="1" w:lastColumn="0" w:noHBand="0" w:noVBand="1"/>
      </w:tblPr>
      <w:tblGrid>
        <w:gridCol w:w="1397"/>
        <w:gridCol w:w="3118"/>
        <w:gridCol w:w="1395"/>
        <w:gridCol w:w="3118"/>
      </w:tblGrid>
      <w:tr w:rsidR="00CF411A" w:rsidRPr="00217865" w14:paraId="6C5DAD8D" w14:textId="77777777" w:rsidTr="007B7CAD">
        <w:trPr>
          <w:cnfStyle w:val="100000000000" w:firstRow="1" w:lastRow="0" w:firstColumn="0" w:lastColumn="0" w:oddVBand="0" w:evenVBand="0" w:oddHBand="0" w:evenHBand="0" w:firstRowFirstColumn="0" w:firstRowLastColumn="0" w:lastRowFirstColumn="0" w:lastRowLastColumn="0"/>
          <w:trHeight w:val="113"/>
          <w:tblHeader/>
        </w:trPr>
        <w:tc>
          <w:tcPr>
            <w:tcW w:w="1397" w:type="dxa"/>
          </w:tcPr>
          <w:p w14:paraId="01472018" w14:textId="7B70CE85" w:rsidR="00CF411A" w:rsidRPr="00217865" w:rsidRDefault="00CF411A" w:rsidP="00CF411A">
            <w:pPr>
              <w:autoSpaceDE w:val="0"/>
              <w:autoSpaceDN w:val="0"/>
              <w:adjustRightInd w:val="0"/>
              <w:spacing w:before="60" w:after="60"/>
              <w:ind w:right="113"/>
              <w:rPr>
                <w:rFonts w:cs="Arial"/>
                <w:b w:val="0"/>
                <w:bCs/>
                <w:szCs w:val="20"/>
              </w:rPr>
            </w:pPr>
            <w:r w:rsidRPr="00217865">
              <w:rPr>
                <w:rFonts w:cs="Arial"/>
                <w:bCs/>
                <w:szCs w:val="20"/>
              </w:rPr>
              <w:t>Old response opti</w:t>
            </w:r>
            <w:bookmarkStart w:id="404" w:name="Title_25"/>
            <w:bookmarkEnd w:id="404"/>
            <w:r w:rsidRPr="00217865">
              <w:rPr>
                <w:rFonts w:cs="Arial"/>
                <w:bCs/>
                <w:szCs w:val="20"/>
              </w:rPr>
              <w:t>ons</w:t>
            </w:r>
            <w:r>
              <w:rPr>
                <w:rFonts w:cs="Arial"/>
                <w:bCs/>
                <w:szCs w:val="20"/>
              </w:rPr>
              <w:t xml:space="preserve"> – </w:t>
            </w:r>
            <w:r w:rsidRPr="00217865">
              <w:rPr>
                <w:rFonts w:cs="Arial"/>
                <w:bCs/>
                <w:szCs w:val="20"/>
              </w:rPr>
              <w:t>Variable</w:t>
            </w:r>
          </w:p>
        </w:tc>
        <w:tc>
          <w:tcPr>
            <w:tcW w:w="3118" w:type="dxa"/>
          </w:tcPr>
          <w:p w14:paraId="20A6DDBC" w14:textId="0ADBD266" w:rsidR="00CF411A" w:rsidRPr="00217865" w:rsidRDefault="00CF411A" w:rsidP="00CF411A">
            <w:pPr>
              <w:autoSpaceDE w:val="0"/>
              <w:autoSpaceDN w:val="0"/>
              <w:adjustRightInd w:val="0"/>
              <w:spacing w:before="60" w:after="60"/>
              <w:ind w:right="113"/>
              <w:rPr>
                <w:rFonts w:cs="Arial"/>
                <w:b w:val="0"/>
                <w:bCs/>
                <w:szCs w:val="20"/>
              </w:rPr>
            </w:pPr>
            <w:r w:rsidRPr="00217865">
              <w:rPr>
                <w:rFonts w:cs="Arial"/>
                <w:bCs/>
                <w:szCs w:val="20"/>
              </w:rPr>
              <w:t xml:space="preserve">Old response options </w:t>
            </w:r>
            <w:r>
              <w:rPr>
                <w:rFonts w:cs="Arial"/>
                <w:bCs/>
                <w:szCs w:val="20"/>
              </w:rPr>
              <w:t xml:space="preserve">– </w:t>
            </w:r>
            <w:r w:rsidRPr="00217865">
              <w:rPr>
                <w:rFonts w:cs="Arial"/>
                <w:bCs/>
                <w:szCs w:val="20"/>
              </w:rPr>
              <w:t>Label</w:t>
            </w:r>
          </w:p>
        </w:tc>
        <w:tc>
          <w:tcPr>
            <w:tcW w:w="1395" w:type="dxa"/>
          </w:tcPr>
          <w:p w14:paraId="3C9544CC" w14:textId="479E23FF" w:rsidR="00CF411A" w:rsidRPr="00217865" w:rsidRDefault="00CF411A" w:rsidP="00CF411A">
            <w:pPr>
              <w:autoSpaceDE w:val="0"/>
              <w:autoSpaceDN w:val="0"/>
              <w:adjustRightInd w:val="0"/>
              <w:spacing w:before="60" w:after="60"/>
              <w:ind w:right="113"/>
              <w:rPr>
                <w:rFonts w:cs="Arial"/>
                <w:b w:val="0"/>
                <w:bCs/>
                <w:szCs w:val="20"/>
              </w:rPr>
            </w:pPr>
            <w:r>
              <w:rPr>
                <w:rFonts w:cs="Arial"/>
                <w:bCs/>
                <w:szCs w:val="20"/>
              </w:rPr>
              <w:t>New</w:t>
            </w:r>
            <w:r w:rsidRPr="00217865">
              <w:rPr>
                <w:rFonts w:cs="Arial"/>
                <w:bCs/>
                <w:szCs w:val="20"/>
              </w:rPr>
              <w:t xml:space="preserve"> response options</w:t>
            </w:r>
            <w:r>
              <w:rPr>
                <w:rFonts w:cs="Arial"/>
                <w:bCs/>
                <w:szCs w:val="20"/>
              </w:rPr>
              <w:t xml:space="preserve"> – </w:t>
            </w:r>
            <w:r w:rsidRPr="00217865">
              <w:rPr>
                <w:rFonts w:cs="Arial"/>
                <w:bCs/>
                <w:szCs w:val="20"/>
              </w:rPr>
              <w:t>Variable</w:t>
            </w:r>
          </w:p>
        </w:tc>
        <w:tc>
          <w:tcPr>
            <w:tcW w:w="3118" w:type="dxa"/>
          </w:tcPr>
          <w:p w14:paraId="457D20BC" w14:textId="0B15C130" w:rsidR="00CF411A" w:rsidRPr="00217865" w:rsidRDefault="00CF411A" w:rsidP="00CF411A">
            <w:pPr>
              <w:autoSpaceDE w:val="0"/>
              <w:autoSpaceDN w:val="0"/>
              <w:adjustRightInd w:val="0"/>
              <w:spacing w:before="60" w:after="60"/>
              <w:ind w:right="113"/>
              <w:rPr>
                <w:rFonts w:cs="Arial"/>
                <w:b w:val="0"/>
                <w:bCs/>
                <w:szCs w:val="20"/>
              </w:rPr>
            </w:pPr>
            <w:r>
              <w:rPr>
                <w:rFonts w:cs="Arial"/>
                <w:bCs/>
                <w:szCs w:val="20"/>
              </w:rPr>
              <w:t>New</w:t>
            </w:r>
            <w:r w:rsidRPr="00217865">
              <w:rPr>
                <w:rFonts w:cs="Arial"/>
                <w:bCs/>
                <w:szCs w:val="20"/>
              </w:rPr>
              <w:t xml:space="preserve"> response options </w:t>
            </w:r>
            <w:r>
              <w:rPr>
                <w:rFonts w:cs="Arial"/>
                <w:bCs/>
                <w:szCs w:val="20"/>
              </w:rPr>
              <w:t xml:space="preserve">– </w:t>
            </w:r>
            <w:r w:rsidRPr="00217865">
              <w:rPr>
                <w:rFonts w:cs="Arial"/>
                <w:bCs/>
                <w:szCs w:val="20"/>
              </w:rPr>
              <w:t>Label</w:t>
            </w:r>
          </w:p>
        </w:tc>
      </w:tr>
      <w:tr w:rsidR="00CF411A" w:rsidRPr="00217865" w14:paraId="47B2A76C" w14:textId="77777777" w:rsidTr="00735EE6">
        <w:trPr>
          <w:trHeight w:val="283"/>
        </w:trPr>
        <w:tc>
          <w:tcPr>
            <w:tcW w:w="1397" w:type="dxa"/>
          </w:tcPr>
          <w:p w14:paraId="60D7F195"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chaexch</w:t>
            </w:r>
            <w:proofErr w:type="spellEnd"/>
          </w:p>
        </w:tc>
        <w:tc>
          <w:tcPr>
            <w:tcW w:w="3118" w:type="dxa"/>
          </w:tcPr>
          <w:p w14:paraId="575BC89B"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Academic exchange</w:t>
            </w:r>
          </w:p>
        </w:tc>
        <w:tc>
          <w:tcPr>
            <w:tcW w:w="1395" w:type="dxa"/>
          </w:tcPr>
          <w:p w14:paraId="772BB63A"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chbored</w:t>
            </w:r>
            <w:proofErr w:type="spellEnd"/>
          </w:p>
        </w:tc>
        <w:tc>
          <w:tcPr>
            <w:tcW w:w="3118" w:type="dxa"/>
          </w:tcPr>
          <w:p w14:paraId="62FAB9B1"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Boredom/lack of interest</w:t>
            </w:r>
          </w:p>
        </w:tc>
      </w:tr>
      <w:tr w:rsidR="00CF411A" w:rsidRPr="00217865" w14:paraId="67263C81" w14:textId="77777777" w:rsidTr="00735EE6">
        <w:trPr>
          <w:trHeight w:val="283"/>
        </w:trPr>
        <w:tc>
          <w:tcPr>
            <w:tcW w:w="1397" w:type="dxa"/>
          </w:tcPr>
          <w:p w14:paraId="2BCDB832"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chasupp</w:t>
            </w:r>
            <w:proofErr w:type="spellEnd"/>
          </w:p>
        </w:tc>
        <w:tc>
          <w:tcPr>
            <w:tcW w:w="3118" w:type="dxa"/>
          </w:tcPr>
          <w:p w14:paraId="0E202777"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Academic support</w:t>
            </w:r>
          </w:p>
        </w:tc>
        <w:tc>
          <w:tcPr>
            <w:tcW w:w="1395" w:type="dxa"/>
          </w:tcPr>
          <w:p w14:paraId="0296B6C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chcommu</w:t>
            </w:r>
            <w:proofErr w:type="spellEnd"/>
            <w:r w:rsidRPr="00217865">
              <w:rPr>
                <w:rFonts w:eastAsia="Times New Roman" w:cs="Arial"/>
                <w:color w:val="000000" w:themeColor="text1"/>
                <w:szCs w:val="20"/>
              </w:rPr>
              <w:t xml:space="preserve"> </w:t>
            </w:r>
          </w:p>
        </w:tc>
        <w:tc>
          <w:tcPr>
            <w:tcW w:w="3118" w:type="dxa"/>
          </w:tcPr>
          <w:p w14:paraId="6AEED31F"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Commuting difficulties</w:t>
            </w:r>
          </w:p>
        </w:tc>
      </w:tr>
      <w:tr w:rsidR="00CF411A" w:rsidRPr="00217865" w14:paraId="684795C0" w14:textId="77777777" w:rsidTr="00735EE6">
        <w:trPr>
          <w:trHeight w:val="283"/>
        </w:trPr>
        <w:tc>
          <w:tcPr>
            <w:tcW w:w="1397" w:type="dxa"/>
          </w:tcPr>
          <w:p w14:paraId="40EC1587"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chadsup</w:t>
            </w:r>
            <w:proofErr w:type="spellEnd"/>
          </w:p>
        </w:tc>
        <w:tc>
          <w:tcPr>
            <w:tcW w:w="3118" w:type="dxa"/>
          </w:tcPr>
          <w:p w14:paraId="3C02AEC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Administrative support</w:t>
            </w:r>
          </w:p>
        </w:tc>
        <w:tc>
          <w:tcPr>
            <w:tcW w:w="1395" w:type="dxa"/>
          </w:tcPr>
          <w:p w14:paraId="4DF75D0F" w14:textId="77777777" w:rsidR="00CF411A" w:rsidRPr="00217865" w:rsidRDefault="00CF411A" w:rsidP="00CF411A">
            <w:pPr>
              <w:spacing w:before="60" w:after="60"/>
              <w:rPr>
                <w:rFonts w:cs="Arial"/>
                <w:color w:val="000000" w:themeColor="text1"/>
              </w:rPr>
            </w:pPr>
            <w:proofErr w:type="spellStart"/>
            <w:r w:rsidRPr="00217865">
              <w:rPr>
                <w:rFonts w:eastAsia="Times New Roman" w:cs="Arial"/>
                <w:color w:val="000000" w:themeColor="text1"/>
                <w:szCs w:val="20"/>
              </w:rPr>
              <w:t>chreput_rev</w:t>
            </w:r>
            <w:proofErr w:type="spellEnd"/>
          </w:p>
        </w:tc>
        <w:tc>
          <w:tcPr>
            <w:tcW w:w="3118" w:type="dxa"/>
          </w:tcPr>
          <w:p w14:paraId="25B9E9B5"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Concerns about my institution’s reputation</w:t>
            </w:r>
          </w:p>
        </w:tc>
      </w:tr>
      <w:tr w:rsidR="00CF411A" w:rsidRPr="00217865" w14:paraId="044E90C4" w14:textId="77777777" w:rsidTr="00735EE6">
        <w:trPr>
          <w:trHeight w:val="283"/>
        </w:trPr>
        <w:tc>
          <w:tcPr>
            <w:tcW w:w="1397" w:type="dxa"/>
          </w:tcPr>
          <w:p w14:paraId="1D48CE27"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chbored</w:t>
            </w:r>
            <w:proofErr w:type="spellEnd"/>
          </w:p>
        </w:tc>
        <w:tc>
          <w:tcPr>
            <w:tcW w:w="3118" w:type="dxa"/>
          </w:tcPr>
          <w:p w14:paraId="0D197B1F"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Boredom/lack of interest</w:t>
            </w:r>
          </w:p>
        </w:tc>
        <w:tc>
          <w:tcPr>
            <w:tcW w:w="1395" w:type="dxa"/>
          </w:tcPr>
          <w:p w14:paraId="25951CA5" w14:textId="77777777" w:rsidR="00CF411A" w:rsidRPr="00217865" w:rsidRDefault="00CF411A" w:rsidP="00CF411A">
            <w:pPr>
              <w:spacing w:before="60" w:after="60"/>
              <w:rPr>
                <w:rFonts w:cs="Arial"/>
                <w:color w:val="000000" w:themeColor="text1"/>
              </w:rPr>
            </w:pPr>
            <w:proofErr w:type="spellStart"/>
            <w:r w:rsidRPr="00217865">
              <w:rPr>
                <w:rFonts w:eastAsia="Times New Roman" w:cs="Arial"/>
                <w:color w:val="000000" w:themeColor="text1"/>
                <w:szCs w:val="20"/>
              </w:rPr>
              <w:t>chexpec_rev</w:t>
            </w:r>
            <w:proofErr w:type="spellEnd"/>
          </w:p>
        </w:tc>
        <w:tc>
          <w:tcPr>
            <w:tcW w:w="3118" w:type="dxa"/>
          </w:tcPr>
          <w:p w14:paraId="6478AB40"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&lt;course&gt; expectations not met</w:t>
            </w:r>
          </w:p>
        </w:tc>
      </w:tr>
      <w:tr w:rsidR="00CF411A" w:rsidRPr="00217865" w14:paraId="5E229874" w14:textId="77777777" w:rsidTr="00735EE6">
        <w:trPr>
          <w:trHeight w:val="283"/>
        </w:trPr>
        <w:tc>
          <w:tcPr>
            <w:tcW w:w="1397" w:type="dxa"/>
          </w:tcPr>
          <w:p w14:paraId="551472DD"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chpros</w:t>
            </w:r>
            <w:proofErr w:type="spellEnd"/>
          </w:p>
        </w:tc>
        <w:tc>
          <w:tcPr>
            <w:tcW w:w="3118" w:type="dxa"/>
          </w:tcPr>
          <w:p w14:paraId="0C8762F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Career prospects</w:t>
            </w:r>
          </w:p>
        </w:tc>
        <w:tc>
          <w:tcPr>
            <w:tcW w:w="1395" w:type="dxa"/>
          </w:tcPr>
          <w:p w14:paraId="40EBD5E0" w14:textId="77777777" w:rsidR="00CF411A" w:rsidRPr="00217865" w:rsidRDefault="00CF411A" w:rsidP="00CF411A">
            <w:pPr>
              <w:spacing w:before="60" w:after="60"/>
              <w:rPr>
                <w:rFonts w:cs="Arial"/>
                <w:color w:val="000000" w:themeColor="text1"/>
              </w:rPr>
            </w:pPr>
            <w:proofErr w:type="spellStart"/>
            <w:r w:rsidRPr="00217865">
              <w:rPr>
                <w:rFonts w:eastAsia="Times New Roman" w:cs="Arial"/>
                <w:color w:val="000000" w:themeColor="text1"/>
                <w:szCs w:val="20"/>
              </w:rPr>
              <w:t>chwrkld_rev</w:t>
            </w:r>
            <w:proofErr w:type="spellEnd"/>
          </w:p>
        </w:tc>
        <w:tc>
          <w:tcPr>
            <w:tcW w:w="3118" w:type="dxa"/>
          </w:tcPr>
          <w:p w14:paraId="3278C4CC"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Difficulty with study workload</w:t>
            </w:r>
          </w:p>
        </w:tc>
      </w:tr>
      <w:tr w:rsidR="00CF411A" w:rsidRPr="00217865" w14:paraId="015EC438" w14:textId="77777777" w:rsidTr="00735EE6">
        <w:trPr>
          <w:trHeight w:val="283"/>
        </w:trPr>
        <w:tc>
          <w:tcPr>
            <w:tcW w:w="1397" w:type="dxa"/>
          </w:tcPr>
          <w:p w14:paraId="703F8BE1"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chdirec</w:t>
            </w:r>
            <w:proofErr w:type="spellEnd"/>
          </w:p>
        </w:tc>
        <w:tc>
          <w:tcPr>
            <w:tcW w:w="3118" w:type="dxa"/>
          </w:tcPr>
          <w:p w14:paraId="50E62C9A"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Change of direction</w:t>
            </w:r>
          </w:p>
        </w:tc>
        <w:tc>
          <w:tcPr>
            <w:tcW w:w="1395" w:type="dxa"/>
          </w:tcPr>
          <w:p w14:paraId="2949DF25"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chfamly_rev</w:t>
            </w:r>
            <w:proofErr w:type="spellEnd"/>
          </w:p>
        </w:tc>
        <w:tc>
          <w:tcPr>
            <w:tcW w:w="3118" w:type="dxa"/>
          </w:tcPr>
          <w:p w14:paraId="1202680F"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Family caring responsibilities</w:t>
            </w:r>
          </w:p>
        </w:tc>
      </w:tr>
      <w:tr w:rsidR="00CF411A" w:rsidRPr="00217865" w14:paraId="1E2A8519" w14:textId="77777777" w:rsidTr="00735EE6">
        <w:trPr>
          <w:trHeight w:val="283"/>
        </w:trPr>
        <w:tc>
          <w:tcPr>
            <w:tcW w:w="1397" w:type="dxa"/>
          </w:tcPr>
          <w:p w14:paraId="2B9A57BC"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chcommu</w:t>
            </w:r>
            <w:proofErr w:type="spellEnd"/>
          </w:p>
        </w:tc>
        <w:tc>
          <w:tcPr>
            <w:tcW w:w="3118" w:type="dxa"/>
          </w:tcPr>
          <w:p w14:paraId="5B249466"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Commuting difficulties</w:t>
            </w:r>
          </w:p>
        </w:tc>
        <w:tc>
          <w:tcPr>
            <w:tcW w:w="1395" w:type="dxa"/>
          </w:tcPr>
          <w:p w14:paraId="255DEEE0"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chfdiff</w:t>
            </w:r>
            <w:proofErr w:type="spellEnd"/>
          </w:p>
        </w:tc>
        <w:tc>
          <w:tcPr>
            <w:tcW w:w="3118" w:type="dxa"/>
          </w:tcPr>
          <w:p w14:paraId="1FA1D30E"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Financial difficulties</w:t>
            </w:r>
          </w:p>
        </w:tc>
      </w:tr>
      <w:tr w:rsidR="00CF411A" w:rsidRPr="00217865" w14:paraId="40DFD96D" w14:textId="77777777" w:rsidTr="00735EE6">
        <w:trPr>
          <w:trHeight w:val="283"/>
        </w:trPr>
        <w:tc>
          <w:tcPr>
            <w:tcW w:w="1397" w:type="dxa"/>
          </w:tcPr>
          <w:p w14:paraId="6040CEB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chfees</w:t>
            </w:r>
            <w:proofErr w:type="spellEnd"/>
          </w:p>
        </w:tc>
        <w:tc>
          <w:tcPr>
            <w:tcW w:w="3118" w:type="dxa"/>
          </w:tcPr>
          <w:p w14:paraId="3147635A"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Difficulty paying fees</w:t>
            </w:r>
          </w:p>
        </w:tc>
        <w:tc>
          <w:tcPr>
            <w:tcW w:w="1395" w:type="dxa"/>
          </w:tcPr>
          <w:p w14:paraId="1ABB4CDD"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chgapyr</w:t>
            </w:r>
            <w:proofErr w:type="spellEnd"/>
            <w:r w:rsidRPr="00217865">
              <w:rPr>
                <w:rFonts w:eastAsia="Times New Roman" w:cs="Arial"/>
                <w:color w:val="000000" w:themeColor="text1"/>
                <w:szCs w:val="20"/>
              </w:rPr>
              <w:t xml:space="preserve"> </w:t>
            </w:r>
          </w:p>
        </w:tc>
        <w:tc>
          <w:tcPr>
            <w:tcW w:w="3118" w:type="dxa"/>
          </w:tcPr>
          <w:p w14:paraId="1E80739C"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Gap year/deferral</w:t>
            </w:r>
          </w:p>
        </w:tc>
      </w:tr>
      <w:tr w:rsidR="00CF411A" w:rsidRPr="00217865" w14:paraId="6A2DBC55" w14:textId="77777777" w:rsidTr="00735EE6">
        <w:trPr>
          <w:trHeight w:val="283"/>
        </w:trPr>
        <w:tc>
          <w:tcPr>
            <w:tcW w:w="1397" w:type="dxa"/>
          </w:tcPr>
          <w:p w14:paraId="66A4F573"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chwrkld</w:t>
            </w:r>
            <w:proofErr w:type="spellEnd"/>
          </w:p>
        </w:tc>
        <w:tc>
          <w:tcPr>
            <w:tcW w:w="3118" w:type="dxa"/>
          </w:tcPr>
          <w:p w14:paraId="61692839"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Difficulty with workload</w:t>
            </w:r>
          </w:p>
        </w:tc>
        <w:tc>
          <w:tcPr>
            <w:tcW w:w="1395" w:type="dxa"/>
          </w:tcPr>
          <w:p w14:paraId="1A38FEAE"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chasupp_rev</w:t>
            </w:r>
            <w:proofErr w:type="spellEnd"/>
            <w:r w:rsidRPr="00217865">
              <w:rPr>
                <w:rFonts w:eastAsia="Times New Roman" w:cs="Arial"/>
                <w:color w:val="000000" w:themeColor="text1"/>
                <w:szCs w:val="20"/>
              </w:rPr>
              <w:t xml:space="preserve"> </w:t>
            </w:r>
          </w:p>
        </w:tc>
        <w:tc>
          <w:tcPr>
            <w:tcW w:w="3118" w:type="dxa"/>
          </w:tcPr>
          <w:p w14:paraId="178F293D"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Lack of academic support</w:t>
            </w:r>
          </w:p>
        </w:tc>
      </w:tr>
      <w:tr w:rsidR="00CF411A" w:rsidRPr="00217865" w14:paraId="26B2AA2C" w14:textId="77777777" w:rsidTr="00735EE6">
        <w:trPr>
          <w:trHeight w:val="283"/>
        </w:trPr>
        <w:tc>
          <w:tcPr>
            <w:tcW w:w="1397" w:type="dxa"/>
          </w:tcPr>
          <w:p w14:paraId="779F0B67"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chexpec</w:t>
            </w:r>
            <w:proofErr w:type="spellEnd"/>
          </w:p>
        </w:tc>
        <w:tc>
          <w:tcPr>
            <w:tcW w:w="3118" w:type="dxa"/>
          </w:tcPr>
          <w:p w14:paraId="2B85584B"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Expectations not met</w:t>
            </w:r>
          </w:p>
        </w:tc>
        <w:tc>
          <w:tcPr>
            <w:tcW w:w="1395" w:type="dxa"/>
          </w:tcPr>
          <w:p w14:paraId="3599020C"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chadsup_rev</w:t>
            </w:r>
            <w:proofErr w:type="spellEnd"/>
            <w:r w:rsidRPr="00217865">
              <w:rPr>
                <w:rFonts w:eastAsia="Times New Roman" w:cs="Arial"/>
                <w:color w:val="000000" w:themeColor="text1"/>
                <w:szCs w:val="20"/>
              </w:rPr>
              <w:t xml:space="preserve"> </w:t>
            </w:r>
          </w:p>
        </w:tc>
        <w:tc>
          <w:tcPr>
            <w:tcW w:w="3118" w:type="dxa"/>
          </w:tcPr>
          <w:p w14:paraId="49F0672B"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Lack of administrative support</w:t>
            </w:r>
          </w:p>
        </w:tc>
      </w:tr>
      <w:tr w:rsidR="00CF411A" w:rsidRPr="00217865" w14:paraId="077EAB98" w14:textId="77777777" w:rsidTr="00735EE6">
        <w:trPr>
          <w:trHeight w:val="283"/>
        </w:trPr>
        <w:tc>
          <w:tcPr>
            <w:tcW w:w="1397" w:type="dxa"/>
          </w:tcPr>
          <w:p w14:paraId="2F3733C0"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chfamly</w:t>
            </w:r>
            <w:proofErr w:type="spellEnd"/>
          </w:p>
        </w:tc>
        <w:tc>
          <w:tcPr>
            <w:tcW w:w="3118" w:type="dxa"/>
          </w:tcPr>
          <w:p w14:paraId="73C91773"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Family responsibilities</w:t>
            </w:r>
          </w:p>
        </w:tc>
        <w:tc>
          <w:tcPr>
            <w:tcW w:w="1395" w:type="dxa"/>
          </w:tcPr>
          <w:p w14:paraId="04959AA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chpros_rev</w:t>
            </w:r>
            <w:proofErr w:type="spellEnd"/>
            <w:r w:rsidRPr="00217865">
              <w:rPr>
                <w:rFonts w:eastAsia="Times New Roman" w:cs="Arial"/>
                <w:color w:val="000000" w:themeColor="text1"/>
                <w:szCs w:val="20"/>
              </w:rPr>
              <w:t xml:space="preserve"> </w:t>
            </w:r>
          </w:p>
        </w:tc>
        <w:tc>
          <w:tcPr>
            <w:tcW w:w="3118" w:type="dxa"/>
          </w:tcPr>
          <w:p w14:paraId="7A5AC68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Lack of career prospects</w:t>
            </w:r>
          </w:p>
        </w:tc>
      </w:tr>
      <w:tr w:rsidR="00CF411A" w:rsidRPr="00217865" w14:paraId="7F8ECCF6" w14:textId="77777777" w:rsidTr="00735EE6">
        <w:trPr>
          <w:trHeight w:val="283"/>
        </w:trPr>
        <w:tc>
          <w:tcPr>
            <w:tcW w:w="1397" w:type="dxa"/>
          </w:tcPr>
          <w:p w14:paraId="2189A097"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chfdiff</w:t>
            </w:r>
            <w:proofErr w:type="spellEnd"/>
          </w:p>
        </w:tc>
        <w:tc>
          <w:tcPr>
            <w:tcW w:w="3118" w:type="dxa"/>
          </w:tcPr>
          <w:p w14:paraId="37E28770"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Financial difficulties</w:t>
            </w:r>
          </w:p>
        </w:tc>
        <w:tc>
          <w:tcPr>
            <w:tcW w:w="1395" w:type="dxa"/>
          </w:tcPr>
          <w:p w14:paraId="0872B194"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chconn</w:t>
            </w:r>
            <w:proofErr w:type="spellEnd"/>
          </w:p>
        </w:tc>
        <w:tc>
          <w:tcPr>
            <w:tcW w:w="3118" w:type="dxa"/>
          </w:tcPr>
          <w:p w14:paraId="33131EBB"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Lack of connection to my institution</w:t>
            </w:r>
          </w:p>
        </w:tc>
      </w:tr>
      <w:tr w:rsidR="00CF411A" w:rsidRPr="00217865" w14:paraId="2D4C2CBC" w14:textId="77777777" w:rsidTr="00735EE6">
        <w:trPr>
          <w:trHeight w:val="283"/>
        </w:trPr>
        <w:tc>
          <w:tcPr>
            <w:tcW w:w="1397" w:type="dxa"/>
          </w:tcPr>
          <w:p w14:paraId="245A0230"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chgapyr</w:t>
            </w:r>
            <w:proofErr w:type="spellEnd"/>
          </w:p>
        </w:tc>
        <w:tc>
          <w:tcPr>
            <w:tcW w:w="3118" w:type="dxa"/>
          </w:tcPr>
          <w:p w14:paraId="2C12B8FD"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Gap year/deferral</w:t>
            </w:r>
          </w:p>
        </w:tc>
        <w:tc>
          <w:tcPr>
            <w:tcW w:w="1395" w:type="dxa"/>
          </w:tcPr>
          <w:p w14:paraId="654F9BAC"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chtech</w:t>
            </w:r>
            <w:proofErr w:type="spellEnd"/>
          </w:p>
        </w:tc>
        <w:tc>
          <w:tcPr>
            <w:tcW w:w="3118" w:type="dxa"/>
          </w:tcPr>
          <w:p w14:paraId="3A14068D"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Limited access to technology</w:t>
            </w:r>
          </w:p>
        </w:tc>
      </w:tr>
      <w:tr w:rsidR="00CF411A" w:rsidRPr="00217865" w14:paraId="0F78873C" w14:textId="77777777" w:rsidTr="00735EE6">
        <w:trPr>
          <w:trHeight w:val="283"/>
        </w:trPr>
        <w:tc>
          <w:tcPr>
            <w:tcW w:w="1397" w:type="dxa"/>
          </w:tcPr>
          <w:p w14:paraId="5E5CF625"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chgvtas</w:t>
            </w:r>
            <w:proofErr w:type="spellEnd"/>
          </w:p>
        </w:tc>
        <w:tc>
          <w:tcPr>
            <w:tcW w:w="3118" w:type="dxa"/>
          </w:tcPr>
          <w:p w14:paraId="2F5BDF15"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Government assistance</w:t>
            </w:r>
          </w:p>
        </w:tc>
        <w:tc>
          <w:tcPr>
            <w:tcW w:w="1395" w:type="dxa"/>
          </w:tcPr>
          <w:p w14:paraId="7289E2D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chgrade</w:t>
            </w:r>
            <w:proofErr w:type="spellEnd"/>
          </w:p>
        </w:tc>
        <w:tc>
          <w:tcPr>
            <w:tcW w:w="3118" w:type="dxa"/>
          </w:tcPr>
          <w:p w14:paraId="2ED07DD8"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Low or failing grades</w:t>
            </w:r>
          </w:p>
        </w:tc>
      </w:tr>
      <w:tr w:rsidR="00CF411A" w:rsidRPr="00217865" w14:paraId="0E2E5BB4" w14:textId="77777777" w:rsidTr="00735EE6">
        <w:trPr>
          <w:trHeight w:val="283"/>
        </w:trPr>
        <w:tc>
          <w:tcPr>
            <w:tcW w:w="1397" w:type="dxa"/>
          </w:tcPr>
          <w:p w14:paraId="1DE8D261"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chgradu</w:t>
            </w:r>
            <w:proofErr w:type="spellEnd"/>
          </w:p>
        </w:tc>
        <w:tc>
          <w:tcPr>
            <w:tcW w:w="3118" w:type="dxa"/>
          </w:tcPr>
          <w:p w14:paraId="07DB94F4"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Graduating</w:t>
            </w:r>
          </w:p>
        </w:tc>
        <w:tc>
          <w:tcPr>
            <w:tcW w:w="1395" w:type="dxa"/>
          </w:tcPr>
          <w:p w14:paraId="0DEE1395"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chmove</w:t>
            </w:r>
            <w:proofErr w:type="spellEnd"/>
            <w:r w:rsidRPr="00217865">
              <w:rPr>
                <w:rFonts w:eastAsia="Times New Roman" w:cs="Arial"/>
                <w:color w:val="000000" w:themeColor="text1"/>
                <w:szCs w:val="20"/>
              </w:rPr>
              <w:t xml:space="preserve"> </w:t>
            </w:r>
          </w:p>
        </w:tc>
        <w:tc>
          <w:tcPr>
            <w:tcW w:w="3118" w:type="dxa"/>
          </w:tcPr>
          <w:p w14:paraId="017204CA"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Moving residence</w:t>
            </w:r>
          </w:p>
        </w:tc>
      </w:tr>
      <w:tr w:rsidR="00CF411A" w:rsidRPr="00217865" w14:paraId="66988A43" w14:textId="77777777" w:rsidTr="00735EE6">
        <w:trPr>
          <w:trHeight w:val="283"/>
        </w:trPr>
        <w:tc>
          <w:tcPr>
            <w:tcW w:w="1397" w:type="dxa"/>
          </w:tcPr>
          <w:p w14:paraId="2380C336"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chhealt</w:t>
            </w:r>
            <w:proofErr w:type="spellEnd"/>
          </w:p>
        </w:tc>
        <w:tc>
          <w:tcPr>
            <w:tcW w:w="3118" w:type="dxa"/>
          </w:tcPr>
          <w:p w14:paraId="1DCDC426"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Health or stress</w:t>
            </w:r>
          </w:p>
        </w:tc>
        <w:tc>
          <w:tcPr>
            <w:tcW w:w="1395" w:type="dxa"/>
          </w:tcPr>
          <w:p w14:paraId="79EAB99C"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chothinst</w:t>
            </w:r>
            <w:proofErr w:type="spellEnd"/>
          </w:p>
        </w:tc>
        <w:tc>
          <w:tcPr>
            <w:tcW w:w="3118" w:type="dxa"/>
          </w:tcPr>
          <w:p w14:paraId="3CDF8906"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Moving to another institution</w:t>
            </w:r>
          </w:p>
        </w:tc>
      </w:tr>
      <w:tr w:rsidR="00CF411A" w:rsidRPr="00217865" w14:paraId="54A0D1D3" w14:textId="77777777" w:rsidTr="00735EE6">
        <w:trPr>
          <w:trHeight w:val="283"/>
        </w:trPr>
        <w:tc>
          <w:tcPr>
            <w:tcW w:w="1397" w:type="dxa"/>
          </w:tcPr>
          <w:p w14:paraId="04FD1970"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chreput</w:t>
            </w:r>
            <w:proofErr w:type="spellEnd"/>
          </w:p>
        </w:tc>
        <w:tc>
          <w:tcPr>
            <w:tcW w:w="3118" w:type="dxa"/>
          </w:tcPr>
          <w:p w14:paraId="7CC5A325"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Institution reputation</w:t>
            </w:r>
          </w:p>
        </w:tc>
        <w:tc>
          <w:tcPr>
            <w:tcW w:w="1395" w:type="dxa"/>
          </w:tcPr>
          <w:p w14:paraId="4510AAE4"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chcrsdiff</w:t>
            </w:r>
            <w:proofErr w:type="spellEnd"/>
          </w:p>
        </w:tc>
        <w:tc>
          <w:tcPr>
            <w:tcW w:w="3118" w:type="dxa"/>
          </w:tcPr>
          <w:p w14:paraId="2B78CEC3"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My &lt;course&gt; is too difficult</w:t>
            </w:r>
          </w:p>
        </w:tc>
      </w:tr>
      <w:tr w:rsidR="00CF411A" w:rsidRPr="00217865" w14:paraId="73A16FA0" w14:textId="77777777" w:rsidTr="00735EE6">
        <w:trPr>
          <w:trHeight w:val="283"/>
        </w:trPr>
        <w:tc>
          <w:tcPr>
            <w:tcW w:w="1397" w:type="dxa"/>
          </w:tcPr>
          <w:p w14:paraId="389E7454"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chmove</w:t>
            </w:r>
            <w:proofErr w:type="spellEnd"/>
          </w:p>
        </w:tc>
        <w:tc>
          <w:tcPr>
            <w:tcW w:w="3118" w:type="dxa"/>
          </w:tcPr>
          <w:p w14:paraId="31E18AD7"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Moving residence</w:t>
            </w:r>
          </w:p>
        </w:tc>
        <w:tc>
          <w:tcPr>
            <w:tcW w:w="1395" w:type="dxa"/>
          </w:tcPr>
          <w:p w14:paraId="3498292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cheng</w:t>
            </w:r>
            <w:proofErr w:type="spellEnd"/>
          </w:p>
        </w:tc>
        <w:tc>
          <w:tcPr>
            <w:tcW w:w="3118" w:type="dxa"/>
          </w:tcPr>
          <w:p w14:paraId="4C6FAF35"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My English language skills</w:t>
            </w:r>
          </w:p>
        </w:tc>
      </w:tr>
      <w:tr w:rsidR="00CF411A" w:rsidRPr="00217865" w14:paraId="24A2D955" w14:textId="77777777" w:rsidTr="00735EE6">
        <w:trPr>
          <w:trHeight w:val="283"/>
        </w:trPr>
        <w:tc>
          <w:tcPr>
            <w:tcW w:w="1397" w:type="dxa"/>
          </w:tcPr>
          <w:p w14:paraId="13443222"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chbreak</w:t>
            </w:r>
            <w:proofErr w:type="spellEnd"/>
          </w:p>
        </w:tc>
        <w:tc>
          <w:tcPr>
            <w:tcW w:w="3118" w:type="dxa"/>
          </w:tcPr>
          <w:p w14:paraId="3A43F022"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Need a break</w:t>
            </w:r>
          </w:p>
        </w:tc>
        <w:tc>
          <w:tcPr>
            <w:tcW w:w="1395" w:type="dxa"/>
          </w:tcPr>
          <w:p w14:paraId="5B602184"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chmhlth</w:t>
            </w:r>
            <w:proofErr w:type="spellEnd"/>
          </w:p>
        </w:tc>
        <w:tc>
          <w:tcPr>
            <w:tcW w:w="3118" w:type="dxa"/>
          </w:tcPr>
          <w:p w14:paraId="11F2A4A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My mental health</w:t>
            </w:r>
          </w:p>
        </w:tc>
      </w:tr>
      <w:tr w:rsidR="00CF411A" w:rsidRPr="00217865" w14:paraId="5153061E" w14:textId="77777777" w:rsidTr="00735EE6">
        <w:trPr>
          <w:trHeight w:val="283"/>
        </w:trPr>
        <w:tc>
          <w:tcPr>
            <w:tcW w:w="1397" w:type="dxa"/>
          </w:tcPr>
          <w:p w14:paraId="16785CBC"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chpwork</w:t>
            </w:r>
            <w:proofErr w:type="spellEnd"/>
          </w:p>
        </w:tc>
        <w:tc>
          <w:tcPr>
            <w:tcW w:w="3118" w:type="dxa"/>
          </w:tcPr>
          <w:p w14:paraId="228A5D62"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Need to do paid work</w:t>
            </w:r>
          </w:p>
        </w:tc>
        <w:tc>
          <w:tcPr>
            <w:tcW w:w="1395" w:type="dxa"/>
          </w:tcPr>
          <w:p w14:paraId="312D3E36"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chphlth</w:t>
            </w:r>
            <w:proofErr w:type="spellEnd"/>
          </w:p>
        </w:tc>
        <w:tc>
          <w:tcPr>
            <w:tcW w:w="3118" w:type="dxa"/>
          </w:tcPr>
          <w:p w14:paraId="2FB86DA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My physical health</w:t>
            </w:r>
          </w:p>
        </w:tc>
      </w:tr>
      <w:tr w:rsidR="00CF411A" w:rsidRPr="00217865" w14:paraId="7456D853" w14:textId="77777777" w:rsidTr="00735EE6">
        <w:trPr>
          <w:trHeight w:val="283"/>
        </w:trPr>
        <w:tc>
          <w:tcPr>
            <w:tcW w:w="1397" w:type="dxa"/>
          </w:tcPr>
          <w:p w14:paraId="791E890F"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chopp</w:t>
            </w:r>
            <w:proofErr w:type="spellEnd"/>
          </w:p>
        </w:tc>
        <w:tc>
          <w:tcPr>
            <w:tcW w:w="3118" w:type="dxa"/>
          </w:tcPr>
          <w:p w14:paraId="237CEE53"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Other opportunities</w:t>
            </w:r>
          </w:p>
        </w:tc>
        <w:tc>
          <w:tcPr>
            <w:tcW w:w="1395" w:type="dxa"/>
          </w:tcPr>
          <w:p w14:paraId="0ACFB2F5"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chstress</w:t>
            </w:r>
            <w:proofErr w:type="spellEnd"/>
          </w:p>
        </w:tc>
        <w:tc>
          <w:tcPr>
            <w:tcW w:w="3118" w:type="dxa"/>
          </w:tcPr>
          <w:p w14:paraId="5D111B72"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My stress levels</w:t>
            </w:r>
          </w:p>
        </w:tc>
      </w:tr>
      <w:tr w:rsidR="00CF411A" w:rsidRPr="00217865" w14:paraId="082B6708" w14:textId="77777777" w:rsidTr="00735EE6">
        <w:trPr>
          <w:trHeight w:val="283"/>
        </w:trPr>
        <w:tc>
          <w:tcPr>
            <w:tcW w:w="1397" w:type="dxa"/>
          </w:tcPr>
          <w:p w14:paraId="42B5E848"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chwrkrp</w:t>
            </w:r>
            <w:proofErr w:type="spellEnd"/>
          </w:p>
        </w:tc>
        <w:tc>
          <w:tcPr>
            <w:tcW w:w="3118" w:type="dxa"/>
          </w:tcPr>
          <w:p w14:paraId="579CDD02"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Paid work responsibilities</w:t>
            </w:r>
          </w:p>
        </w:tc>
        <w:tc>
          <w:tcPr>
            <w:tcW w:w="1395" w:type="dxa"/>
          </w:tcPr>
          <w:p w14:paraId="37D7812D"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chwrkrp</w:t>
            </w:r>
            <w:proofErr w:type="spellEnd"/>
          </w:p>
        </w:tc>
        <w:tc>
          <w:tcPr>
            <w:tcW w:w="3118" w:type="dxa"/>
          </w:tcPr>
          <w:p w14:paraId="618360F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Paid work responsibilities</w:t>
            </w:r>
          </w:p>
        </w:tc>
      </w:tr>
      <w:tr w:rsidR="00CF411A" w:rsidRPr="00217865" w14:paraId="52EDD03B" w14:textId="77777777" w:rsidTr="00735EE6">
        <w:trPr>
          <w:trHeight w:val="283"/>
        </w:trPr>
        <w:tc>
          <w:tcPr>
            <w:tcW w:w="1397" w:type="dxa"/>
          </w:tcPr>
          <w:p w14:paraId="041C5116"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chprsnl</w:t>
            </w:r>
            <w:proofErr w:type="spellEnd"/>
          </w:p>
        </w:tc>
        <w:tc>
          <w:tcPr>
            <w:tcW w:w="3118" w:type="dxa"/>
          </w:tcPr>
          <w:p w14:paraId="4D5F6ECA"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Personal reasons</w:t>
            </w:r>
          </w:p>
        </w:tc>
        <w:tc>
          <w:tcPr>
            <w:tcW w:w="1395" w:type="dxa"/>
          </w:tcPr>
          <w:p w14:paraId="612A2541"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chqacrn</w:t>
            </w:r>
            <w:proofErr w:type="spellEnd"/>
            <w:r w:rsidRPr="00217865">
              <w:rPr>
                <w:rFonts w:eastAsia="Times New Roman" w:cs="Arial"/>
                <w:color w:val="000000" w:themeColor="text1"/>
                <w:szCs w:val="20"/>
              </w:rPr>
              <w:t xml:space="preserve"> </w:t>
            </w:r>
          </w:p>
        </w:tc>
        <w:tc>
          <w:tcPr>
            <w:tcW w:w="3118" w:type="dxa"/>
          </w:tcPr>
          <w:p w14:paraId="28E421B4"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Quality concerns</w:t>
            </w:r>
          </w:p>
        </w:tc>
      </w:tr>
      <w:tr w:rsidR="00CF411A" w:rsidRPr="00217865" w14:paraId="4B8B0FA0" w14:textId="77777777" w:rsidTr="00735EE6">
        <w:trPr>
          <w:trHeight w:val="283"/>
        </w:trPr>
        <w:tc>
          <w:tcPr>
            <w:tcW w:w="1397" w:type="dxa"/>
          </w:tcPr>
          <w:p w14:paraId="085A391C"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chqacrn</w:t>
            </w:r>
            <w:proofErr w:type="spellEnd"/>
          </w:p>
        </w:tc>
        <w:tc>
          <w:tcPr>
            <w:tcW w:w="3118" w:type="dxa"/>
          </w:tcPr>
          <w:p w14:paraId="084D9A34"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Quality concerns</w:t>
            </w:r>
          </w:p>
        </w:tc>
        <w:tc>
          <w:tcPr>
            <w:tcW w:w="1395" w:type="dxa"/>
          </w:tcPr>
          <w:p w14:paraId="242164C1"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chsocrn</w:t>
            </w:r>
            <w:proofErr w:type="spellEnd"/>
            <w:r w:rsidRPr="00217865">
              <w:rPr>
                <w:rFonts w:eastAsia="Times New Roman" w:cs="Arial"/>
                <w:color w:val="000000" w:themeColor="text1"/>
                <w:szCs w:val="20"/>
              </w:rPr>
              <w:t xml:space="preserve"> </w:t>
            </w:r>
          </w:p>
        </w:tc>
        <w:tc>
          <w:tcPr>
            <w:tcW w:w="3118" w:type="dxa"/>
          </w:tcPr>
          <w:p w14:paraId="30230BDE"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Social reasons</w:t>
            </w:r>
          </w:p>
        </w:tc>
      </w:tr>
      <w:tr w:rsidR="00CF411A" w:rsidRPr="00217865" w14:paraId="6CDDB409" w14:textId="77777777" w:rsidTr="00735EE6">
        <w:trPr>
          <w:trHeight w:val="283"/>
        </w:trPr>
        <w:tc>
          <w:tcPr>
            <w:tcW w:w="1397" w:type="dxa"/>
          </w:tcPr>
          <w:p w14:paraId="30E34E02"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chothof</w:t>
            </w:r>
            <w:proofErr w:type="spellEnd"/>
          </w:p>
        </w:tc>
        <w:tc>
          <w:tcPr>
            <w:tcW w:w="3118" w:type="dxa"/>
          </w:tcPr>
          <w:p w14:paraId="1B347740"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Received other offer from another university or higher education institution</w:t>
            </w:r>
          </w:p>
        </w:tc>
        <w:tc>
          <w:tcPr>
            <w:tcW w:w="1395" w:type="dxa"/>
          </w:tcPr>
          <w:p w14:paraId="46CF8188"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chblnce</w:t>
            </w:r>
            <w:proofErr w:type="spellEnd"/>
            <w:r w:rsidRPr="00217865">
              <w:rPr>
                <w:rFonts w:eastAsia="Times New Roman" w:cs="Arial"/>
                <w:color w:val="000000" w:themeColor="text1"/>
                <w:szCs w:val="20"/>
              </w:rPr>
              <w:t xml:space="preserve"> </w:t>
            </w:r>
          </w:p>
        </w:tc>
        <w:tc>
          <w:tcPr>
            <w:tcW w:w="3118" w:type="dxa"/>
          </w:tcPr>
          <w:p w14:paraId="21A9097D"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Study/life balance</w:t>
            </w:r>
          </w:p>
        </w:tc>
      </w:tr>
      <w:tr w:rsidR="00CF411A" w:rsidRPr="00217865" w14:paraId="6ED277B5" w14:textId="77777777" w:rsidTr="00735EE6">
        <w:trPr>
          <w:trHeight w:val="283"/>
        </w:trPr>
        <w:tc>
          <w:tcPr>
            <w:tcW w:w="1397" w:type="dxa"/>
          </w:tcPr>
          <w:p w14:paraId="10509CE2"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chsocrn</w:t>
            </w:r>
            <w:proofErr w:type="spellEnd"/>
          </w:p>
        </w:tc>
        <w:tc>
          <w:tcPr>
            <w:tcW w:w="3118" w:type="dxa"/>
          </w:tcPr>
          <w:p w14:paraId="7F9F34E2"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 xml:space="preserve">Social reasons </w:t>
            </w:r>
          </w:p>
        </w:tc>
        <w:tc>
          <w:tcPr>
            <w:tcW w:w="1395" w:type="dxa"/>
          </w:tcPr>
          <w:p w14:paraId="19BCB771"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chjoboff</w:t>
            </w:r>
            <w:proofErr w:type="spellEnd"/>
          </w:p>
        </w:tc>
        <w:tc>
          <w:tcPr>
            <w:tcW w:w="3118" w:type="dxa"/>
          </w:tcPr>
          <w:p w14:paraId="77D62EE8"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To pursue a career or job offer</w:t>
            </w:r>
          </w:p>
        </w:tc>
      </w:tr>
      <w:tr w:rsidR="00CF411A" w:rsidRPr="00217865" w14:paraId="5E38BD34" w14:textId="77777777" w:rsidTr="00735EE6">
        <w:trPr>
          <w:trHeight w:val="283"/>
        </w:trPr>
        <w:tc>
          <w:tcPr>
            <w:tcW w:w="1397" w:type="dxa"/>
          </w:tcPr>
          <w:p w14:paraId="1B475DA8"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lastRenderedPageBreak/>
              <w:t>chshgstd</w:t>
            </w:r>
            <w:proofErr w:type="spellEnd"/>
          </w:p>
        </w:tc>
        <w:tc>
          <w:tcPr>
            <w:tcW w:w="3118" w:type="dxa"/>
          </w:tcPr>
          <w:p w14:paraId="1BE0B619"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Standards too high</w:t>
            </w:r>
          </w:p>
        </w:tc>
        <w:tc>
          <w:tcPr>
            <w:tcW w:w="1395" w:type="dxa"/>
          </w:tcPr>
          <w:p w14:paraId="16B69C2D"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chtravl_rev</w:t>
            </w:r>
            <w:proofErr w:type="spellEnd"/>
            <w:r w:rsidRPr="00217865">
              <w:rPr>
                <w:rFonts w:eastAsia="Times New Roman" w:cs="Arial"/>
                <w:color w:val="000000" w:themeColor="text1"/>
                <w:szCs w:val="20"/>
              </w:rPr>
              <w:t xml:space="preserve"> </w:t>
            </w:r>
          </w:p>
        </w:tc>
        <w:tc>
          <w:tcPr>
            <w:tcW w:w="3118" w:type="dxa"/>
          </w:tcPr>
          <w:p w14:paraId="76921B93"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To travel</w:t>
            </w:r>
          </w:p>
        </w:tc>
      </w:tr>
      <w:tr w:rsidR="00CF411A" w:rsidRPr="00217865" w14:paraId="2E83DD38" w14:textId="77777777" w:rsidTr="00735EE6">
        <w:trPr>
          <w:trHeight w:val="283"/>
        </w:trPr>
        <w:tc>
          <w:tcPr>
            <w:tcW w:w="1397" w:type="dxa"/>
          </w:tcPr>
          <w:p w14:paraId="41BF55D2"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chblnce</w:t>
            </w:r>
            <w:proofErr w:type="spellEnd"/>
          </w:p>
        </w:tc>
        <w:tc>
          <w:tcPr>
            <w:tcW w:w="3118" w:type="dxa"/>
          </w:tcPr>
          <w:p w14:paraId="644C42A3"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Study/life balance</w:t>
            </w:r>
          </w:p>
        </w:tc>
        <w:tc>
          <w:tcPr>
            <w:tcW w:w="1395" w:type="dxa"/>
          </w:tcPr>
          <w:p w14:paraId="5CA54FE3" w14:textId="77777777" w:rsidR="00CF411A" w:rsidRPr="00217865" w:rsidRDefault="00CF411A" w:rsidP="00CF411A">
            <w:pPr>
              <w:spacing w:before="60" w:after="60"/>
              <w:rPr>
                <w:rFonts w:eastAsia="Times New Roman" w:cs="Arial"/>
                <w:color w:val="000000" w:themeColor="text1"/>
              </w:rPr>
            </w:pPr>
            <w:proofErr w:type="spellStart"/>
            <w:r w:rsidRPr="00217865">
              <w:rPr>
                <w:rFonts w:eastAsia="Times New Roman" w:cs="Arial"/>
                <w:color w:val="000000" w:themeColor="text1"/>
                <w:szCs w:val="20"/>
              </w:rPr>
              <w:t>chother</w:t>
            </w:r>
            <w:proofErr w:type="spellEnd"/>
            <w:r w:rsidRPr="00217865">
              <w:rPr>
                <w:rFonts w:eastAsia="Times New Roman" w:cs="Arial"/>
                <w:color w:val="000000" w:themeColor="text1"/>
                <w:szCs w:val="20"/>
              </w:rPr>
              <w:t xml:space="preserve"> </w:t>
            </w:r>
          </w:p>
        </w:tc>
        <w:tc>
          <w:tcPr>
            <w:tcW w:w="3118" w:type="dxa"/>
          </w:tcPr>
          <w:p w14:paraId="4CF6AE27" w14:textId="7777777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szCs w:val="20"/>
              </w:rPr>
              <w:t>Other reasons (please specify)</w:t>
            </w:r>
          </w:p>
        </w:tc>
      </w:tr>
      <w:tr w:rsidR="00CF411A" w:rsidRPr="00217865" w14:paraId="45B19454" w14:textId="77777777" w:rsidTr="00735EE6">
        <w:trPr>
          <w:trHeight w:val="283"/>
        </w:trPr>
        <w:tc>
          <w:tcPr>
            <w:tcW w:w="1397" w:type="dxa"/>
          </w:tcPr>
          <w:p w14:paraId="13CA7906"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chtravl</w:t>
            </w:r>
            <w:proofErr w:type="spellEnd"/>
          </w:p>
        </w:tc>
        <w:tc>
          <w:tcPr>
            <w:tcW w:w="3118" w:type="dxa"/>
          </w:tcPr>
          <w:p w14:paraId="5991A030"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Travel or tourism</w:t>
            </w:r>
          </w:p>
        </w:tc>
        <w:tc>
          <w:tcPr>
            <w:tcW w:w="1395" w:type="dxa"/>
          </w:tcPr>
          <w:p w14:paraId="42BB3671" w14:textId="67A906A1"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rPr>
              <w:t>-</w:t>
            </w:r>
          </w:p>
        </w:tc>
        <w:tc>
          <w:tcPr>
            <w:tcW w:w="3118" w:type="dxa"/>
          </w:tcPr>
          <w:p w14:paraId="23246133" w14:textId="1E06D653"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rPr>
              <w:t>-</w:t>
            </w:r>
          </w:p>
        </w:tc>
      </w:tr>
      <w:tr w:rsidR="00CF411A" w:rsidRPr="00217865" w14:paraId="484828A5" w14:textId="77777777" w:rsidTr="00735EE6">
        <w:trPr>
          <w:trHeight w:val="283"/>
        </w:trPr>
        <w:tc>
          <w:tcPr>
            <w:tcW w:w="1397" w:type="dxa"/>
          </w:tcPr>
          <w:p w14:paraId="48943A33" w14:textId="77777777" w:rsidR="00CF411A" w:rsidRPr="00217865" w:rsidRDefault="00CF411A" w:rsidP="00CF411A">
            <w:pPr>
              <w:spacing w:before="60" w:after="60"/>
              <w:rPr>
                <w:rFonts w:eastAsia="Times New Roman" w:cs="Arial"/>
                <w:color w:val="000000" w:themeColor="text1"/>
                <w:szCs w:val="20"/>
              </w:rPr>
            </w:pPr>
            <w:proofErr w:type="spellStart"/>
            <w:r w:rsidRPr="00217865">
              <w:rPr>
                <w:rFonts w:eastAsia="Times New Roman" w:cs="Arial"/>
                <w:color w:val="000000" w:themeColor="text1"/>
                <w:szCs w:val="20"/>
              </w:rPr>
              <w:t>chother</w:t>
            </w:r>
            <w:proofErr w:type="spellEnd"/>
          </w:p>
        </w:tc>
        <w:tc>
          <w:tcPr>
            <w:tcW w:w="3118" w:type="dxa"/>
          </w:tcPr>
          <w:p w14:paraId="79898EA4" w14:textId="77777777" w:rsidR="00CF411A" w:rsidRPr="00217865" w:rsidRDefault="00CF411A" w:rsidP="00CF411A">
            <w:pPr>
              <w:spacing w:before="60" w:after="60"/>
              <w:rPr>
                <w:rFonts w:eastAsia="Times New Roman" w:cs="Arial"/>
                <w:color w:val="000000" w:themeColor="text1"/>
                <w:szCs w:val="20"/>
              </w:rPr>
            </w:pPr>
            <w:r w:rsidRPr="00217865">
              <w:rPr>
                <w:rFonts w:eastAsia="Times New Roman" w:cs="Arial"/>
                <w:color w:val="000000" w:themeColor="text1"/>
                <w:szCs w:val="20"/>
              </w:rPr>
              <w:t>Other reasons (please specify)</w:t>
            </w:r>
          </w:p>
        </w:tc>
        <w:tc>
          <w:tcPr>
            <w:tcW w:w="1395" w:type="dxa"/>
          </w:tcPr>
          <w:p w14:paraId="2D321ACC" w14:textId="5A703750"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rPr>
              <w:t>-</w:t>
            </w:r>
          </w:p>
        </w:tc>
        <w:tc>
          <w:tcPr>
            <w:tcW w:w="3118" w:type="dxa"/>
          </w:tcPr>
          <w:p w14:paraId="763AC944" w14:textId="0758F4F7" w:rsidR="00CF411A" w:rsidRPr="00217865" w:rsidRDefault="00CF411A" w:rsidP="00CF411A">
            <w:pPr>
              <w:spacing w:before="60" w:after="60"/>
              <w:rPr>
                <w:rFonts w:eastAsia="Times New Roman" w:cs="Arial"/>
                <w:color w:val="000000" w:themeColor="text1"/>
              </w:rPr>
            </w:pPr>
            <w:r w:rsidRPr="00217865">
              <w:rPr>
                <w:rFonts w:eastAsia="Times New Roman" w:cs="Arial"/>
                <w:color w:val="000000" w:themeColor="text1"/>
              </w:rPr>
              <w:t>-</w:t>
            </w:r>
          </w:p>
        </w:tc>
      </w:tr>
    </w:tbl>
    <w:p w14:paraId="0CB4E907" w14:textId="77777777" w:rsidR="009F5875" w:rsidRPr="00217865" w:rsidRDefault="009F5875" w:rsidP="00CF00B5">
      <w:pPr>
        <w:keepNext/>
        <w:numPr>
          <w:ilvl w:val="0"/>
          <w:numId w:val="35"/>
        </w:numPr>
        <w:spacing w:before="240" w:after="120"/>
        <w:ind w:hanging="1080"/>
        <w:outlineLvl w:val="2"/>
        <w:rPr>
          <w:rFonts w:cs="Arial"/>
          <w:color w:val="000000" w:themeColor="text1"/>
          <w:sz w:val="28"/>
        </w:rPr>
      </w:pPr>
      <w:bookmarkStart w:id="405" w:name="_Toc147266458"/>
      <w:bookmarkStart w:id="406" w:name="_Toc148606705"/>
      <w:bookmarkStart w:id="407" w:name="_Toc169679810"/>
      <w:bookmarkStart w:id="408" w:name="_Toc178599311"/>
      <w:r w:rsidRPr="00217865">
        <w:rPr>
          <w:rFonts w:cs="Arial"/>
          <w:color w:val="000000" w:themeColor="text1"/>
          <w:sz w:val="28"/>
        </w:rPr>
        <w:t>Retired items</w:t>
      </w:r>
      <w:bookmarkEnd w:id="405"/>
      <w:bookmarkEnd w:id="406"/>
      <w:bookmarkEnd w:id="407"/>
      <w:bookmarkEnd w:id="408"/>
    </w:p>
    <w:p w14:paraId="135C6133" w14:textId="0F353D49"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b/>
          <w:bCs/>
          <w:color w:val="000000" w:themeColor="text1"/>
          <w:szCs w:val="20"/>
        </w:rPr>
        <w:fldChar w:fldCharType="begin"/>
      </w:r>
      <w:r w:rsidRPr="00217865">
        <w:rPr>
          <w:rFonts w:eastAsia="Times New Roman" w:cs="Arial"/>
          <w:b/>
          <w:bCs/>
          <w:color w:val="000000" w:themeColor="text1"/>
          <w:szCs w:val="20"/>
        </w:rPr>
        <w:instrText xml:space="preserve"> REF _Ref141389529 \h  \* MERGEFORMAT </w:instrText>
      </w:r>
      <w:r w:rsidRPr="00217865">
        <w:rPr>
          <w:rFonts w:eastAsia="Times New Roman" w:cs="Arial"/>
          <w:b/>
          <w:bCs/>
          <w:color w:val="000000" w:themeColor="text1"/>
          <w:szCs w:val="20"/>
        </w:rPr>
      </w:r>
      <w:r w:rsidRPr="00217865">
        <w:rPr>
          <w:rFonts w:eastAsia="Times New Roman" w:cs="Arial"/>
          <w:b/>
          <w:bCs/>
          <w:color w:val="000000" w:themeColor="text1"/>
          <w:szCs w:val="20"/>
        </w:rPr>
        <w:fldChar w:fldCharType="separate"/>
      </w:r>
      <w:r w:rsidR="005D5678" w:rsidRPr="005D5678">
        <w:rPr>
          <w:rFonts w:eastAsia="Times New Roman" w:cs="Arial"/>
          <w:b/>
          <w:bCs/>
          <w:color w:val="000000" w:themeColor="text1"/>
          <w:szCs w:val="20"/>
        </w:rPr>
        <w:t xml:space="preserve">Table </w:t>
      </w:r>
      <w:r w:rsidR="005D5678" w:rsidRPr="005D5678">
        <w:rPr>
          <w:rFonts w:eastAsia="Times New Roman" w:cs="Arial"/>
          <w:b/>
          <w:bCs/>
          <w:noProof/>
          <w:color w:val="000000" w:themeColor="text1"/>
          <w:szCs w:val="20"/>
        </w:rPr>
        <w:t>26</w:t>
      </w:r>
      <w:r w:rsidRPr="00217865">
        <w:rPr>
          <w:rFonts w:eastAsia="Times New Roman" w:cs="Arial"/>
          <w:b/>
          <w:bCs/>
          <w:color w:val="000000" w:themeColor="text1"/>
          <w:szCs w:val="20"/>
        </w:rPr>
        <w:fldChar w:fldCharType="end"/>
      </w:r>
      <w:r w:rsidRPr="00217865">
        <w:rPr>
          <w:rFonts w:eastAsia="Times New Roman" w:cs="Arial"/>
          <w:color w:val="000000" w:themeColor="text1"/>
          <w:szCs w:val="20"/>
        </w:rPr>
        <w:t xml:space="preserve"> below provides a complete summary of all items removed from the 2023 SES.</w:t>
      </w:r>
    </w:p>
    <w:p w14:paraId="5A09A915" w14:textId="3BBB6D44" w:rsidR="009F5875" w:rsidRPr="00217865" w:rsidRDefault="009F5875" w:rsidP="009F5875">
      <w:pPr>
        <w:keepNext/>
        <w:tabs>
          <w:tab w:val="left" w:pos="1134"/>
        </w:tabs>
        <w:spacing w:before="120" w:after="120"/>
        <w:ind w:left="1134" w:hanging="1134"/>
        <w:rPr>
          <w:rFonts w:eastAsia="Times New Roman" w:cs="Arial"/>
          <w:b/>
          <w:bCs/>
          <w:color w:val="000000" w:themeColor="text1"/>
          <w:sz w:val="21"/>
          <w:szCs w:val="21"/>
          <w:lang w:eastAsia="en-AU"/>
        </w:rPr>
      </w:pPr>
      <w:bookmarkStart w:id="409" w:name="_Ref141389529"/>
      <w:bookmarkStart w:id="410" w:name="_Toc147265506"/>
      <w:bookmarkStart w:id="411" w:name="_Toc148606711"/>
      <w:bookmarkStart w:id="412" w:name="_Toc167872867"/>
      <w:bookmarkStart w:id="413" w:name="_Toc178599391"/>
      <w:r w:rsidRPr="00217865">
        <w:rPr>
          <w:rFonts w:eastAsia="Times New Roman" w:cs="Arial"/>
          <w:b/>
          <w:bCs/>
          <w:color w:val="000000" w:themeColor="text1"/>
          <w:sz w:val="21"/>
          <w:szCs w:val="21"/>
          <w:lang w:eastAsia="en-AU"/>
        </w:rPr>
        <w:t xml:space="preserve">Table </w:t>
      </w:r>
      <w:r w:rsidRPr="00217865">
        <w:rPr>
          <w:rFonts w:eastAsia="Times New Roman" w:cs="Arial"/>
          <w:b/>
          <w:bCs/>
          <w:color w:val="000000" w:themeColor="text1"/>
          <w:sz w:val="21"/>
          <w:szCs w:val="21"/>
          <w:lang w:eastAsia="en-AU"/>
        </w:rPr>
        <w:fldChar w:fldCharType="begin"/>
      </w:r>
      <w:r w:rsidRPr="00217865">
        <w:rPr>
          <w:rFonts w:eastAsia="Times New Roman" w:cs="Arial"/>
          <w:b/>
          <w:bCs/>
          <w:color w:val="000000" w:themeColor="text1"/>
          <w:sz w:val="21"/>
          <w:szCs w:val="21"/>
          <w:lang w:eastAsia="en-AU"/>
        </w:rPr>
        <w:instrText xml:space="preserve"> SEQ Table \* ARABIC </w:instrText>
      </w:r>
      <w:r w:rsidRPr="00217865">
        <w:rPr>
          <w:rFonts w:eastAsia="Times New Roman" w:cs="Arial"/>
          <w:b/>
          <w:bCs/>
          <w:color w:val="000000" w:themeColor="text1"/>
          <w:sz w:val="21"/>
          <w:szCs w:val="21"/>
          <w:lang w:eastAsia="en-AU"/>
        </w:rPr>
        <w:fldChar w:fldCharType="separate"/>
      </w:r>
      <w:r w:rsidR="005D5678">
        <w:rPr>
          <w:rFonts w:eastAsia="Times New Roman" w:cs="Arial"/>
          <w:b/>
          <w:bCs/>
          <w:noProof/>
          <w:color w:val="000000" w:themeColor="text1"/>
          <w:sz w:val="21"/>
          <w:szCs w:val="21"/>
          <w:lang w:eastAsia="en-AU"/>
        </w:rPr>
        <w:t>26</w:t>
      </w:r>
      <w:r w:rsidRPr="00217865">
        <w:rPr>
          <w:rFonts w:eastAsia="Times New Roman" w:cs="Arial"/>
          <w:b/>
          <w:bCs/>
          <w:color w:val="000000" w:themeColor="text1"/>
          <w:sz w:val="21"/>
          <w:szCs w:val="21"/>
          <w:lang w:eastAsia="en-AU"/>
        </w:rPr>
        <w:fldChar w:fldCharType="end"/>
      </w:r>
      <w:bookmarkEnd w:id="409"/>
      <w:r w:rsidR="00CF00B5">
        <w:rPr>
          <w:rFonts w:eastAsia="Times New Roman" w:cs="Arial"/>
          <w:b/>
          <w:bCs/>
          <w:color w:val="000000" w:themeColor="text1"/>
          <w:sz w:val="21"/>
          <w:szCs w:val="21"/>
          <w:lang w:eastAsia="en-AU"/>
        </w:rPr>
        <w:tab/>
      </w:r>
      <w:r w:rsidRPr="00217865">
        <w:rPr>
          <w:rFonts w:eastAsia="Times New Roman" w:cs="Arial"/>
          <w:b/>
          <w:bCs/>
          <w:color w:val="000000" w:themeColor="text1"/>
          <w:sz w:val="21"/>
          <w:szCs w:val="21"/>
          <w:lang w:eastAsia="en-AU"/>
        </w:rPr>
        <w:t>Summary of items removed from the 2023 SES</w:t>
      </w:r>
      <w:bookmarkEnd w:id="410"/>
      <w:bookmarkEnd w:id="411"/>
      <w:bookmarkEnd w:id="412"/>
      <w:bookmarkEnd w:id="413"/>
    </w:p>
    <w:tbl>
      <w:tblPr>
        <w:tblStyle w:val="TableGrid"/>
        <w:tblpPr w:leftFromText="180" w:rightFromText="180" w:vertAnchor="text" w:tblpY="1"/>
        <w:tblOverlap w:val="never"/>
        <w:tblW w:w="9299" w:type="dxa"/>
        <w:tblLook w:val="04A0" w:firstRow="1" w:lastRow="0" w:firstColumn="1" w:lastColumn="0" w:noHBand="0" w:noVBand="1"/>
      </w:tblPr>
      <w:tblGrid>
        <w:gridCol w:w="1689"/>
        <w:gridCol w:w="4690"/>
        <w:gridCol w:w="2920"/>
      </w:tblGrid>
      <w:tr w:rsidR="00217865" w:rsidRPr="00217865" w14:paraId="261BD268" w14:textId="77777777" w:rsidTr="007B7CAD">
        <w:trPr>
          <w:cnfStyle w:val="100000000000" w:firstRow="1" w:lastRow="0" w:firstColumn="0" w:lastColumn="0" w:oddVBand="0" w:evenVBand="0" w:oddHBand="0" w:evenHBand="0" w:firstRowFirstColumn="0" w:firstRowLastColumn="0" w:lastRowFirstColumn="0" w:lastRowLastColumn="0"/>
          <w:trHeight w:val="143"/>
          <w:tblHeader/>
        </w:trPr>
        <w:tc>
          <w:tcPr>
            <w:tcW w:w="1689" w:type="dxa"/>
          </w:tcPr>
          <w:p w14:paraId="3FA87660" w14:textId="77777777" w:rsidR="009F5875" w:rsidRPr="00217865" w:rsidRDefault="009F5875" w:rsidP="007B7CAD">
            <w:pPr>
              <w:autoSpaceDE w:val="0"/>
              <w:autoSpaceDN w:val="0"/>
              <w:adjustRightInd w:val="0"/>
              <w:spacing w:before="60" w:after="60"/>
              <w:ind w:right="113"/>
              <w:rPr>
                <w:rFonts w:cs="Arial"/>
                <w:b w:val="0"/>
                <w:bCs/>
                <w:szCs w:val="20"/>
              </w:rPr>
            </w:pPr>
            <w:r w:rsidRPr="00217865">
              <w:rPr>
                <w:rFonts w:cs="Arial"/>
                <w:bCs/>
                <w:szCs w:val="20"/>
              </w:rPr>
              <w:t>Item</w:t>
            </w:r>
            <w:bookmarkStart w:id="414" w:name="Title_26"/>
            <w:bookmarkEnd w:id="414"/>
          </w:p>
        </w:tc>
        <w:tc>
          <w:tcPr>
            <w:tcW w:w="4690" w:type="dxa"/>
          </w:tcPr>
          <w:p w14:paraId="3CD2225B" w14:textId="77777777" w:rsidR="009F5875" w:rsidRPr="00217865" w:rsidRDefault="009F5875" w:rsidP="007B7CAD">
            <w:pPr>
              <w:autoSpaceDE w:val="0"/>
              <w:autoSpaceDN w:val="0"/>
              <w:adjustRightInd w:val="0"/>
              <w:spacing w:before="60" w:after="60"/>
              <w:ind w:right="113"/>
              <w:rPr>
                <w:rFonts w:cs="Arial"/>
                <w:b w:val="0"/>
                <w:bCs/>
                <w:szCs w:val="20"/>
              </w:rPr>
            </w:pPr>
            <w:r w:rsidRPr="00217865">
              <w:rPr>
                <w:rFonts w:cs="Arial"/>
                <w:bCs/>
                <w:szCs w:val="20"/>
              </w:rPr>
              <w:t>Question stem</w:t>
            </w:r>
          </w:p>
        </w:tc>
        <w:tc>
          <w:tcPr>
            <w:tcW w:w="2920" w:type="dxa"/>
          </w:tcPr>
          <w:p w14:paraId="647CE2F6" w14:textId="77777777" w:rsidR="009F5875" w:rsidRPr="00217865" w:rsidRDefault="009F5875" w:rsidP="007B7CAD">
            <w:pPr>
              <w:autoSpaceDE w:val="0"/>
              <w:autoSpaceDN w:val="0"/>
              <w:adjustRightInd w:val="0"/>
              <w:spacing w:before="60" w:after="60"/>
              <w:ind w:right="113"/>
              <w:rPr>
                <w:rFonts w:cs="Arial"/>
                <w:b w:val="0"/>
                <w:bCs/>
                <w:szCs w:val="20"/>
              </w:rPr>
            </w:pPr>
            <w:r w:rsidRPr="00217865">
              <w:rPr>
                <w:rFonts w:cs="Arial"/>
                <w:bCs/>
                <w:szCs w:val="20"/>
              </w:rPr>
              <w:t>Response options</w:t>
            </w:r>
          </w:p>
        </w:tc>
      </w:tr>
      <w:tr w:rsidR="00217865" w:rsidRPr="00217865" w14:paraId="4F557475" w14:textId="77777777" w:rsidTr="00735EE6">
        <w:trPr>
          <w:trHeight w:val="752"/>
        </w:trPr>
        <w:tc>
          <w:tcPr>
            <w:tcW w:w="1689" w:type="dxa"/>
          </w:tcPr>
          <w:p w14:paraId="1463ADDC"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ADMININTRO</w:t>
            </w:r>
          </w:p>
          <w:p w14:paraId="4F118EBD" w14:textId="77777777" w:rsidR="009F5875" w:rsidRPr="00217865" w:rsidRDefault="009F5875" w:rsidP="007B7CAD">
            <w:pPr>
              <w:spacing w:before="60" w:after="60"/>
              <w:rPr>
                <w:rFonts w:eastAsia="Times New Roman" w:cs="Arial"/>
                <w:color w:val="000000" w:themeColor="text1"/>
                <w:szCs w:val="20"/>
              </w:rPr>
            </w:pPr>
          </w:p>
          <w:p w14:paraId="6F9DBCE1"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SETTLE</w:t>
            </w:r>
            <w:r w:rsidRPr="00217865">
              <w:rPr>
                <w:rFonts w:eastAsia="Times New Roman" w:cs="Arial"/>
                <w:color w:val="000000" w:themeColor="text1"/>
                <w:szCs w:val="20"/>
              </w:rPr>
              <w:tab/>
            </w:r>
          </w:p>
          <w:p w14:paraId="1163E3E0"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EFFENROL</w:t>
            </w:r>
            <w:r w:rsidRPr="00217865">
              <w:rPr>
                <w:rFonts w:eastAsia="Times New Roman" w:cs="Arial"/>
                <w:color w:val="000000" w:themeColor="text1"/>
                <w:szCs w:val="20"/>
              </w:rPr>
              <w:tab/>
            </w:r>
          </w:p>
          <w:p w14:paraId="4029BDA6" w14:textId="77777777" w:rsidR="009F5875" w:rsidRPr="00217865" w:rsidRDefault="009F5875" w:rsidP="007B7CAD">
            <w:pPr>
              <w:spacing w:before="60" w:after="60"/>
              <w:rPr>
                <w:rFonts w:eastAsia="Times New Roman" w:cs="Arial"/>
                <w:color w:val="000000" w:themeColor="text1"/>
                <w:szCs w:val="20"/>
              </w:rPr>
            </w:pPr>
          </w:p>
          <w:p w14:paraId="1C5D68C4"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FEELPREP</w:t>
            </w:r>
          </w:p>
          <w:p w14:paraId="4688EA6A"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szCs w:val="20"/>
              </w:rPr>
              <w:t>INDUCT</w:t>
            </w:r>
            <w:r w:rsidRPr="00217865">
              <w:rPr>
                <w:rFonts w:eastAsia="Times New Roman" w:cs="Arial"/>
                <w:color w:val="000000" w:themeColor="text1"/>
                <w:szCs w:val="20"/>
              </w:rPr>
              <w:tab/>
            </w:r>
          </w:p>
        </w:tc>
        <w:tc>
          <w:tcPr>
            <w:tcW w:w="4690" w:type="dxa"/>
          </w:tcPr>
          <w:p w14:paraId="0D95BBBA" w14:textId="77777777" w:rsidR="009F5875" w:rsidRPr="00217865" w:rsidRDefault="009F5875" w:rsidP="007B7CAD">
            <w:pPr>
              <w:spacing w:before="60" w:after="60"/>
              <w:ind w:left="43" w:hanging="43"/>
              <w:rPr>
                <w:rFonts w:cs="Arial"/>
                <w:color w:val="000000" w:themeColor="text1"/>
                <w:szCs w:val="22"/>
              </w:rPr>
            </w:pPr>
            <w:r w:rsidRPr="00217865">
              <w:rPr>
                <w:rFonts w:cs="Arial"/>
                <w:color w:val="000000" w:themeColor="text1"/>
                <w:szCs w:val="22"/>
              </w:rPr>
              <w:t>At your institution during &lt;SURVEYYEAR&gt;, to what extent have you…</w:t>
            </w:r>
          </w:p>
          <w:p w14:paraId="444F9288" w14:textId="77777777" w:rsidR="009F5875" w:rsidRPr="00217865" w:rsidRDefault="009F5875" w:rsidP="007B7CAD">
            <w:pPr>
              <w:spacing w:before="60" w:after="60"/>
              <w:rPr>
                <w:rFonts w:cs="Arial"/>
                <w:color w:val="000000" w:themeColor="text1"/>
                <w:lang w:eastAsia="en-AU"/>
              </w:rPr>
            </w:pPr>
            <w:r w:rsidRPr="00217865">
              <w:rPr>
                <w:rFonts w:cs="Arial"/>
                <w:color w:val="000000" w:themeColor="text1"/>
                <w:lang w:eastAsia="en-AU"/>
              </w:rPr>
              <w:t>(STATEMENTS)</w:t>
            </w:r>
          </w:p>
          <w:p w14:paraId="3BB53B95" w14:textId="77777777" w:rsidR="009F5875" w:rsidRPr="00217865" w:rsidRDefault="009F5875" w:rsidP="007B7CAD">
            <w:pPr>
              <w:numPr>
                <w:ilvl w:val="0"/>
                <w:numId w:val="35"/>
              </w:numPr>
              <w:spacing w:before="60" w:after="60"/>
              <w:rPr>
                <w:rFonts w:cs="Arial"/>
                <w:color w:val="000000" w:themeColor="text1"/>
                <w:szCs w:val="20"/>
              </w:rPr>
            </w:pPr>
            <w:r w:rsidRPr="00217865">
              <w:rPr>
                <w:rFonts w:cs="Arial"/>
                <w:color w:val="000000" w:themeColor="text1"/>
                <w:szCs w:val="20"/>
              </w:rPr>
              <w:t>Received support from your institution to settle into study?</w:t>
            </w:r>
          </w:p>
          <w:p w14:paraId="32BB843E" w14:textId="77777777" w:rsidR="009F5875" w:rsidRPr="00217865" w:rsidRDefault="009F5875" w:rsidP="007B7CAD">
            <w:pPr>
              <w:numPr>
                <w:ilvl w:val="0"/>
                <w:numId w:val="35"/>
              </w:numPr>
              <w:spacing w:before="60" w:after="60"/>
              <w:rPr>
                <w:rFonts w:cs="Arial"/>
                <w:color w:val="000000" w:themeColor="text1"/>
                <w:szCs w:val="20"/>
              </w:rPr>
            </w:pPr>
            <w:r w:rsidRPr="00217865">
              <w:rPr>
                <w:rFonts w:cs="Arial"/>
                <w:color w:val="000000" w:themeColor="text1"/>
                <w:szCs w:val="20"/>
              </w:rPr>
              <w:t>Experienced efficient enrolment and admissions processes?</w:t>
            </w:r>
          </w:p>
          <w:p w14:paraId="5ECD1271" w14:textId="77777777" w:rsidR="009F5875" w:rsidRPr="00217865" w:rsidRDefault="009F5875" w:rsidP="007B7CAD">
            <w:pPr>
              <w:numPr>
                <w:ilvl w:val="0"/>
                <w:numId w:val="35"/>
              </w:numPr>
              <w:spacing w:before="60" w:after="60"/>
              <w:rPr>
                <w:rFonts w:cs="Arial"/>
                <w:color w:val="000000" w:themeColor="text1"/>
                <w:szCs w:val="20"/>
              </w:rPr>
            </w:pPr>
            <w:r w:rsidRPr="00217865">
              <w:rPr>
                <w:rFonts w:cs="Arial"/>
                <w:color w:val="000000" w:themeColor="text1"/>
                <w:szCs w:val="20"/>
              </w:rPr>
              <w:t>Felt prepared for your study?</w:t>
            </w:r>
          </w:p>
          <w:p w14:paraId="7C4963AC" w14:textId="77777777" w:rsidR="009F5875" w:rsidRPr="00217865" w:rsidRDefault="009F5875" w:rsidP="007B7CAD">
            <w:pPr>
              <w:numPr>
                <w:ilvl w:val="0"/>
                <w:numId w:val="35"/>
              </w:numPr>
              <w:spacing w:before="60" w:after="60"/>
              <w:rPr>
                <w:rFonts w:cs="Arial"/>
                <w:color w:val="000000" w:themeColor="text1"/>
                <w:szCs w:val="20"/>
              </w:rPr>
            </w:pPr>
            <w:r w:rsidRPr="00217865">
              <w:rPr>
                <w:rFonts w:cs="Arial"/>
                <w:color w:val="000000" w:themeColor="text1"/>
                <w:szCs w:val="20"/>
              </w:rPr>
              <w:t>Felt induction/orientation activities were relevant and helpful?</w:t>
            </w:r>
          </w:p>
        </w:tc>
        <w:tc>
          <w:tcPr>
            <w:tcW w:w="2920" w:type="dxa"/>
          </w:tcPr>
          <w:p w14:paraId="2681A988" w14:textId="77777777" w:rsidR="009F5875" w:rsidRPr="00217865" w:rsidRDefault="009F5875" w:rsidP="007B7CAD">
            <w:pPr>
              <w:numPr>
                <w:ilvl w:val="0"/>
                <w:numId w:val="36"/>
              </w:numPr>
              <w:spacing w:before="60" w:after="60"/>
              <w:rPr>
                <w:rFonts w:cs="Arial"/>
                <w:color w:val="000000" w:themeColor="text1"/>
                <w:szCs w:val="20"/>
              </w:rPr>
            </w:pPr>
            <w:r w:rsidRPr="00217865">
              <w:rPr>
                <w:rFonts w:cs="Arial"/>
                <w:color w:val="000000" w:themeColor="text1"/>
                <w:szCs w:val="20"/>
              </w:rPr>
              <w:t>Not at all</w:t>
            </w:r>
          </w:p>
          <w:p w14:paraId="57519D8C" w14:textId="77777777" w:rsidR="009F5875" w:rsidRPr="00217865" w:rsidRDefault="009F5875" w:rsidP="007B7CAD">
            <w:pPr>
              <w:numPr>
                <w:ilvl w:val="0"/>
                <w:numId w:val="36"/>
              </w:numPr>
              <w:spacing w:before="60" w:after="60"/>
              <w:rPr>
                <w:rFonts w:cs="Arial"/>
                <w:color w:val="000000" w:themeColor="text1"/>
                <w:szCs w:val="20"/>
              </w:rPr>
            </w:pPr>
            <w:r w:rsidRPr="00217865">
              <w:rPr>
                <w:rFonts w:cs="Arial"/>
                <w:color w:val="000000" w:themeColor="text1"/>
                <w:szCs w:val="20"/>
              </w:rPr>
              <w:t>Very little</w:t>
            </w:r>
          </w:p>
          <w:p w14:paraId="7115E736" w14:textId="77777777" w:rsidR="009F5875" w:rsidRPr="00217865" w:rsidRDefault="009F5875" w:rsidP="007B7CAD">
            <w:pPr>
              <w:numPr>
                <w:ilvl w:val="0"/>
                <w:numId w:val="36"/>
              </w:numPr>
              <w:spacing w:before="60" w:after="60"/>
              <w:rPr>
                <w:rFonts w:cs="Arial"/>
                <w:color w:val="000000" w:themeColor="text1"/>
                <w:szCs w:val="20"/>
              </w:rPr>
            </w:pPr>
            <w:r w:rsidRPr="00217865">
              <w:rPr>
                <w:rFonts w:cs="Arial"/>
                <w:color w:val="000000" w:themeColor="text1"/>
                <w:szCs w:val="20"/>
              </w:rPr>
              <w:t>Some</w:t>
            </w:r>
          </w:p>
          <w:p w14:paraId="7053FD46" w14:textId="77777777" w:rsidR="009F5875" w:rsidRPr="00217865" w:rsidRDefault="009F5875" w:rsidP="007B7CAD">
            <w:pPr>
              <w:numPr>
                <w:ilvl w:val="0"/>
                <w:numId w:val="36"/>
              </w:numPr>
              <w:spacing w:before="60" w:after="60"/>
              <w:rPr>
                <w:rFonts w:cs="Arial"/>
                <w:color w:val="000000" w:themeColor="text1"/>
                <w:szCs w:val="20"/>
              </w:rPr>
            </w:pPr>
            <w:r w:rsidRPr="00217865">
              <w:rPr>
                <w:rFonts w:cs="Arial"/>
                <w:color w:val="000000" w:themeColor="text1"/>
                <w:szCs w:val="20"/>
              </w:rPr>
              <w:t>Quite a bit</w:t>
            </w:r>
          </w:p>
          <w:p w14:paraId="61284D9B" w14:textId="77777777" w:rsidR="009F5875" w:rsidRPr="00217865" w:rsidRDefault="009F5875" w:rsidP="007B7CAD">
            <w:pPr>
              <w:numPr>
                <w:ilvl w:val="0"/>
                <w:numId w:val="36"/>
              </w:numPr>
              <w:spacing w:before="60" w:after="60"/>
              <w:rPr>
                <w:rFonts w:cs="Arial"/>
                <w:color w:val="000000" w:themeColor="text1"/>
                <w:szCs w:val="20"/>
              </w:rPr>
            </w:pPr>
            <w:r w:rsidRPr="00217865">
              <w:rPr>
                <w:rFonts w:cs="Arial"/>
                <w:color w:val="000000" w:themeColor="text1"/>
                <w:szCs w:val="20"/>
              </w:rPr>
              <w:t>Very much</w:t>
            </w:r>
          </w:p>
          <w:p w14:paraId="623611CB" w14:textId="77777777" w:rsidR="009F5875" w:rsidRPr="00217865" w:rsidRDefault="009F5875" w:rsidP="007B7CAD">
            <w:pPr>
              <w:numPr>
                <w:ilvl w:val="0"/>
                <w:numId w:val="36"/>
              </w:numPr>
              <w:spacing w:before="60" w:after="60"/>
              <w:rPr>
                <w:rFonts w:cs="Arial"/>
                <w:color w:val="000000" w:themeColor="text1"/>
              </w:rPr>
            </w:pPr>
            <w:r w:rsidRPr="00217865">
              <w:rPr>
                <w:rFonts w:cs="Arial"/>
                <w:color w:val="000000" w:themeColor="text1"/>
                <w:szCs w:val="20"/>
              </w:rPr>
              <w:t>Not applicable</w:t>
            </w:r>
          </w:p>
        </w:tc>
      </w:tr>
      <w:tr w:rsidR="00217865" w:rsidRPr="00217865" w14:paraId="6A4C2FAC" w14:textId="77777777" w:rsidTr="00735EE6">
        <w:trPr>
          <w:trHeight w:val="1372"/>
        </w:trPr>
        <w:tc>
          <w:tcPr>
            <w:tcW w:w="1689" w:type="dxa"/>
          </w:tcPr>
          <w:p w14:paraId="1C6192EF"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OPPLOC</w:t>
            </w:r>
          </w:p>
        </w:tc>
        <w:tc>
          <w:tcPr>
            <w:tcW w:w="4690" w:type="dxa"/>
          </w:tcPr>
          <w:p w14:paraId="664E99E9"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At your institution during &lt;SURVEYYEAR&gt;, to what extent have you been given opportunities to interact with local students?</w:t>
            </w:r>
          </w:p>
        </w:tc>
        <w:tc>
          <w:tcPr>
            <w:tcW w:w="2920" w:type="dxa"/>
          </w:tcPr>
          <w:p w14:paraId="70737D99"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Not at all</w:t>
            </w:r>
          </w:p>
          <w:p w14:paraId="19A63D63"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Very little</w:t>
            </w:r>
          </w:p>
          <w:p w14:paraId="198DBA89"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Some</w:t>
            </w:r>
          </w:p>
          <w:p w14:paraId="6D39DCC1"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Quite a bit</w:t>
            </w:r>
          </w:p>
          <w:p w14:paraId="5FD6C0C9"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Very much</w:t>
            </w:r>
          </w:p>
          <w:p w14:paraId="4CAED5C8" w14:textId="77777777" w:rsidR="009F5875" w:rsidRPr="00217865" w:rsidRDefault="009F5875" w:rsidP="007B7CAD">
            <w:pPr>
              <w:numPr>
                <w:ilvl w:val="0"/>
                <w:numId w:val="42"/>
              </w:numPr>
              <w:spacing w:before="60" w:after="60"/>
              <w:rPr>
                <w:rFonts w:cs="Arial"/>
                <w:color w:val="000000" w:themeColor="text1"/>
              </w:rPr>
            </w:pPr>
            <w:r w:rsidRPr="00217865">
              <w:rPr>
                <w:rFonts w:cs="Arial"/>
                <w:color w:val="000000" w:themeColor="text1"/>
              </w:rPr>
              <w:t>Not applicable</w:t>
            </w:r>
          </w:p>
        </w:tc>
      </w:tr>
      <w:tr w:rsidR="00217865" w:rsidRPr="00217865" w14:paraId="74527B72" w14:textId="77777777" w:rsidTr="00735EE6">
        <w:trPr>
          <w:trHeight w:val="1372"/>
        </w:trPr>
        <w:tc>
          <w:tcPr>
            <w:tcW w:w="1689" w:type="dxa"/>
          </w:tcPr>
          <w:p w14:paraId="07CDC768"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szCs w:val="20"/>
                <w:lang w:eastAsia="en-AU"/>
              </w:rPr>
              <w:t>QLLMS / QLLMSB</w:t>
            </w:r>
          </w:p>
        </w:tc>
        <w:tc>
          <w:tcPr>
            <w:tcW w:w="4690" w:type="dxa"/>
          </w:tcPr>
          <w:p w14:paraId="7C67A629"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 xml:space="preserve">Thinking of this year, </w:t>
            </w:r>
            <w:proofErr w:type="gramStart"/>
            <w:r w:rsidRPr="00217865">
              <w:rPr>
                <w:rFonts w:eastAsia="Times New Roman" w:cs="Arial"/>
                <w:color w:val="000000" w:themeColor="text1"/>
                <w:szCs w:val="20"/>
              </w:rPr>
              <w:t>overall</w:t>
            </w:r>
            <w:proofErr w:type="gramEnd"/>
            <w:r w:rsidRPr="00217865">
              <w:rPr>
                <w:rFonts w:eastAsia="Times New Roman" w:cs="Arial"/>
                <w:color w:val="000000" w:themeColor="text1"/>
                <w:szCs w:val="20"/>
              </w:rPr>
              <w:t xml:space="preserve"> how would you rate the following learning resources provided for your </w:t>
            </w:r>
            <w:r w:rsidRPr="00217865">
              <w:rPr>
                <w:rFonts w:eastAsia="Times New Roman" w:cs="Arial"/>
                <w:bCs/>
                <w:color w:val="000000" w:themeColor="text1"/>
                <w:szCs w:val="20"/>
              </w:rPr>
              <w:t>&lt;FINALCOURSEA&gt;</w:t>
            </w:r>
            <w:r w:rsidRPr="00217865">
              <w:rPr>
                <w:rFonts w:eastAsia="Times New Roman" w:cs="Arial"/>
                <w:color w:val="000000" w:themeColor="text1"/>
                <w:szCs w:val="20"/>
              </w:rPr>
              <w:t xml:space="preserve"> / </w:t>
            </w:r>
            <w:r w:rsidRPr="00217865">
              <w:rPr>
                <w:rFonts w:eastAsia="Times New Roman" w:cs="Arial"/>
                <w:bCs/>
                <w:color w:val="000000" w:themeColor="text1"/>
                <w:szCs w:val="20"/>
              </w:rPr>
              <w:t>&lt;FINALCOURSEB</w:t>
            </w:r>
            <w:proofErr w:type="gramStart"/>
            <w:r w:rsidRPr="00217865">
              <w:rPr>
                <w:rFonts w:eastAsia="Times New Roman" w:cs="Arial"/>
                <w:bCs/>
                <w:color w:val="000000" w:themeColor="text1"/>
                <w:szCs w:val="20"/>
              </w:rPr>
              <w:t>&gt;</w:t>
            </w:r>
            <w:r w:rsidRPr="00217865">
              <w:rPr>
                <w:rFonts w:eastAsia="Times New Roman" w:cs="Arial"/>
                <w:color w:val="000000" w:themeColor="text1"/>
                <w:szCs w:val="20"/>
              </w:rPr>
              <w:t xml:space="preserve">  &lt;</w:t>
            </w:r>
            <w:proofErr w:type="gramEnd"/>
            <w:r w:rsidRPr="00217865">
              <w:rPr>
                <w:rFonts w:eastAsia="Times New Roman" w:cs="Arial"/>
                <w:color w:val="000000" w:themeColor="text1"/>
                <w:szCs w:val="20"/>
              </w:rPr>
              <w:t>course&gt;…?</w:t>
            </w:r>
          </w:p>
          <w:p w14:paraId="2F5E7ABE" w14:textId="77777777" w:rsidR="009F5875" w:rsidRPr="00217865" w:rsidRDefault="009F5875" w:rsidP="007B7CAD">
            <w:pPr>
              <w:spacing w:before="60" w:after="60"/>
              <w:rPr>
                <w:rFonts w:eastAsia="Times New Roman" w:cs="Arial"/>
                <w:color w:val="000000" w:themeColor="text1"/>
                <w:szCs w:val="20"/>
              </w:rPr>
            </w:pPr>
            <w:r w:rsidRPr="00217865">
              <w:rPr>
                <w:rFonts w:eastAsia="Times New Roman" w:cs="Arial"/>
                <w:color w:val="000000" w:themeColor="text1"/>
                <w:szCs w:val="20"/>
              </w:rPr>
              <w:t>(STATEMENT)</w:t>
            </w:r>
          </w:p>
          <w:p w14:paraId="56978AA3" w14:textId="77777777" w:rsidR="009F5875" w:rsidRPr="00217865" w:rsidRDefault="009F5875" w:rsidP="007B7CAD">
            <w:pPr>
              <w:spacing w:before="60" w:after="60"/>
              <w:rPr>
                <w:rFonts w:eastAsia="Times New Roman" w:cs="Arial"/>
                <w:strike/>
                <w:color w:val="000000" w:themeColor="text1"/>
              </w:rPr>
            </w:pPr>
            <w:r w:rsidRPr="00217865">
              <w:rPr>
                <w:rFonts w:eastAsia="Times New Roman" w:cs="Arial"/>
                <w:color w:val="000000" w:themeColor="text1"/>
                <w:szCs w:val="20"/>
                <w:lang w:eastAsia="en-AU"/>
              </w:rPr>
              <w:t>h)   Online Learning Platform (i.e. Learning Management System, &lt;</w:t>
            </w:r>
            <w:r w:rsidRPr="00217865">
              <w:rPr>
                <w:rFonts w:eastAsia="Times New Roman" w:cs="Arial"/>
                <w:color w:val="000000" w:themeColor="text1"/>
                <w:szCs w:val="20"/>
              </w:rPr>
              <w:t>INSTLMS_TXT</w:t>
            </w:r>
            <w:r w:rsidRPr="00217865">
              <w:rPr>
                <w:rFonts w:eastAsia="Times New Roman" w:cs="Arial"/>
                <w:color w:val="000000" w:themeColor="text1"/>
                <w:szCs w:val="20"/>
                <w:lang w:eastAsia="en-AU"/>
              </w:rPr>
              <w:t>&gt;)</w:t>
            </w:r>
          </w:p>
        </w:tc>
        <w:tc>
          <w:tcPr>
            <w:tcW w:w="2920" w:type="dxa"/>
          </w:tcPr>
          <w:p w14:paraId="0EAE7139" w14:textId="77777777" w:rsidR="009F5875" w:rsidRPr="00217865" w:rsidRDefault="009F5875" w:rsidP="007B7CAD">
            <w:pPr>
              <w:numPr>
                <w:ilvl w:val="0"/>
                <w:numId w:val="37"/>
              </w:numPr>
              <w:spacing w:before="60" w:after="60"/>
              <w:jc w:val="both"/>
              <w:rPr>
                <w:rFonts w:cs="Arial"/>
                <w:color w:val="000000" w:themeColor="text1"/>
                <w:szCs w:val="20"/>
              </w:rPr>
            </w:pPr>
            <w:r w:rsidRPr="00217865">
              <w:rPr>
                <w:rFonts w:cs="Arial"/>
                <w:color w:val="000000" w:themeColor="text1"/>
                <w:szCs w:val="20"/>
              </w:rPr>
              <w:t xml:space="preserve">Poor </w:t>
            </w:r>
          </w:p>
          <w:p w14:paraId="553A61A9" w14:textId="77777777" w:rsidR="009F5875" w:rsidRPr="00217865" w:rsidRDefault="009F5875" w:rsidP="007B7CAD">
            <w:pPr>
              <w:numPr>
                <w:ilvl w:val="0"/>
                <w:numId w:val="37"/>
              </w:numPr>
              <w:spacing w:before="60" w:after="60"/>
              <w:jc w:val="both"/>
              <w:rPr>
                <w:rFonts w:cs="Arial"/>
                <w:color w:val="000000" w:themeColor="text1"/>
                <w:szCs w:val="20"/>
              </w:rPr>
            </w:pPr>
            <w:r w:rsidRPr="00217865">
              <w:rPr>
                <w:rFonts w:cs="Arial"/>
                <w:color w:val="000000" w:themeColor="text1"/>
                <w:szCs w:val="20"/>
              </w:rPr>
              <w:t>Fair</w:t>
            </w:r>
          </w:p>
          <w:p w14:paraId="3BC174F3" w14:textId="77777777" w:rsidR="009F5875" w:rsidRPr="00217865" w:rsidRDefault="009F5875" w:rsidP="007B7CAD">
            <w:pPr>
              <w:numPr>
                <w:ilvl w:val="0"/>
                <w:numId w:val="37"/>
              </w:numPr>
              <w:spacing w:before="60" w:after="60"/>
              <w:jc w:val="both"/>
              <w:rPr>
                <w:rFonts w:cs="Arial"/>
                <w:color w:val="000000" w:themeColor="text1"/>
                <w:szCs w:val="20"/>
              </w:rPr>
            </w:pPr>
            <w:r w:rsidRPr="00217865">
              <w:rPr>
                <w:rFonts w:cs="Arial"/>
                <w:color w:val="000000" w:themeColor="text1"/>
                <w:szCs w:val="20"/>
              </w:rPr>
              <w:t>Good</w:t>
            </w:r>
          </w:p>
          <w:p w14:paraId="07B05EFB" w14:textId="77777777" w:rsidR="009F5875" w:rsidRPr="00217865" w:rsidRDefault="009F5875" w:rsidP="007B7CAD">
            <w:pPr>
              <w:numPr>
                <w:ilvl w:val="0"/>
                <w:numId w:val="37"/>
              </w:numPr>
              <w:spacing w:before="60" w:after="60"/>
              <w:jc w:val="both"/>
              <w:rPr>
                <w:rFonts w:cs="Arial"/>
                <w:color w:val="000000" w:themeColor="text1"/>
                <w:szCs w:val="20"/>
              </w:rPr>
            </w:pPr>
            <w:r w:rsidRPr="00217865">
              <w:rPr>
                <w:rFonts w:cs="Arial"/>
                <w:color w:val="000000" w:themeColor="text1"/>
                <w:szCs w:val="20"/>
              </w:rPr>
              <w:t>Excellent</w:t>
            </w:r>
          </w:p>
          <w:p w14:paraId="1438685A" w14:textId="77777777" w:rsidR="009F5875" w:rsidRPr="00217865" w:rsidRDefault="009F5875" w:rsidP="007B7CAD">
            <w:pPr>
              <w:numPr>
                <w:ilvl w:val="0"/>
                <w:numId w:val="37"/>
              </w:numPr>
              <w:spacing w:before="60" w:after="60"/>
              <w:jc w:val="both"/>
              <w:rPr>
                <w:rFonts w:cs="Arial"/>
                <w:color w:val="000000" w:themeColor="text1"/>
                <w:szCs w:val="20"/>
              </w:rPr>
            </w:pPr>
            <w:r w:rsidRPr="00217865">
              <w:rPr>
                <w:rFonts w:cs="Arial"/>
                <w:color w:val="000000" w:themeColor="text1"/>
                <w:szCs w:val="20"/>
              </w:rPr>
              <w:t>Not applicable</w:t>
            </w:r>
          </w:p>
          <w:p w14:paraId="5307FBC4" w14:textId="77777777" w:rsidR="009F5875" w:rsidRPr="00217865" w:rsidRDefault="009F5875" w:rsidP="007B7CAD">
            <w:pPr>
              <w:spacing w:before="60" w:after="60"/>
              <w:ind w:left="567" w:hanging="567"/>
              <w:jc w:val="both"/>
              <w:rPr>
                <w:rFonts w:cs="Arial"/>
                <w:strike/>
                <w:color w:val="000000" w:themeColor="text1"/>
              </w:rPr>
            </w:pPr>
          </w:p>
        </w:tc>
      </w:tr>
      <w:tr w:rsidR="00217865" w:rsidRPr="00217865" w14:paraId="3D4C097A" w14:textId="77777777" w:rsidTr="00735EE6">
        <w:trPr>
          <w:trHeight w:val="1382"/>
        </w:trPr>
        <w:tc>
          <w:tcPr>
            <w:tcW w:w="1689" w:type="dxa"/>
          </w:tcPr>
          <w:p w14:paraId="1B56BE2D"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CARINTRO</w:t>
            </w:r>
          </w:p>
        </w:tc>
        <w:tc>
          <w:tcPr>
            <w:tcW w:w="4690" w:type="dxa"/>
          </w:tcPr>
          <w:p w14:paraId="69CA7E4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During &lt;SURVEYYEAR&gt;, to what extent have you found careers advisors to be…</w:t>
            </w:r>
          </w:p>
          <w:p w14:paraId="185AE03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 Available?</w:t>
            </w:r>
            <w:r w:rsidRPr="00217865">
              <w:rPr>
                <w:rFonts w:eastAsia="Times New Roman" w:cs="Arial"/>
                <w:color w:val="000000" w:themeColor="text1"/>
              </w:rPr>
              <w:br/>
              <w:t>b) Helpful?</w:t>
            </w:r>
          </w:p>
        </w:tc>
        <w:tc>
          <w:tcPr>
            <w:tcW w:w="2920" w:type="dxa"/>
          </w:tcPr>
          <w:p w14:paraId="7157FB23"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1. Had no contact</w:t>
            </w:r>
          </w:p>
          <w:p w14:paraId="574A5C28"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Not at all</w:t>
            </w:r>
          </w:p>
          <w:p w14:paraId="5ABE60D7"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Very little</w:t>
            </w:r>
          </w:p>
          <w:p w14:paraId="5496110A"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4. Some</w:t>
            </w:r>
          </w:p>
          <w:p w14:paraId="1C188CEB"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5. Quite a bit</w:t>
            </w:r>
          </w:p>
          <w:p w14:paraId="74E2D681"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6. Very much</w:t>
            </w:r>
          </w:p>
        </w:tc>
      </w:tr>
      <w:tr w:rsidR="00217865" w:rsidRPr="00217865" w14:paraId="40D862DE" w14:textId="77777777" w:rsidTr="00735EE6">
        <w:trPr>
          <w:trHeight w:val="1322"/>
        </w:trPr>
        <w:tc>
          <w:tcPr>
            <w:tcW w:w="1689" w:type="dxa"/>
          </w:tcPr>
          <w:p w14:paraId="2914557A"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ADMINTRO</w:t>
            </w:r>
          </w:p>
        </w:tc>
        <w:tc>
          <w:tcPr>
            <w:tcW w:w="4690" w:type="dxa"/>
          </w:tcPr>
          <w:p w14:paraId="0C200017"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During &lt;SURVEYYEAR&gt;, to what extent have you found administrative staff or systems (e.g. online administrative services, frontline staff, enrolment systems) to be…</w:t>
            </w:r>
          </w:p>
          <w:p w14:paraId="42B032DE"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lastRenderedPageBreak/>
              <w:t>a) Available?</w:t>
            </w:r>
            <w:r w:rsidRPr="00217865">
              <w:rPr>
                <w:rFonts w:eastAsia="Times New Roman" w:cs="Arial"/>
                <w:color w:val="000000" w:themeColor="text1"/>
              </w:rPr>
              <w:br/>
              <w:t>b) Helpful?</w:t>
            </w:r>
          </w:p>
        </w:tc>
        <w:tc>
          <w:tcPr>
            <w:tcW w:w="2920" w:type="dxa"/>
          </w:tcPr>
          <w:p w14:paraId="7C9C578B"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lastRenderedPageBreak/>
              <w:t>1. Had no contact</w:t>
            </w:r>
          </w:p>
          <w:p w14:paraId="14D77B17"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Not at all</w:t>
            </w:r>
          </w:p>
          <w:p w14:paraId="2999E41E"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Very little</w:t>
            </w:r>
          </w:p>
          <w:p w14:paraId="0FD126AC"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4. Some</w:t>
            </w:r>
          </w:p>
          <w:p w14:paraId="65C54ACE"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lastRenderedPageBreak/>
              <w:t>5. Quite a bit</w:t>
            </w:r>
          </w:p>
          <w:p w14:paraId="5CD3B520" w14:textId="77777777" w:rsidR="009F5875" w:rsidRPr="00217865" w:rsidRDefault="009F5875" w:rsidP="007B7CAD">
            <w:pPr>
              <w:spacing w:before="60" w:after="60"/>
              <w:rPr>
                <w:rFonts w:cs="Arial"/>
                <w:color w:val="000000" w:themeColor="text1"/>
              </w:rPr>
            </w:pPr>
            <w:r w:rsidRPr="00217865">
              <w:rPr>
                <w:rFonts w:cs="Arial"/>
                <w:color w:val="000000" w:themeColor="text1"/>
              </w:rPr>
              <w:t>6. Very much</w:t>
            </w:r>
          </w:p>
        </w:tc>
      </w:tr>
      <w:tr w:rsidR="00217865" w:rsidRPr="00217865" w14:paraId="6CAF9659" w14:textId="77777777" w:rsidTr="00735EE6">
        <w:trPr>
          <w:trHeight w:val="399"/>
        </w:trPr>
        <w:tc>
          <w:tcPr>
            <w:tcW w:w="1689" w:type="dxa"/>
          </w:tcPr>
          <w:p w14:paraId="4855BB1C"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lastRenderedPageBreak/>
              <w:t>ACDINTRO</w:t>
            </w:r>
          </w:p>
        </w:tc>
        <w:tc>
          <w:tcPr>
            <w:tcW w:w="4690" w:type="dxa"/>
          </w:tcPr>
          <w:p w14:paraId="1BF8008F"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During &lt;SURVEYYEAR&gt;, to what extent have you found academic or learning advisors to be…</w:t>
            </w:r>
          </w:p>
          <w:p w14:paraId="143A2A32"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 Available?</w:t>
            </w:r>
            <w:r w:rsidRPr="00217865">
              <w:rPr>
                <w:rFonts w:eastAsia="Times New Roman" w:cs="Arial"/>
                <w:color w:val="000000" w:themeColor="text1"/>
              </w:rPr>
              <w:br/>
              <w:t>b) Helpful?</w:t>
            </w:r>
          </w:p>
        </w:tc>
        <w:tc>
          <w:tcPr>
            <w:tcW w:w="2920" w:type="dxa"/>
          </w:tcPr>
          <w:p w14:paraId="16717524"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1. Had no contact</w:t>
            </w:r>
          </w:p>
          <w:p w14:paraId="19A7A9AB"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Not at all</w:t>
            </w:r>
          </w:p>
          <w:p w14:paraId="5024B274"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Very little</w:t>
            </w:r>
          </w:p>
          <w:p w14:paraId="2ADEE1DC"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4. Some</w:t>
            </w:r>
          </w:p>
          <w:p w14:paraId="438B86F8"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5. Quite a bit</w:t>
            </w:r>
          </w:p>
          <w:p w14:paraId="5AC5ADF6" w14:textId="77777777" w:rsidR="009F5875" w:rsidRPr="00217865" w:rsidRDefault="009F5875" w:rsidP="007B7CAD">
            <w:pPr>
              <w:spacing w:before="60" w:after="60"/>
              <w:rPr>
                <w:rFonts w:cs="Arial"/>
                <w:color w:val="000000" w:themeColor="text1"/>
              </w:rPr>
            </w:pPr>
            <w:r w:rsidRPr="00217865">
              <w:rPr>
                <w:rFonts w:cs="Arial"/>
                <w:color w:val="000000" w:themeColor="text1"/>
              </w:rPr>
              <w:t>6. Very much</w:t>
            </w:r>
          </w:p>
        </w:tc>
      </w:tr>
      <w:tr w:rsidR="00217865" w:rsidRPr="00217865" w14:paraId="2AE4BA61" w14:textId="77777777" w:rsidTr="00735EE6">
        <w:trPr>
          <w:trHeight w:val="934"/>
        </w:trPr>
        <w:tc>
          <w:tcPr>
            <w:tcW w:w="1689" w:type="dxa"/>
          </w:tcPr>
          <w:p w14:paraId="2727C853"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SUPINTRO</w:t>
            </w:r>
          </w:p>
        </w:tc>
        <w:tc>
          <w:tcPr>
            <w:tcW w:w="4690" w:type="dxa"/>
          </w:tcPr>
          <w:p w14:paraId="3C3CD286"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During &lt;SURVEYYEAR&gt;, to what extent have you found support services such as counsellors, financial/legal advisors and health services to be…</w:t>
            </w:r>
          </w:p>
          <w:p w14:paraId="0465254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 Available?</w:t>
            </w:r>
            <w:r w:rsidRPr="00217865">
              <w:rPr>
                <w:rFonts w:eastAsia="Times New Roman" w:cs="Arial"/>
                <w:color w:val="000000" w:themeColor="text1"/>
              </w:rPr>
              <w:br/>
              <w:t>b) Helpful?</w:t>
            </w:r>
          </w:p>
        </w:tc>
        <w:tc>
          <w:tcPr>
            <w:tcW w:w="2920" w:type="dxa"/>
          </w:tcPr>
          <w:p w14:paraId="3753593A"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1. Had no contact</w:t>
            </w:r>
          </w:p>
          <w:p w14:paraId="1392D067"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Not at all</w:t>
            </w:r>
          </w:p>
          <w:p w14:paraId="0251BA17"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Very little</w:t>
            </w:r>
          </w:p>
          <w:p w14:paraId="145CC073"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4. Some</w:t>
            </w:r>
          </w:p>
          <w:p w14:paraId="454FC92E"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5. Quite a bit</w:t>
            </w:r>
          </w:p>
          <w:p w14:paraId="20E5CC8B" w14:textId="77777777" w:rsidR="009F5875" w:rsidRPr="00217865" w:rsidRDefault="009F5875" w:rsidP="007B7CAD">
            <w:pPr>
              <w:spacing w:before="60" w:after="60"/>
              <w:rPr>
                <w:rFonts w:cs="Arial"/>
                <w:color w:val="000000" w:themeColor="text1"/>
              </w:rPr>
            </w:pPr>
            <w:r w:rsidRPr="00217865">
              <w:rPr>
                <w:rFonts w:cs="Arial"/>
                <w:color w:val="000000" w:themeColor="text1"/>
              </w:rPr>
              <w:t>6. Very much</w:t>
            </w:r>
          </w:p>
        </w:tc>
      </w:tr>
      <w:tr w:rsidR="00217865" w:rsidRPr="00217865" w14:paraId="1EF3CB82" w14:textId="77777777" w:rsidTr="00735EE6">
        <w:trPr>
          <w:trHeight w:val="119"/>
        </w:trPr>
        <w:tc>
          <w:tcPr>
            <w:tcW w:w="1689" w:type="dxa"/>
          </w:tcPr>
          <w:p w14:paraId="23CED276"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SERVINTRO</w:t>
            </w:r>
          </w:p>
        </w:tc>
        <w:tc>
          <w:tcPr>
            <w:tcW w:w="4690" w:type="dxa"/>
          </w:tcPr>
          <w:p w14:paraId="506CCDAF"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At your institution during &lt;SURVEYYEAR&gt;, to what extent have you…</w:t>
            </w:r>
          </w:p>
          <w:p w14:paraId="791BA416"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a) Been offered support relevant to your circumstances?</w:t>
            </w:r>
            <w:r w:rsidRPr="00217865">
              <w:rPr>
                <w:rFonts w:eastAsia="Times New Roman" w:cs="Arial"/>
                <w:color w:val="000000" w:themeColor="text1"/>
              </w:rPr>
              <w:br/>
              <w:t>b) Received appropriate English language skill support?</w:t>
            </w:r>
          </w:p>
        </w:tc>
        <w:tc>
          <w:tcPr>
            <w:tcW w:w="2920" w:type="dxa"/>
          </w:tcPr>
          <w:p w14:paraId="3472E750"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1. Not at all</w:t>
            </w:r>
          </w:p>
          <w:p w14:paraId="3720C3B3"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Very little</w:t>
            </w:r>
          </w:p>
          <w:p w14:paraId="7F00897C"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Some</w:t>
            </w:r>
          </w:p>
          <w:p w14:paraId="52A7439F"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4. Quite a bit</w:t>
            </w:r>
          </w:p>
          <w:p w14:paraId="75DA020D"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5. Very much</w:t>
            </w:r>
          </w:p>
          <w:p w14:paraId="478D9E0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6. Not applicable</w:t>
            </w:r>
          </w:p>
        </w:tc>
      </w:tr>
      <w:tr w:rsidR="00217865" w:rsidRPr="00217865" w14:paraId="151B1609" w14:textId="77777777" w:rsidTr="00735EE6">
        <w:trPr>
          <w:trHeight w:val="119"/>
        </w:trPr>
        <w:tc>
          <w:tcPr>
            <w:tcW w:w="1689" w:type="dxa"/>
          </w:tcPr>
          <w:p w14:paraId="09D2FBB8"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CAMPUSR</w:t>
            </w:r>
          </w:p>
        </w:tc>
        <w:tc>
          <w:tcPr>
            <w:tcW w:w="4690" w:type="dxa"/>
          </w:tcPr>
          <w:p w14:paraId="7E0F6BE0"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Where has your study been mainly based in &lt;SURVEYYEAR&gt;?</w:t>
            </w:r>
          </w:p>
        </w:tc>
        <w:tc>
          <w:tcPr>
            <w:tcW w:w="2920" w:type="dxa"/>
          </w:tcPr>
          <w:p w14:paraId="30AA6CC2" w14:textId="77777777" w:rsidR="009F5875" w:rsidRPr="00217865" w:rsidRDefault="009F5875" w:rsidP="007B7CAD">
            <w:pPr>
              <w:spacing w:before="60" w:after="60"/>
              <w:rPr>
                <w:rFonts w:eastAsia="Times New Roman" w:cs="Arial"/>
                <w:color w:val="000000" w:themeColor="text1"/>
                <w:highlight w:val="yellow"/>
              </w:rPr>
            </w:pPr>
            <w:r w:rsidRPr="00217865">
              <w:rPr>
                <w:rFonts w:eastAsia="Times New Roman" w:cs="Arial"/>
                <w:color w:val="000000" w:themeColor="text1"/>
              </w:rPr>
              <w:t>1. On one campus</w:t>
            </w:r>
            <w:r w:rsidRPr="00217865">
              <w:rPr>
                <w:rFonts w:eastAsia="Times New Roman" w:cs="Arial"/>
                <w:color w:val="000000" w:themeColor="text1"/>
              </w:rPr>
              <w:br/>
              <w:t>2. On two or more campuses</w:t>
            </w:r>
            <w:r w:rsidRPr="00217865">
              <w:rPr>
                <w:rFonts w:eastAsia="Times New Roman" w:cs="Arial"/>
                <w:color w:val="000000" w:themeColor="text1"/>
              </w:rPr>
              <w:br/>
              <w:t>3. Mix of external, distance and on-campus</w:t>
            </w:r>
            <w:r w:rsidRPr="00217865">
              <w:rPr>
                <w:rFonts w:eastAsia="Times New Roman" w:cs="Arial"/>
                <w:color w:val="000000" w:themeColor="text1"/>
              </w:rPr>
              <w:br/>
              <w:t>4. External/Distance</w:t>
            </w:r>
          </w:p>
        </w:tc>
      </w:tr>
      <w:tr w:rsidR="00217865" w:rsidRPr="00217865" w14:paraId="420B89CB" w14:textId="77777777" w:rsidTr="00735EE6">
        <w:trPr>
          <w:trHeight w:val="119"/>
        </w:trPr>
        <w:tc>
          <w:tcPr>
            <w:tcW w:w="1689" w:type="dxa"/>
          </w:tcPr>
          <w:p w14:paraId="4B291CA7"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ONLINEA / ONLINEB</w:t>
            </w:r>
          </w:p>
        </w:tc>
        <w:tc>
          <w:tcPr>
            <w:tcW w:w="4690" w:type="dxa"/>
          </w:tcPr>
          <w:p w14:paraId="033D1427"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Thinking about your &lt;FINALCOURSEA / FINALCOURSEB&gt; &lt;course&gt;, how much of your study do you do online?</w:t>
            </w:r>
          </w:p>
        </w:tc>
        <w:tc>
          <w:tcPr>
            <w:tcW w:w="2920" w:type="dxa"/>
          </w:tcPr>
          <w:p w14:paraId="593ADBB5" w14:textId="77777777" w:rsidR="009F5875" w:rsidRPr="00217865" w:rsidRDefault="009F5875" w:rsidP="007B7CAD">
            <w:pPr>
              <w:spacing w:before="60" w:after="60"/>
              <w:rPr>
                <w:rFonts w:eastAsia="Times New Roman" w:cs="Arial"/>
                <w:color w:val="000000" w:themeColor="text1"/>
                <w:highlight w:val="yellow"/>
              </w:rPr>
            </w:pPr>
            <w:r w:rsidRPr="00217865">
              <w:rPr>
                <w:rFonts w:eastAsia="Times New Roman" w:cs="Arial"/>
                <w:color w:val="000000" w:themeColor="text1"/>
              </w:rPr>
              <w:t>1. None</w:t>
            </w:r>
            <w:r w:rsidRPr="00217865">
              <w:rPr>
                <w:rFonts w:eastAsia="Times New Roman" w:cs="Arial"/>
                <w:color w:val="000000" w:themeColor="text1"/>
              </w:rPr>
              <w:br/>
              <w:t>2. About a quarter</w:t>
            </w:r>
            <w:r w:rsidRPr="00217865">
              <w:rPr>
                <w:rFonts w:eastAsia="Times New Roman" w:cs="Arial"/>
                <w:color w:val="000000" w:themeColor="text1"/>
              </w:rPr>
              <w:br/>
              <w:t>3. About half</w:t>
            </w:r>
            <w:r w:rsidRPr="00217865">
              <w:rPr>
                <w:rFonts w:eastAsia="Times New Roman" w:cs="Arial"/>
                <w:color w:val="000000" w:themeColor="text1"/>
              </w:rPr>
              <w:br/>
              <w:t>4. All or nearly all</w:t>
            </w:r>
          </w:p>
        </w:tc>
      </w:tr>
      <w:tr w:rsidR="00217865" w:rsidRPr="00217865" w14:paraId="17271F63" w14:textId="77777777" w:rsidTr="00735EE6">
        <w:trPr>
          <w:trHeight w:val="119"/>
        </w:trPr>
        <w:tc>
          <w:tcPr>
            <w:tcW w:w="1689" w:type="dxa"/>
          </w:tcPr>
          <w:p w14:paraId="4FB215D3"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GRADEA / GRADEB</w:t>
            </w:r>
          </w:p>
        </w:tc>
        <w:tc>
          <w:tcPr>
            <w:tcW w:w="4690" w:type="dxa"/>
          </w:tcPr>
          <w:p w14:paraId="7DFC1AC3"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Thinking about your &lt;FINALCOURSEA / FINALCOURSEB&gt; &lt;course&gt;, which number between 0 and 100 represents your average grade so far in &lt;SURVEYYEAR&gt;?</w:t>
            </w:r>
          </w:p>
        </w:tc>
        <w:tc>
          <w:tcPr>
            <w:tcW w:w="2920" w:type="dxa"/>
          </w:tcPr>
          <w:p w14:paraId="4B9BA63F"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1. No results</w:t>
            </w:r>
          </w:p>
          <w:p w14:paraId="2D459F05"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2. 0-49%</w:t>
            </w:r>
          </w:p>
          <w:p w14:paraId="62F25E61"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3. 50-59%</w:t>
            </w:r>
          </w:p>
          <w:p w14:paraId="071B87BB"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4. 60-69%</w:t>
            </w:r>
          </w:p>
          <w:p w14:paraId="4632D84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5. 70-79%</w:t>
            </w:r>
          </w:p>
          <w:p w14:paraId="279F7F8C"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6. 80-89%</w:t>
            </w:r>
          </w:p>
          <w:p w14:paraId="2CECE558" w14:textId="77777777" w:rsidR="009F5875" w:rsidRPr="00217865" w:rsidRDefault="009F5875" w:rsidP="007B7CAD">
            <w:pPr>
              <w:spacing w:before="60" w:after="60"/>
              <w:rPr>
                <w:rFonts w:eastAsia="Times New Roman" w:cs="Arial"/>
                <w:color w:val="000000" w:themeColor="text1"/>
                <w:highlight w:val="yellow"/>
              </w:rPr>
            </w:pPr>
            <w:r w:rsidRPr="00217865">
              <w:rPr>
                <w:rFonts w:eastAsia="Times New Roman" w:cs="Arial"/>
                <w:color w:val="000000" w:themeColor="text1"/>
              </w:rPr>
              <w:t>7. 90-100%</w:t>
            </w:r>
          </w:p>
        </w:tc>
      </w:tr>
      <w:tr w:rsidR="00217865" w:rsidRPr="00217865" w14:paraId="1964A788" w14:textId="77777777" w:rsidTr="00735EE6">
        <w:trPr>
          <w:trHeight w:val="1283"/>
        </w:trPr>
        <w:tc>
          <w:tcPr>
            <w:tcW w:w="1689" w:type="dxa"/>
          </w:tcPr>
          <w:p w14:paraId="52EBD834"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INTVISA</w:t>
            </w:r>
          </w:p>
        </w:tc>
        <w:tc>
          <w:tcPr>
            <w:tcW w:w="4690" w:type="dxa"/>
          </w:tcPr>
          <w:p w14:paraId="3CD2286B" w14:textId="77777777" w:rsidR="009F5875" w:rsidRPr="00217865" w:rsidRDefault="009F5875" w:rsidP="007B7CAD">
            <w:pPr>
              <w:spacing w:before="60" w:after="60"/>
              <w:rPr>
                <w:rFonts w:eastAsia="Times New Roman" w:cs="Arial"/>
                <w:color w:val="000000" w:themeColor="text1"/>
              </w:rPr>
            </w:pPr>
            <w:r w:rsidRPr="00217865">
              <w:rPr>
                <w:rFonts w:eastAsia="Times New Roman" w:cs="Arial"/>
                <w:color w:val="000000" w:themeColor="text1"/>
              </w:rPr>
              <w:t>What type of Australian visa do you currently hold?</w:t>
            </w:r>
          </w:p>
        </w:tc>
        <w:tc>
          <w:tcPr>
            <w:tcW w:w="2920" w:type="dxa"/>
          </w:tcPr>
          <w:p w14:paraId="65656F6E"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1.  Student visa (Subclass 500)</w:t>
            </w:r>
          </w:p>
          <w:p w14:paraId="7F70B1A3"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2.  Temporary graduate visa (Subclass 485)</w:t>
            </w:r>
          </w:p>
          <w:p w14:paraId="215BC2E3"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3.  Bridging visa (awaiting outcome of substantive visa application)</w:t>
            </w:r>
          </w:p>
          <w:p w14:paraId="58503DEE" w14:textId="77777777" w:rsidR="009F5875" w:rsidRPr="00217865" w:rsidRDefault="009F5875" w:rsidP="007B7CAD">
            <w:pPr>
              <w:spacing w:before="60" w:after="60"/>
              <w:ind w:left="567" w:hanging="567"/>
              <w:rPr>
                <w:rFonts w:cs="Arial"/>
                <w:color w:val="000000" w:themeColor="text1"/>
              </w:rPr>
            </w:pPr>
            <w:r w:rsidRPr="00217865">
              <w:rPr>
                <w:rFonts w:cs="Arial"/>
                <w:color w:val="000000" w:themeColor="text1"/>
              </w:rPr>
              <w:t>90. Other</w:t>
            </w:r>
          </w:p>
        </w:tc>
      </w:tr>
    </w:tbl>
    <w:p w14:paraId="457BDE9A" w14:textId="77777777" w:rsidR="009F5875" w:rsidRPr="00217865" w:rsidRDefault="009F5875" w:rsidP="00E13525">
      <w:pPr>
        <w:keepNext/>
        <w:keepLines/>
        <w:numPr>
          <w:ilvl w:val="0"/>
          <w:numId w:val="43"/>
        </w:numPr>
        <w:spacing w:before="240" w:after="120"/>
        <w:ind w:left="1134" w:hanging="1134"/>
        <w:outlineLvl w:val="1"/>
        <w:rPr>
          <w:rFonts w:eastAsiaTheme="majorEastAsia" w:cs="Arial"/>
          <w:color w:val="000000" w:themeColor="text1"/>
          <w:sz w:val="32"/>
          <w:szCs w:val="32"/>
        </w:rPr>
      </w:pPr>
      <w:bookmarkStart w:id="415" w:name="_Toc169679811"/>
      <w:bookmarkStart w:id="416" w:name="_Toc178599312"/>
      <w:r w:rsidRPr="00217865">
        <w:rPr>
          <w:rFonts w:eastAsiaTheme="majorEastAsia" w:cs="Arial"/>
          <w:color w:val="000000" w:themeColor="text1"/>
          <w:sz w:val="32"/>
          <w:szCs w:val="32"/>
        </w:rPr>
        <w:lastRenderedPageBreak/>
        <w:t>Implications of changes on focus area scores</w:t>
      </w:r>
      <w:bookmarkEnd w:id="415"/>
      <w:bookmarkEnd w:id="416"/>
    </w:p>
    <w:p w14:paraId="3C179DC0" w14:textId="34DDBBF0" w:rsidR="009F5875" w:rsidRPr="00217865" w:rsidRDefault="009F5875" w:rsidP="009F5875">
      <w:pPr>
        <w:spacing w:before="120" w:after="120" w:line="300" w:lineRule="auto"/>
        <w:rPr>
          <w:rFonts w:eastAsia="Times New Roman" w:cs="Arial"/>
          <w:color w:val="000000" w:themeColor="text1"/>
          <w:szCs w:val="20"/>
        </w:rPr>
      </w:pPr>
      <w:r w:rsidRPr="00217865">
        <w:rPr>
          <w:rFonts w:eastAsia="Times New Roman" w:cs="Arial"/>
          <w:color w:val="000000" w:themeColor="text1"/>
          <w:szCs w:val="20"/>
        </w:rPr>
        <w:t xml:space="preserve">The Peer Engagement and Student Support and Services focus areas underwent changes to item wording, inclusion, and response frames, as described Section </w:t>
      </w:r>
      <w:r w:rsidRPr="00217865">
        <w:rPr>
          <w:rFonts w:eastAsia="Times New Roman" w:cs="Arial"/>
          <w:color w:val="000000" w:themeColor="text1"/>
          <w:szCs w:val="20"/>
        </w:rPr>
        <w:fldChar w:fldCharType="begin"/>
      </w:r>
      <w:r w:rsidRPr="00217865">
        <w:rPr>
          <w:rFonts w:eastAsia="Times New Roman" w:cs="Arial"/>
          <w:color w:val="000000" w:themeColor="text1"/>
          <w:szCs w:val="20"/>
        </w:rPr>
        <w:instrText xml:space="preserve"> REF _Ref167872500 \n \h </w:instrText>
      </w:r>
      <w:r w:rsidR="00A6216F" w:rsidRPr="00217865">
        <w:rPr>
          <w:rFonts w:eastAsia="Times New Roman" w:cs="Arial"/>
          <w:color w:val="000000" w:themeColor="text1"/>
          <w:szCs w:val="20"/>
        </w:rPr>
        <w:instrText xml:space="preserve"> \* MERGEFORMAT </w:instrText>
      </w:r>
      <w:r w:rsidRPr="00217865">
        <w:rPr>
          <w:rFonts w:eastAsia="Times New Roman" w:cs="Arial"/>
          <w:color w:val="000000" w:themeColor="text1"/>
          <w:szCs w:val="20"/>
        </w:rPr>
      </w:r>
      <w:r w:rsidRPr="00217865">
        <w:rPr>
          <w:rFonts w:eastAsia="Times New Roman" w:cs="Arial"/>
          <w:color w:val="000000" w:themeColor="text1"/>
          <w:szCs w:val="20"/>
        </w:rPr>
        <w:fldChar w:fldCharType="separate"/>
      </w:r>
      <w:r w:rsidR="005D5678">
        <w:rPr>
          <w:rFonts w:eastAsia="Times New Roman" w:cs="Arial"/>
          <w:color w:val="000000" w:themeColor="text1"/>
          <w:szCs w:val="20"/>
        </w:rPr>
        <w:t>A2.1.1</w:t>
      </w:r>
      <w:r w:rsidRPr="00217865">
        <w:rPr>
          <w:rFonts w:eastAsia="Times New Roman" w:cs="Arial"/>
          <w:color w:val="000000" w:themeColor="text1"/>
          <w:szCs w:val="20"/>
        </w:rPr>
        <w:fldChar w:fldCharType="end"/>
      </w:r>
      <w:r w:rsidRPr="00217865">
        <w:rPr>
          <w:rFonts w:eastAsia="Times New Roman" w:cs="Arial"/>
          <w:color w:val="000000" w:themeColor="text1"/>
          <w:szCs w:val="20"/>
        </w:rPr>
        <w:t xml:space="preserve"> and </w:t>
      </w:r>
      <w:r w:rsidRPr="00217865">
        <w:rPr>
          <w:rFonts w:eastAsia="Times New Roman" w:cs="Arial"/>
          <w:color w:val="000000" w:themeColor="text1"/>
          <w:szCs w:val="20"/>
        </w:rPr>
        <w:fldChar w:fldCharType="begin"/>
      </w:r>
      <w:r w:rsidRPr="00217865">
        <w:rPr>
          <w:rFonts w:eastAsia="Times New Roman" w:cs="Arial"/>
          <w:color w:val="000000" w:themeColor="text1"/>
          <w:szCs w:val="20"/>
        </w:rPr>
        <w:instrText xml:space="preserve"> REF _Ref167872511 \r \h </w:instrText>
      </w:r>
      <w:r w:rsidR="00A6216F" w:rsidRPr="00217865">
        <w:rPr>
          <w:rFonts w:eastAsia="Times New Roman" w:cs="Arial"/>
          <w:color w:val="000000" w:themeColor="text1"/>
          <w:szCs w:val="20"/>
        </w:rPr>
        <w:instrText xml:space="preserve"> \* MERGEFORMAT </w:instrText>
      </w:r>
      <w:r w:rsidRPr="00217865">
        <w:rPr>
          <w:rFonts w:eastAsia="Times New Roman" w:cs="Arial"/>
          <w:color w:val="000000" w:themeColor="text1"/>
          <w:szCs w:val="20"/>
        </w:rPr>
      </w:r>
      <w:r w:rsidRPr="00217865">
        <w:rPr>
          <w:rFonts w:eastAsia="Times New Roman" w:cs="Arial"/>
          <w:color w:val="000000" w:themeColor="text1"/>
          <w:szCs w:val="20"/>
        </w:rPr>
        <w:fldChar w:fldCharType="separate"/>
      </w:r>
      <w:r w:rsidR="005D5678">
        <w:rPr>
          <w:rFonts w:eastAsia="Times New Roman" w:cs="Arial"/>
          <w:color w:val="000000" w:themeColor="text1"/>
          <w:szCs w:val="20"/>
        </w:rPr>
        <w:t>A2.1.2</w:t>
      </w:r>
      <w:r w:rsidRPr="00217865">
        <w:rPr>
          <w:rFonts w:eastAsia="Times New Roman" w:cs="Arial"/>
          <w:color w:val="000000" w:themeColor="text1"/>
          <w:szCs w:val="20"/>
        </w:rPr>
        <w:fldChar w:fldCharType="end"/>
      </w:r>
      <w:r w:rsidRPr="00217865">
        <w:rPr>
          <w:rFonts w:eastAsia="Times New Roman" w:cs="Arial"/>
          <w:color w:val="000000" w:themeColor="text1"/>
          <w:szCs w:val="20"/>
        </w:rPr>
        <w:t xml:space="preserve"> above. The conventional scoring processes described in </w:t>
      </w:r>
      <w:r w:rsidRPr="00217865">
        <w:rPr>
          <w:rFonts w:eastAsia="Times New Roman" w:cs="Arial"/>
          <w:color w:val="000000" w:themeColor="text1"/>
          <w:szCs w:val="20"/>
        </w:rPr>
        <w:fldChar w:fldCharType="begin"/>
      </w:r>
      <w:r w:rsidRPr="00217865">
        <w:rPr>
          <w:rFonts w:eastAsia="Times New Roman" w:cs="Arial"/>
          <w:color w:val="000000" w:themeColor="text1"/>
          <w:szCs w:val="20"/>
        </w:rPr>
        <w:instrText xml:space="preserve"> REF _Ref167703459 \r \h  \* MERGEFORMAT </w:instrText>
      </w:r>
      <w:r w:rsidRPr="00217865">
        <w:rPr>
          <w:rFonts w:eastAsia="Times New Roman" w:cs="Arial"/>
          <w:color w:val="000000" w:themeColor="text1"/>
          <w:szCs w:val="20"/>
        </w:rPr>
      </w:r>
      <w:r w:rsidRPr="00217865">
        <w:rPr>
          <w:rFonts w:eastAsia="Times New Roman" w:cs="Arial"/>
          <w:color w:val="000000" w:themeColor="text1"/>
          <w:szCs w:val="20"/>
        </w:rPr>
        <w:fldChar w:fldCharType="separate"/>
      </w:r>
      <w:r w:rsidR="005D5678">
        <w:rPr>
          <w:rFonts w:eastAsia="Times New Roman" w:cs="Arial"/>
          <w:color w:val="000000" w:themeColor="text1"/>
          <w:szCs w:val="20"/>
        </w:rPr>
        <w:t>Appendix 4</w:t>
      </w:r>
      <w:r w:rsidRPr="00217865">
        <w:rPr>
          <w:rFonts w:eastAsia="Times New Roman" w:cs="Arial"/>
          <w:color w:val="000000" w:themeColor="text1"/>
          <w:szCs w:val="20"/>
        </w:rPr>
        <w:fldChar w:fldCharType="end"/>
      </w:r>
      <w:r w:rsidRPr="00217865">
        <w:rPr>
          <w:rFonts w:eastAsia="Times New Roman" w:cs="Arial"/>
          <w:color w:val="000000" w:themeColor="text1"/>
          <w:szCs w:val="20"/>
        </w:rPr>
        <w:t xml:space="preserve"> </w:t>
      </w:r>
      <w:r w:rsidRPr="00217865">
        <w:rPr>
          <w:rFonts w:eastAsia="Times New Roman" w:cs="Arial"/>
          <w:color w:val="000000" w:themeColor="text1"/>
          <w:szCs w:val="20"/>
        </w:rPr>
        <w:fldChar w:fldCharType="begin"/>
      </w:r>
      <w:r w:rsidRPr="00217865">
        <w:rPr>
          <w:rFonts w:eastAsia="Times New Roman" w:cs="Arial"/>
          <w:color w:val="000000" w:themeColor="text1"/>
          <w:szCs w:val="20"/>
        </w:rPr>
        <w:instrText xml:space="preserve"> REF _Ref167703459 \h  \* MERGEFORMAT </w:instrText>
      </w:r>
      <w:r w:rsidRPr="00217865">
        <w:rPr>
          <w:rFonts w:eastAsia="Times New Roman" w:cs="Arial"/>
          <w:color w:val="000000" w:themeColor="text1"/>
          <w:szCs w:val="20"/>
        </w:rPr>
      </w:r>
      <w:r w:rsidRPr="00217865">
        <w:rPr>
          <w:rFonts w:eastAsia="Times New Roman" w:cs="Arial"/>
          <w:color w:val="000000" w:themeColor="text1"/>
          <w:szCs w:val="20"/>
        </w:rPr>
        <w:fldChar w:fldCharType="separate"/>
      </w:r>
      <w:r w:rsidR="005D5678" w:rsidRPr="00217865">
        <w:rPr>
          <w:rFonts w:cs="Arial"/>
          <w:color w:val="000000" w:themeColor="text1"/>
        </w:rPr>
        <w:t xml:space="preserve">Production of </w:t>
      </w:r>
      <w:proofErr w:type="spellStart"/>
      <w:r w:rsidR="005D5678" w:rsidRPr="00217865">
        <w:rPr>
          <w:rFonts w:cs="Arial"/>
          <w:color w:val="000000" w:themeColor="text1"/>
        </w:rPr>
        <w:t>scores</w:t>
      </w:r>
      <w:r w:rsidRPr="00217865">
        <w:rPr>
          <w:rFonts w:eastAsia="Times New Roman" w:cs="Arial"/>
          <w:color w:val="000000" w:themeColor="text1"/>
          <w:szCs w:val="20"/>
        </w:rPr>
        <w:fldChar w:fldCharType="end"/>
      </w:r>
      <w:r w:rsidRPr="00217865">
        <w:rPr>
          <w:rFonts w:eastAsia="Times New Roman" w:cs="Arial"/>
          <w:color w:val="000000" w:themeColor="text1"/>
          <w:szCs w:val="20"/>
        </w:rPr>
        <w:t>were</w:t>
      </w:r>
      <w:proofErr w:type="spellEnd"/>
      <w:r w:rsidRPr="00217865">
        <w:rPr>
          <w:rFonts w:eastAsia="Times New Roman" w:cs="Arial"/>
          <w:color w:val="000000" w:themeColor="text1"/>
          <w:szCs w:val="20"/>
        </w:rPr>
        <w:t xml:space="preserve"> maintained for score production, however, several of the focus area revisions impacted scoring processes and, in turn, focus area scores. For example, the response frame for the Peer Engagement focus area items was changed from a four-point to a five-point scale, resulting in increased rescaled values for the response options ‘Sometimes’ and ‘Often’. As a result, these responses made a greater positive contribution to the focus area score than in prior years. In the Student Support and Services focus area, the reduction in the number of constituent items led to a change in the definition of a technical complete. Pre-2023, a student had to complete 6 of the 13 support items to be considered a complete, but in 2023, a student had to complete 5 out of 7 items to be considered a complete. This led to substantially more students not meeting the definition of a technical complete and being excluded from Student Support and Services focus area scoring in 2023. More information on the impact of the focus area updates on scoring will be available in a paper titled ‘2023 SES Focus Area Revision Impacts’ on the QILT provider portal.</w:t>
      </w:r>
    </w:p>
    <w:p w14:paraId="489CB585" w14:textId="77777777" w:rsidR="009F5875" w:rsidRPr="00217865" w:rsidRDefault="009F5875" w:rsidP="009F5875">
      <w:pPr>
        <w:spacing w:before="120" w:after="120" w:line="300" w:lineRule="auto"/>
        <w:rPr>
          <w:rFonts w:eastAsia="Times New Roman" w:cs="Arial"/>
          <w:color w:val="000000" w:themeColor="text1"/>
          <w:szCs w:val="20"/>
          <w:highlight w:val="yellow"/>
        </w:rPr>
        <w:sectPr w:rsidR="009F5875" w:rsidRPr="00217865" w:rsidSect="008D3DEC">
          <w:type w:val="continuous"/>
          <w:pgSz w:w="11900" w:h="16840"/>
          <w:pgMar w:top="1440" w:right="1080" w:bottom="1440" w:left="1080" w:header="227" w:footer="283" w:gutter="0"/>
          <w:cols w:space="708"/>
          <w:docGrid w:linePitch="360"/>
        </w:sectPr>
      </w:pPr>
      <w:r w:rsidRPr="00217865">
        <w:rPr>
          <w:rFonts w:eastAsia="Times New Roman" w:cs="Arial"/>
          <w:color w:val="000000" w:themeColor="text1"/>
          <w:szCs w:val="20"/>
          <w:highlight w:val="yellow"/>
        </w:rPr>
        <w:br w:type="page"/>
      </w:r>
    </w:p>
    <w:p w14:paraId="254EB904" w14:textId="236A32A3" w:rsidR="005A5905" w:rsidRPr="00217865" w:rsidRDefault="005A5905" w:rsidP="00535E2A">
      <w:pPr>
        <w:pStyle w:val="AppendixHeading"/>
        <w:numPr>
          <w:ilvl w:val="0"/>
          <w:numId w:val="44"/>
        </w:numPr>
        <w:rPr>
          <w:rFonts w:cs="Arial"/>
          <w:color w:val="000000" w:themeColor="text1"/>
        </w:rPr>
      </w:pPr>
      <w:bookmarkStart w:id="417" w:name="_Ref171899969"/>
      <w:bookmarkStart w:id="418" w:name="_Toc178599313"/>
      <w:r w:rsidRPr="00217865">
        <w:rPr>
          <w:rFonts w:cs="Arial"/>
          <w:color w:val="000000" w:themeColor="text1"/>
        </w:rPr>
        <w:lastRenderedPageBreak/>
        <w:t>Student Experience Questionnaire (SEQ)</w:t>
      </w:r>
      <w:bookmarkEnd w:id="125"/>
      <w:bookmarkEnd w:id="342"/>
      <w:bookmarkEnd w:id="353"/>
      <w:bookmarkEnd w:id="354"/>
      <w:bookmarkEnd w:id="417"/>
      <w:bookmarkEnd w:id="418"/>
    </w:p>
    <w:p w14:paraId="581C91AA" w14:textId="5EFFFCD8" w:rsidR="005A5905" w:rsidRPr="00217865" w:rsidRDefault="005A5905" w:rsidP="00E13525">
      <w:pPr>
        <w:pStyle w:val="Appendix2"/>
        <w:numPr>
          <w:ilvl w:val="0"/>
          <w:numId w:val="25"/>
        </w:numPr>
        <w:ind w:left="1134" w:hanging="1134"/>
      </w:pPr>
      <w:bookmarkStart w:id="419" w:name="_Toc59697762"/>
      <w:bookmarkStart w:id="420" w:name="_Toc59697965"/>
      <w:bookmarkStart w:id="421" w:name="_Toc66806719"/>
      <w:bookmarkStart w:id="422" w:name="_Toc88770416"/>
      <w:bookmarkStart w:id="423" w:name="_Toc89115988"/>
      <w:bookmarkStart w:id="424" w:name="_Toc89116091"/>
      <w:bookmarkStart w:id="425" w:name="_Toc89693135"/>
      <w:bookmarkStart w:id="426" w:name="_Toc90928630"/>
      <w:bookmarkStart w:id="427" w:name="_Toc90929946"/>
      <w:bookmarkStart w:id="428" w:name="_Toc90965113"/>
      <w:bookmarkStart w:id="429" w:name="_Toc96016752"/>
      <w:bookmarkStart w:id="430" w:name="_Toc106962029"/>
      <w:bookmarkStart w:id="431" w:name="_Toc125629179"/>
      <w:bookmarkStart w:id="432" w:name="_Toc125643397"/>
      <w:bookmarkStart w:id="433" w:name="_Toc126088454"/>
      <w:bookmarkStart w:id="434" w:name="_Toc126700350"/>
      <w:bookmarkStart w:id="435" w:name="_Toc126700400"/>
      <w:bookmarkStart w:id="436" w:name="_Toc126700449"/>
      <w:bookmarkStart w:id="437" w:name="_Toc134022656"/>
      <w:bookmarkStart w:id="438" w:name="_Toc155257888"/>
      <w:bookmarkStart w:id="439" w:name="_Toc156217716"/>
      <w:bookmarkStart w:id="440" w:name="_Toc59697763"/>
      <w:bookmarkStart w:id="441" w:name="_Toc59697966"/>
      <w:bookmarkStart w:id="442" w:name="_Toc66806720"/>
      <w:bookmarkStart w:id="443" w:name="_Toc88770417"/>
      <w:bookmarkStart w:id="444" w:name="_Toc89115989"/>
      <w:bookmarkStart w:id="445" w:name="_Toc89116092"/>
      <w:bookmarkStart w:id="446" w:name="_Toc89693136"/>
      <w:bookmarkStart w:id="447" w:name="_Toc90928631"/>
      <w:bookmarkStart w:id="448" w:name="_Toc90929947"/>
      <w:bookmarkStart w:id="449" w:name="_Toc90965114"/>
      <w:bookmarkStart w:id="450" w:name="_Toc96016753"/>
      <w:bookmarkStart w:id="451" w:name="_Toc106962030"/>
      <w:bookmarkStart w:id="452" w:name="_Toc125629180"/>
      <w:bookmarkStart w:id="453" w:name="_Toc125643398"/>
      <w:bookmarkStart w:id="454" w:name="_Toc126088455"/>
      <w:bookmarkStart w:id="455" w:name="_Toc126700351"/>
      <w:bookmarkStart w:id="456" w:name="_Toc126700401"/>
      <w:bookmarkStart w:id="457" w:name="_Toc126700450"/>
      <w:bookmarkStart w:id="458" w:name="_Toc134022657"/>
      <w:bookmarkStart w:id="459" w:name="_Toc155257889"/>
      <w:bookmarkStart w:id="460" w:name="_Toc156217717"/>
      <w:bookmarkStart w:id="461" w:name="_Toc167872816"/>
      <w:bookmarkStart w:id="462" w:name="_Toc178599314"/>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217865">
        <w:t>Core instrument</w:t>
      </w:r>
      <w:bookmarkEnd w:id="461"/>
      <w:bookmarkEnd w:id="462"/>
    </w:p>
    <w:p w14:paraId="5B0CFDF9" w14:textId="77777777" w:rsidR="005A5905" w:rsidRPr="00217865" w:rsidRDefault="005A5905" w:rsidP="005A5905">
      <w:pPr>
        <w:pStyle w:val="Body"/>
        <w:rPr>
          <w:rFonts w:cs="Arial"/>
          <w:color w:val="000000" w:themeColor="text1"/>
        </w:rPr>
      </w:pPr>
      <w:r w:rsidRPr="00217865">
        <w:rPr>
          <w:rFonts w:cs="Arial"/>
          <w:color w:val="000000" w:themeColor="text1"/>
        </w:rPr>
        <w:t>The construct model underpinning the SES, as a conceptualisation of the student experience, is based on five conceptual domains including Teaching Quality and Engagement (formerly Teaching Quality), Peer Engagement (formerly Learner Engagement), Student Support and Services (formerly Student Support), Learning Resources and Skills Development.</w:t>
      </w:r>
    </w:p>
    <w:p w14:paraId="1C7823C8" w14:textId="02A7705F" w:rsidR="005A5905" w:rsidRPr="00217865" w:rsidRDefault="005A5905" w:rsidP="005A5905">
      <w:pPr>
        <w:pStyle w:val="Body"/>
        <w:rPr>
          <w:rFonts w:cs="Arial"/>
          <w:color w:val="000000" w:themeColor="text1"/>
          <w:highlight w:val="yellow"/>
        </w:rPr>
      </w:pPr>
      <w:r w:rsidRPr="00217865">
        <w:rPr>
          <w:rFonts w:cs="Arial"/>
          <w:color w:val="000000" w:themeColor="text1"/>
        </w:rPr>
        <w:t xml:space="preserve">The instrument used to collect data for the SES, the Student Experience Questionnaire (SEQ), focuses on aspects of the higher education experience that are measurable, linked to learning and development outcomes, and potentially able to be influenced by institutions. These focus areas are operationalised by means of summated rating scales, underpinned by forty-six individual questionnaire items. These items are supplemented by two open-response items that allow students to provide textual feedback on the best aspects of their higher education experience and those most in need of improvement. The SES also contains two additional sets of items, demographic and contextual, to facilitate data analysis and reporting, as well as a set of items related to students’ perceptions of freedom of expression and an international student module. A full list of standard SEQ items is presented in </w:t>
      </w:r>
      <w:r w:rsidR="007838A4" w:rsidRPr="001E2723">
        <w:rPr>
          <w:rFonts w:cs="Arial"/>
          <w:b/>
          <w:bCs/>
          <w:color w:val="000000" w:themeColor="text1"/>
        </w:rPr>
        <w:fldChar w:fldCharType="begin"/>
      </w:r>
      <w:r w:rsidR="007838A4" w:rsidRPr="001E2723">
        <w:rPr>
          <w:rFonts w:cs="Arial"/>
          <w:b/>
          <w:bCs/>
          <w:color w:val="000000" w:themeColor="text1"/>
        </w:rPr>
        <w:instrText xml:space="preserve"> REF _Ref58428040 \h </w:instrText>
      </w:r>
      <w:r w:rsidR="00A6216F" w:rsidRPr="001E2723">
        <w:rPr>
          <w:rFonts w:cs="Arial"/>
          <w:b/>
          <w:bCs/>
          <w:color w:val="000000" w:themeColor="text1"/>
        </w:rPr>
        <w:instrText xml:space="preserve"> \* MERGEFORMAT </w:instrText>
      </w:r>
      <w:r w:rsidR="007838A4" w:rsidRPr="001E2723">
        <w:rPr>
          <w:rFonts w:cs="Arial"/>
          <w:b/>
          <w:bCs/>
          <w:color w:val="000000" w:themeColor="text1"/>
        </w:rPr>
      </w:r>
      <w:r w:rsidR="007838A4" w:rsidRPr="001E2723">
        <w:rPr>
          <w:rFonts w:cs="Arial"/>
          <w:b/>
          <w:bCs/>
          <w:color w:val="000000" w:themeColor="text1"/>
        </w:rPr>
        <w:fldChar w:fldCharType="separate"/>
      </w:r>
      <w:r w:rsidR="005D5678" w:rsidRPr="001E2723">
        <w:rPr>
          <w:rFonts w:cs="Arial"/>
          <w:b/>
          <w:bCs/>
          <w:color w:val="000000" w:themeColor="text1"/>
        </w:rPr>
        <w:t xml:space="preserve">Table </w:t>
      </w:r>
      <w:r w:rsidR="005D5678" w:rsidRPr="001E2723">
        <w:rPr>
          <w:rFonts w:cs="Arial"/>
          <w:b/>
          <w:bCs/>
          <w:noProof/>
          <w:color w:val="000000" w:themeColor="text1"/>
        </w:rPr>
        <w:t>27</w:t>
      </w:r>
      <w:r w:rsidR="007838A4" w:rsidRPr="001E2723">
        <w:rPr>
          <w:rFonts w:cs="Arial"/>
          <w:b/>
          <w:bCs/>
          <w:color w:val="000000" w:themeColor="text1"/>
        </w:rPr>
        <w:fldChar w:fldCharType="end"/>
      </w:r>
      <w:r w:rsidRPr="00217865">
        <w:rPr>
          <w:rFonts w:cs="Arial"/>
          <w:color w:val="000000" w:themeColor="text1"/>
        </w:rPr>
        <w:t xml:space="preserve"> to </w:t>
      </w:r>
      <w:r w:rsidR="007838A4" w:rsidRPr="001E2723">
        <w:rPr>
          <w:rFonts w:cs="Arial"/>
          <w:b/>
          <w:bCs/>
          <w:color w:val="000000" w:themeColor="text1"/>
        </w:rPr>
        <w:fldChar w:fldCharType="begin"/>
      </w:r>
      <w:r w:rsidR="007838A4" w:rsidRPr="001E2723">
        <w:rPr>
          <w:rFonts w:cs="Arial"/>
          <w:b/>
          <w:bCs/>
          <w:color w:val="000000" w:themeColor="text1"/>
        </w:rPr>
        <w:instrText xml:space="preserve"> REF _Ref58428061 \h </w:instrText>
      </w:r>
      <w:r w:rsidR="00A6216F" w:rsidRPr="001E2723">
        <w:rPr>
          <w:rFonts w:cs="Arial"/>
          <w:b/>
          <w:bCs/>
          <w:color w:val="000000" w:themeColor="text1"/>
        </w:rPr>
        <w:instrText xml:space="preserve"> \* MERGEFORMAT </w:instrText>
      </w:r>
      <w:r w:rsidR="007838A4" w:rsidRPr="001E2723">
        <w:rPr>
          <w:rFonts w:cs="Arial"/>
          <w:b/>
          <w:bCs/>
          <w:color w:val="000000" w:themeColor="text1"/>
        </w:rPr>
      </w:r>
      <w:r w:rsidR="007838A4" w:rsidRPr="001E2723">
        <w:rPr>
          <w:rFonts w:cs="Arial"/>
          <w:b/>
          <w:bCs/>
          <w:color w:val="000000" w:themeColor="text1"/>
        </w:rPr>
        <w:fldChar w:fldCharType="separate"/>
      </w:r>
      <w:r w:rsidR="007838A4" w:rsidRPr="001E2723">
        <w:rPr>
          <w:rFonts w:cs="Arial"/>
          <w:b/>
          <w:bCs/>
          <w:color w:val="000000" w:themeColor="text1"/>
        </w:rPr>
        <w:fldChar w:fldCharType="end"/>
      </w:r>
      <w:r w:rsidRPr="001E2723">
        <w:rPr>
          <w:rFonts w:cs="Arial"/>
          <w:b/>
          <w:bCs/>
          <w:color w:val="000000" w:themeColor="text1"/>
        </w:rPr>
        <w:fldChar w:fldCharType="begin"/>
      </w:r>
      <w:r w:rsidRPr="001E2723">
        <w:rPr>
          <w:rFonts w:cs="Arial"/>
          <w:b/>
          <w:bCs/>
          <w:color w:val="000000" w:themeColor="text1"/>
        </w:rPr>
        <w:instrText xml:space="preserve"> REF _Ref58428061 \h  \* MERGEFORMAT </w:instrText>
      </w:r>
      <w:r w:rsidRPr="001E2723">
        <w:rPr>
          <w:rFonts w:cs="Arial"/>
          <w:b/>
          <w:bCs/>
          <w:color w:val="000000" w:themeColor="text1"/>
        </w:rPr>
      </w:r>
      <w:r w:rsidRPr="001E2723">
        <w:rPr>
          <w:rFonts w:cs="Arial"/>
          <w:b/>
          <w:bCs/>
          <w:color w:val="000000" w:themeColor="text1"/>
        </w:rPr>
        <w:fldChar w:fldCharType="separate"/>
      </w:r>
      <w:r w:rsidR="005D5678" w:rsidRPr="001E2723">
        <w:rPr>
          <w:b/>
          <w:bCs/>
        </w:rPr>
        <w:t xml:space="preserve">Table </w:t>
      </w:r>
      <w:r w:rsidR="005D5678" w:rsidRPr="001E2723">
        <w:rPr>
          <w:b/>
          <w:bCs/>
          <w:noProof/>
        </w:rPr>
        <w:t>33</w:t>
      </w:r>
      <w:r w:rsidRPr="001E2723">
        <w:rPr>
          <w:rFonts w:cs="Arial"/>
          <w:b/>
          <w:bCs/>
          <w:color w:val="000000" w:themeColor="text1"/>
        </w:rPr>
        <w:fldChar w:fldCharType="end"/>
      </w:r>
      <w:r w:rsidRPr="00217865">
        <w:rPr>
          <w:rFonts w:cs="Arial"/>
          <w:color w:val="000000" w:themeColor="text1"/>
        </w:rPr>
        <w:t xml:space="preserve">. </w:t>
      </w:r>
    </w:p>
    <w:p w14:paraId="48017FD4" w14:textId="6D935B08" w:rsidR="005A5905" w:rsidRPr="00217865" w:rsidRDefault="005A5905" w:rsidP="0081215D">
      <w:pPr>
        <w:pStyle w:val="Tabletitle"/>
        <w:rPr>
          <w:i/>
          <w:highlight w:val="yellow"/>
        </w:rPr>
      </w:pPr>
      <w:bookmarkStart w:id="463" w:name="_Toc59697765"/>
      <w:bookmarkStart w:id="464" w:name="_Toc59697968"/>
      <w:bookmarkStart w:id="465" w:name="_Toc66806722"/>
      <w:bookmarkStart w:id="466" w:name="_Toc88770419"/>
      <w:bookmarkStart w:id="467" w:name="_Toc89115991"/>
      <w:bookmarkStart w:id="468" w:name="_Toc89116094"/>
      <w:bookmarkStart w:id="469" w:name="_Toc89693138"/>
      <w:bookmarkStart w:id="470" w:name="_Toc90928633"/>
      <w:bookmarkStart w:id="471" w:name="_Toc90929949"/>
      <w:bookmarkStart w:id="472" w:name="_Toc90965116"/>
      <w:bookmarkStart w:id="473" w:name="_Toc96016755"/>
      <w:bookmarkStart w:id="474" w:name="_Toc106962032"/>
      <w:bookmarkStart w:id="475" w:name="_Toc125629182"/>
      <w:bookmarkStart w:id="476" w:name="_Toc125643400"/>
      <w:bookmarkStart w:id="477" w:name="_Toc126088457"/>
      <w:bookmarkStart w:id="478" w:name="_Toc126700353"/>
      <w:bookmarkStart w:id="479" w:name="_Toc126700403"/>
      <w:bookmarkStart w:id="480" w:name="_Toc126700452"/>
      <w:bookmarkStart w:id="481" w:name="_Toc134022659"/>
      <w:bookmarkStart w:id="482" w:name="_Toc155257891"/>
      <w:bookmarkStart w:id="483" w:name="_Toc156217719"/>
      <w:bookmarkStart w:id="484" w:name="_Toc59697766"/>
      <w:bookmarkStart w:id="485" w:name="_Toc59697969"/>
      <w:bookmarkStart w:id="486" w:name="_Toc66806723"/>
      <w:bookmarkStart w:id="487" w:name="_Toc88770420"/>
      <w:bookmarkStart w:id="488" w:name="_Toc89115992"/>
      <w:bookmarkStart w:id="489" w:name="_Toc89116095"/>
      <w:bookmarkStart w:id="490" w:name="_Toc89693139"/>
      <w:bookmarkStart w:id="491" w:name="_Toc90928634"/>
      <w:bookmarkStart w:id="492" w:name="_Toc90929950"/>
      <w:bookmarkStart w:id="493" w:name="_Toc90965117"/>
      <w:bookmarkStart w:id="494" w:name="_Toc96016756"/>
      <w:bookmarkStart w:id="495" w:name="_Toc106962033"/>
      <w:bookmarkStart w:id="496" w:name="_Toc125629183"/>
      <w:bookmarkStart w:id="497" w:name="_Toc125643401"/>
      <w:bookmarkStart w:id="498" w:name="_Toc126088458"/>
      <w:bookmarkStart w:id="499" w:name="_Toc126700354"/>
      <w:bookmarkStart w:id="500" w:name="_Toc126700404"/>
      <w:bookmarkStart w:id="501" w:name="_Toc126700453"/>
      <w:bookmarkStart w:id="502" w:name="_Toc134022660"/>
      <w:bookmarkStart w:id="503" w:name="_Toc155257892"/>
      <w:bookmarkStart w:id="504" w:name="_Toc156217720"/>
      <w:bookmarkStart w:id="505" w:name="_Ref58428040"/>
      <w:bookmarkStart w:id="506" w:name="_Toc167872869"/>
      <w:bookmarkStart w:id="507" w:name="_Toc17859939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27</w:t>
      </w:r>
      <w:r w:rsidRPr="00217865">
        <w:rPr>
          <w:i/>
        </w:rPr>
        <w:fldChar w:fldCharType="end"/>
      </w:r>
      <w:bookmarkEnd w:id="505"/>
      <w:r w:rsidR="00CF00B5">
        <w:rPr>
          <w:iCs/>
        </w:rPr>
        <w:tab/>
      </w:r>
      <w:r w:rsidRPr="00217865">
        <w:t>2023 SEQ Item Summary: Skill Development items</w:t>
      </w:r>
      <w:bookmarkEnd w:id="506"/>
      <w:bookmarkEnd w:id="507"/>
    </w:p>
    <w:tbl>
      <w:tblPr>
        <w:tblStyle w:val="QILTTableStylePH"/>
        <w:tblW w:w="5000" w:type="pct"/>
        <w:tblLook w:val="0020" w:firstRow="1" w:lastRow="0" w:firstColumn="0" w:lastColumn="0" w:noHBand="0" w:noVBand="0"/>
      </w:tblPr>
      <w:tblGrid>
        <w:gridCol w:w="2853"/>
        <w:gridCol w:w="3376"/>
        <w:gridCol w:w="3501"/>
      </w:tblGrid>
      <w:tr w:rsidR="00217865" w:rsidRPr="00217865" w14:paraId="083B21C9" w14:textId="77777777" w:rsidTr="0071460C">
        <w:trPr>
          <w:trHeight w:val="60"/>
          <w:tblHeader/>
        </w:trPr>
        <w:tc>
          <w:tcPr>
            <w:tcW w:w="1466" w:type="pct"/>
          </w:tcPr>
          <w:p w14:paraId="7C91CF7D"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w:t>
            </w:r>
            <w:bookmarkStart w:id="508" w:name="Title_27"/>
            <w:bookmarkEnd w:id="508"/>
            <w:r w:rsidRPr="00217865">
              <w:rPr>
                <w:rFonts w:cs="Arial"/>
                <w:color w:val="000000" w:themeColor="text1"/>
              </w:rPr>
              <w:t>m</w:t>
            </w:r>
          </w:p>
        </w:tc>
        <w:tc>
          <w:tcPr>
            <w:tcW w:w="1735" w:type="pct"/>
          </w:tcPr>
          <w:p w14:paraId="00D1E8B3"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99" w:type="pct"/>
          </w:tcPr>
          <w:p w14:paraId="0FD8B8ED"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CF00B5" w:rsidRPr="00217865" w14:paraId="2675779D" w14:textId="77777777" w:rsidTr="0071460C">
        <w:trPr>
          <w:trHeight w:val="60"/>
        </w:trPr>
        <w:tc>
          <w:tcPr>
            <w:tcW w:w="1466" w:type="pct"/>
          </w:tcPr>
          <w:p w14:paraId="5F8BD826" w14:textId="77777777" w:rsidR="005A5905" w:rsidRPr="00217865" w:rsidRDefault="005A5905" w:rsidP="00E76A8D">
            <w:pPr>
              <w:pStyle w:val="Default"/>
              <w:spacing w:before="60" w:after="60"/>
              <w:rPr>
                <w:color w:val="000000" w:themeColor="text1"/>
                <w:sz w:val="18"/>
                <w:szCs w:val="18"/>
              </w:rPr>
            </w:pPr>
            <w:r w:rsidRPr="00217865">
              <w:rPr>
                <w:color w:val="000000" w:themeColor="text1"/>
                <w:sz w:val="18"/>
                <w:szCs w:val="18"/>
              </w:rPr>
              <w:t>To what extent has your &lt;course&gt; developed your…</w:t>
            </w:r>
          </w:p>
        </w:tc>
        <w:tc>
          <w:tcPr>
            <w:tcW w:w="1735" w:type="pct"/>
          </w:tcPr>
          <w:p w14:paraId="12F00DE0"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critical thinking skills? </w:t>
            </w:r>
          </w:p>
          <w:p w14:paraId="1E5100ED"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ability to solve complex problems? </w:t>
            </w:r>
          </w:p>
          <w:p w14:paraId="249D4091"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ability to work with others? </w:t>
            </w:r>
          </w:p>
          <w:p w14:paraId="3FC2C48E"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confidence to learn independently? </w:t>
            </w:r>
          </w:p>
          <w:p w14:paraId="2DFB592C"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written communication skills? </w:t>
            </w:r>
          </w:p>
          <w:p w14:paraId="1E98C1CE"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spoken communication skills? </w:t>
            </w:r>
          </w:p>
          <w:p w14:paraId="654FC6FD" w14:textId="77777777"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knowledge of the field(s) you are studying? </w:t>
            </w:r>
          </w:p>
          <w:p w14:paraId="4091B8DE" w14:textId="25184A0B" w:rsidR="005A5905" w:rsidRPr="00217865" w:rsidRDefault="005A5905" w:rsidP="00E76A8D">
            <w:pPr>
              <w:pStyle w:val="Default"/>
              <w:numPr>
                <w:ilvl w:val="0"/>
                <w:numId w:val="45"/>
              </w:numPr>
              <w:spacing w:before="60" w:after="60"/>
              <w:ind w:right="113"/>
              <w:rPr>
                <w:color w:val="000000" w:themeColor="text1"/>
                <w:sz w:val="18"/>
                <w:szCs w:val="18"/>
              </w:rPr>
            </w:pPr>
            <w:r w:rsidRPr="00217865">
              <w:rPr>
                <w:color w:val="000000" w:themeColor="text1"/>
                <w:sz w:val="18"/>
                <w:szCs w:val="18"/>
              </w:rPr>
              <w:t xml:space="preserve">development of work-related knowledge and skills? </w:t>
            </w:r>
            <w:r w:rsidRPr="00217865">
              <w:rPr>
                <w:color w:val="000000" w:themeColor="text1"/>
                <w:sz w:val="18"/>
                <w:szCs w:val="18"/>
              </w:rPr>
              <w:tab/>
              <w:t xml:space="preserve"> </w:t>
            </w:r>
          </w:p>
        </w:tc>
        <w:tc>
          <w:tcPr>
            <w:tcW w:w="1799" w:type="pct"/>
          </w:tcPr>
          <w:p w14:paraId="316DF823" w14:textId="77777777" w:rsidR="005A5905" w:rsidRPr="00217865" w:rsidRDefault="005A5905" w:rsidP="00E76A8D">
            <w:pPr>
              <w:pStyle w:val="Default"/>
              <w:spacing w:before="60" w:after="60"/>
              <w:ind w:right="113"/>
              <w:rPr>
                <w:color w:val="000000" w:themeColor="text1"/>
                <w:sz w:val="18"/>
                <w:szCs w:val="18"/>
              </w:rPr>
            </w:pPr>
            <w:r w:rsidRPr="00217865">
              <w:rPr>
                <w:color w:val="000000" w:themeColor="text1"/>
                <w:sz w:val="18"/>
                <w:szCs w:val="18"/>
              </w:rPr>
              <w:t xml:space="preserve">Not at all / Very little / Some / </w:t>
            </w:r>
            <w:proofErr w:type="gramStart"/>
            <w:r w:rsidRPr="00217865">
              <w:rPr>
                <w:color w:val="000000" w:themeColor="text1"/>
                <w:sz w:val="18"/>
                <w:szCs w:val="18"/>
              </w:rPr>
              <w:t>Quite</w:t>
            </w:r>
            <w:proofErr w:type="gramEnd"/>
            <w:r w:rsidRPr="00217865">
              <w:rPr>
                <w:color w:val="000000" w:themeColor="text1"/>
                <w:sz w:val="18"/>
                <w:szCs w:val="18"/>
              </w:rPr>
              <w:t xml:space="preserve"> a bit / Very much  </w:t>
            </w:r>
          </w:p>
          <w:p w14:paraId="62D5283C" w14:textId="77777777" w:rsidR="005A5905" w:rsidRPr="00217865" w:rsidRDefault="005A5905" w:rsidP="00E76A8D">
            <w:pPr>
              <w:pStyle w:val="Tabletext"/>
              <w:spacing w:before="60" w:after="60"/>
              <w:rPr>
                <w:rFonts w:cs="Arial"/>
                <w:color w:val="000000" w:themeColor="text1"/>
                <w:highlight w:val="yellow"/>
              </w:rPr>
            </w:pPr>
          </w:p>
        </w:tc>
      </w:tr>
    </w:tbl>
    <w:p w14:paraId="037A9882" w14:textId="77777777" w:rsidR="005A5905" w:rsidRPr="00217865" w:rsidRDefault="005A5905" w:rsidP="005A5905">
      <w:pPr>
        <w:pStyle w:val="Caption"/>
        <w:rPr>
          <w:b w:val="0"/>
          <w:i/>
          <w:iCs/>
          <w:color w:val="000000" w:themeColor="text1"/>
          <w:szCs w:val="20"/>
          <w:highlight w:val="yellow"/>
        </w:rPr>
      </w:pPr>
    </w:p>
    <w:p w14:paraId="113957DF" w14:textId="3E5879BF" w:rsidR="005A5905" w:rsidRPr="00217865" w:rsidRDefault="005A5905" w:rsidP="0081215D">
      <w:pPr>
        <w:pStyle w:val="Tabletitle"/>
        <w:rPr>
          <w:i/>
        </w:rPr>
      </w:pPr>
      <w:bookmarkStart w:id="509" w:name="_Toc167872870"/>
      <w:bookmarkStart w:id="510" w:name="_Toc178599393"/>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28</w:t>
      </w:r>
      <w:r w:rsidRPr="00217865">
        <w:rPr>
          <w:i/>
        </w:rPr>
        <w:fldChar w:fldCharType="end"/>
      </w:r>
      <w:r w:rsidR="00CF00B5">
        <w:rPr>
          <w:i/>
          <w:iCs/>
        </w:rPr>
        <w:tab/>
      </w:r>
      <w:r w:rsidRPr="00217865">
        <w:t>2023 SEQ Item Summary: Peer Engagement items</w:t>
      </w:r>
      <w:bookmarkEnd w:id="509"/>
      <w:bookmarkEnd w:id="510"/>
    </w:p>
    <w:tbl>
      <w:tblPr>
        <w:tblStyle w:val="QILTTableStylePH"/>
        <w:tblW w:w="5000" w:type="pct"/>
        <w:tblLook w:val="0020" w:firstRow="1" w:lastRow="0" w:firstColumn="0" w:lastColumn="0" w:noHBand="0" w:noVBand="0"/>
      </w:tblPr>
      <w:tblGrid>
        <w:gridCol w:w="2866"/>
        <w:gridCol w:w="3433"/>
        <w:gridCol w:w="3431"/>
      </w:tblGrid>
      <w:tr w:rsidR="00217865" w:rsidRPr="00217865" w14:paraId="389D0097" w14:textId="77777777" w:rsidTr="0071460C">
        <w:trPr>
          <w:trHeight w:val="60"/>
          <w:tblHeader/>
        </w:trPr>
        <w:tc>
          <w:tcPr>
            <w:tcW w:w="1473" w:type="pct"/>
          </w:tcPr>
          <w:p w14:paraId="5FECB2AB"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Stem</w:t>
            </w:r>
            <w:bookmarkStart w:id="511" w:name="Title_28"/>
            <w:bookmarkEnd w:id="511"/>
          </w:p>
        </w:tc>
        <w:tc>
          <w:tcPr>
            <w:tcW w:w="1764" w:type="pct"/>
          </w:tcPr>
          <w:p w14:paraId="168F2DDA"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0DDED4F9"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CF00B5" w:rsidRPr="00217865" w14:paraId="5EFEBAC7" w14:textId="77777777" w:rsidTr="0071460C">
        <w:trPr>
          <w:trHeight w:val="60"/>
        </w:trPr>
        <w:tc>
          <w:tcPr>
            <w:tcW w:w="1473" w:type="pct"/>
          </w:tcPr>
          <w:p w14:paraId="5D136837" w14:textId="77777777" w:rsidR="0041675A" w:rsidRPr="00217865" w:rsidRDefault="0041675A" w:rsidP="00E76A8D">
            <w:pPr>
              <w:pStyle w:val="Default"/>
              <w:spacing w:before="60" w:after="60"/>
              <w:rPr>
                <w:color w:val="000000" w:themeColor="text1"/>
                <w:sz w:val="18"/>
                <w:szCs w:val="18"/>
              </w:rPr>
            </w:pPr>
            <w:r w:rsidRPr="00217865">
              <w:rPr>
                <w:color w:val="000000" w:themeColor="text1"/>
                <w:sz w:val="18"/>
                <w:szCs w:val="18"/>
              </w:rPr>
              <w:t>Thinking about your &lt;course&gt; in &lt;SURVEYYEAR&gt;, how frequently have you…</w:t>
            </w:r>
          </w:p>
          <w:p w14:paraId="1757B13E" w14:textId="77777777" w:rsidR="005A5905" w:rsidRPr="00217865" w:rsidRDefault="005A5905" w:rsidP="00E76A8D">
            <w:pPr>
              <w:pStyle w:val="Tabletext"/>
              <w:spacing w:before="60" w:after="60"/>
              <w:rPr>
                <w:rFonts w:cs="Arial"/>
                <w:color w:val="000000" w:themeColor="text1"/>
                <w:highlight w:val="yellow"/>
              </w:rPr>
            </w:pPr>
          </w:p>
        </w:tc>
        <w:tc>
          <w:tcPr>
            <w:tcW w:w="1764" w:type="pct"/>
          </w:tcPr>
          <w:p w14:paraId="1A376779" w14:textId="77777777" w:rsidR="005A5905" w:rsidRPr="00217865" w:rsidRDefault="005A5905" w:rsidP="00E76A8D">
            <w:pPr>
              <w:pStyle w:val="Default"/>
              <w:numPr>
                <w:ilvl w:val="0"/>
                <w:numId w:val="46"/>
              </w:numPr>
              <w:spacing w:before="60" w:after="60"/>
              <w:ind w:right="113"/>
              <w:rPr>
                <w:color w:val="000000" w:themeColor="text1"/>
                <w:sz w:val="18"/>
                <w:szCs w:val="18"/>
              </w:rPr>
            </w:pPr>
            <w:r w:rsidRPr="00217865">
              <w:rPr>
                <w:color w:val="000000" w:themeColor="text1"/>
                <w:sz w:val="18"/>
                <w:szCs w:val="18"/>
              </w:rPr>
              <w:t>Contributed to class discussion? (e.g. in-person discussions, online chat forums, discussion boards)</w:t>
            </w:r>
          </w:p>
          <w:p w14:paraId="5A895F87" w14:textId="77777777" w:rsidR="005A5905" w:rsidRPr="00217865" w:rsidRDefault="005A5905" w:rsidP="00E76A8D">
            <w:pPr>
              <w:pStyle w:val="Default"/>
              <w:numPr>
                <w:ilvl w:val="0"/>
                <w:numId w:val="46"/>
              </w:numPr>
              <w:spacing w:before="60" w:after="60"/>
              <w:ind w:right="113"/>
              <w:rPr>
                <w:color w:val="000000" w:themeColor="text1"/>
                <w:sz w:val="18"/>
                <w:szCs w:val="18"/>
              </w:rPr>
            </w:pPr>
            <w:r w:rsidRPr="00217865">
              <w:rPr>
                <w:color w:val="000000" w:themeColor="text1"/>
                <w:sz w:val="18"/>
                <w:szCs w:val="18"/>
              </w:rPr>
              <w:t>Worked with other students as part of your &lt;COURSE&gt;? (e.g. group assignments, in-class collaboration)</w:t>
            </w:r>
          </w:p>
          <w:p w14:paraId="63229E53" w14:textId="77777777" w:rsidR="005A5905" w:rsidRPr="00217865" w:rsidRDefault="005A5905" w:rsidP="00E76A8D">
            <w:pPr>
              <w:pStyle w:val="Default"/>
              <w:numPr>
                <w:ilvl w:val="0"/>
                <w:numId w:val="46"/>
              </w:numPr>
              <w:spacing w:before="60" w:after="60"/>
              <w:ind w:right="113"/>
              <w:rPr>
                <w:color w:val="000000" w:themeColor="text1"/>
                <w:sz w:val="18"/>
                <w:szCs w:val="18"/>
              </w:rPr>
            </w:pPr>
            <w:r w:rsidRPr="00217865">
              <w:rPr>
                <w:color w:val="000000" w:themeColor="text1"/>
                <w:sz w:val="18"/>
                <w:szCs w:val="18"/>
              </w:rPr>
              <w:t>Interacted with other students to give or receive help with your study? (e.g. study groups, informal conversations about your study)</w:t>
            </w:r>
          </w:p>
          <w:p w14:paraId="4220BFA7" w14:textId="77777777" w:rsidR="005A5905" w:rsidRPr="00217865" w:rsidRDefault="005A5905" w:rsidP="00E76A8D">
            <w:pPr>
              <w:pStyle w:val="Default"/>
              <w:numPr>
                <w:ilvl w:val="0"/>
                <w:numId w:val="46"/>
              </w:numPr>
              <w:spacing w:before="60" w:after="60"/>
              <w:ind w:right="113"/>
              <w:rPr>
                <w:color w:val="000000" w:themeColor="text1"/>
                <w:sz w:val="18"/>
                <w:szCs w:val="18"/>
              </w:rPr>
            </w:pPr>
            <w:r w:rsidRPr="00217865">
              <w:rPr>
                <w:color w:val="000000" w:themeColor="text1"/>
                <w:sz w:val="18"/>
                <w:szCs w:val="18"/>
              </w:rPr>
              <w:t>Interacted socially with other students outside of your study?</w:t>
            </w:r>
          </w:p>
          <w:p w14:paraId="7D6539EA" w14:textId="77777777" w:rsidR="005A5905" w:rsidRPr="00217865" w:rsidRDefault="005A5905" w:rsidP="00E76A8D">
            <w:pPr>
              <w:pStyle w:val="Default"/>
              <w:numPr>
                <w:ilvl w:val="0"/>
                <w:numId w:val="46"/>
              </w:numPr>
              <w:spacing w:before="60" w:after="60"/>
              <w:ind w:right="113"/>
              <w:rPr>
                <w:color w:val="000000" w:themeColor="text1"/>
              </w:rPr>
            </w:pPr>
            <w:r w:rsidRPr="00217865">
              <w:rPr>
                <w:rFonts w:eastAsia="MS Mincho"/>
                <w:color w:val="000000" w:themeColor="text1"/>
                <w:sz w:val="18"/>
                <w:szCs w:val="18"/>
              </w:rPr>
              <w:lastRenderedPageBreak/>
              <w:t>Interacted with a diverse range of students?</w:t>
            </w:r>
          </w:p>
        </w:tc>
        <w:tc>
          <w:tcPr>
            <w:tcW w:w="1763" w:type="pct"/>
          </w:tcPr>
          <w:p w14:paraId="098218D1" w14:textId="3E5BCCF2" w:rsidR="005A5905" w:rsidRPr="00217865" w:rsidRDefault="00F70A05" w:rsidP="00E76A8D">
            <w:pPr>
              <w:pStyle w:val="Tabletext"/>
              <w:spacing w:before="60" w:after="60"/>
              <w:rPr>
                <w:rFonts w:cs="Arial"/>
                <w:color w:val="000000" w:themeColor="text1"/>
                <w:highlight w:val="yellow"/>
              </w:rPr>
            </w:pPr>
            <w:r w:rsidRPr="00217865">
              <w:rPr>
                <w:rFonts w:cs="Arial"/>
                <w:color w:val="000000" w:themeColor="text1"/>
              </w:rPr>
              <w:lastRenderedPageBreak/>
              <w:t xml:space="preserve">Never / Rarely / Sometimes / Often / </w:t>
            </w:r>
            <w:r w:rsidR="005A5905" w:rsidRPr="00217865">
              <w:rPr>
                <w:rFonts w:cs="Arial"/>
                <w:color w:val="000000" w:themeColor="text1"/>
                <w:lang w:val="en-AU"/>
              </w:rPr>
              <w:t>Always</w:t>
            </w:r>
          </w:p>
        </w:tc>
      </w:tr>
    </w:tbl>
    <w:p w14:paraId="4C335802" w14:textId="77777777" w:rsidR="005A5905" w:rsidRPr="00217865" w:rsidRDefault="005A5905" w:rsidP="005A5905">
      <w:pPr>
        <w:pStyle w:val="Caption"/>
        <w:rPr>
          <w:b w:val="0"/>
          <w:i/>
          <w:iCs/>
          <w:color w:val="000000" w:themeColor="text1"/>
          <w:szCs w:val="20"/>
          <w:highlight w:val="yellow"/>
        </w:rPr>
      </w:pPr>
    </w:p>
    <w:p w14:paraId="68C42981" w14:textId="03E8D31B" w:rsidR="005A5905" w:rsidRPr="00217865" w:rsidRDefault="005A5905" w:rsidP="0081215D">
      <w:pPr>
        <w:pStyle w:val="Tabletitle"/>
        <w:rPr>
          <w:i/>
        </w:rPr>
      </w:pPr>
      <w:bookmarkStart w:id="512" w:name="_Toc167872871"/>
      <w:bookmarkStart w:id="513" w:name="_Toc178599394"/>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29</w:t>
      </w:r>
      <w:r w:rsidRPr="00217865">
        <w:rPr>
          <w:i/>
        </w:rPr>
        <w:fldChar w:fldCharType="end"/>
      </w:r>
      <w:r w:rsidR="00CF00B5">
        <w:tab/>
      </w:r>
      <w:r w:rsidRPr="00217865">
        <w:t>2023 SEQ Item Summary: Teaching Quality and Engagement items</w:t>
      </w:r>
      <w:bookmarkEnd w:id="512"/>
      <w:bookmarkEnd w:id="513"/>
    </w:p>
    <w:tbl>
      <w:tblPr>
        <w:tblStyle w:val="QILTTableStylePH"/>
        <w:tblW w:w="5000" w:type="pct"/>
        <w:tblLook w:val="0020" w:firstRow="1" w:lastRow="0" w:firstColumn="0" w:lastColumn="0" w:noHBand="0" w:noVBand="0"/>
      </w:tblPr>
      <w:tblGrid>
        <w:gridCol w:w="2866"/>
        <w:gridCol w:w="3433"/>
        <w:gridCol w:w="3431"/>
      </w:tblGrid>
      <w:tr w:rsidR="00217865" w:rsidRPr="00217865" w14:paraId="0B186DF4" w14:textId="77777777" w:rsidTr="0071460C">
        <w:trPr>
          <w:trHeight w:val="60"/>
          <w:tblHeader/>
        </w:trPr>
        <w:tc>
          <w:tcPr>
            <w:tcW w:w="1473" w:type="pct"/>
          </w:tcPr>
          <w:p w14:paraId="48791F77"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w:t>
            </w:r>
            <w:bookmarkStart w:id="514" w:name="Title_29"/>
            <w:bookmarkEnd w:id="514"/>
            <w:r w:rsidRPr="00217865">
              <w:rPr>
                <w:rFonts w:cs="Arial"/>
                <w:color w:val="000000" w:themeColor="text1"/>
              </w:rPr>
              <w:t>em</w:t>
            </w:r>
          </w:p>
        </w:tc>
        <w:tc>
          <w:tcPr>
            <w:tcW w:w="1764" w:type="pct"/>
          </w:tcPr>
          <w:p w14:paraId="69B8FDC2"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78EBDA08"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217865" w:rsidRPr="00217865" w14:paraId="62DCB44D" w14:textId="77777777" w:rsidTr="0071460C">
        <w:trPr>
          <w:trHeight w:val="60"/>
        </w:trPr>
        <w:tc>
          <w:tcPr>
            <w:tcW w:w="1473" w:type="pct"/>
          </w:tcPr>
          <w:p w14:paraId="433EE5A9"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Thinking about your &lt;course&gt;,</w:t>
            </w:r>
          </w:p>
        </w:tc>
        <w:tc>
          <w:tcPr>
            <w:tcW w:w="1764" w:type="pct"/>
          </w:tcPr>
          <w:p w14:paraId="5EFD4AD3" w14:textId="77777777" w:rsidR="005A5905" w:rsidRPr="00217865" w:rsidRDefault="005A5905" w:rsidP="00E76A8D">
            <w:pPr>
              <w:pStyle w:val="Tabletext"/>
              <w:numPr>
                <w:ilvl w:val="0"/>
                <w:numId w:val="9"/>
              </w:numPr>
              <w:tabs>
                <w:tab w:val="left" w:pos="170"/>
              </w:tabs>
              <w:spacing w:before="60" w:after="60" w:line="190" w:lineRule="exact"/>
              <w:rPr>
                <w:rFonts w:cs="Arial"/>
                <w:color w:val="000000" w:themeColor="text1"/>
              </w:rPr>
            </w:pPr>
            <w:proofErr w:type="gramStart"/>
            <w:r w:rsidRPr="00217865">
              <w:rPr>
                <w:rFonts w:cs="Arial"/>
                <w:color w:val="000000" w:themeColor="text1"/>
              </w:rPr>
              <w:t>overall</w:t>
            </w:r>
            <w:proofErr w:type="gramEnd"/>
            <w:r w:rsidRPr="00217865">
              <w:rPr>
                <w:rFonts w:cs="Arial"/>
                <w:color w:val="000000" w:themeColor="text1"/>
              </w:rPr>
              <w:t xml:space="preserve"> how would you rate the quality of your entire educational experience this year?</w:t>
            </w:r>
          </w:p>
        </w:tc>
        <w:tc>
          <w:tcPr>
            <w:tcW w:w="1763" w:type="pct"/>
          </w:tcPr>
          <w:p w14:paraId="362C76F7"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Poor / Fair / Good / Excellent</w:t>
            </w:r>
          </w:p>
        </w:tc>
      </w:tr>
      <w:tr w:rsidR="00217865" w:rsidRPr="00217865" w14:paraId="0E4F942E" w14:textId="77777777" w:rsidTr="0071460C">
        <w:trPr>
          <w:trHeight w:val="60"/>
        </w:trPr>
        <w:tc>
          <w:tcPr>
            <w:tcW w:w="1473" w:type="pct"/>
          </w:tcPr>
          <w:p w14:paraId="47FDCE41"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 xml:space="preserve">Thinking of this year, </w:t>
            </w:r>
            <w:proofErr w:type="gramStart"/>
            <w:r w:rsidRPr="00217865">
              <w:rPr>
                <w:rFonts w:cs="Arial"/>
                <w:color w:val="000000" w:themeColor="text1"/>
              </w:rPr>
              <w:t>overall</w:t>
            </w:r>
            <w:proofErr w:type="gramEnd"/>
            <w:r w:rsidRPr="00217865">
              <w:rPr>
                <w:rFonts w:cs="Arial"/>
                <w:color w:val="000000" w:themeColor="text1"/>
              </w:rPr>
              <w:t xml:space="preserve"> at &lt;institution&gt;,</w:t>
            </w:r>
          </w:p>
        </w:tc>
        <w:tc>
          <w:tcPr>
            <w:tcW w:w="1764" w:type="pct"/>
          </w:tcPr>
          <w:p w14:paraId="6EDE7D1C" w14:textId="77777777" w:rsidR="005A5905" w:rsidRPr="00217865" w:rsidRDefault="005A5905" w:rsidP="00E76A8D">
            <w:pPr>
              <w:pStyle w:val="Tabletext"/>
              <w:numPr>
                <w:ilvl w:val="0"/>
                <w:numId w:val="10"/>
              </w:numPr>
              <w:tabs>
                <w:tab w:val="left" w:pos="170"/>
              </w:tabs>
              <w:spacing w:before="60" w:after="60" w:line="190" w:lineRule="exact"/>
              <w:rPr>
                <w:rFonts w:cs="Arial"/>
                <w:color w:val="000000" w:themeColor="text1"/>
              </w:rPr>
            </w:pPr>
            <w:r w:rsidRPr="00217865">
              <w:rPr>
                <w:rFonts w:cs="Arial"/>
                <w:color w:val="000000" w:themeColor="text1"/>
              </w:rPr>
              <w:t>how would you rate the quality of the teaching you have experienced in your &lt;course&gt;?</w:t>
            </w:r>
          </w:p>
        </w:tc>
        <w:tc>
          <w:tcPr>
            <w:tcW w:w="1763" w:type="pct"/>
          </w:tcPr>
          <w:p w14:paraId="687291C8"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Poor / Fair / Good / Excellent</w:t>
            </w:r>
          </w:p>
        </w:tc>
      </w:tr>
      <w:tr w:rsidR="00217865" w:rsidRPr="00217865" w14:paraId="745468E5" w14:textId="77777777" w:rsidTr="0071460C">
        <w:trPr>
          <w:trHeight w:val="60"/>
        </w:trPr>
        <w:tc>
          <w:tcPr>
            <w:tcW w:w="1473" w:type="pct"/>
          </w:tcPr>
          <w:p w14:paraId="1DF4591E"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During SURVEYYEAR, to what extent have the lecturers, tutors and demonstrators in your &lt;course&gt;:</w:t>
            </w:r>
          </w:p>
        </w:tc>
        <w:tc>
          <w:tcPr>
            <w:tcW w:w="1764" w:type="pct"/>
          </w:tcPr>
          <w:p w14:paraId="420B9469"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engaged you actively in learning?</w:t>
            </w:r>
          </w:p>
          <w:p w14:paraId="5149690B"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demonstrated concern for student learning?</w:t>
            </w:r>
          </w:p>
          <w:p w14:paraId="084FB03A"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provided clear explanations on coursework and assessment?</w:t>
            </w:r>
          </w:p>
          <w:p w14:paraId="742863C1"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stimulated you intellectually?</w:t>
            </w:r>
          </w:p>
          <w:p w14:paraId="4C87D647"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commented on your work in ways that help you learn?</w:t>
            </w:r>
          </w:p>
          <w:p w14:paraId="123442AE"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seemed helpful and approachable?</w:t>
            </w:r>
          </w:p>
          <w:p w14:paraId="79EEBB5D" w14:textId="77777777" w:rsidR="005A5905" w:rsidRPr="00217865" w:rsidRDefault="005A5905" w:rsidP="00E76A8D">
            <w:pPr>
              <w:pStyle w:val="Tabletext"/>
              <w:numPr>
                <w:ilvl w:val="0"/>
                <w:numId w:val="11"/>
              </w:numPr>
              <w:tabs>
                <w:tab w:val="left" w:pos="170"/>
              </w:tabs>
              <w:spacing w:before="60" w:after="60" w:line="190" w:lineRule="exact"/>
              <w:rPr>
                <w:rFonts w:cs="Arial"/>
                <w:color w:val="000000" w:themeColor="text1"/>
              </w:rPr>
            </w:pPr>
            <w:r w:rsidRPr="00217865">
              <w:rPr>
                <w:rFonts w:cs="Arial"/>
                <w:color w:val="000000" w:themeColor="text1"/>
              </w:rPr>
              <w:t>set assessment tasks that challenge you to learn?</w:t>
            </w:r>
          </w:p>
        </w:tc>
        <w:tc>
          <w:tcPr>
            <w:tcW w:w="1763" w:type="pct"/>
          </w:tcPr>
          <w:p w14:paraId="5696DACA"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 xml:space="preserve">Not at all / Very little / Some / </w:t>
            </w:r>
            <w:proofErr w:type="gramStart"/>
            <w:r w:rsidRPr="00217865">
              <w:rPr>
                <w:rFonts w:cs="Arial"/>
                <w:color w:val="000000" w:themeColor="text1"/>
              </w:rPr>
              <w:t>Quite</w:t>
            </w:r>
            <w:proofErr w:type="gramEnd"/>
            <w:r w:rsidRPr="00217865">
              <w:rPr>
                <w:rFonts w:cs="Arial"/>
                <w:color w:val="000000" w:themeColor="text1"/>
              </w:rPr>
              <w:t xml:space="preserve"> a bit / Very much</w:t>
            </w:r>
          </w:p>
        </w:tc>
      </w:tr>
      <w:tr w:rsidR="00CF00B5" w:rsidRPr="00217865" w14:paraId="0DA2399E" w14:textId="77777777" w:rsidTr="0071460C">
        <w:trPr>
          <w:trHeight w:val="60"/>
        </w:trPr>
        <w:tc>
          <w:tcPr>
            <w:tcW w:w="1473" w:type="pct"/>
          </w:tcPr>
          <w:p w14:paraId="65492083"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In SURVEYYEAR, to what extent has [your study/your &lt;course&gt;] been delivered in a way that is…</w:t>
            </w:r>
          </w:p>
        </w:tc>
        <w:tc>
          <w:tcPr>
            <w:tcW w:w="1764" w:type="pct"/>
          </w:tcPr>
          <w:p w14:paraId="41711D3A" w14:textId="77777777" w:rsidR="005A5905" w:rsidRPr="00217865" w:rsidRDefault="005A5905" w:rsidP="00E76A8D">
            <w:pPr>
              <w:pStyle w:val="Tabletext"/>
              <w:numPr>
                <w:ilvl w:val="0"/>
                <w:numId w:val="12"/>
              </w:numPr>
              <w:tabs>
                <w:tab w:val="left" w:pos="170"/>
              </w:tabs>
              <w:spacing w:before="60" w:after="60" w:line="190" w:lineRule="exact"/>
              <w:rPr>
                <w:rFonts w:cs="Arial"/>
                <w:color w:val="000000" w:themeColor="text1"/>
              </w:rPr>
            </w:pPr>
            <w:proofErr w:type="spellStart"/>
            <w:r w:rsidRPr="00217865">
              <w:rPr>
                <w:rFonts w:cs="Arial"/>
                <w:color w:val="000000" w:themeColor="text1"/>
              </w:rPr>
              <w:t>well structured</w:t>
            </w:r>
            <w:proofErr w:type="spellEnd"/>
            <w:r w:rsidRPr="00217865">
              <w:rPr>
                <w:rFonts w:cs="Arial"/>
                <w:color w:val="000000" w:themeColor="text1"/>
              </w:rPr>
              <w:t xml:space="preserve"> and focused?</w:t>
            </w:r>
          </w:p>
          <w:p w14:paraId="2B7B1988" w14:textId="77777777" w:rsidR="005A5905" w:rsidRPr="00217865" w:rsidRDefault="005A5905" w:rsidP="00E76A8D">
            <w:pPr>
              <w:pStyle w:val="Tabletext"/>
              <w:numPr>
                <w:ilvl w:val="0"/>
                <w:numId w:val="12"/>
              </w:numPr>
              <w:tabs>
                <w:tab w:val="left" w:pos="170"/>
              </w:tabs>
              <w:spacing w:before="60" w:after="60" w:line="190" w:lineRule="exact"/>
              <w:rPr>
                <w:rFonts w:cs="Arial"/>
                <w:color w:val="000000" w:themeColor="text1"/>
              </w:rPr>
            </w:pPr>
            <w:r w:rsidRPr="00217865">
              <w:rPr>
                <w:rFonts w:cs="Arial"/>
                <w:color w:val="000000" w:themeColor="text1"/>
              </w:rPr>
              <w:t>relevant to your education as a whole?</w:t>
            </w:r>
          </w:p>
        </w:tc>
        <w:tc>
          <w:tcPr>
            <w:tcW w:w="1763" w:type="pct"/>
          </w:tcPr>
          <w:p w14:paraId="2C8F399E"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 xml:space="preserve">Not at all / Very little / Some / </w:t>
            </w:r>
            <w:proofErr w:type="gramStart"/>
            <w:r w:rsidRPr="00217865">
              <w:rPr>
                <w:rFonts w:cs="Arial"/>
                <w:color w:val="000000" w:themeColor="text1"/>
              </w:rPr>
              <w:t>Quite</w:t>
            </w:r>
            <w:proofErr w:type="gramEnd"/>
            <w:r w:rsidRPr="00217865">
              <w:rPr>
                <w:rFonts w:cs="Arial"/>
                <w:color w:val="000000" w:themeColor="text1"/>
              </w:rPr>
              <w:t xml:space="preserve"> a bit / Very much</w:t>
            </w:r>
          </w:p>
        </w:tc>
      </w:tr>
    </w:tbl>
    <w:p w14:paraId="2389265C" w14:textId="77777777" w:rsidR="005A5905" w:rsidRPr="00217865" w:rsidRDefault="005A5905" w:rsidP="005A5905">
      <w:pPr>
        <w:pStyle w:val="Caption"/>
        <w:rPr>
          <w:b w:val="0"/>
          <w:i/>
          <w:iCs/>
          <w:color w:val="000000" w:themeColor="text1"/>
          <w:szCs w:val="20"/>
          <w:highlight w:val="yellow"/>
        </w:rPr>
      </w:pPr>
    </w:p>
    <w:p w14:paraId="5F916798" w14:textId="76EEBE28" w:rsidR="005A5905" w:rsidRPr="00217865" w:rsidRDefault="005A5905" w:rsidP="0081215D">
      <w:pPr>
        <w:pStyle w:val="Tabletitle"/>
        <w:rPr>
          <w:i/>
        </w:rPr>
      </w:pPr>
      <w:bookmarkStart w:id="515" w:name="_Toc167872872"/>
      <w:bookmarkStart w:id="516" w:name="_Toc178599395"/>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30</w:t>
      </w:r>
      <w:r w:rsidRPr="00217865">
        <w:rPr>
          <w:i/>
        </w:rPr>
        <w:fldChar w:fldCharType="end"/>
      </w:r>
      <w:r w:rsidR="00CF00B5">
        <w:tab/>
      </w:r>
      <w:r w:rsidRPr="00217865">
        <w:t>2023 SEQ Item Summary: Student Support and Services items</w:t>
      </w:r>
      <w:bookmarkEnd w:id="515"/>
      <w:bookmarkEnd w:id="516"/>
    </w:p>
    <w:tbl>
      <w:tblPr>
        <w:tblStyle w:val="QILTTableStylePH"/>
        <w:tblW w:w="5000" w:type="pct"/>
        <w:tblLook w:val="0020" w:firstRow="1" w:lastRow="0" w:firstColumn="0" w:lastColumn="0" w:noHBand="0" w:noVBand="0"/>
      </w:tblPr>
      <w:tblGrid>
        <w:gridCol w:w="2866"/>
        <w:gridCol w:w="3433"/>
        <w:gridCol w:w="3431"/>
      </w:tblGrid>
      <w:tr w:rsidR="00217865" w:rsidRPr="00217865" w14:paraId="657734DF" w14:textId="77777777" w:rsidTr="0071460C">
        <w:trPr>
          <w:trHeight w:val="60"/>
          <w:tblHeader/>
        </w:trPr>
        <w:tc>
          <w:tcPr>
            <w:tcW w:w="1473" w:type="pct"/>
          </w:tcPr>
          <w:p w14:paraId="684019B1"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w:t>
            </w:r>
            <w:bookmarkStart w:id="517" w:name="Title_30"/>
            <w:bookmarkEnd w:id="517"/>
            <w:r w:rsidRPr="00217865">
              <w:rPr>
                <w:rFonts w:cs="Arial"/>
                <w:color w:val="000000" w:themeColor="text1"/>
              </w:rPr>
              <w:t>m</w:t>
            </w:r>
          </w:p>
        </w:tc>
        <w:tc>
          <w:tcPr>
            <w:tcW w:w="1764" w:type="pct"/>
          </w:tcPr>
          <w:p w14:paraId="7E269595"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29455FC1"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CF00B5" w:rsidRPr="00217865" w14:paraId="7C39A618" w14:textId="77777777" w:rsidTr="0071460C">
        <w:trPr>
          <w:trHeight w:val="60"/>
        </w:trPr>
        <w:tc>
          <w:tcPr>
            <w:tcW w:w="1473" w:type="pct"/>
          </w:tcPr>
          <w:p w14:paraId="29342CF9" w14:textId="25FEE451" w:rsidR="005A5905" w:rsidRPr="00217865" w:rsidRDefault="005A5905" w:rsidP="00E76A8D">
            <w:pPr>
              <w:pStyle w:val="Default"/>
              <w:spacing w:before="60" w:after="60"/>
              <w:rPr>
                <w:color w:val="000000" w:themeColor="text1"/>
              </w:rPr>
            </w:pPr>
            <w:r w:rsidRPr="00217865">
              <w:rPr>
                <w:color w:val="000000" w:themeColor="text1"/>
                <w:sz w:val="18"/>
                <w:szCs w:val="18"/>
              </w:rPr>
              <w:t>How helpful have you found the following supports and services provided by your institution during 2023?</w:t>
            </w:r>
          </w:p>
        </w:tc>
        <w:tc>
          <w:tcPr>
            <w:tcW w:w="1764" w:type="pct"/>
          </w:tcPr>
          <w:p w14:paraId="1971F09A"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enrolment processes and support</w:t>
            </w:r>
          </w:p>
          <w:p w14:paraId="4327FE3D"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 xml:space="preserve">induction/orientation activities </w:t>
            </w:r>
          </w:p>
          <w:p w14:paraId="70515023"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online learning platform (i.e. Learning Management System)</w:t>
            </w:r>
          </w:p>
          <w:p w14:paraId="7A7C30B8"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 xml:space="preserve">career development services (including employability skill development, careers advice and planning) </w:t>
            </w:r>
          </w:p>
          <w:p w14:paraId="0965F32A"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 xml:space="preserve">study or learning support services </w:t>
            </w:r>
          </w:p>
          <w:p w14:paraId="272E5086" w14:textId="77777777" w:rsidR="007A3647" w:rsidRPr="00217865" w:rsidRDefault="007A3647" w:rsidP="00E76A8D">
            <w:pPr>
              <w:pStyle w:val="Default"/>
              <w:numPr>
                <w:ilvl w:val="0"/>
                <w:numId w:val="19"/>
              </w:numPr>
              <w:spacing w:before="60" w:after="60"/>
              <w:ind w:left="360" w:right="113"/>
              <w:rPr>
                <w:color w:val="000000" w:themeColor="text1"/>
                <w:sz w:val="18"/>
                <w:szCs w:val="18"/>
              </w:rPr>
            </w:pPr>
            <w:r w:rsidRPr="00217865">
              <w:rPr>
                <w:color w:val="000000" w:themeColor="text1"/>
                <w:sz w:val="18"/>
                <w:szCs w:val="18"/>
              </w:rPr>
              <w:t xml:space="preserve">counsellors and/or health services </w:t>
            </w:r>
          </w:p>
          <w:p w14:paraId="27BDC7FE" w14:textId="2A9DF459" w:rsidR="005A5905" w:rsidRPr="00217865" w:rsidRDefault="007A3647" w:rsidP="00E76A8D">
            <w:pPr>
              <w:pStyle w:val="Tabletext"/>
              <w:numPr>
                <w:ilvl w:val="0"/>
                <w:numId w:val="19"/>
              </w:numPr>
              <w:tabs>
                <w:tab w:val="left" w:pos="170"/>
              </w:tabs>
              <w:spacing w:before="60" w:after="60" w:line="190" w:lineRule="exact"/>
              <w:rPr>
                <w:rFonts w:cs="Arial"/>
                <w:color w:val="000000" w:themeColor="text1"/>
              </w:rPr>
            </w:pPr>
            <w:r w:rsidRPr="00217865">
              <w:rPr>
                <w:rFonts w:cs="Arial"/>
                <w:color w:val="000000" w:themeColor="text1"/>
              </w:rPr>
              <w:t xml:space="preserve">financial and/or legal </w:t>
            </w:r>
            <w:r w:rsidR="005A5905" w:rsidRPr="00217865">
              <w:rPr>
                <w:rFonts w:cs="Arial"/>
                <w:color w:val="000000" w:themeColor="text1"/>
              </w:rPr>
              <w:t>advisors</w:t>
            </w:r>
          </w:p>
        </w:tc>
        <w:tc>
          <w:tcPr>
            <w:tcW w:w="1763" w:type="pct"/>
          </w:tcPr>
          <w:p w14:paraId="2A78ED70" w14:textId="7FE3A228" w:rsidR="005A5905" w:rsidRPr="00217865" w:rsidRDefault="007A3647" w:rsidP="00E76A8D">
            <w:pPr>
              <w:pStyle w:val="Tabletext"/>
              <w:spacing w:before="60" w:after="60"/>
              <w:rPr>
                <w:rFonts w:cs="Arial"/>
                <w:color w:val="000000" w:themeColor="text1"/>
              </w:rPr>
            </w:pPr>
            <w:r w:rsidRPr="00217865">
              <w:rPr>
                <w:rFonts w:cs="Arial"/>
                <w:color w:val="000000" w:themeColor="text1"/>
              </w:rPr>
              <w:t xml:space="preserve">Not at all helpful / A little helpful / Somewhat helpful / Quite helpful / Very helpful </w:t>
            </w:r>
            <w:r w:rsidRPr="00217865">
              <w:rPr>
                <w:rFonts w:cs="Arial"/>
                <w:color w:val="000000" w:themeColor="text1"/>
                <w:lang w:val="en-AU"/>
              </w:rPr>
              <w:t xml:space="preserve">/ Not </w:t>
            </w:r>
            <w:r w:rsidR="005A5905" w:rsidRPr="00217865">
              <w:rPr>
                <w:rFonts w:cs="Arial"/>
                <w:color w:val="000000" w:themeColor="text1"/>
                <w:lang w:val="en-AU"/>
              </w:rPr>
              <w:t>applicable</w:t>
            </w:r>
          </w:p>
        </w:tc>
      </w:tr>
    </w:tbl>
    <w:p w14:paraId="4AA5E0B4" w14:textId="77777777" w:rsidR="005A5905" w:rsidRPr="00217865" w:rsidRDefault="005A5905" w:rsidP="005A5905">
      <w:pPr>
        <w:pStyle w:val="Caption"/>
        <w:rPr>
          <w:b w:val="0"/>
          <w:i/>
          <w:iCs/>
          <w:color w:val="000000" w:themeColor="text1"/>
          <w:szCs w:val="20"/>
          <w:highlight w:val="yellow"/>
        </w:rPr>
      </w:pPr>
    </w:p>
    <w:p w14:paraId="58AA2824" w14:textId="3A1A4C22" w:rsidR="005A5905" w:rsidRPr="00217865" w:rsidRDefault="005A5905" w:rsidP="0081215D">
      <w:pPr>
        <w:pStyle w:val="Tabletitle"/>
        <w:rPr>
          <w:i/>
        </w:rPr>
      </w:pPr>
      <w:bookmarkStart w:id="518" w:name="_Toc167872873"/>
      <w:bookmarkStart w:id="519" w:name="_Toc178599396"/>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31</w:t>
      </w:r>
      <w:r w:rsidRPr="00217865">
        <w:rPr>
          <w:i/>
        </w:rPr>
        <w:fldChar w:fldCharType="end"/>
      </w:r>
      <w:r w:rsidR="00CF00B5">
        <w:rPr>
          <w:i/>
        </w:rPr>
        <w:tab/>
      </w:r>
      <w:r w:rsidRPr="00217865">
        <w:t>2023 SEQ Item Summary: Learning Resources items</w:t>
      </w:r>
      <w:bookmarkEnd w:id="518"/>
      <w:bookmarkEnd w:id="519"/>
    </w:p>
    <w:tbl>
      <w:tblPr>
        <w:tblStyle w:val="QILTTableStylePH"/>
        <w:tblW w:w="5000" w:type="pct"/>
        <w:tblLook w:val="0020" w:firstRow="1" w:lastRow="0" w:firstColumn="0" w:lastColumn="0" w:noHBand="0" w:noVBand="0"/>
      </w:tblPr>
      <w:tblGrid>
        <w:gridCol w:w="2866"/>
        <w:gridCol w:w="3433"/>
        <w:gridCol w:w="3431"/>
      </w:tblGrid>
      <w:tr w:rsidR="00217865" w:rsidRPr="00217865" w14:paraId="35C85C41" w14:textId="77777777" w:rsidTr="0071460C">
        <w:trPr>
          <w:trHeight w:val="60"/>
          <w:tblHeader/>
        </w:trPr>
        <w:tc>
          <w:tcPr>
            <w:tcW w:w="1473" w:type="pct"/>
          </w:tcPr>
          <w:p w14:paraId="12D2C340"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w:t>
            </w:r>
            <w:bookmarkStart w:id="520" w:name="Title_31"/>
            <w:bookmarkEnd w:id="520"/>
            <w:r w:rsidRPr="00217865">
              <w:rPr>
                <w:rFonts w:cs="Arial"/>
                <w:color w:val="000000" w:themeColor="text1"/>
              </w:rPr>
              <w:t>em</w:t>
            </w:r>
          </w:p>
        </w:tc>
        <w:tc>
          <w:tcPr>
            <w:tcW w:w="1764" w:type="pct"/>
          </w:tcPr>
          <w:p w14:paraId="3A991D61"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1F08F5BF"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CF00B5" w:rsidRPr="00217865" w14:paraId="1D041CD4" w14:textId="77777777" w:rsidTr="0071460C">
        <w:trPr>
          <w:trHeight w:val="60"/>
        </w:trPr>
        <w:tc>
          <w:tcPr>
            <w:tcW w:w="1473" w:type="pct"/>
          </w:tcPr>
          <w:p w14:paraId="62880879"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 xml:space="preserve">Thinking of this year, </w:t>
            </w:r>
            <w:proofErr w:type="gramStart"/>
            <w:r w:rsidRPr="00217865">
              <w:rPr>
                <w:rFonts w:cs="Arial"/>
                <w:color w:val="000000" w:themeColor="text1"/>
              </w:rPr>
              <w:t>overall</w:t>
            </w:r>
            <w:proofErr w:type="gramEnd"/>
            <w:r w:rsidRPr="00217865">
              <w:rPr>
                <w:rFonts w:cs="Arial"/>
                <w:color w:val="000000" w:themeColor="text1"/>
              </w:rPr>
              <w:t xml:space="preserve"> how would you rate the following learning resources provided for your &lt;course&gt;?</w:t>
            </w:r>
          </w:p>
        </w:tc>
        <w:tc>
          <w:tcPr>
            <w:tcW w:w="1764" w:type="pct"/>
          </w:tcPr>
          <w:p w14:paraId="17B9E227"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 xml:space="preserve">Teaching spaces (e.g. lecture theatres, tutorial rooms, laboratories) </w:t>
            </w:r>
          </w:p>
          <w:p w14:paraId="51259DA0"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Student spaces and common areas</w:t>
            </w:r>
          </w:p>
          <w:p w14:paraId="2B1CEA74"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Online learning materials</w:t>
            </w:r>
          </w:p>
          <w:p w14:paraId="0F5B2A20"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lastRenderedPageBreak/>
              <w:t>Computing/IT resources</w:t>
            </w:r>
          </w:p>
          <w:p w14:paraId="376BDA21"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Assigned books, notes and resources</w:t>
            </w:r>
          </w:p>
          <w:p w14:paraId="3F9BE8EC" w14:textId="77777777"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Laboratory or studio equipment</w:t>
            </w:r>
          </w:p>
          <w:p w14:paraId="4822F4D5" w14:textId="7D0F9221" w:rsidR="005A5905" w:rsidRPr="00217865" w:rsidRDefault="005A5905" w:rsidP="00E76A8D">
            <w:pPr>
              <w:pStyle w:val="Tabletext"/>
              <w:numPr>
                <w:ilvl w:val="0"/>
                <w:numId w:val="18"/>
              </w:numPr>
              <w:tabs>
                <w:tab w:val="left" w:pos="170"/>
              </w:tabs>
              <w:spacing w:before="60" w:after="60" w:line="190" w:lineRule="exact"/>
              <w:rPr>
                <w:rFonts w:cs="Arial"/>
                <w:color w:val="000000" w:themeColor="text1"/>
              </w:rPr>
            </w:pPr>
            <w:r w:rsidRPr="00217865">
              <w:rPr>
                <w:rFonts w:cs="Arial"/>
                <w:color w:val="000000" w:themeColor="text1"/>
              </w:rPr>
              <w:t>Library resources and facilities</w:t>
            </w:r>
          </w:p>
        </w:tc>
        <w:tc>
          <w:tcPr>
            <w:tcW w:w="1763" w:type="pct"/>
          </w:tcPr>
          <w:p w14:paraId="0017682C"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lastRenderedPageBreak/>
              <w:t>Poor / Fair / Good / Excellent / Not applicable</w:t>
            </w:r>
          </w:p>
        </w:tc>
      </w:tr>
    </w:tbl>
    <w:p w14:paraId="41D2B760" w14:textId="77777777" w:rsidR="005A5905" w:rsidRPr="00217865" w:rsidRDefault="005A5905" w:rsidP="005A5905">
      <w:pPr>
        <w:pStyle w:val="Caption"/>
        <w:rPr>
          <w:b w:val="0"/>
          <w:i/>
          <w:color w:val="000000" w:themeColor="text1"/>
          <w:highlight w:val="yellow"/>
        </w:rPr>
      </w:pPr>
    </w:p>
    <w:p w14:paraId="4BD1B47E" w14:textId="0D809772" w:rsidR="005A5905" w:rsidRPr="00217865" w:rsidRDefault="005A5905" w:rsidP="0081215D">
      <w:pPr>
        <w:pStyle w:val="Tabletitle"/>
        <w:rPr>
          <w:i/>
        </w:rPr>
      </w:pPr>
      <w:bookmarkStart w:id="521" w:name="_Toc167872874"/>
      <w:bookmarkStart w:id="522" w:name="_Toc178599397"/>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32</w:t>
      </w:r>
      <w:r w:rsidRPr="00217865">
        <w:rPr>
          <w:i/>
        </w:rPr>
        <w:fldChar w:fldCharType="end"/>
      </w:r>
      <w:r w:rsidR="00CF00B5">
        <w:rPr>
          <w:i/>
        </w:rPr>
        <w:tab/>
      </w:r>
      <w:r w:rsidRPr="00217865">
        <w:t>2023 SEQ Item Summary: Open-response items</w:t>
      </w:r>
      <w:bookmarkEnd w:id="521"/>
      <w:bookmarkEnd w:id="522"/>
    </w:p>
    <w:tbl>
      <w:tblPr>
        <w:tblStyle w:val="QILTTableStylePH"/>
        <w:tblW w:w="5000" w:type="pct"/>
        <w:tblLook w:val="0020" w:firstRow="1" w:lastRow="0" w:firstColumn="0" w:lastColumn="0" w:noHBand="0" w:noVBand="0"/>
      </w:tblPr>
      <w:tblGrid>
        <w:gridCol w:w="2866"/>
        <w:gridCol w:w="3433"/>
        <w:gridCol w:w="3431"/>
      </w:tblGrid>
      <w:tr w:rsidR="00217865" w:rsidRPr="00217865" w14:paraId="44D1BF3C" w14:textId="77777777" w:rsidTr="0071460C">
        <w:trPr>
          <w:trHeight w:val="60"/>
          <w:tblHeader/>
        </w:trPr>
        <w:tc>
          <w:tcPr>
            <w:tcW w:w="1473" w:type="pct"/>
          </w:tcPr>
          <w:p w14:paraId="47061EB7" w14:textId="77777777" w:rsidR="005A5905" w:rsidRPr="00217865" w:rsidRDefault="005A5905" w:rsidP="00E76A8D">
            <w:pPr>
              <w:pStyle w:val="TablecolumnheaderL"/>
              <w:spacing w:before="60" w:after="60"/>
              <w:rPr>
                <w:rFonts w:cs="Arial"/>
                <w:color w:val="000000" w:themeColor="text1"/>
              </w:rPr>
            </w:pPr>
            <w:bookmarkStart w:id="523" w:name="Title_32"/>
            <w:r w:rsidRPr="00217865">
              <w:rPr>
                <w:rFonts w:cs="Arial"/>
                <w:color w:val="000000" w:themeColor="text1"/>
              </w:rPr>
              <w:t>Stem</w:t>
            </w:r>
          </w:p>
        </w:tc>
        <w:tc>
          <w:tcPr>
            <w:tcW w:w="1764" w:type="pct"/>
          </w:tcPr>
          <w:p w14:paraId="50D51D42"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1AD05175"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217865" w:rsidRPr="00217865" w14:paraId="7FF61D34" w14:textId="77777777" w:rsidTr="0071460C">
        <w:trPr>
          <w:trHeight w:val="60"/>
        </w:trPr>
        <w:tc>
          <w:tcPr>
            <w:tcW w:w="1473" w:type="pct"/>
          </w:tcPr>
          <w:p w14:paraId="3DA23072"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What have been the best aspects of your &lt;course&gt;?</w:t>
            </w:r>
          </w:p>
        </w:tc>
        <w:tc>
          <w:tcPr>
            <w:tcW w:w="1764" w:type="pct"/>
          </w:tcPr>
          <w:p w14:paraId="1229627A" w14:textId="56518422" w:rsidR="005A5905" w:rsidRPr="00217865" w:rsidRDefault="00E76A8D" w:rsidP="00E76A8D">
            <w:pPr>
              <w:pStyle w:val="Tabletext"/>
              <w:spacing w:before="60" w:after="60"/>
              <w:rPr>
                <w:rFonts w:cs="Arial"/>
                <w:color w:val="000000" w:themeColor="text1"/>
              </w:rPr>
            </w:pPr>
            <w:r w:rsidRPr="00217865">
              <w:rPr>
                <w:rFonts w:eastAsia="Times New Roman" w:cs="Arial"/>
                <w:color w:val="000000" w:themeColor="text1"/>
                <w:lang w:eastAsia="en-AU"/>
              </w:rPr>
              <w:t>-</w:t>
            </w:r>
          </w:p>
        </w:tc>
        <w:tc>
          <w:tcPr>
            <w:tcW w:w="1763" w:type="pct"/>
          </w:tcPr>
          <w:p w14:paraId="58B3ACB9"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Open response</w:t>
            </w:r>
          </w:p>
        </w:tc>
      </w:tr>
      <w:tr w:rsidR="00217865" w:rsidRPr="00217865" w14:paraId="72C9D61F" w14:textId="77777777" w:rsidTr="0071460C">
        <w:trPr>
          <w:trHeight w:val="60"/>
        </w:trPr>
        <w:tc>
          <w:tcPr>
            <w:tcW w:w="1473" w:type="pct"/>
          </w:tcPr>
          <w:p w14:paraId="1FCB5897"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What aspects of your &lt;course&gt; most need improvement?</w:t>
            </w:r>
          </w:p>
        </w:tc>
        <w:tc>
          <w:tcPr>
            <w:tcW w:w="1764" w:type="pct"/>
          </w:tcPr>
          <w:p w14:paraId="571266B4" w14:textId="4424E427" w:rsidR="005A5905" w:rsidRPr="00217865" w:rsidRDefault="00E76A8D" w:rsidP="00E76A8D">
            <w:pPr>
              <w:pStyle w:val="Tabletext"/>
              <w:spacing w:before="60" w:after="60"/>
              <w:rPr>
                <w:rFonts w:cs="Arial"/>
                <w:color w:val="000000" w:themeColor="text1"/>
              </w:rPr>
            </w:pPr>
            <w:r w:rsidRPr="00217865">
              <w:rPr>
                <w:rFonts w:eastAsia="Times New Roman" w:cs="Arial"/>
                <w:color w:val="000000" w:themeColor="text1"/>
                <w:lang w:eastAsia="en-AU"/>
              </w:rPr>
              <w:t>-</w:t>
            </w:r>
          </w:p>
        </w:tc>
        <w:tc>
          <w:tcPr>
            <w:tcW w:w="1763" w:type="pct"/>
          </w:tcPr>
          <w:p w14:paraId="77FAFD0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Open response</w:t>
            </w:r>
          </w:p>
        </w:tc>
      </w:tr>
    </w:tbl>
    <w:p w14:paraId="442868B6" w14:textId="304692E1" w:rsidR="005A5905" w:rsidRPr="00217865" w:rsidRDefault="005A5905" w:rsidP="0081215D">
      <w:pPr>
        <w:pStyle w:val="Tabletitle"/>
        <w:rPr>
          <w:i/>
        </w:rPr>
      </w:pPr>
      <w:bookmarkStart w:id="524" w:name="_Ref58428061"/>
      <w:bookmarkStart w:id="525" w:name="_Toc167872875"/>
      <w:bookmarkStart w:id="526" w:name="_Toc178599398"/>
      <w:bookmarkEnd w:id="523"/>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33</w:t>
      </w:r>
      <w:r w:rsidRPr="00217865">
        <w:rPr>
          <w:i/>
        </w:rPr>
        <w:fldChar w:fldCharType="end"/>
      </w:r>
      <w:bookmarkEnd w:id="524"/>
      <w:r w:rsidR="00CF00B5">
        <w:tab/>
      </w:r>
      <w:r w:rsidRPr="00217865">
        <w:t>2023 SEQ Item Summary: Demographic and contextual items</w:t>
      </w:r>
      <w:bookmarkEnd w:id="525"/>
      <w:bookmarkEnd w:id="526"/>
    </w:p>
    <w:tbl>
      <w:tblPr>
        <w:tblStyle w:val="QILTTableStylePH"/>
        <w:tblW w:w="5000" w:type="pct"/>
        <w:tblLook w:val="0020" w:firstRow="1" w:lastRow="0" w:firstColumn="0" w:lastColumn="0" w:noHBand="0" w:noVBand="0"/>
      </w:tblPr>
      <w:tblGrid>
        <w:gridCol w:w="2866"/>
        <w:gridCol w:w="3433"/>
        <w:gridCol w:w="3431"/>
      </w:tblGrid>
      <w:tr w:rsidR="00217865" w:rsidRPr="00217865" w14:paraId="2AF997E2" w14:textId="77777777" w:rsidTr="0071460C">
        <w:trPr>
          <w:trHeight w:val="60"/>
          <w:tblHeader/>
        </w:trPr>
        <w:tc>
          <w:tcPr>
            <w:tcW w:w="1473" w:type="pct"/>
          </w:tcPr>
          <w:p w14:paraId="5D45D4EC"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w:t>
            </w:r>
            <w:bookmarkStart w:id="527" w:name="Title_33"/>
            <w:bookmarkEnd w:id="527"/>
            <w:r w:rsidRPr="00217865">
              <w:rPr>
                <w:rFonts w:cs="Arial"/>
                <w:color w:val="000000" w:themeColor="text1"/>
              </w:rPr>
              <w:t>m</w:t>
            </w:r>
          </w:p>
        </w:tc>
        <w:tc>
          <w:tcPr>
            <w:tcW w:w="1764" w:type="pct"/>
          </w:tcPr>
          <w:p w14:paraId="5B065486"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tcPr>
          <w:p w14:paraId="1CE57D03"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217865" w:rsidRPr="00217865" w14:paraId="51333D09" w14:textId="77777777" w:rsidTr="0071460C">
        <w:trPr>
          <w:trHeight w:val="60"/>
        </w:trPr>
        <w:tc>
          <w:tcPr>
            <w:tcW w:w="1473" w:type="pct"/>
          </w:tcPr>
          <w:p w14:paraId="444490FE" w14:textId="64BFC456" w:rsidR="00E76A8D" w:rsidRPr="00217865" w:rsidRDefault="00E76A8D" w:rsidP="00E76A8D">
            <w:pPr>
              <w:pStyle w:val="Tabletext"/>
              <w:spacing w:before="60" w:after="60"/>
              <w:rPr>
                <w:rFonts w:cs="Arial"/>
                <w:color w:val="000000" w:themeColor="text1"/>
              </w:rPr>
            </w:pPr>
            <w:r w:rsidRPr="00217865">
              <w:rPr>
                <w:rFonts w:cs="Arial"/>
                <w:bCs/>
                <w:color w:val="000000" w:themeColor="text1"/>
              </w:rPr>
              <w:t xml:space="preserve">Which of </w:t>
            </w:r>
            <w:proofErr w:type="gramStart"/>
            <w:r w:rsidRPr="00217865">
              <w:rPr>
                <w:rFonts w:cs="Arial"/>
                <w:bCs/>
                <w:color w:val="000000" w:themeColor="text1"/>
              </w:rPr>
              <w:t>these best</w:t>
            </w:r>
            <w:proofErr w:type="gramEnd"/>
            <w:r w:rsidRPr="00217865">
              <w:rPr>
                <w:rFonts w:cs="Arial"/>
                <w:bCs/>
                <w:color w:val="000000" w:themeColor="text1"/>
              </w:rPr>
              <w:t xml:space="preserve"> describes how you participated in your classes in &lt;SURVEYYEAR&gt;? This may include lectures, tutorials, seminars, </w:t>
            </w:r>
            <w:proofErr w:type="spellStart"/>
            <w:r w:rsidRPr="00217865">
              <w:rPr>
                <w:rFonts w:cs="Arial"/>
                <w:bCs/>
                <w:color w:val="000000" w:themeColor="text1"/>
              </w:rPr>
              <w:t>practicals</w:t>
            </w:r>
            <w:proofErr w:type="spellEnd"/>
            <w:r w:rsidRPr="00217865">
              <w:rPr>
                <w:rFonts w:cs="Arial"/>
                <w:bCs/>
                <w:color w:val="000000" w:themeColor="text1"/>
              </w:rPr>
              <w:t>, laboratories and workshops.</w:t>
            </w:r>
          </w:p>
        </w:tc>
        <w:tc>
          <w:tcPr>
            <w:tcW w:w="1764" w:type="pct"/>
          </w:tcPr>
          <w:p w14:paraId="157B3C97" w14:textId="25328A9A" w:rsidR="00E76A8D" w:rsidRPr="00217865" w:rsidRDefault="00E76A8D" w:rsidP="00E76A8D">
            <w:pPr>
              <w:pStyle w:val="Tabletext"/>
              <w:spacing w:before="60" w:after="60"/>
              <w:rPr>
                <w:rFonts w:cs="Arial"/>
                <w:color w:val="000000" w:themeColor="text1"/>
              </w:rPr>
            </w:pPr>
            <w:r w:rsidRPr="00217865">
              <w:rPr>
                <w:rFonts w:eastAsia="Times New Roman" w:cs="Arial"/>
                <w:color w:val="000000" w:themeColor="text1"/>
                <w:lang w:eastAsia="en-AU"/>
              </w:rPr>
              <w:t>-</w:t>
            </w:r>
          </w:p>
        </w:tc>
        <w:tc>
          <w:tcPr>
            <w:tcW w:w="1763" w:type="pct"/>
          </w:tcPr>
          <w:p w14:paraId="3A76541C" w14:textId="77777777" w:rsidR="00E76A8D" w:rsidRPr="00217865" w:rsidRDefault="00E76A8D" w:rsidP="00E76A8D">
            <w:pPr>
              <w:pStyle w:val="1ResponseFrame"/>
              <w:spacing w:before="60" w:after="60"/>
              <w:ind w:left="0" w:firstLine="0"/>
              <w:rPr>
                <w:color w:val="000000" w:themeColor="text1"/>
              </w:rPr>
            </w:pPr>
            <w:r w:rsidRPr="00217865">
              <w:rPr>
                <w:color w:val="000000" w:themeColor="text1"/>
              </w:rPr>
              <w:t>All online, i.e. all students and teachers are online / All on-campus, i.e. students and teachers in the same physical place at the same time / Blended / hybrid, i.e. a mix of online and on-campus</w:t>
            </w:r>
          </w:p>
          <w:p w14:paraId="33D017F1" w14:textId="338538B8" w:rsidR="00E76A8D" w:rsidRPr="00217865" w:rsidRDefault="00E76A8D" w:rsidP="00E76A8D">
            <w:pPr>
              <w:pStyle w:val="Tabletext"/>
              <w:spacing w:before="60" w:after="60"/>
              <w:rPr>
                <w:rFonts w:cs="Arial"/>
                <w:color w:val="000000" w:themeColor="text1"/>
              </w:rPr>
            </w:pPr>
          </w:p>
        </w:tc>
      </w:tr>
      <w:tr w:rsidR="00217865" w:rsidRPr="00217865" w14:paraId="0ED10A2E" w14:textId="77777777" w:rsidTr="0071460C">
        <w:trPr>
          <w:trHeight w:val="60"/>
        </w:trPr>
        <w:tc>
          <w:tcPr>
            <w:tcW w:w="1473" w:type="pct"/>
          </w:tcPr>
          <w:p w14:paraId="35B95CDC" w14:textId="18DDBC85" w:rsidR="00E76A8D" w:rsidRPr="00217865" w:rsidRDefault="00E76A8D" w:rsidP="00E76A8D">
            <w:pPr>
              <w:pStyle w:val="Tabletext"/>
              <w:spacing w:before="60" w:after="60"/>
              <w:rPr>
                <w:rFonts w:cs="Arial"/>
                <w:color w:val="000000" w:themeColor="text1"/>
              </w:rPr>
            </w:pPr>
            <w:r w:rsidRPr="00217865">
              <w:rPr>
                <w:rFonts w:cs="Arial"/>
                <w:bCs/>
                <w:color w:val="000000" w:themeColor="text1"/>
              </w:rPr>
              <w:t xml:space="preserve">In &lt;SURVEYYEAR&gt;, what proportion of all your classes did you participate in online? This may include lectures, tutorials, seminars, </w:t>
            </w:r>
            <w:proofErr w:type="spellStart"/>
            <w:r w:rsidRPr="00217865">
              <w:rPr>
                <w:rFonts w:cs="Arial"/>
                <w:bCs/>
                <w:color w:val="000000" w:themeColor="text1"/>
              </w:rPr>
              <w:t>practicals</w:t>
            </w:r>
            <w:proofErr w:type="spellEnd"/>
            <w:r w:rsidRPr="00217865">
              <w:rPr>
                <w:rFonts w:cs="Arial"/>
                <w:bCs/>
                <w:color w:val="000000" w:themeColor="text1"/>
              </w:rPr>
              <w:t>, laboratories and workshops.</w:t>
            </w:r>
          </w:p>
        </w:tc>
        <w:tc>
          <w:tcPr>
            <w:tcW w:w="1764" w:type="pct"/>
          </w:tcPr>
          <w:p w14:paraId="232C2E8D" w14:textId="1EFBFCFB" w:rsidR="00E76A8D" w:rsidRPr="00217865" w:rsidRDefault="00E76A8D" w:rsidP="00E76A8D">
            <w:pPr>
              <w:pStyle w:val="Tabletext"/>
              <w:spacing w:before="60" w:after="60"/>
              <w:rPr>
                <w:rFonts w:cs="Arial"/>
                <w:color w:val="000000" w:themeColor="text1"/>
              </w:rPr>
            </w:pPr>
            <w:r w:rsidRPr="00217865">
              <w:rPr>
                <w:rFonts w:eastAsia="Times New Roman" w:cs="Arial"/>
                <w:color w:val="000000" w:themeColor="text1"/>
                <w:lang w:eastAsia="en-AU"/>
              </w:rPr>
              <w:t>-</w:t>
            </w:r>
          </w:p>
        </w:tc>
        <w:tc>
          <w:tcPr>
            <w:tcW w:w="1763" w:type="pct"/>
          </w:tcPr>
          <w:p w14:paraId="7102ADC3" w14:textId="0D95ED59" w:rsidR="00E76A8D" w:rsidRPr="00217865" w:rsidRDefault="00E76A8D" w:rsidP="00E76A8D">
            <w:pPr>
              <w:pStyle w:val="Tabletext"/>
              <w:spacing w:before="60" w:after="60"/>
              <w:rPr>
                <w:rFonts w:cs="Arial"/>
                <w:color w:val="000000" w:themeColor="text1"/>
              </w:rPr>
            </w:pPr>
            <w:r w:rsidRPr="00217865">
              <w:rPr>
                <w:rFonts w:cs="Arial"/>
                <w:bCs/>
                <w:color w:val="000000" w:themeColor="text1"/>
              </w:rPr>
              <w:t>None / Some / About half / Most / All</w:t>
            </w:r>
          </w:p>
        </w:tc>
      </w:tr>
      <w:tr w:rsidR="00217865" w:rsidRPr="00217865" w14:paraId="35E770FE" w14:textId="77777777" w:rsidTr="0071460C">
        <w:trPr>
          <w:trHeight w:val="679"/>
        </w:trPr>
        <w:tc>
          <w:tcPr>
            <w:tcW w:w="1473" w:type="pct"/>
          </w:tcPr>
          <w:p w14:paraId="04802F67" w14:textId="4BBF1732" w:rsidR="005A5905" w:rsidRPr="00217865" w:rsidRDefault="00F47449" w:rsidP="00E76A8D">
            <w:pPr>
              <w:pStyle w:val="Tabletext"/>
              <w:spacing w:before="60" w:after="60"/>
              <w:rPr>
                <w:rFonts w:cs="Arial"/>
                <w:color w:val="000000" w:themeColor="text1"/>
              </w:rPr>
            </w:pPr>
            <w:r w:rsidRPr="00217865">
              <w:rPr>
                <w:rFonts w:cs="Arial"/>
                <w:bCs/>
                <w:color w:val="000000" w:themeColor="text1"/>
              </w:rPr>
              <w:t>In &lt;SURVEYYEAR&gt;, which best describes your online &lt;course&gt;?</w:t>
            </w:r>
          </w:p>
        </w:tc>
        <w:tc>
          <w:tcPr>
            <w:tcW w:w="1764" w:type="pct"/>
          </w:tcPr>
          <w:p w14:paraId="74C6C156" w14:textId="359FE50B" w:rsidR="005A5905" w:rsidRPr="00217865" w:rsidRDefault="005A5905" w:rsidP="00E76A8D">
            <w:pPr>
              <w:pStyle w:val="Tabletext"/>
              <w:numPr>
                <w:ilvl w:val="0"/>
                <w:numId w:val="13"/>
              </w:numPr>
              <w:tabs>
                <w:tab w:val="left" w:pos="170"/>
              </w:tabs>
              <w:spacing w:before="60" w:after="60" w:line="190" w:lineRule="exact"/>
              <w:rPr>
                <w:rFonts w:cs="Arial"/>
                <w:color w:val="000000" w:themeColor="text1"/>
              </w:rPr>
            </w:pPr>
          </w:p>
        </w:tc>
        <w:tc>
          <w:tcPr>
            <w:tcW w:w="1763" w:type="pct"/>
          </w:tcPr>
          <w:p w14:paraId="07F3FAC1" w14:textId="5222B3C2" w:rsidR="005A5905" w:rsidRPr="00217865" w:rsidRDefault="00F47449" w:rsidP="00E76A8D">
            <w:pPr>
              <w:pStyle w:val="Tabletext"/>
              <w:spacing w:before="60" w:after="60"/>
              <w:rPr>
                <w:rFonts w:cs="Arial"/>
                <w:color w:val="000000" w:themeColor="text1"/>
              </w:rPr>
            </w:pPr>
            <w:r w:rsidRPr="00217865">
              <w:rPr>
                <w:rFonts w:cs="Arial"/>
                <w:bCs/>
                <w:color w:val="000000" w:themeColor="text1"/>
              </w:rPr>
              <w:t>My &lt;course&gt; requires me to participate in classes with teachers and other students at the same time / My &lt;course&gt; requires me to access content in my own time. I don’t have classes with other teachers or students / My &lt;course&gt; is a mix of the above. Some &lt;units&gt; have classes with students and teachers in them at the same time. Some &lt;units&gt; have no classes and I access content in my own time. / Other (please describe)</w:t>
            </w:r>
          </w:p>
        </w:tc>
      </w:tr>
      <w:tr w:rsidR="00217865" w:rsidRPr="00217865" w14:paraId="32551106" w14:textId="77777777" w:rsidTr="0071460C">
        <w:trPr>
          <w:trHeight w:val="60"/>
        </w:trPr>
        <w:tc>
          <w:tcPr>
            <w:tcW w:w="1473" w:type="pct"/>
          </w:tcPr>
          <w:p w14:paraId="0AE68091" w14:textId="1856EE60" w:rsidR="00E76A8D" w:rsidRPr="00217865" w:rsidRDefault="00E76A8D" w:rsidP="00E76A8D">
            <w:pPr>
              <w:pStyle w:val="Tabletext"/>
              <w:spacing w:before="60" w:after="60"/>
              <w:rPr>
                <w:rFonts w:cs="Arial"/>
                <w:color w:val="000000" w:themeColor="text1"/>
              </w:rPr>
            </w:pPr>
            <w:r w:rsidRPr="00217865">
              <w:rPr>
                <w:rFonts w:cs="Arial"/>
                <w:bCs/>
                <w:color w:val="000000" w:themeColor="text1"/>
              </w:rPr>
              <w:t>In &lt;SURVEYYEAR&gt;, what proportion of your &lt;course&gt; involved activities such as placements, internships or work integrated learning?</w:t>
            </w:r>
          </w:p>
        </w:tc>
        <w:tc>
          <w:tcPr>
            <w:tcW w:w="1764" w:type="pct"/>
          </w:tcPr>
          <w:p w14:paraId="47DEE84F" w14:textId="31BAA3E8" w:rsidR="00E76A8D" w:rsidRPr="00217865" w:rsidRDefault="00E76A8D" w:rsidP="00E76A8D">
            <w:pPr>
              <w:pStyle w:val="Tabletext"/>
              <w:spacing w:before="60" w:after="60"/>
              <w:rPr>
                <w:rFonts w:cs="Arial"/>
                <w:color w:val="000000" w:themeColor="text1"/>
              </w:rPr>
            </w:pPr>
            <w:r w:rsidRPr="00217865">
              <w:rPr>
                <w:rFonts w:eastAsia="Times New Roman" w:cs="Arial"/>
                <w:color w:val="000000" w:themeColor="text1"/>
                <w:lang w:eastAsia="en-AU"/>
              </w:rPr>
              <w:t>-</w:t>
            </w:r>
          </w:p>
        </w:tc>
        <w:tc>
          <w:tcPr>
            <w:tcW w:w="1763" w:type="pct"/>
          </w:tcPr>
          <w:p w14:paraId="4D82E9ED" w14:textId="5A0384A2" w:rsidR="00E76A8D" w:rsidRPr="00217865" w:rsidRDefault="00E76A8D" w:rsidP="00E76A8D">
            <w:pPr>
              <w:pStyle w:val="Tabletext"/>
              <w:spacing w:before="60" w:after="60"/>
              <w:rPr>
                <w:rFonts w:cs="Arial"/>
                <w:color w:val="000000" w:themeColor="text1"/>
              </w:rPr>
            </w:pPr>
            <w:r w:rsidRPr="00217865">
              <w:rPr>
                <w:rFonts w:cs="Arial"/>
                <w:bCs/>
                <w:color w:val="000000" w:themeColor="text1"/>
              </w:rPr>
              <w:t>None / Some / About half / Most / All</w:t>
            </w:r>
          </w:p>
        </w:tc>
      </w:tr>
      <w:tr w:rsidR="00217865" w:rsidRPr="00217865" w14:paraId="4ECCFCA1" w14:textId="77777777" w:rsidTr="0071460C">
        <w:trPr>
          <w:trHeight w:val="60"/>
        </w:trPr>
        <w:tc>
          <w:tcPr>
            <w:tcW w:w="1473" w:type="pct"/>
          </w:tcPr>
          <w:p w14:paraId="047AEA8D" w14:textId="540417B0" w:rsidR="00E76A8D" w:rsidRPr="00217865" w:rsidRDefault="00E76A8D" w:rsidP="00E76A8D">
            <w:pPr>
              <w:pStyle w:val="Tabletext"/>
              <w:spacing w:before="60" w:after="60"/>
              <w:rPr>
                <w:rFonts w:cs="Arial"/>
                <w:color w:val="000000" w:themeColor="text1"/>
                <w:highlight w:val="yellow"/>
              </w:rPr>
            </w:pPr>
            <w:r w:rsidRPr="00217865">
              <w:rPr>
                <w:rFonts w:cs="Arial"/>
                <w:color w:val="000000" w:themeColor="text1"/>
              </w:rPr>
              <w:t>In what year did you first start your current &lt;course&gt;?</w:t>
            </w:r>
          </w:p>
        </w:tc>
        <w:tc>
          <w:tcPr>
            <w:tcW w:w="1764" w:type="pct"/>
          </w:tcPr>
          <w:p w14:paraId="7A84CEC1" w14:textId="602EC72F" w:rsidR="00E76A8D" w:rsidRPr="00217865" w:rsidRDefault="00E76A8D" w:rsidP="00E76A8D">
            <w:pPr>
              <w:pStyle w:val="Tabletext"/>
              <w:spacing w:before="60" w:after="60"/>
              <w:rPr>
                <w:rFonts w:cs="Arial"/>
                <w:color w:val="000000" w:themeColor="text1"/>
                <w:highlight w:val="yellow"/>
              </w:rPr>
            </w:pPr>
            <w:r w:rsidRPr="00217865">
              <w:rPr>
                <w:rFonts w:eastAsia="Times New Roman" w:cs="Arial"/>
                <w:color w:val="000000" w:themeColor="text1"/>
                <w:lang w:eastAsia="en-AU"/>
              </w:rPr>
              <w:t>-</w:t>
            </w:r>
          </w:p>
        </w:tc>
        <w:tc>
          <w:tcPr>
            <w:tcW w:w="1763" w:type="pct"/>
          </w:tcPr>
          <w:p w14:paraId="435FD722" w14:textId="1540A00F" w:rsidR="00E76A8D" w:rsidRPr="00217865" w:rsidRDefault="00E76A8D" w:rsidP="00E76A8D">
            <w:pPr>
              <w:pStyle w:val="Tabletext"/>
              <w:spacing w:before="60" w:after="60"/>
              <w:rPr>
                <w:rFonts w:eastAsiaTheme="minorEastAsia" w:cs="Arial"/>
                <w:color w:val="000000" w:themeColor="text1"/>
              </w:rPr>
            </w:pPr>
            <w:r w:rsidRPr="00217865">
              <w:rPr>
                <w:rFonts w:cs="Arial"/>
                <w:color w:val="000000" w:themeColor="text1"/>
              </w:rPr>
              <w:t>SURVEYYEAR-4 YEARS/ SURVEYYEAR-4 YEARS / SURVEYYEAR-3 YEARS / SURVEYYEAR-2 YEARS / SURVEYYEAR-1 YEAR / SURVEYYEAR</w:t>
            </w:r>
          </w:p>
        </w:tc>
      </w:tr>
      <w:tr w:rsidR="00217865" w:rsidRPr="00217865" w14:paraId="4361A72F" w14:textId="77777777" w:rsidTr="0071460C">
        <w:trPr>
          <w:trHeight w:val="60"/>
        </w:trPr>
        <w:tc>
          <w:tcPr>
            <w:tcW w:w="1473" w:type="pct"/>
          </w:tcPr>
          <w:p w14:paraId="6C223BCA" w14:textId="36EBF989" w:rsidR="00E76A8D" w:rsidRPr="00217865" w:rsidRDefault="00E76A8D" w:rsidP="00E76A8D">
            <w:pPr>
              <w:pStyle w:val="Tabletext"/>
              <w:spacing w:before="60" w:after="60"/>
              <w:rPr>
                <w:rFonts w:cs="Arial"/>
                <w:color w:val="000000" w:themeColor="text1"/>
              </w:rPr>
            </w:pPr>
            <w:r w:rsidRPr="00217865">
              <w:rPr>
                <w:rFonts w:cs="Arial"/>
                <w:color w:val="000000" w:themeColor="text1"/>
              </w:rPr>
              <w:t>When do you expect to complete your current &lt;course&gt;?</w:t>
            </w:r>
          </w:p>
        </w:tc>
        <w:tc>
          <w:tcPr>
            <w:tcW w:w="1764" w:type="pct"/>
          </w:tcPr>
          <w:p w14:paraId="785C95F0" w14:textId="7D9C2FFC" w:rsidR="00E76A8D" w:rsidRPr="00217865" w:rsidRDefault="00E76A8D" w:rsidP="00E76A8D">
            <w:pPr>
              <w:pStyle w:val="Tabletext"/>
              <w:spacing w:before="60" w:after="60"/>
              <w:rPr>
                <w:rFonts w:cs="Arial"/>
                <w:color w:val="000000" w:themeColor="text1"/>
                <w:highlight w:val="yellow"/>
              </w:rPr>
            </w:pPr>
            <w:r w:rsidRPr="00217865">
              <w:rPr>
                <w:rFonts w:eastAsia="Times New Roman" w:cs="Arial"/>
                <w:color w:val="000000" w:themeColor="text1"/>
                <w:lang w:eastAsia="en-AU"/>
              </w:rPr>
              <w:t>-</w:t>
            </w:r>
          </w:p>
        </w:tc>
        <w:tc>
          <w:tcPr>
            <w:tcW w:w="1763" w:type="pct"/>
          </w:tcPr>
          <w:p w14:paraId="12F10536" w14:textId="15D0BD83" w:rsidR="00E76A8D" w:rsidRPr="00217865" w:rsidRDefault="00E76A8D" w:rsidP="00E76A8D">
            <w:pPr>
              <w:pStyle w:val="Tabletext"/>
              <w:spacing w:before="60" w:after="60"/>
              <w:rPr>
                <w:rFonts w:cs="Arial"/>
                <w:color w:val="000000" w:themeColor="text1"/>
              </w:rPr>
            </w:pPr>
            <w:r w:rsidRPr="00217865">
              <w:rPr>
                <w:rFonts w:cs="Arial"/>
                <w:color w:val="000000" w:themeColor="text1"/>
              </w:rPr>
              <w:t>SURVEYYEAR / SURVEYYEAR+1 YEAR or later</w:t>
            </w:r>
          </w:p>
        </w:tc>
      </w:tr>
      <w:tr w:rsidR="00F422AA" w:rsidRPr="00217865" w14:paraId="4FABB065" w14:textId="77777777" w:rsidTr="0071460C">
        <w:trPr>
          <w:trHeight w:val="60"/>
        </w:trPr>
        <w:tc>
          <w:tcPr>
            <w:tcW w:w="1473" w:type="pct"/>
          </w:tcPr>
          <w:p w14:paraId="182DDFD4" w14:textId="0402FBAC" w:rsidR="00F422AA" w:rsidRPr="00217865" w:rsidRDefault="00F422AA" w:rsidP="00E76A8D">
            <w:pPr>
              <w:pStyle w:val="Tabletext"/>
              <w:spacing w:before="60" w:after="60"/>
              <w:rPr>
                <w:rFonts w:cs="Arial"/>
                <w:color w:val="000000" w:themeColor="text1"/>
              </w:rPr>
            </w:pPr>
            <w:r w:rsidRPr="00217865">
              <w:rPr>
                <w:rFonts w:cs="Arial"/>
                <w:color w:val="000000" w:themeColor="text1"/>
              </w:rPr>
              <w:lastRenderedPageBreak/>
              <w:t>At &lt;E306CTXT&gt; during SURVEYYEAR, to what extent have…</w:t>
            </w:r>
          </w:p>
        </w:tc>
        <w:tc>
          <w:tcPr>
            <w:tcW w:w="1764" w:type="pct"/>
          </w:tcPr>
          <w:p w14:paraId="017DA7FD" w14:textId="77777777" w:rsidR="00F422AA" w:rsidRPr="00217865" w:rsidRDefault="00F422AA" w:rsidP="00E76A8D">
            <w:pPr>
              <w:pStyle w:val="Tabletext"/>
              <w:numPr>
                <w:ilvl w:val="0"/>
                <w:numId w:val="13"/>
              </w:numPr>
              <w:tabs>
                <w:tab w:val="left" w:pos="170"/>
              </w:tabs>
              <w:spacing w:before="60" w:after="60" w:line="190" w:lineRule="exact"/>
              <w:rPr>
                <w:rFonts w:cs="Arial"/>
                <w:color w:val="000000" w:themeColor="text1"/>
              </w:rPr>
            </w:pPr>
            <w:r w:rsidRPr="00217865">
              <w:rPr>
                <w:rFonts w:cs="Arial"/>
                <w:color w:val="000000" w:themeColor="text1"/>
              </w:rPr>
              <w:t>Your living arrangements negatively affected your study?</w:t>
            </w:r>
          </w:p>
          <w:p w14:paraId="4CA258B8" w14:textId="77777777" w:rsidR="00F422AA" w:rsidRPr="00217865" w:rsidRDefault="00F422AA" w:rsidP="00E76A8D">
            <w:pPr>
              <w:pStyle w:val="Tabletext"/>
              <w:numPr>
                <w:ilvl w:val="0"/>
                <w:numId w:val="13"/>
              </w:numPr>
              <w:tabs>
                <w:tab w:val="left" w:pos="170"/>
              </w:tabs>
              <w:spacing w:before="60" w:after="60" w:line="190" w:lineRule="exact"/>
              <w:rPr>
                <w:rFonts w:cs="Arial"/>
                <w:color w:val="000000" w:themeColor="text1"/>
              </w:rPr>
            </w:pPr>
            <w:r w:rsidRPr="00217865">
              <w:rPr>
                <w:rFonts w:cs="Arial"/>
                <w:color w:val="000000" w:themeColor="text1"/>
              </w:rPr>
              <w:t>Your financial circumstances negatively affected your study?</w:t>
            </w:r>
          </w:p>
          <w:p w14:paraId="32F0738D" w14:textId="0B327373" w:rsidR="00F422AA" w:rsidRPr="00217865" w:rsidRDefault="00F422AA" w:rsidP="00E76A8D">
            <w:pPr>
              <w:pStyle w:val="Tabletext"/>
              <w:spacing w:before="60" w:after="60"/>
              <w:rPr>
                <w:rFonts w:cs="Arial"/>
                <w:color w:val="000000" w:themeColor="text1"/>
                <w:highlight w:val="yellow"/>
              </w:rPr>
            </w:pPr>
            <w:r w:rsidRPr="00217865">
              <w:rPr>
                <w:rFonts w:cs="Arial"/>
                <w:color w:val="000000" w:themeColor="text1"/>
              </w:rPr>
              <w:t>Paid work commitments negatively affected your study?</w:t>
            </w:r>
          </w:p>
        </w:tc>
        <w:tc>
          <w:tcPr>
            <w:tcW w:w="1763" w:type="pct"/>
          </w:tcPr>
          <w:p w14:paraId="4D8DB027" w14:textId="2983B13C" w:rsidR="00F422AA" w:rsidRPr="00217865" w:rsidRDefault="00F422AA" w:rsidP="00E76A8D">
            <w:pPr>
              <w:pStyle w:val="Tabletext"/>
              <w:spacing w:before="60" w:after="60"/>
              <w:rPr>
                <w:rFonts w:cs="Arial"/>
                <w:color w:val="000000" w:themeColor="text1"/>
              </w:rPr>
            </w:pPr>
            <w:r w:rsidRPr="00217865">
              <w:rPr>
                <w:rFonts w:cs="Arial"/>
                <w:color w:val="000000" w:themeColor="text1"/>
              </w:rPr>
              <w:t xml:space="preserve">Not at all / Very little / Some / </w:t>
            </w:r>
            <w:proofErr w:type="gramStart"/>
            <w:r w:rsidRPr="00217865">
              <w:rPr>
                <w:rFonts w:cs="Arial"/>
                <w:color w:val="000000" w:themeColor="text1"/>
              </w:rPr>
              <w:t>Quite</w:t>
            </w:r>
            <w:proofErr w:type="gramEnd"/>
            <w:r w:rsidRPr="00217865">
              <w:rPr>
                <w:rFonts w:cs="Arial"/>
                <w:color w:val="000000" w:themeColor="text1"/>
              </w:rPr>
              <w:t xml:space="preserve"> a bit / Very much / Not applicable</w:t>
            </w:r>
          </w:p>
        </w:tc>
      </w:tr>
    </w:tbl>
    <w:p w14:paraId="29049F0E" w14:textId="77777777" w:rsidR="005A5905" w:rsidRPr="00217865" w:rsidRDefault="005A5905" w:rsidP="005A5905">
      <w:pPr>
        <w:pStyle w:val="Caption"/>
        <w:rPr>
          <w:color w:val="000000" w:themeColor="text1"/>
          <w:highlight w:val="yellow"/>
        </w:rPr>
      </w:pPr>
    </w:p>
    <w:p w14:paraId="3156AB83" w14:textId="2206B5B0" w:rsidR="005A5905" w:rsidRPr="00217865" w:rsidRDefault="005A5905" w:rsidP="005A5905">
      <w:pPr>
        <w:pStyle w:val="Caption"/>
        <w:rPr>
          <w:b w:val="0"/>
          <w:color w:val="000000" w:themeColor="text1"/>
          <w:szCs w:val="20"/>
          <w:lang w:val="en-GB"/>
        </w:rPr>
      </w:pPr>
      <w:bookmarkStart w:id="528" w:name="_Toc167872876"/>
      <w:bookmarkStart w:id="529" w:name="_Toc178599399"/>
      <w:r w:rsidRPr="00217865">
        <w:rPr>
          <w:color w:val="000000" w:themeColor="text1"/>
          <w:szCs w:val="20"/>
          <w:lang w:val="en-GB"/>
        </w:rPr>
        <w:t xml:space="preserve">Table </w:t>
      </w:r>
      <w:r w:rsidRPr="00217865">
        <w:rPr>
          <w:b w:val="0"/>
          <w:color w:val="000000" w:themeColor="text1"/>
          <w:szCs w:val="20"/>
          <w:lang w:val="en-GB"/>
        </w:rPr>
        <w:fldChar w:fldCharType="begin"/>
      </w:r>
      <w:r w:rsidRPr="00217865">
        <w:rPr>
          <w:color w:val="000000" w:themeColor="text1"/>
          <w:szCs w:val="20"/>
          <w:lang w:val="en-GB"/>
        </w:rPr>
        <w:instrText xml:space="preserve"> SEQ Table \* ARABIC </w:instrText>
      </w:r>
      <w:r w:rsidRPr="00217865">
        <w:rPr>
          <w:b w:val="0"/>
          <w:color w:val="000000" w:themeColor="text1"/>
          <w:szCs w:val="20"/>
          <w:lang w:val="en-GB"/>
        </w:rPr>
        <w:fldChar w:fldCharType="separate"/>
      </w:r>
      <w:r w:rsidR="005D5678">
        <w:rPr>
          <w:noProof/>
          <w:color w:val="000000" w:themeColor="text1"/>
          <w:szCs w:val="20"/>
          <w:lang w:val="en-GB"/>
        </w:rPr>
        <w:t>34</w:t>
      </w:r>
      <w:r w:rsidRPr="00217865">
        <w:rPr>
          <w:b w:val="0"/>
          <w:color w:val="000000" w:themeColor="text1"/>
          <w:szCs w:val="20"/>
          <w:lang w:val="en-GB"/>
        </w:rPr>
        <w:fldChar w:fldCharType="end"/>
      </w:r>
      <w:r w:rsidR="00CF00B5">
        <w:rPr>
          <w:color w:val="000000" w:themeColor="text1"/>
          <w:szCs w:val="20"/>
          <w:lang w:val="en-GB"/>
        </w:rPr>
        <w:tab/>
      </w:r>
      <w:r w:rsidRPr="00217865">
        <w:rPr>
          <w:color w:val="000000" w:themeColor="text1"/>
          <w:szCs w:val="20"/>
          <w:lang w:val="en-GB"/>
        </w:rPr>
        <w:t>2023 SEQ Item Summary: Freedom of expression items</w:t>
      </w:r>
      <w:bookmarkEnd w:id="528"/>
      <w:bookmarkEnd w:id="529"/>
    </w:p>
    <w:tbl>
      <w:tblPr>
        <w:tblStyle w:val="QILTTableStylePH"/>
        <w:tblW w:w="5000" w:type="pct"/>
        <w:tblLook w:val="0020" w:firstRow="1" w:lastRow="0" w:firstColumn="0" w:lastColumn="0" w:noHBand="0" w:noVBand="0"/>
      </w:tblPr>
      <w:tblGrid>
        <w:gridCol w:w="2866"/>
        <w:gridCol w:w="3433"/>
        <w:gridCol w:w="3431"/>
      </w:tblGrid>
      <w:tr w:rsidR="00217865" w:rsidRPr="00217865" w14:paraId="1E1C3FE6" w14:textId="77777777" w:rsidTr="00E76A8D">
        <w:trPr>
          <w:trHeight w:val="60"/>
          <w:tblHeader/>
        </w:trPr>
        <w:tc>
          <w:tcPr>
            <w:tcW w:w="1473" w:type="pct"/>
            <w:vAlign w:val="bottom"/>
          </w:tcPr>
          <w:p w14:paraId="64FE88BE"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w:t>
            </w:r>
            <w:bookmarkStart w:id="530" w:name="Title_34"/>
            <w:bookmarkEnd w:id="530"/>
            <w:r w:rsidRPr="00217865">
              <w:rPr>
                <w:rFonts w:cs="Arial"/>
                <w:color w:val="000000" w:themeColor="text1"/>
              </w:rPr>
              <w:t>m</w:t>
            </w:r>
          </w:p>
        </w:tc>
        <w:tc>
          <w:tcPr>
            <w:tcW w:w="1764" w:type="pct"/>
            <w:vAlign w:val="bottom"/>
          </w:tcPr>
          <w:p w14:paraId="13D0DE28"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vAlign w:val="bottom"/>
          </w:tcPr>
          <w:p w14:paraId="4EE7650B"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CF00B5" w:rsidRPr="00217865" w14:paraId="32F14FE5" w14:textId="77777777" w:rsidTr="0071460C">
        <w:trPr>
          <w:trHeight w:val="60"/>
        </w:trPr>
        <w:tc>
          <w:tcPr>
            <w:tcW w:w="1473" w:type="pct"/>
          </w:tcPr>
          <w:p w14:paraId="3CCC196C" w14:textId="77777777" w:rsidR="005A5905" w:rsidRPr="00217865" w:rsidRDefault="005A5905" w:rsidP="00E76A8D">
            <w:pPr>
              <w:pStyle w:val="Body"/>
              <w:spacing w:before="60" w:after="60"/>
              <w:rPr>
                <w:rFonts w:cs="Arial"/>
                <w:color w:val="000000" w:themeColor="text1"/>
                <w:sz w:val="18"/>
                <w:szCs w:val="18"/>
              </w:rPr>
            </w:pPr>
            <w:bookmarkStart w:id="531" w:name="_Hlk76378705"/>
            <w:r w:rsidRPr="00217865">
              <w:rPr>
                <w:rFonts w:cs="Arial"/>
                <w:color w:val="000000" w:themeColor="text1"/>
                <w:sz w:val="18"/>
                <w:szCs w:val="18"/>
              </w:rPr>
              <w:t xml:space="preserve">The following statements are about freedom of expression </w:t>
            </w:r>
            <w:bookmarkEnd w:id="531"/>
            <w:r w:rsidRPr="00217865">
              <w:rPr>
                <w:rFonts w:cs="Arial"/>
                <w:color w:val="000000" w:themeColor="text1"/>
                <w:sz w:val="18"/>
                <w:szCs w:val="18"/>
              </w:rPr>
              <w:t>on campus at &lt;E306CTXT&gt;. Freedom of expression can be part of the academic and social aspects of your student experience.</w:t>
            </w:r>
          </w:p>
          <w:p w14:paraId="7CF806EB" w14:textId="77777777" w:rsidR="005A5905" w:rsidRPr="00217865" w:rsidRDefault="005A5905" w:rsidP="00E76A8D">
            <w:pPr>
              <w:pStyle w:val="Body"/>
              <w:spacing w:before="60" w:after="60"/>
              <w:rPr>
                <w:rFonts w:cs="Arial"/>
                <w:color w:val="000000" w:themeColor="text1"/>
                <w:sz w:val="18"/>
                <w:szCs w:val="18"/>
              </w:rPr>
            </w:pPr>
          </w:p>
          <w:p w14:paraId="522E5889" w14:textId="77777777" w:rsidR="005A5905" w:rsidRPr="00217865" w:rsidRDefault="005A5905" w:rsidP="00E76A8D">
            <w:pPr>
              <w:pStyle w:val="Body"/>
              <w:spacing w:before="60" w:after="60"/>
              <w:rPr>
                <w:rFonts w:cs="Arial"/>
                <w:color w:val="000000" w:themeColor="text1"/>
                <w:sz w:val="18"/>
                <w:szCs w:val="18"/>
              </w:rPr>
            </w:pPr>
            <w:r w:rsidRPr="00217865">
              <w:rPr>
                <w:rFonts w:cs="Arial"/>
                <w:color w:val="000000" w:themeColor="text1"/>
                <w:sz w:val="18"/>
                <w:szCs w:val="18"/>
              </w:rPr>
              <w:t>How strongly do you agree or disagree that…</w:t>
            </w:r>
          </w:p>
        </w:tc>
        <w:tc>
          <w:tcPr>
            <w:tcW w:w="1764" w:type="pct"/>
          </w:tcPr>
          <w:p w14:paraId="570760A7"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a) I am free to express my views at &lt;E306CTXT&gt;</w:t>
            </w:r>
          </w:p>
          <w:p w14:paraId="5113BB30"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b) Academics are free to express their views at &lt;E306CTXT&gt;</w:t>
            </w:r>
          </w:p>
          <w:p w14:paraId="7D00F614"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c) I am free from discrimination, harm or hatred at &lt;E306CTXT&gt;</w:t>
            </w:r>
          </w:p>
        </w:tc>
        <w:tc>
          <w:tcPr>
            <w:tcW w:w="1763" w:type="pct"/>
          </w:tcPr>
          <w:p w14:paraId="28ED4EB5"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 xml:space="preserve">Strongly disagree / Disagree / Neither disagree </w:t>
            </w:r>
            <w:proofErr w:type="gramStart"/>
            <w:r w:rsidRPr="00217865">
              <w:rPr>
                <w:rFonts w:cs="Arial"/>
                <w:color w:val="000000" w:themeColor="text1"/>
              </w:rPr>
              <w:t>or</w:t>
            </w:r>
            <w:proofErr w:type="gramEnd"/>
            <w:r w:rsidRPr="00217865">
              <w:rPr>
                <w:rFonts w:cs="Arial"/>
                <w:color w:val="000000" w:themeColor="text1"/>
              </w:rPr>
              <w:t xml:space="preserve"> agree / Agree / Strongly agree</w:t>
            </w:r>
          </w:p>
        </w:tc>
      </w:tr>
    </w:tbl>
    <w:p w14:paraId="1090EAC9" w14:textId="10A92AD9" w:rsidR="005A5905" w:rsidRPr="00217865" w:rsidRDefault="005A5905" w:rsidP="0081215D">
      <w:pPr>
        <w:pStyle w:val="Tabletitle"/>
        <w:rPr>
          <w:i/>
        </w:rPr>
      </w:pPr>
      <w:bookmarkStart w:id="532" w:name="_Toc59697768"/>
      <w:bookmarkStart w:id="533" w:name="_Toc59697971"/>
      <w:bookmarkStart w:id="534" w:name="_Toc66806725"/>
      <w:bookmarkStart w:id="535" w:name="_Toc88770422"/>
      <w:bookmarkStart w:id="536" w:name="_Toc89115994"/>
      <w:bookmarkStart w:id="537" w:name="_Toc89116097"/>
      <w:bookmarkStart w:id="538" w:name="_Toc89693141"/>
      <w:bookmarkStart w:id="539" w:name="_Toc90928636"/>
      <w:bookmarkStart w:id="540" w:name="_Toc90929952"/>
      <w:bookmarkStart w:id="541" w:name="_Toc90965119"/>
      <w:bookmarkStart w:id="542" w:name="_Toc96016758"/>
      <w:bookmarkStart w:id="543" w:name="_Toc106962035"/>
      <w:bookmarkStart w:id="544" w:name="_Toc125629185"/>
      <w:bookmarkStart w:id="545" w:name="_Toc125643403"/>
      <w:bookmarkStart w:id="546" w:name="_Toc126088460"/>
      <w:bookmarkStart w:id="547" w:name="_Toc167872817"/>
      <w:bookmarkStart w:id="548" w:name="_Toc171884286"/>
      <w:bookmarkStart w:id="549" w:name="_Toc171899276"/>
      <w:bookmarkStart w:id="550" w:name="_Toc176450041"/>
      <w:bookmarkStart w:id="551" w:name="_Toc176960014"/>
      <w:bookmarkStart w:id="552" w:name="_Toc177033358"/>
      <w:bookmarkStart w:id="553" w:name="_Toc178168252"/>
      <w:bookmarkStart w:id="554" w:name="_Toc178599315"/>
      <w:bookmarkStart w:id="555" w:name="_Ref58483181"/>
      <w:bookmarkStart w:id="556" w:name="_Toc167872877"/>
      <w:bookmarkStart w:id="557" w:name="_Toc17859940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35</w:t>
      </w:r>
      <w:r w:rsidRPr="00217865">
        <w:rPr>
          <w:i/>
        </w:rPr>
        <w:fldChar w:fldCharType="end"/>
      </w:r>
      <w:bookmarkEnd w:id="555"/>
      <w:r w:rsidR="00CF00B5">
        <w:tab/>
      </w:r>
      <w:r w:rsidRPr="00217865">
        <w:t>2023 SES International Student Items</w:t>
      </w:r>
      <w:bookmarkEnd w:id="556"/>
      <w:bookmarkEnd w:id="557"/>
    </w:p>
    <w:tbl>
      <w:tblPr>
        <w:tblStyle w:val="QILTTableStylePH"/>
        <w:tblW w:w="5000" w:type="pct"/>
        <w:tblLook w:val="0020" w:firstRow="1" w:lastRow="0" w:firstColumn="0" w:lastColumn="0" w:noHBand="0" w:noVBand="0"/>
      </w:tblPr>
      <w:tblGrid>
        <w:gridCol w:w="2866"/>
        <w:gridCol w:w="3433"/>
        <w:gridCol w:w="3431"/>
      </w:tblGrid>
      <w:tr w:rsidR="00217865" w:rsidRPr="00217865" w14:paraId="1FA69EEA" w14:textId="77777777" w:rsidTr="00E76A8D">
        <w:trPr>
          <w:trHeight w:val="60"/>
          <w:tblHeader/>
        </w:trPr>
        <w:tc>
          <w:tcPr>
            <w:tcW w:w="1473" w:type="pct"/>
            <w:vAlign w:val="bottom"/>
          </w:tcPr>
          <w:p w14:paraId="228BCA75"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Stem</w:t>
            </w:r>
            <w:bookmarkStart w:id="558" w:name="Title_35"/>
            <w:bookmarkEnd w:id="558"/>
          </w:p>
        </w:tc>
        <w:tc>
          <w:tcPr>
            <w:tcW w:w="1764" w:type="pct"/>
            <w:vAlign w:val="bottom"/>
          </w:tcPr>
          <w:p w14:paraId="67E2AF23"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Item</w:t>
            </w:r>
          </w:p>
        </w:tc>
        <w:tc>
          <w:tcPr>
            <w:tcW w:w="1763" w:type="pct"/>
            <w:vAlign w:val="bottom"/>
          </w:tcPr>
          <w:p w14:paraId="7E65BA3C" w14:textId="77777777" w:rsidR="005A5905" w:rsidRPr="00217865" w:rsidRDefault="005A5905" w:rsidP="00E76A8D">
            <w:pPr>
              <w:pStyle w:val="TablecolumnheaderL"/>
              <w:spacing w:before="60" w:after="60"/>
              <w:rPr>
                <w:rFonts w:cs="Arial"/>
                <w:color w:val="000000" w:themeColor="text1"/>
              </w:rPr>
            </w:pPr>
            <w:r w:rsidRPr="00217865">
              <w:rPr>
                <w:rFonts w:cs="Arial"/>
                <w:color w:val="000000" w:themeColor="text1"/>
              </w:rPr>
              <w:t>Response scale</w:t>
            </w:r>
          </w:p>
        </w:tc>
      </w:tr>
      <w:tr w:rsidR="00217865" w:rsidRPr="00217865" w14:paraId="3A03AB03" w14:textId="77777777" w:rsidTr="0071460C">
        <w:trPr>
          <w:trHeight w:val="60"/>
        </w:trPr>
        <w:tc>
          <w:tcPr>
            <w:tcW w:w="1473" w:type="pct"/>
          </w:tcPr>
          <w:p w14:paraId="562B281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When deciding to study in Australia, how important was….</w:t>
            </w:r>
          </w:p>
        </w:tc>
        <w:tc>
          <w:tcPr>
            <w:tcW w:w="1764" w:type="pct"/>
          </w:tcPr>
          <w:p w14:paraId="50ADACDB"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a)</w:t>
            </w:r>
            <w:r w:rsidRPr="00217865">
              <w:rPr>
                <w:rFonts w:cs="Arial"/>
                <w:color w:val="000000" w:themeColor="text1"/>
              </w:rPr>
              <w:tab/>
              <w:t>The reputation of Australia’s education system?</w:t>
            </w:r>
          </w:p>
          <w:p w14:paraId="31CD37BC"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b)</w:t>
            </w:r>
            <w:r w:rsidRPr="00217865">
              <w:rPr>
                <w:rFonts w:cs="Arial"/>
                <w:color w:val="000000" w:themeColor="text1"/>
              </w:rPr>
              <w:tab/>
              <w:t>Your personal safety and security?</w:t>
            </w:r>
          </w:p>
          <w:p w14:paraId="28DFE989"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I)            The cost of living?</w:t>
            </w:r>
          </w:p>
          <w:p w14:paraId="310EF620"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c)</w:t>
            </w:r>
            <w:r w:rsidRPr="00217865">
              <w:rPr>
                <w:rFonts w:cs="Arial"/>
                <w:color w:val="000000" w:themeColor="text1"/>
              </w:rPr>
              <w:tab/>
              <w:t>The ability to work part-time?</w:t>
            </w:r>
          </w:p>
          <w:p w14:paraId="2604FCCC"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d)</w:t>
            </w:r>
            <w:r w:rsidRPr="00217865">
              <w:rPr>
                <w:rFonts w:cs="Arial"/>
                <w:color w:val="000000" w:themeColor="text1"/>
              </w:rPr>
              <w:tab/>
              <w:t>The opportunity to study in an English-speaking country?</w:t>
            </w:r>
          </w:p>
          <w:p w14:paraId="2862E96A"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e)</w:t>
            </w:r>
            <w:r w:rsidRPr="00217865">
              <w:rPr>
                <w:rFonts w:cs="Arial"/>
                <w:color w:val="000000" w:themeColor="text1"/>
              </w:rPr>
              <w:tab/>
              <w:t>Having friends and family already in Australia?</w:t>
            </w:r>
          </w:p>
          <w:p w14:paraId="75A15009"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f)</w:t>
            </w:r>
            <w:r w:rsidRPr="00217865">
              <w:rPr>
                <w:rFonts w:cs="Arial"/>
                <w:color w:val="000000" w:themeColor="text1"/>
              </w:rPr>
              <w:tab/>
              <w:t>The chance to experience a new culture/lifestyle?</w:t>
            </w:r>
          </w:p>
          <w:p w14:paraId="488862E1"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g)</w:t>
            </w:r>
            <w:r w:rsidRPr="00217865">
              <w:rPr>
                <w:rFonts w:cs="Arial"/>
                <w:color w:val="000000" w:themeColor="text1"/>
              </w:rPr>
              <w:tab/>
              <w:t>The possibility of migrating to Australia?</w:t>
            </w:r>
          </w:p>
          <w:p w14:paraId="3346241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h)</w:t>
            </w:r>
            <w:r w:rsidRPr="00217865">
              <w:rPr>
                <w:rFonts w:cs="Arial"/>
                <w:color w:val="000000" w:themeColor="text1"/>
              </w:rPr>
              <w:tab/>
              <w:t>The weather/climate?</w:t>
            </w:r>
          </w:p>
        </w:tc>
        <w:tc>
          <w:tcPr>
            <w:tcW w:w="1763" w:type="pct"/>
          </w:tcPr>
          <w:p w14:paraId="24E32B5F"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Extremely important / Important / Not important / Not at all important / Don’t know</w:t>
            </w:r>
          </w:p>
        </w:tc>
      </w:tr>
      <w:tr w:rsidR="00217865" w:rsidRPr="00217865" w14:paraId="6B9BF3AF" w14:textId="77777777" w:rsidTr="0071460C">
        <w:trPr>
          <w:trHeight w:val="60"/>
        </w:trPr>
        <w:tc>
          <w:tcPr>
            <w:tcW w:w="1473" w:type="pct"/>
          </w:tcPr>
          <w:p w14:paraId="39C46137"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When you were deciding to apply to &lt;E306CTXT&gt;, how important was…</w:t>
            </w:r>
          </w:p>
        </w:tc>
        <w:tc>
          <w:tcPr>
            <w:tcW w:w="1764" w:type="pct"/>
          </w:tcPr>
          <w:p w14:paraId="3DD24DA0"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a)</w:t>
            </w:r>
            <w:r w:rsidRPr="00217865">
              <w:rPr>
                <w:rFonts w:cs="Arial"/>
                <w:color w:val="000000" w:themeColor="text1"/>
              </w:rPr>
              <w:tab/>
              <w:t>The reputation of the education provider?</w:t>
            </w:r>
          </w:p>
          <w:p w14:paraId="47F8DA60"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b)</w:t>
            </w:r>
            <w:r w:rsidRPr="00217865">
              <w:rPr>
                <w:rFonts w:cs="Arial"/>
                <w:color w:val="000000" w:themeColor="text1"/>
              </w:rPr>
              <w:tab/>
              <w:t>The reputation of the qualification?</w:t>
            </w:r>
          </w:p>
          <w:p w14:paraId="30DE7A41"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c)</w:t>
            </w:r>
            <w:r w:rsidRPr="00217865">
              <w:rPr>
                <w:rFonts w:cs="Arial"/>
                <w:color w:val="000000" w:themeColor="text1"/>
              </w:rPr>
              <w:tab/>
              <w:t>&lt;E306CTXT&gt; offered the course I wanted to study?</w:t>
            </w:r>
          </w:p>
          <w:p w14:paraId="6204E03C"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d)</w:t>
            </w:r>
            <w:r w:rsidRPr="00217865">
              <w:rPr>
                <w:rFonts w:cs="Arial"/>
                <w:color w:val="000000" w:themeColor="text1"/>
              </w:rPr>
              <w:tab/>
              <w:t>The course fee?</w:t>
            </w:r>
          </w:p>
          <w:p w14:paraId="701B48B8"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e)</w:t>
            </w:r>
            <w:r w:rsidRPr="00217865">
              <w:rPr>
                <w:rFonts w:cs="Arial"/>
                <w:color w:val="000000" w:themeColor="text1"/>
              </w:rPr>
              <w:tab/>
              <w:t>Employment opportunities after completing the course?</w:t>
            </w:r>
          </w:p>
          <w:p w14:paraId="61C19C6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f)</w:t>
            </w:r>
            <w:r w:rsidRPr="00217865">
              <w:rPr>
                <w:rFonts w:cs="Arial"/>
                <w:color w:val="000000" w:themeColor="text1"/>
              </w:rPr>
              <w:tab/>
              <w:t>&lt;E306CTXT&gt; had a partnership with my local institution?</w:t>
            </w:r>
          </w:p>
          <w:p w14:paraId="5B99E213"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g)</w:t>
            </w:r>
            <w:r w:rsidRPr="00217865">
              <w:rPr>
                <w:rFonts w:cs="Arial"/>
                <w:color w:val="000000" w:themeColor="text1"/>
              </w:rPr>
              <w:tab/>
              <w:t>The location of the institution?</w:t>
            </w:r>
          </w:p>
        </w:tc>
        <w:tc>
          <w:tcPr>
            <w:tcW w:w="1763" w:type="pct"/>
          </w:tcPr>
          <w:p w14:paraId="3982D7C2"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Extremely important / Important / Not important / Not at all important / Don’t know</w:t>
            </w:r>
          </w:p>
        </w:tc>
      </w:tr>
      <w:tr w:rsidR="00217865" w:rsidRPr="00217865" w14:paraId="32AD1BF0" w14:textId="77777777" w:rsidTr="0071460C">
        <w:trPr>
          <w:trHeight w:val="60"/>
        </w:trPr>
        <w:tc>
          <w:tcPr>
            <w:tcW w:w="1473" w:type="pct"/>
          </w:tcPr>
          <w:p w14:paraId="58E061FB"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lastRenderedPageBreak/>
              <w:t>How satisfied are you with each of the following aspects of living in Australia?</w:t>
            </w:r>
          </w:p>
        </w:tc>
        <w:tc>
          <w:tcPr>
            <w:tcW w:w="1764" w:type="pct"/>
          </w:tcPr>
          <w:p w14:paraId="331BB91E"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a)</w:t>
            </w:r>
            <w:r w:rsidRPr="00217865">
              <w:rPr>
                <w:rFonts w:cs="Arial"/>
                <w:color w:val="000000" w:themeColor="text1"/>
              </w:rPr>
              <w:tab/>
              <w:t>Employment while studying</w:t>
            </w:r>
          </w:p>
          <w:p w14:paraId="4999930F"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b)</w:t>
            </w:r>
            <w:r w:rsidRPr="00217865">
              <w:rPr>
                <w:rFonts w:cs="Arial"/>
                <w:color w:val="000000" w:themeColor="text1"/>
              </w:rPr>
              <w:tab/>
              <w:t>Improving your English skills</w:t>
            </w:r>
          </w:p>
          <w:p w14:paraId="23AB7427"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c)</w:t>
            </w:r>
            <w:r w:rsidRPr="00217865">
              <w:rPr>
                <w:rFonts w:cs="Arial"/>
                <w:color w:val="000000" w:themeColor="text1"/>
              </w:rPr>
              <w:tab/>
              <w:t>Getting work experience in your field of study</w:t>
            </w:r>
          </w:p>
          <w:p w14:paraId="0393BD82"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d)</w:t>
            </w:r>
            <w:r w:rsidRPr="00217865">
              <w:rPr>
                <w:rFonts w:cs="Arial"/>
                <w:color w:val="000000" w:themeColor="text1"/>
              </w:rPr>
              <w:tab/>
              <w:t>Transport</w:t>
            </w:r>
          </w:p>
          <w:p w14:paraId="55D9E6B0"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e)</w:t>
            </w:r>
            <w:r w:rsidRPr="00217865">
              <w:rPr>
                <w:rFonts w:cs="Arial"/>
                <w:color w:val="000000" w:themeColor="text1"/>
              </w:rPr>
              <w:tab/>
              <w:t>Personal safety on campus</w:t>
            </w:r>
          </w:p>
          <w:p w14:paraId="2373CC33"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f)</w:t>
            </w:r>
            <w:r w:rsidRPr="00217865">
              <w:rPr>
                <w:rFonts w:cs="Arial"/>
                <w:color w:val="000000" w:themeColor="text1"/>
              </w:rPr>
              <w:tab/>
              <w:t>Personal safety off campus</w:t>
            </w:r>
          </w:p>
          <w:p w14:paraId="2C6D875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g)</w:t>
            </w:r>
            <w:r w:rsidRPr="00217865">
              <w:rPr>
                <w:rFonts w:cs="Arial"/>
                <w:color w:val="000000" w:themeColor="text1"/>
              </w:rPr>
              <w:tab/>
              <w:t>Making friends</w:t>
            </w:r>
          </w:p>
          <w:p w14:paraId="00EDBAAC"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h)</w:t>
            </w:r>
            <w:r w:rsidRPr="00217865">
              <w:rPr>
                <w:rFonts w:cs="Arial"/>
                <w:color w:val="000000" w:themeColor="text1"/>
              </w:rPr>
              <w:tab/>
              <w:t>Overall living experience in Australia</w:t>
            </w:r>
          </w:p>
        </w:tc>
        <w:tc>
          <w:tcPr>
            <w:tcW w:w="1763" w:type="pct"/>
          </w:tcPr>
          <w:p w14:paraId="3B1F1673"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Very satisfied / Satisfied / Dissatisfied / Very dissatisfied / Not applicable</w:t>
            </w:r>
          </w:p>
        </w:tc>
      </w:tr>
      <w:tr w:rsidR="00217865" w:rsidRPr="00217865" w14:paraId="0D9F35AD" w14:textId="77777777" w:rsidTr="0071460C">
        <w:trPr>
          <w:trHeight w:val="60"/>
        </w:trPr>
        <w:tc>
          <w:tcPr>
            <w:tcW w:w="1473" w:type="pct"/>
          </w:tcPr>
          <w:p w14:paraId="3615832E"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When coming to Australia, did you use an agent to help you with your visa application or to enrol at &lt;</w:t>
            </w:r>
            <w:r w:rsidRPr="00217865">
              <w:rPr>
                <w:rFonts w:cs="Arial"/>
                <w:b/>
                <w:color w:val="000000" w:themeColor="text1"/>
              </w:rPr>
              <w:t>E306CTXT</w:t>
            </w:r>
            <w:r w:rsidRPr="00217865">
              <w:rPr>
                <w:rFonts w:cs="Arial"/>
                <w:color w:val="000000" w:themeColor="text1"/>
              </w:rPr>
              <w:t>&gt;?</w:t>
            </w:r>
          </w:p>
        </w:tc>
        <w:tc>
          <w:tcPr>
            <w:tcW w:w="1764" w:type="pct"/>
          </w:tcPr>
          <w:p w14:paraId="72565001" w14:textId="23C95637" w:rsidR="005A5905" w:rsidRPr="00217865" w:rsidRDefault="00E76A8D" w:rsidP="00E76A8D">
            <w:pPr>
              <w:pStyle w:val="Tabletext"/>
              <w:spacing w:before="60" w:after="60"/>
              <w:rPr>
                <w:rFonts w:cs="Arial"/>
                <w:color w:val="000000" w:themeColor="text1"/>
              </w:rPr>
            </w:pPr>
            <w:r w:rsidRPr="00217865">
              <w:rPr>
                <w:rFonts w:cs="Arial"/>
                <w:color w:val="000000" w:themeColor="text1"/>
              </w:rPr>
              <w:t>-</w:t>
            </w:r>
          </w:p>
        </w:tc>
        <w:tc>
          <w:tcPr>
            <w:tcW w:w="1763" w:type="pct"/>
          </w:tcPr>
          <w:p w14:paraId="74481D76"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Yes / No</w:t>
            </w:r>
          </w:p>
        </w:tc>
      </w:tr>
      <w:tr w:rsidR="00217865" w:rsidRPr="00217865" w14:paraId="3951B7DD" w14:textId="77777777" w:rsidTr="0071460C">
        <w:trPr>
          <w:trHeight w:val="60"/>
        </w:trPr>
        <w:tc>
          <w:tcPr>
            <w:tcW w:w="1473" w:type="pct"/>
          </w:tcPr>
          <w:p w14:paraId="2FDAE06D"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How would you rate the overall service provided by the agent?</w:t>
            </w:r>
          </w:p>
        </w:tc>
        <w:tc>
          <w:tcPr>
            <w:tcW w:w="1764" w:type="pct"/>
          </w:tcPr>
          <w:p w14:paraId="7AE0805F" w14:textId="101C2BCF" w:rsidR="005A5905" w:rsidRPr="00217865" w:rsidRDefault="00E76A8D" w:rsidP="00E76A8D">
            <w:pPr>
              <w:pStyle w:val="Tabletext"/>
              <w:spacing w:before="60" w:after="60"/>
              <w:rPr>
                <w:rFonts w:cs="Arial"/>
                <w:color w:val="000000" w:themeColor="text1"/>
              </w:rPr>
            </w:pPr>
            <w:r w:rsidRPr="00217865">
              <w:rPr>
                <w:rFonts w:cs="Arial"/>
                <w:color w:val="000000" w:themeColor="text1"/>
              </w:rPr>
              <w:t>-</w:t>
            </w:r>
          </w:p>
        </w:tc>
        <w:tc>
          <w:tcPr>
            <w:tcW w:w="1763" w:type="pct"/>
          </w:tcPr>
          <w:p w14:paraId="11A9C75B"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Very good / Good / Poor / Very poor</w:t>
            </w:r>
          </w:p>
        </w:tc>
      </w:tr>
      <w:tr w:rsidR="00217865" w:rsidRPr="00217865" w14:paraId="48D20282" w14:textId="77777777" w:rsidTr="0071460C">
        <w:trPr>
          <w:trHeight w:val="60"/>
        </w:trPr>
        <w:tc>
          <w:tcPr>
            <w:tcW w:w="1473" w:type="pct"/>
          </w:tcPr>
          <w:p w14:paraId="0F076FE8"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Which of the following best describes your current living arrangements?</w:t>
            </w:r>
          </w:p>
        </w:tc>
        <w:tc>
          <w:tcPr>
            <w:tcW w:w="1764" w:type="pct"/>
          </w:tcPr>
          <w:p w14:paraId="2B5CC9DC" w14:textId="160670A5" w:rsidR="005A5905" w:rsidRPr="00217865" w:rsidRDefault="00E76A8D" w:rsidP="00E76A8D">
            <w:pPr>
              <w:pStyle w:val="Tabletext"/>
              <w:spacing w:before="60" w:after="60"/>
              <w:rPr>
                <w:rFonts w:cs="Arial"/>
                <w:color w:val="000000" w:themeColor="text1"/>
              </w:rPr>
            </w:pPr>
            <w:r w:rsidRPr="00217865">
              <w:rPr>
                <w:rFonts w:cs="Arial"/>
                <w:color w:val="000000" w:themeColor="text1"/>
              </w:rPr>
              <w:t>-</w:t>
            </w:r>
          </w:p>
        </w:tc>
        <w:tc>
          <w:tcPr>
            <w:tcW w:w="1763" w:type="pct"/>
          </w:tcPr>
          <w:p w14:paraId="21B8C7B4"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University or college halls of residence / Student house or flat controlled by university / Private halls or student hostel / Private rented house/flat/room / Homestay with a family not related to you / Living with parents / With friends or relatives in their accommodation / Other (please specify)</w:t>
            </w:r>
          </w:p>
        </w:tc>
      </w:tr>
      <w:tr w:rsidR="00217865" w:rsidRPr="00217865" w14:paraId="7671737C" w14:textId="77777777" w:rsidTr="0071460C">
        <w:trPr>
          <w:trHeight w:val="60"/>
        </w:trPr>
        <w:tc>
          <w:tcPr>
            <w:tcW w:w="1473" w:type="pct"/>
          </w:tcPr>
          <w:p w14:paraId="3BB6FEF5"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Overall, how satisfied are you with your current living arrangements?</w:t>
            </w:r>
          </w:p>
        </w:tc>
        <w:tc>
          <w:tcPr>
            <w:tcW w:w="1764" w:type="pct"/>
          </w:tcPr>
          <w:p w14:paraId="765FCCA6" w14:textId="0189942F" w:rsidR="005A5905" w:rsidRPr="00217865" w:rsidRDefault="00E76A8D" w:rsidP="00E76A8D">
            <w:pPr>
              <w:pStyle w:val="Tabletext"/>
              <w:spacing w:before="60" w:after="60"/>
              <w:rPr>
                <w:rFonts w:cs="Arial"/>
                <w:color w:val="000000" w:themeColor="text1"/>
              </w:rPr>
            </w:pPr>
            <w:r w:rsidRPr="00217865">
              <w:rPr>
                <w:rFonts w:cs="Arial"/>
                <w:color w:val="000000" w:themeColor="text1"/>
              </w:rPr>
              <w:t>-</w:t>
            </w:r>
          </w:p>
        </w:tc>
        <w:tc>
          <w:tcPr>
            <w:tcW w:w="1763" w:type="pct"/>
          </w:tcPr>
          <w:p w14:paraId="543AFFBA"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Very satisfied / Satisfied / Dissatisfied / Very dissatisfied</w:t>
            </w:r>
          </w:p>
        </w:tc>
      </w:tr>
      <w:tr w:rsidR="005A5905" w:rsidRPr="00217865" w14:paraId="5EC1D0B9" w14:textId="77777777" w:rsidTr="0071460C">
        <w:trPr>
          <w:trHeight w:val="60"/>
        </w:trPr>
        <w:tc>
          <w:tcPr>
            <w:tcW w:w="1473" w:type="pct"/>
          </w:tcPr>
          <w:p w14:paraId="796851FB"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Why are you dissatisfied with your current living arrangements?</w:t>
            </w:r>
          </w:p>
        </w:tc>
        <w:tc>
          <w:tcPr>
            <w:tcW w:w="1764" w:type="pct"/>
          </w:tcPr>
          <w:p w14:paraId="321E06CA" w14:textId="626616E7" w:rsidR="005A5905" w:rsidRPr="00217865" w:rsidRDefault="00E76A8D" w:rsidP="00E76A8D">
            <w:pPr>
              <w:pStyle w:val="Tabletext"/>
              <w:spacing w:before="60" w:after="60"/>
              <w:rPr>
                <w:rFonts w:cs="Arial"/>
                <w:color w:val="000000" w:themeColor="text1"/>
              </w:rPr>
            </w:pPr>
            <w:r w:rsidRPr="00217865">
              <w:rPr>
                <w:rFonts w:cs="Arial"/>
                <w:color w:val="000000" w:themeColor="text1"/>
              </w:rPr>
              <w:t>-</w:t>
            </w:r>
          </w:p>
        </w:tc>
        <w:tc>
          <w:tcPr>
            <w:tcW w:w="1763" w:type="pct"/>
          </w:tcPr>
          <w:p w14:paraId="44F74FEB" w14:textId="77777777" w:rsidR="005A5905" w:rsidRPr="00217865" w:rsidRDefault="005A5905" w:rsidP="00E76A8D">
            <w:pPr>
              <w:pStyle w:val="Tabletext"/>
              <w:spacing w:before="60" w:after="60"/>
              <w:rPr>
                <w:rFonts w:cs="Arial"/>
                <w:color w:val="000000" w:themeColor="text1"/>
              </w:rPr>
            </w:pPr>
            <w:r w:rsidRPr="00217865">
              <w:rPr>
                <w:rFonts w:cs="Arial"/>
                <w:color w:val="000000" w:themeColor="text1"/>
              </w:rPr>
              <w:t>Too expensive / Not enough space / Too noisy / I am lonely / Issues with housemates / Issues with landlord or agent / Dirty / Old/bad condition / Slow internet / Located too far from institution / Other (please specify)</w:t>
            </w:r>
          </w:p>
        </w:tc>
      </w:tr>
    </w:tbl>
    <w:p w14:paraId="3D964786" w14:textId="77777777" w:rsidR="005A5905" w:rsidRPr="00217865" w:rsidRDefault="005A5905" w:rsidP="005A5905">
      <w:pPr>
        <w:rPr>
          <w:rFonts w:cs="Arial"/>
          <w:color w:val="000000" w:themeColor="text1"/>
          <w:lang w:val="en-GB"/>
        </w:rPr>
      </w:pPr>
    </w:p>
    <w:p w14:paraId="4942BEEA" w14:textId="4E2CD357" w:rsidR="005A5905" w:rsidRPr="00217865" w:rsidRDefault="00E13525" w:rsidP="00E13525">
      <w:pPr>
        <w:pStyle w:val="Appendix2"/>
        <w:numPr>
          <w:ilvl w:val="0"/>
          <w:numId w:val="25"/>
        </w:numPr>
        <w:ind w:left="709" w:hanging="720"/>
      </w:pPr>
      <w:bookmarkStart w:id="559" w:name="_Toc167872818"/>
      <w:bookmarkStart w:id="560" w:name="_Toc178599316"/>
      <w:r>
        <w:t xml:space="preserve"> </w:t>
      </w:r>
      <w:r>
        <w:tab/>
      </w:r>
      <w:r w:rsidR="005A5905" w:rsidRPr="00217865">
        <w:t>Institution-specific items</w:t>
      </w:r>
      <w:bookmarkEnd w:id="559"/>
      <w:bookmarkEnd w:id="560"/>
    </w:p>
    <w:p w14:paraId="7085F02F" w14:textId="77777777" w:rsidR="00B14C62" w:rsidRPr="00217865" w:rsidRDefault="005A5905" w:rsidP="00E13525">
      <w:pPr>
        <w:pStyle w:val="Body"/>
        <w:rPr>
          <w:rFonts w:cs="Arial"/>
          <w:color w:val="000000" w:themeColor="text1"/>
        </w:rPr>
      </w:pPr>
      <w:r w:rsidRPr="00217865">
        <w:rPr>
          <w:rFonts w:cs="Arial"/>
          <w:color w:val="000000" w:themeColor="text1"/>
        </w:rPr>
        <w:t xml:space="preserve">Institutions were offered the option of including non-standard, institution-specific items as part of the 2023 SES. In total, 17 institutions chose to include their own items. In addition to this, 11 institutions chose to include the Workplace Relevance Scale; seven institutions chose to include the at-risk item; Navitas Colleges included a series of </w:t>
      </w:r>
      <w:proofErr w:type="gramStart"/>
      <w:r w:rsidRPr="00217865">
        <w:rPr>
          <w:rFonts w:cs="Arial"/>
          <w:color w:val="000000" w:themeColor="text1"/>
        </w:rPr>
        <w:t>items</w:t>
      </w:r>
      <w:proofErr w:type="gramEnd"/>
      <w:r w:rsidRPr="00217865">
        <w:rPr>
          <w:rFonts w:cs="Arial"/>
          <w:color w:val="000000" w:themeColor="text1"/>
        </w:rPr>
        <w:t xml:space="preserve"> and the Independent Higher Education Association (IHEA) included an item for its member institutions. </w:t>
      </w:r>
    </w:p>
    <w:p w14:paraId="5D5C2EC3" w14:textId="77777777" w:rsidR="00B14C62" w:rsidRPr="00217865" w:rsidRDefault="00B14C62" w:rsidP="00E13525">
      <w:pPr>
        <w:pStyle w:val="Body"/>
        <w:rPr>
          <w:rFonts w:cs="Arial"/>
          <w:color w:val="000000" w:themeColor="text1"/>
        </w:rPr>
      </w:pPr>
      <w:r w:rsidRPr="00217865">
        <w:rPr>
          <w:rFonts w:cs="Arial"/>
          <w:color w:val="000000" w:themeColor="text1"/>
        </w:rPr>
        <w:t>Forty-eight institutions also chose to include an optional Wellbeing module developed in consultation with higher education institutions that was implemented in the SES for the first time in 2023. This module included items from the Personal Wellbeing Index and questions in relation to stress level, ability to cope with stress as well as gender and orientation.</w:t>
      </w:r>
    </w:p>
    <w:p w14:paraId="347ADA10" w14:textId="77777777" w:rsidR="00B14C62" w:rsidRPr="00217865" w:rsidRDefault="00B14C62" w:rsidP="00E13525">
      <w:pPr>
        <w:pStyle w:val="Body"/>
        <w:rPr>
          <w:rFonts w:cs="Arial"/>
          <w:color w:val="000000" w:themeColor="text1"/>
        </w:rPr>
      </w:pPr>
      <w:r w:rsidRPr="00217865">
        <w:rPr>
          <w:rFonts w:cs="Arial"/>
          <w:color w:val="000000" w:themeColor="text1"/>
        </w:rPr>
        <w:t>These institution-specific items were only presented to students after they had completed the SEQ, resulting in a clear demarcation between the two survey modules. A statement was also added before the institution-specific items to further emphasise this: “The following items have been included by &lt;E306CTXT&gt; to gather feedback from current students on issues important to their institution”.</w:t>
      </w:r>
    </w:p>
    <w:p w14:paraId="10CED9DA" w14:textId="77777777" w:rsidR="005A5905" w:rsidRPr="00217865" w:rsidRDefault="005A5905" w:rsidP="005A5905">
      <w:pPr>
        <w:pStyle w:val="Heading1"/>
        <w:spacing w:before="240" w:after="0"/>
        <w:rPr>
          <w:rFonts w:cs="Arial"/>
          <w:color w:val="000000" w:themeColor="text1"/>
          <w:highlight w:val="yellow"/>
        </w:rPr>
        <w:sectPr w:rsidR="005A5905" w:rsidRPr="00217865" w:rsidSect="009F5875">
          <w:pgSz w:w="11900" w:h="16840"/>
          <w:pgMar w:top="1440" w:right="1080" w:bottom="1440" w:left="1080" w:header="397" w:footer="170" w:gutter="0"/>
          <w:cols w:space="708"/>
          <w:docGrid w:linePitch="360"/>
        </w:sectPr>
      </w:pPr>
      <w:bookmarkStart w:id="561" w:name="_Ref58490679"/>
      <w:bookmarkStart w:id="562" w:name="_Ref164850333"/>
      <w:bookmarkStart w:id="563" w:name="_Toc531104124"/>
    </w:p>
    <w:p w14:paraId="43FD4EA3" w14:textId="5DA35BA7" w:rsidR="005A5905" w:rsidRPr="00217865" w:rsidRDefault="005A5905" w:rsidP="005A5905">
      <w:pPr>
        <w:tabs>
          <w:tab w:val="left" w:pos="2400"/>
        </w:tabs>
        <w:rPr>
          <w:rFonts w:cs="Arial"/>
          <w:color w:val="000000" w:themeColor="text1"/>
        </w:rPr>
        <w:sectPr w:rsidR="005A5905" w:rsidRPr="00217865" w:rsidSect="005A5905">
          <w:type w:val="continuous"/>
          <w:pgSz w:w="11900" w:h="16840"/>
          <w:pgMar w:top="1440" w:right="1080" w:bottom="1440" w:left="1080" w:header="397" w:footer="170" w:gutter="0"/>
          <w:cols w:space="708"/>
          <w:docGrid w:linePitch="360"/>
        </w:sectPr>
      </w:pPr>
    </w:p>
    <w:p w14:paraId="67BE9137" w14:textId="09F9245A" w:rsidR="005A5905" w:rsidRPr="00217865" w:rsidRDefault="005A5905" w:rsidP="00535E2A">
      <w:pPr>
        <w:pStyle w:val="AppendixHeading"/>
        <w:numPr>
          <w:ilvl w:val="0"/>
          <w:numId w:val="44"/>
        </w:numPr>
        <w:rPr>
          <w:rFonts w:cs="Arial"/>
          <w:color w:val="000000" w:themeColor="text1"/>
        </w:rPr>
      </w:pPr>
      <w:bookmarkStart w:id="564" w:name="_Ref167703459"/>
      <w:bookmarkStart w:id="565" w:name="_Toc167872819"/>
      <w:bookmarkStart w:id="566" w:name="_Toc178599317"/>
      <w:r w:rsidRPr="00217865">
        <w:rPr>
          <w:rFonts w:cs="Arial"/>
          <w:color w:val="000000" w:themeColor="text1"/>
        </w:rPr>
        <w:lastRenderedPageBreak/>
        <w:t>Production of scores</w:t>
      </w:r>
      <w:bookmarkEnd w:id="561"/>
      <w:bookmarkEnd w:id="562"/>
      <w:bookmarkEnd w:id="564"/>
      <w:bookmarkEnd w:id="565"/>
      <w:bookmarkEnd w:id="566"/>
    </w:p>
    <w:bookmarkEnd w:id="563"/>
    <w:p w14:paraId="2E0CD72B" w14:textId="77777777" w:rsidR="00C17DD7" w:rsidRPr="00217865" w:rsidRDefault="00C17DD7" w:rsidP="00C17DD7">
      <w:pPr>
        <w:pStyle w:val="Body"/>
        <w:rPr>
          <w:rFonts w:cs="Arial"/>
          <w:color w:val="000000" w:themeColor="text1"/>
        </w:rPr>
      </w:pPr>
      <w:r w:rsidRPr="00217865">
        <w:rPr>
          <w:rFonts w:cs="Arial"/>
          <w:color w:val="000000" w:themeColor="text1"/>
        </w:rPr>
        <w:t>The reporting metric for the SES focus areas is the percentage of students that rated their experience positively, so calculated variables must be created for each focus area. A series of steps are taken to produce the focus area percentage positive results and individual focus area item scores used in this report. Descriptions of how focus area-level and item-level metrics are produced, as well as an example of a scored record and a selection of the SPSS syntax used to produce these scores, are presented below.</w:t>
      </w:r>
    </w:p>
    <w:p w14:paraId="3DA762F0" w14:textId="77777777" w:rsidR="00C17DD7" w:rsidRPr="00217865" w:rsidRDefault="00C17DD7" w:rsidP="00C17DD7">
      <w:pPr>
        <w:pStyle w:val="Body"/>
        <w:rPr>
          <w:rFonts w:cs="Arial"/>
          <w:color w:val="000000" w:themeColor="text1"/>
        </w:rPr>
      </w:pPr>
      <w:r w:rsidRPr="00217865">
        <w:rPr>
          <w:rFonts w:cs="Arial"/>
          <w:color w:val="000000" w:themeColor="text1"/>
        </w:rPr>
        <w:t>Extensive consultation with the higher education sector indicated a near-universal preference for the reporting of percentage positive results over focus area average scores. Percentage positive results were seen as being a more understandable measure, especially for less expert users of the SES data, and are straightforward for institutions to replicate and benchmark against. As such, percentage positive results are presented throughout this report. One consequence of this is that the results presented in the 2013 and 2014 UES reports and the 2015–2022 SES reports are not directly comparable to those presented in the 2011 and 2012 reports.</w:t>
      </w:r>
    </w:p>
    <w:p w14:paraId="598B749E" w14:textId="77777777" w:rsidR="00C17DD7" w:rsidRPr="00217865" w:rsidRDefault="00C17DD7" w:rsidP="00E13525">
      <w:pPr>
        <w:pStyle w:val="Appendix2"/>
        <w:numPr>
          <w:ilvl w:val="0"/>
          <w:numId w:val="26"/>
        </w:numPr>
        <w:ind w:left="1134" w:hanging="1134"/>
      </w:pPr>
      <w:bookmarkStart w:id="567" w:name="_Toc169679817"/>
      <w:bookmarkStart w:id="568" w:name="_Toc178599318"/>
      <w:r w:rsidRPr="00217865">
        <w:t>Focus area-level scores</w:t>
      </w:r>
      <w:bookmarkEnd w:id="567"/>
      <w:bookmarkEnd w:id="568"/>
    </w:p>
    <w:p w14:paraId="5605ACA9" w14:textId="1872919F" w:rsidR="00C17DD7" w:rsidRPr="00217865" w:rsidRDefault="00C17DD7" w:rsidP="00C17DD7">
      <w:pPr>
        <w:pStyle w:val="Body"/>
        <w:rPr>
          <w:rFonts w:cs="Arial"/>
          <w:color w:val="000000" w:themeColor="text1"/>
        </w:rPr>
      </w:pPr>
      <w:r w:rsidRPr="00217865">
        <w:rPr>
          <w:rFonts w:cs="Arial"/>
          <w:color w:val="000000" w:themeColor="text1"/>
        </w:rPr>
        <w:t xml:space="preserve">To begin focus-area level calculations, all underlying items are rescaled into values from 0 to 100. Four-point scale responses are recoded to 0, 33.33, 66.66 and 100, and five-point scale responses are recoded to 0, 25, 50, 75 and 100. Columns B and C of </w:t>
      </w:r>
      <w:r w:rsidRPr="001E2723">
        <w:rPr>
          <w:rFonts w:cs="Arial"/>
          <w:b/>
          <w:bCs/>
          <w:color w:val="000000" w:themeColor="text1"/>
        </w:rPr>
        <w:fldChar w:fldCharType="begin"/>
      </w:r>
      <w:r w:rsidRPr="001E2723">
        <w:rPr>
          <w:rFonts w:cs="Arial"/>
          <w:b/>
          <w:bCs/>
          <w:color w:val="000000" w:themeColor="text1"/>
        </w:rPr>
        <w:instrText xml:space="preserve"> REF _Ref169705852 \h  \* MERGEFORMAT </w:instrText>
      </w:r>
      <w:r w:rsidRPr="001E2723">
        <w:rPr>
          <w:rFonts w:cs="Arial"/>
          <w:b/>
          <w:bCs/>
          <w:color w:val="000000" w:themeColor="text1"/>
        </w:rPr>
      </w:r>
      <w:r w:rsidRPr="001E2723">
        <w:rPr>
          <w:rFonts w:cs="Arial"/>
          <w:b/>
          <w:bCs/>
          <w:color w:val="000000" w:themeColor="text1"/>
        </w:rPr>
        <w:fldChar w:fldCharType="separate"/>
      </w:r>
      <w:r w:rsidR="005D5678" w:rsidRPr="001E2723">
        <w:rPr>
          <w:b/>
          <w:bCs/>
        </w:rPr>
        <w:t xml:space="preserve">Table </w:t>
      </w:r>
      <w:r w:rsidR="005D5678" w:rsidRPr="001E2723">
        <w:rPr>
          <w:b/>
          <w:bCs/>
          <w:noProof/>
        </w:rPr>
        <w:t>36</w:t>
      </w:r>
      <w:r w:rsidRPr="001E2723">
        <w:rPr>
          <w:rFonts w:cs="Arial"/>
          <w:b/>
          <w:bCs/>
          <w:color w:val="000000" w:themeColor="text1"/>
        </w:rPr>
        <w:fldChar w:fldCharType="end"/>
      </w:r>
      <w:r w:rsidRPr="00217865">
        <w:rPr>
          <w:rFonts w:cs="Arial"/>
          <w:color w:val="000000" w:themeColor="text1"/>
        </w:rPr>
        <w:t xml:space="preserve"> show an example of this initial rescaling of values. An example of the SPSS syntax to recode the SEQ items into the 0 to 100 scale is shown in</w:t>
      </w:r>
      <w:r w:rsidR="001D1384" w:rsidRPr="001E2723">
        <w:rPr>
          <w:rFonts w:cs="Arial"/>
          <w:b/>
          <w:bCs/>
          <w:color w:val="000000" w:themeColor="text1"/>
        </w:rPr>
        <w:t xml:space="preserve"> </w:t>
      </w:r>
      <w:r w:rsidR="001D1384" w:rsidRPr="001E2723">
        <w:rPr>
          <w:rFonts w:cs="Arial"/>
          <w:b/>
          <w:bCs/>
          <w:color w:val="000000" w:themeColor="text1"/>
        </w:rPr>
        <w:fldChar w:fldCharType="begin"/>
      </w:r>
      <w:r w:rsidR="001D1384" w:rsidRPr="001E2723">
        <w:rPr>
          <w:rFonts w:cs="Arial"/>
          <w:b/>
          <w:bCs/>
          <w:color w:val="000000" w:themeColor="text1"/>
        </w:rPr>
        <w:instrText xml:space="preserve"> REF _Ref175646762 \h  \* MERGEFORMAT </w:instrText>
      </w:r>
      <w:r w:rsidR="001D1384" w:rsidRPr="001E2723">
        <w:rPr>
          <w:rFonts w:cs="Arial"/>
          <w:b/>
          <w:bCs/>
          <w:color w:val="000000" w:themeColor="text1"/>
        </w:rPr>
      </w:r>
      <w:r w:rsidR="001D1384" w:rsidRPr="001E2723">
        <w:rPr>
          <w:rFonts w:cs="Arial"/>
          <w:b/>
          <w:bCs/>
          <w:color w:val="000000" w:themeColor="text1"/>
        </w:rPr>
        <w:fldChar w:fldCharType="separate"/>
      </w:r>
      <w:r w:rsidR="005D5678" w:rsidRPr="001E2723">
        <w:rPr>
          <w:b/>
          <w:bCs/>
        </w:rPr>
        <w:t xml:space="preserve">Figure </w:t>
      </w:r>
      <w:r w:rsidR="005D5678" w:rsidRPr="001E2723">
        <w:rPr>
          <w:b/>
          <w:bCs/>
          <w:noProof/>
        </w:rPr>
        <w:t>24</w:t>
      </w:r>
      <w:r w:rsidR="001D1384" w:rsidRPr="001E2723">
        <w:rPr>
          <w:rFonts w:cs="Arial"/>
          <w:b/>
          <w:bCs/>
          <w:color w:val="000000" w:themeColor="text1"/>
        </w:rPr>
        <w:fldChar w:fldCharType="end"/>
      </w:r>
      <w:r w:rsidRPr="00217865">
        <w:rPr>
          <w:rFonts w:cs="Arial"/>
          <w:color w:val="000000" w:themeColor="text1"/>
        </w:rPr>
        <w:t>.</w:t>
      </w:r>
    </w:p>
    <w:p w14:paraId="32BDB260" w14:textId="77777777" w:rsidR="00C17DD7" w:rsidRPr="00217865" w:rsidRDefault="00C17DD7" w:rsidP="00835CE6">
      <w:pPr>
        <w:pStyle w:val="Body"/>
        <w:rPr>
          <w:rFonts w:cs="Arial"/>
          <w:b/>
          <w:iCs/>
          <w:color w:val="000000" w:themeColor="text1"/>
        </w:rPr>
      </w:pPr>
      <w:r w:rsidRPr="00217865">
        <w:rPr>
          <w:rFonts w:cs="Arial"/>
          <w:color w:val="000000" w:themeColor="text1"/>
        </w:rPr>
        <w:t>Note: Rescaled variables are denoted with an ‘r’ suffix in the SPSS syntax.</w:t>
      </w:r>
    </w:p>
    <w:p w14:paraId="3270E4B1" w14:textId="60184F52" w:rsidR="00C17DD7" w:rsidRPr="00217865" w:rsidRDefault="00C17DD7" w:rsidP="00C17DD7">
      <w:pPr>
        <w:pStyle w:val="Body"/>
        <w:rPr>
          <w:rFonts w:cs="Arial"/>
          <w:color w:val="000000" w:themeColor="text1"/>
        </w:rPr>
      </w:pPr>
      <w:r w:rsidRPr="00217865">
        <w:rPr>
          <w:rFonts w:cs="Arial"/>
          <w:color w:val="000000" w:themeColor="text1"/>
        </w:rPr>
        <w:t>Next, scores for each focus area are computed as the mean of the constituent items’ rescaled values. A focus area score is only computed for respondents who have a valid item value for at least six Skills Development items, four Peer Engagement items, eight Teaching Quality items, five Student Support and Services items and five Learning Resources items, respectively. Column E of</w:t>
      </w:r>
      <w:r w:rsidRPr="001E2723">
        <w:rPr>
          <w:rFonts w:cs="Arial"/>
          <w:b/>
          <w:bCs/>
          <w:color w:val="000000" w:themeColor="text1"/>
        </w:rPr>
        <w:t xml:space="preserve"> </w:t>
      </w:r>
      <w:r w:rsidR="00993B1D" w:rsidRPr="001E2723">
        <w:rPr>
          <w:rFonts w:cs="Arial"/>
          <w:b/>
          <w:bCs/>
          <w:color w:val="000000" w:themeColor="text1"/>
        </w:rPr>
        <w:fldChar w:fldCharType="begin"/>
      </w:r>
      <w:r w:rsidR="00993B1D" w:rsidRPr="001E2723">
        <w:rPr>
          <w:rFonts w:cs="Arial"/>
          <w:b/>
          <w:bCs/>
          <w:color w:val="000000" w:themeColor="text1"/>
        </w:rPr>
        <w:instrText xml:space="preserve"> REF _Ref169705852 \h </w:instrText>
      </w:r>
      <w:r w:rsidR="00A6216F" w:rsidRPr="001E2723">
        <w:rPr>
          <w:rFonts w:cs="Arial"/>
          <w:b/>
          <w:bCs/>
          <w:color w:val="000000" w:themeColor="text1"/>
        </w:rPr>
        <w:instrText xml:space="preserve"> \* MERGEFORMAT </w:instrText>
      </w:r>
      <w:r w:rsidR="00993B1D" w:rsidRPr="001E2723">
        <w:rPr>
          <w:rFonts w:cs="Arial"/>
          <w:b/>
          <w:bCs/>
          <w:color w:val="000000" w:themeColor="text1"/>
        </w:rPr>
      </w:r>
      <w:r w:rsidR="00993B1D" w:rsidRPr="001E2723">
        <w:rPr>
          <w:rFonts w:cs="Arial"/>
          <w:b/>
          <w:bCs/>
          <w:color w:val="000000" w:themeColor="text1"/>
        </w:rPr>
        <w:fldChar w:fldCharType="separate"/>
      </w:r>
      <w:r w:rsidR="00993B1D" w:rsidRPr="001E2723">
        <w:rPr>
          <w:rFonts w:cs="Arial"/>
          <w:b/>
          <w:bCs/>
          <w:color w:val="000000" w:themeColor="text1"/>
        </w:rPr>
        <w:fldChar w:fldCharType="end"/>
      </w:r>
      <w:r w:rsidRPr="001E2723">
        <w:rPr>
          <w:rFonts w:cs="Arial"/>
          <w:b/>
          <w:bCs/>
          <w:color w:val="000000" w:themeColor="text1"/>
        </w:rPr>
        <w:fldChar w:fldCharType="begin"/>
      </w:r>
      <w:r w:rsidRPr="001E2723">
        <w:rPr>
          <w:rFonts w:cs="Arial"/>
          <w:b/>
          <w:bCs/>
          <w:color w:val="000000" w:themeColor="text1"/>
        </w:rPr>
        <w:instrText xml:space="preserve"> REF _Ref169705852 \h  \* MERGEFORMAT </w:instrText>
      </w:r>
      <w:r w:rsidRPr="001E2723">
        <w:rPr>
          <w:rFonts w:cs="Arial"/>
          <w:b/>
          <w:bCs/>
          <w:color w:val="000000" w:themeColor="text1"/>
        </w:rPr>
      </w:r>
      <w:r w:rsidRPr="001E2723">
        <w:rPr>
          <w:rFonts w:cs="Arial"/>
          <w:b/>
          <w:bCs/>
          <w:color w:val="000000" w:themeColor="text1"/>
        </w:rPr>
        <w:fldChar w:fldCharType="separate"/>
      </w:r>
      <w:r w:rsidR="005D5678" w:rsidRPr="001E2723">
        <w:rPr>
          <w:b/>
          <w:bCs/>
        </w:rPr>
        <w:t xml:space="preserve">Table </w:t>
      </w:r>
      <w:r w:rsidR="005D5678" w:rsidRPr="001E2723">
        <w:rPr>
          <w:b/>
          <w:bCs/>
          <w:noProof/>
        </w:rPr>
        <w:t>36</w:t>
      </w:r>
      <w:r w:rsidRPr="001E2723">
        <w:rPr>
          <w:rFonts w:cs="Arial"/>
          <w:b/>
          <w:bCs/>
          <w:color w:val="000000" w:themeColor="text1"/>
        </w:rPr>
        <w:fldChar w:fldCharType="end"/>
      </w:r>
      <w:r w:rsidRPr="00217865">
        <w:rPr>
          <w:rFonts w:cs="Arial"/>
          <w:color w:val="000000" w:themeColor="text1"/>
        </w:rPr>
        <w:t xml:space="preserve"> displays the focus area score (i.e., the mean of the rescaled values in Column C) for the example respondent. An example of the SPSS syntax used to generate focus area scores is shown in</w:t>
      </w:r>
      <w:r w:rsidR="001D1384" w:rsidRPr="00217865">
        <w:rPr>
          <w:rFonts w:cs="Arial"/>
          <w:b/>
          <w:bCs/>
          <w:color w:val="000000" w:themeColor="text1"/>
        </w:rPr>
        <w:t xml:space="preserve"> </w:t>
      </w:r>
      <w:r w:rsidR="00683139" w:rsidRPr="001E2723">
        <w:rPr>
          <w:rFonts w:cs="Arial"/>
          <w:b/>
          <w:bCs/>
          <w:color w:val="000000" w:themeColor="text1"/>
        </w:rPr>
        <w:fldChar w:fldCharType="begin"/>
      </w:r>
      <w:r w:rsidR="00683139" w:rsidRPr="001E2723">
        <w:rPr>
          <w:rFonts w:cs="Arial"/>
          <w:b/>
          <w:bCs/>
          <w:color w:val="000000" w:themeColor="text1"/>
        </w:rPr>
        <w:instrText xml:space="preserve"> REF _Ref176350542 \h  \* MERGEFORMAT </w:instrText>
      </w:r>
      <w:r w:rsidR="00683139" w:rsidRPr="001E2723">
        <w:rPr>
          <w:rFonts w:cs="Arial"/>
          <w:b/>
          <w:bCs/>
          <w:color w:val="000000" w:themeColor="text1"/>
        </w:rPr>
      </w:r>
      <w:r w:rsidR="00683139" w:rsidRPr="001E2723">
        <w:rPr>
          <w:rFonts w:cs="Arial"/>
          <w:b/>
          <w:bCs/>
          <w:color w:val="000000" w:themeColor="text1"/>
        </w:rPr>
        <w:fldChar w:fldCharType="separate"/>
      </w:r>
      <w:r w:rsidR="005D5678" w:rsidRPr="001E2723">
        <w:rPr>
          <w:b/>
          <w:bCs/>
        </w:rPr>
        <w:t xml:space="preserve">Figure </w:t>
      </w:r>
      <w:r w:rsidR="005D5678" w:rsidRPr="001E2723">
        <w:rPr>
          <w:b/>
          <w:bCs/>
          <w:noProof/>
        </w:rPr>
        <w:t>25</w:t>
      </w:r>
      <w:r w:rsidR="00683139" w:rsidRPr="001E2723">
        <w:rPr>
          <w:rFonts w:cs="Arial"/>
          <w:b/>
          <w:bCs/>
          <w:color w:val="000000" w:themeColor="text1"/>
        </w:rPr>
        <w:fldChar w:fldCharType="end"/>
      </w:r>
      <w:r w:rsidRPr="00217865">
        <w:rPr>
          <w:rFonts w:cs="Arial"/>
          <w:color w:val="000000" w:themeColor="text1"/>
        </w:rPr>
        <w:t xml:space="preserve">. </w:t>
      </w:r>
    </w:p>
    <w:p w14:paraId="30022FA5" w14:textId="4670C163" w:rsidR="00C17DD7" w:rsidRPr="00217865" w:rsidRDefault="00C17DD7" w:rsidP="00C17DD7">
      <w:pPr>
        <w:pStyle w:val="Body"/>
        <w:rPr>
          <w:rFonts w:cs="Arial"/>
          <w:color w:val="000000" w:themeColor="text1"/>
        </w:rPr>
      </w:pPr>
      <w:r w:rsidRPr="00217865">
        <w:rPr>
          <w:rFonts w:cs="Arial"/>
          <w:color w:val="000000" w:themeColor="text1"/>
        </w:rPr>
        <w:t>A positive response for the focus area is represented by a binary variable taking the value of ‘1’ if the student gives a positive response across a particular facet of their higher education experience (defined as an average of 55 or greater) and ‘0’ otherwise. These derived variables are denoted with the ‘SAT’ suffix.</w:t>
      </w:r>
      <w:r w:rsidRPr="001E2723">
        <w:rPr>
          <w:rFonts w:cs="Arial"/>
          <w:b/>
          <w:bCs/>
          <w:color w:val="000000" w:themeColor="text1"/>
        </w:rPr>
        <w:t xml:space="preserve"> </w:t>
      </w:r>
      <w:r w:rsidRPr="001E2723">
        <w:rPr>
          <w:rFonts w:cs="Arial"/>
          <w:b/>
          <w:bCs/>
          <w:color w:val="000000" w:themeColor="text1"/>
        </w:rPr>
        <w:fldChar w:fldCharType="begin"/>
      </w:r>
      <w:r w:rsidRPr="001E2723">
        <w:rPr>
          <w:rFonts w:cs="Arial"/>
          <w:b/>
          <w:bCs/>
          <w:color w:val="000000" w:themeColor="text1"/>
        </w:rPr>
        <w:instrText xml:space="preserve"> REF _Ref169705852 \h  \* MERGEFORMAT </w:instrText>
      </w:r>
      <w:r w:rsidRPr="001E2723">
        <w:rPr>
          <w:rFonts w:cs="Arial"/>
          <w:b/>
          <w:bCs/>
          <w:color w:val="000000" w:themeColor="text1"/>
        </w:rPr>
      </w:r>
      <w:r w:rsidRPr="001E2723">
        <w:rPr>
          <w:rFonts w:cs="Arial"/>
          <w:b/>
          <w:bCs/>
          <w:color w:val="000000" w:themeColor="text1"/>
        </w:rPr>
        <w:fldChar w:fldCharType="separate"/>
      </w:r>
      <w:r w:rsidR="005D5678" w:rsidRPr="001E2723">
        <w:rPr>
          <w:b/>
          <w:bCs/>
        </w:rPr>
        <w:t xml:space="preserve">Table </w:t>
      </w:r>
      <w:r w:rsidR="005D5678" w:rsidRPr="001E2723">
        <w:rPr>
          <w:b/>
          <w:bCs/>
          <w:noProof/>
        </w:rPr>
        <w:t>36</w:t>
      </w:r>
      <w:r w:rsidRPr="001E2723">
        <w:rPr>
          <w:rFonts w:cs="Arial"/>
          <w:b/>
          <w:bCs/>
          <w:color w:val="000000" w:themeColor="text1"/>
        </w:rPr>
        <w:fldChar w:fldCharType="end"/>
      </w:r>
      <w:r w:rsidRPr="00217865">
        <w:rPr>
          <w:rFonts w:cs="Arial"/>
          <w:color w:val="000000" w:themeColor="text1"/>
        </w:rPr>
        <w:t xml:space="preserve"> depicts the calculation of the binary focus area score for the example respondent: since the respondent’s focus area score (Column E) is greater than 55, the binary focus area score (Column F) is assigned a value of 1. An example of the SPSS syntax used to generate these variables is presented in</w:t>
      </w:r>
      <w:r w:rsidRPr="00217865">
        <w:rPr>
          <w:rFonts w:cs="Arial"/>
          <w:b/>
          <w:color w:val="000000" w:themeColor="text1"/>
        </w:rPr>
        <w:t xml:space="preserve"> </w:t>
      </w:r>
      <w:r w:rsidR="004D0BD1" w:rsidRPr="001E2723">
        <w:rPr>
          <w:rFonts w:cs="Arial"/>
          <w:b/>
          <w:color w:val="000000" w:themeColor="text1"/>
        </w:rPr>
        <w:fldChar w:fldCharType="begin"/>
      </w:r>
      <w:r w:rsidR="004D0BD1" w:rsidRPr="001E2723">
        <w:rPr>
          <w:rFonts w:cs="Arial"/>
          <w:b/>
          <w:color w:val="000000" w:themeColor="text1"/>
        </w:rPr>
        <w:instrText xml:space="preserve"> REF _Ref175646826 \h </w:instrText>
      </w:r>
      <w:r w:rsidR="00A6216F" w:rsidRPr="001E2723">
        <w:rPr>
          <w:rFonts w:cs="Arial"/>
          <w:b/>
          <w:color w:val="000000" w:themeColor="text1"/>
        </w:rPr>
        <w:instrText xml:space="preserve"> \* MERGEFORMAT </w:instrText>
      </w:r>
      <w:r w:rsidR="004D0BD1" w:rsidRPr="001E2723">
        <w:rPr>
          <w:rFonts w:cs="Arial"/>
          <w:b/>
          <w:color w:val="000000" w:themeColor="text1"/>
        </w:rPr>
      </w:r>
      <w:r w:rsidR="004D0BD1" w:rsidRPr="001E2723">
        <w:rPr>
          <w:rFonts w:cs="Arial"/>
          <w:b/>
          <w:color w:val="000000" w:themeColor="text1"/>
        </w:rPr>
        <w:fldChar w:fldCharType="separate"/>
      </w:r>
      <w:r w:rsidR="005D5678" w:rsidRPr="001E2723">
        <w:rPr>
          <w:rFonts w:cs="Arial"/>
          <w:b/>
          <w:color w:val="000000" w:themeColor="text1"/>
        </w:rPr>
        <w:t xml:space="preserve">Figure </w:t>
      </w:r>
      <w:r w:rsidR="005D5678" w:rsidRPr="001E2723">
        <w:rPr>
          <w:rFonts w:cs="Arial"/>
          <w:b/>
          <w:noProof/>
          <w:color w:val="000000" w:themeColor="text1"/>
        </w:rPr>
        <w:t>26</w:t>
      </w:r>
      <w:r w:rsidR="004D0BD1" w:rsidRPr="001E2723">
        <w:rPr>
          <w:rFonts w:cs="Arial"/>
          <w:b/>
          <w:color w:val="000000" w:themeColor="text1"/>
        </w:rPr>
        <w:fldChar w:fldCharType="end"/>
      </w:r>
      <w:r w:rsidRPr="00217865">
        <w:rPr>
          <w:rFonts w:cs="Arial"/>
          <w:color w:val="000000" w:themeColor="text1"/>
        </w:rPr>
        <w:t xml:space="preserve">. Further information on the SPSS syntax for generating the score for each focus area in the SEQ can be found in the SES Data Dictionary. </w:t>
      </w:r>
    </w:p>
    <w:p w14:paraId="5EEAA282" w14:textId="77777777" w:rsidR="00C17DD7" w:rsidRPr="00217865" w:rsidRDefault="00C17DD7" w:rsidP="00C17DD7">
      <w:pPr>
        <w:pStyle w:val="Body"/>
        <w:rPr>
          <w:rFonts w:cs="Arial"/>
          <w:color w:val="000000" w:themeColor="text1"/>
          <w:highlight w:val="yellow"/>
        </w:rPr>
      </w:pPr>
      <w:r w:rsidRPr="00217865">
        <w:rPr>
          <w:rFonts w:cs="Arial"/>
          <w:color w:val="000000" w:themeColor="text1"/>
        </w:rPr>
        <w:t>The percentage positive score, which represents the percentage of students who rated their experience positively, reflects the proportion of students who achieved a focus area score of 55 or greater.</w:t>
      </w:r>
      <w:r w:rsidRPr="00217865">
        <w:rPr>
          <w:rFonts w:cs="Arial"/>
          <w:color w:val="000000" w:themeColor="text1"/>
          <w:highlight w:val="yellow"/>
        </w:rPr>
        <w:t xml:space="preserve"> </w:t>
      </w:r>
    </w:p>
    <w:p w14:paraId="6A693FB3" w14:textId="77777777" w:rsidR="00C17DD7" w:rsidRPr="00217865" w:rsidRDefault="00C17DD7" w:rsidP="00E13525">
      <w:pPr>
        <w:pStyle w:val="Appendix2"/>
        <w:numPr>
          <w:ilvl w:val="0"/>
          <w:numId w:val="26"/>
        </w:numPr>
        <w:ind w:left="1134" w:hanging="1134"/>
      </w:pPr>
      <w:bookmarkStart w:id="569" w:name="_Toc169679818"/>
      <w:bookmarkStart w:id="570" w:name="_Toc178599319"/>
      <w:r w:rsidRPr="00217865">
        <w:t>Item-level scores</w:t>
      </w:r>
      <w:bookmarkEnd w:id="569"/>
      <w:bookmarkEnd w:id="570"/>
    </w:p>
    <w:p w14:paraId="62BD9423" w14:textId="6E65951D" w:rsidR="00C17DD7" w:rsidRPr="00217865" w:rsidRDefault="00C17DD7" w:rsidP="00C17DD7">
      <w:pPr>
        <w:pStyle w:val="Body"/>
        <w:rPr>
          <w:rFonts w:cs="Arial"/>
          <w:color w:val="000000" w:themeColor="text1"/>
        </w:rPr>
      </w:pPr>
      <w:r w:rsidRPr="00217865">
        <w:rPr>
          <w:rFonts w:cs="Arial"/>
          <w:color w:val="000000" w:themeColor="text1"/>
        </w:rPr>
        <w:t xml:space="preserve">At the individual questionnaire item level, a positive rating reflects a response in the top two categories of the response scale in both the four-point and five-point scales. A positive rating within a particular SEQ item is represented by a binary variable taking the value of ‘1’ if the student provides a positive response to the item and ‘0’ otherwise. Item-level scores are not included in the analysis file. Column D of </w:t>
      </w:r>
      <w:r w:rsidRPr="002D5D30">
        <w:rPr>
          <w:rFonts w:cs="Arial"/>
          <w:b/>
          <w:bCs/>
          <w:color w:val="000000" w:themeColor="text1"/>
        </w:rPr>
        <w:fldChar w:fldCharType="begin"/>
      </w:r>
      <w:r w:rsidRPr="002D5D30">
        <w:rPr>
          <w:rFonts w:cs="Arial"/>
          <w:b/>
          <w:bCs/>
          <w:color w:val="000000" w:themeColor="text1"/>
        </w:rPr>
        <w:instrText xml:space="preserve"> REF _Ref169705852 \h  \* MERGEFORMAT </w:instrText>
      </w:r>
      <w:r w:rsidRPr="002D5D30">
        <w:rPr>
          <w:rFonts w:cs="Arial"/>
          <w:b/>
          <w:bCs/>
          <w:color w:val="000000" w:themeColor="text1"/>
        </w:rPr>
      </w:r>
      <w:r w:rsidRPr="002D5D30">
        <w:rPr>
          <w:rFonts w:cs="Arial"/>
          <w:b/>
          <w:bCs/>
          <w:color w:val="000000" w:themeColor="text1"/>
        </w:rPr>
        <w:fldChar w:fldCharType="separate"/>
      </w:r>
      <w:r w:rsidR="005D5678" w:rsidRPr="002D5D30">
        <w:rPr>
          <w:b/>
          <w:bCs/>
        </w:rPr>
        <w:t xml:space="preserve">Table </w:t>
      </w:r>
      <w:r w:rsidR="005D5678" w:rsidRPr="002D5D30">
        <w:rPr>
          <w:b/>
          <w:bCs/>
          <w:noProof/>
        </w:rPr>
        <w:t>36</w:t>
      </w:r>
      <w:r w:rsidRPr="002D5D30">
        <w:rPr>
          <w:rFonts w:cs="Arial"/>
          <w:b/>
          <w:bCs/>
          <w:color w:val="000000" w:themeColor="text1"/>
        </w:rPr>
        <w:fldChar w:fldCharType="end"/>
      </w:r>
      <w:r w:rsidRPr="00217865">
        <w:rPr>
          <w:rFonts w:cs="Arial"/>
          <w:color w:val="000000" w:themeColor="text1"/>
        </w:rPr>
        <w:t xml:space="preserve"> displays the item-level binary scores for the example respondent. An example of the SPSS syntax used to generate these item variables is presented in </w:t>
      </w:r>
      <w:r w:rsidR="00D75C9E" w:rsidRPr="002D5D30">
        <w:rPr>
          <w:rFonts w:cs="Arial"/>
          <w:b/>
          <w:bCs/>
          <w:color w:val="000000" w:themeColor="text1"/>
        </w:rPr>
        <w:fldChar w:fldCharType="begin"/>
      </w:r>
      <w:r w:rsidR="00D75C9E" w:rsidRPr="002D5D30">
        <w:rPr>
          <w:rFonts w:cs="Arial"/>
          <w:b/>
          <w:bCs/>
          <w:color w:val="000000" w:themeColor="text1"/>
        </w:rPr>
        <w:instrText xml:space="preserve"> REF _Ref175646909 \h  \* MERGEFORMAT </w:instrText>
      </w:r>
      <w:r w:rsidR="00D75C9E" w:rsidRPr="002D5D30">
        <w:rPr>
          <w:rFonts w:cs="Arial"/>
          <w:b/>
          <w:bCs/>
          <w:color w:val="000000" w:themeColor="text1"/>
        </w:rPr>
      </w:r>
      <w:r w:rsidR="00D75C9E" w:rsidRPr="002D5D30">
        <w:rPr>
          <w:rFonts w:cs="Arial"/>
          <w:b/>
          <w:bCs/>
          <w:color w:val="000000" w:themeColor="text1"/>
        </w:rPr>
        <w:fldChar w:fldCharType="separate"/>
      </w:r>
      <w:r w:rsidR="005D5678" w:rsidRPr="002D5D30">
        <w:rPr>
          <w:b/>
          <w:bCs/>
        </w:rPr>
        <w:t xml:space="preserve">Figure </w:t>
      </w:r>
      <w:r w:rsidR="005D5678" w:rsidRPr="002D5D30">
        <w:rPr>
          <w:b/>
          <w:bCs/>
          <w:noProof/>
        </w:rPr>
        <w:t>27</w:t>
      </w:r>
      <w:r w:rsidR="00D75C9E" w:rsidRPr="002D5D30">
        <w:rPr>
          <w:rFonts w:cs="Arial"/>
          <w:b/>
          <w:bCs/>
          <w:color w:val="000000" w:themeColor="text1"/>
        </w:rPr>
        <w:fldChar w:fldCharType="end"/>
      </w:r>
      <w:r w:rsidRPr="00217865">
        <w:rPr>
          <w:rFonts w:cs="Arial"/>
          <w:color w:val="000000" w:themeColor="text1"/>
        </w:rPr>
        <w:t>.</w:t>
      </w:r>
    </w:p>
    <w:p w14:paraId="1DE8E1F3" w14:textId="77777777" w:rsidR="00C17DD7" w:rsidRPr="00217865" w:rsidRDefault="00C17DD7" w:rsidP="00C17DD7">
      <w:pPr>
        <w:pStyle w:val="Body"/>
        <w:rPr>
          <w:rFonts w:cs="Arial"/>
          <w:color w:val="000000" w:themeColor="text1"/>
        </w:rPr>
      </w:pPr>
      <w:r w:rsidRPr="00217865">
        <w:rPr>
          <w:rFonts w:cs="Arial"/>
          <w:color w:val="000000" w:themeColor="text1"/>
        </w:rPr>
        <w:lastRenderedPageBreak/>
        <w:t>Item-level percentage positive scores, which represent the percentage of students who rated the specific item positively, reflect the number of students who selected one of the top two options in the response scale divided by the number of students who selected a valid response for the item (i.e., a response other than “Not applicable”).</w:t>
      </w:r>
    </w:p>
    <w:p w14:paraId="0A30FBF3" w14:textId="1E91B9A3" w:rsidR="00C17DD7" w:rsidRPr="00217865" w:rsidRDefault="00C17DD7" w:rsidP="0081215D">
      <w:pPr>
        <w:pStyle w:val="Tabletitle"/>
      </w:pPr>
      <w:bookmarkStart w:id="571" w:name="_Ref169705852"/>
      <w:bookmarkStart w:id="572" w:name="_Toc167872868"/>
      <w:bookmarkStart w:id="573" w:name="_Toc178599401"/>
      <w:r w:rsidRPr="00217865">
        <w:t xml:space="preserve">Table </w:t>
      </w:r>
      <w:r w:rsidRPr="00217865">
        <w:fldChar w:fldCharType="begin"/>
      </w:r>
      <w:r w:rsidRPr="00217865">
        <w:instrText xml:space="preserve"> SEQ Table \* ARABIC </w:instrText>
      </w:r>
      <w:r w:rsidRPr="00217865">
        <w:fldChar w:fldCharType="separate"/>
      </w:r>
      <w:r w:rsidR="005D5678">
        <w:rPr>
          <w:noProof/>
        </w:rPr>
        <w:t>36</w:t>
      </w:r>
      <w:r w:rsidRPr="00217865">
        <w:fldChar w:fldCharType="end"/>
      </w:r>
      <w:bookmarkEnd w:id="571"/>
      <w:r w:rsidR="00CF00B5">
        <w:tab/>
      </w:r>
      <w:r w:rsidRPr="00217865">
        <w:t>Example of Teaching Quality and Engagement focus area scoring for one SES respondent</w:t>
      </w:r>
      <w:bookmarkEnd w:id="572"/>
      <w:bookmarkEnd w:id="573"/>
    </w:p>
    <w:tbl>
      <w:tblPr>
        <w:tblStyle w:val="QILTTableStylePH3"/>
        <w:tblW w:w="9493" w:type="dxa"/>
        <w:tblLayout w:type="fixed"/>
        <w:tblLook w:val="04A0" w:firstRow="1" w:lastRow="0" w:firstColumn="1" w:lastColumn="0" w:noHBand="0" w:noVBand="1"/>
      </w:tblPr>
      <w:tblGrid>
        <w:gridCol w:w="1520"/>
        <w:gridCol w:w="1570"/>
        <w:gridCol w:w="1571"/>
        <w:gridCol w:w="1571"/>
        <w:gridCol w:w="1418"/>
        <w:gridCol w:w="1843"/>
      </w:tblGrid>
      <w:tr w:rsidR="00217865" w:rsidRPr="00217865" w14:paraId="7113EB2C" w14:textId="77777777" w:rsidTr="00E76A8D">
        <w:trPr>
          <w:trHeight w:val="145"/>
          <w:tblHeader/>
        </w:trPr>
        <w:tc>
          <w:tcPr>
            <w:tcW w:w="1520" w:type="dxa"/>
            <w:noWrap/>
            <w:vAlign w:val="bottom"/>
          </w:tcPr>
          <w:p w14:paraId="143E567F" w14:textId="77777777" w:rsidR="00C17DD7" w:rsidRPr="00217865" w:rsidRDefault="00C17DD7" w:rsidP="00E76A8D">
            <w:pPr>
              <w:spacing w:before="60" w:after="60"/>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w:t>
            </w:r>
            <w:bookmarkStart w:id="574" w:name="Title_36"/>
            <w:bookmarkEnd w:id="574"/>
            <w:r w:rsidRPr="00217865">
              <w:rPr>
                <w:rFonts w:eastAsia="Times New Roman" w:cs="Arial"/>
                <w:b/>
                <w:bCs/>
                <w:color w:val="000000" w:themeColor="text1"/>
                <w:sz w:val="18"/>
                <w:lang w:eastAsia="en-AU"/>
              </w:rPr>
              <w:t>LUMN A</w:t>
            </w:r>
          </w:p>
        </w:tc>
        <w:tc>
          <w:tcPr>
            <w:tcW w:w="1570" w:type="dxa"/>
            <w:noWrap/>
            <w:vAlign w:val="bottom"/>
          </w:tcPr>
          <w:p w14:paraId="368908F9"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COLUMN B</w:t>
            </w:r>
          </w:p>
        </w:tc>
        <w:tc>
          <w:tcPr>
            <w:tcW w:w="1571" w:type="dxa"/>
            <w:noWrap/>
            <w:vAlign w:val="bottom"/>
          </w:tcPr>
          <w:p w14:paraId="422A1332"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COLUMN C</w:t>
            </w:r>
          </w:p>
        </w:tc>
        <w:tc>
          <w:tcPr>
            <w:tcW w:w="1571" w:type="dxa"/>
            <w:noWrap/>
            <w:vAlign w:val="bottom"/>
          </w:tcPr>
          <w:p w14:paraId="632F3DBA"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COLUMN D</w:t>
            </w:r>
          </w:p>
        </w:tc>
        <w:tc>
          <w:tcPr>
            <w:tcW w:w="1418" w:type="dxa"/>
            <w:vAlign w:val="bottom"/>
          </w:tcPr>
          <w:p w14:paraId="265FFD3C"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COLUMN E</w:t>
            </w:r>
          </w:p>
        </w:tc>
        <w:tc>
          <w:tcPr>
            <w:tcW w:w="1843" w:type="dxa"/>
            <w:vAlign w:val="bottom"/>
          </w:tcPr>
          <w:p w14:paraId="4B82B984"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COLUMN F</w:t>
            </w:r>
          </w:p>
        </w:tc>
      </w:tr>
      <w:tr w:rsidR="00217865" w:rsidRPr="00217865" w14:paraId="79CDB1F4" w14:textId="77777777" w:rsidTr="00E76A8D">
        <w:trPr>
          <w:trHeight w:val="432"/>
        </w:trPr>
        <w:tc>
          <w:tcPr>
            <w:tcW w:w="1520" w:type="dxa"/>
            <w:noWrap/>
            <w:vAlign w:val="bottom"/>
            <w:hideMark/>
          </w:tcPr>
          <w:p w14:paraId="2431D83E" w14:textId="77777777" w:rsidR="00C17DD7" w:rsidRPr="00217865" w:rsidRDefault="00C17DD7" w:rsidP="00E76A8D">
            <w:pPr>
              <w:spacing w:before="60" w:after="60"/>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Survey Variable</w:t>
            </w:r>
          </w:p>
        </w:tc>
        <w:tc>
          <w:tcPr>
            <w:tcW w:w="1570" w:type="dxa"/>
            <w:noWrap/>
            <w:vAlign w:val="bottom"/>
            <w:hideMark/>
          </w:tcPr>
          <w:p w14:paraId="274193AC"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Raw Value</w:t>
            </w:r>
          </w:p>
        </w:tc>
        <w:tc>
          <w:tcPr>
            <w:tcW w:w="1571" w:type="dxa"/>
            <w:noWrap/>
            <w:vAlign w:val="bottom"/>
            <w:hideMark/>
          </w:tcPr>
          <w:p w14:paraId="19CAFC76"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Rescaled Value</w:t>
            </w:r>
          </w:p>
        </w:tc>
        <w:tc>
          <w:tcPr>
            <w:tcW w:w="1571" w:type="dxa"/>
            <w:noWrap/>
            <w:vAlign w:val="bottom"/>
            <w:hideMark/>
          </w:tcPr>
          <w:p w14:paraId="1B43FF94"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Item-Level Binary Score</w:t>
            </w:r>
          </w:p>
        </w:tc>
        <w:tc>
          <w:tcPr>
            <w:tcW w:w="1418" w:type="dxa"/>
            <w:vAlign w:val="bottom"/>
            <w:hideMark/>
          </w:tcPr>
          <w:p w14:paraId="1AB099E6"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Focus Area Score (TEACH)</w:t>
            </w:r>
          </w:p>
        </w:tc>
        <w:tc>
          <w:tcPr>
            <w:tcW w:w="1843" w:type="dxa"/>
            <w:vAlign w:val="bottom"/>
            <w:hideMark/>
          </w:tcPr>
          <w:p w14:paraId="040CCAD3" w14:textId="77777777" w:rsidR="00C17DD7" w:rsidRPr="00217865" w:rsidRDefault="00C17DD7" w:rsidP="00E76A8D">
            <w:pPr>
              <w:spacing w:before="60" w:after="60"/>
              <w:jc w:val="center"/>
              <w:rPr>
                <w:rFonts w:eastAsia="Times New Roman" w:cs="Arial"/>
                <w:b/>
                <w:bCs/>
                <w:color w:val="000000" w:themeColor="text1"/>
                <w:sz w:val="18"/>
                <w:lang w:eastAsia="en-AU"/>
              </w:rPr>
            </w:pPr>
            <w:r w:rsidRPr="00217865">
              <w:rPr>
                <w:rFonts w:eastAsia="Times New Roman" w:cs="Arial"/>
                <w:b/>
                <w:bCs/>
                <w:color w:val="000000" w:themeColor="text1"/>
                <w:sz w:val="18"/>
                <w:lang w:eastAsia="en-AU"/>
              </w:rPr>
              <w:t>Binary Focus Area Score (TEACHSAT)</w:t>
            </w:r>
          </w:p>
        </w:tc>
      </w:tr>
      <w:tr w:rsidR="00217865" w:rsidRPr="00217865" w14:paraId="7385CF3F" w14:textId="77777777" w:rsidTr="00E76A8D">
        <w:trPr>
          <w:trHeight w:val="290"/>
        </w:trPr>
        <w:tc>
          <w:tcPr>
            <w:tcW w:w="1520" w:type="dxa"/>
            <w:noWrap/>
            <w:vAlign w:val="bottom"/>
            <w:hideMark/>
          </w:tcPr>
          <w:p w14:paraId="6330CB69" w14:textId="77777777" w:rsidR="00C17DD7" w:rsidRPr="00217865" w:rsidRDefault="00C17DD7"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OVERALL</w:t>
            </w:r>
          </w:p>
        </w:tc>
        <w:tc>
          <w:tcPr>
            <w:tcW w:w="1570" w:type="dxa"/>
            <w:noWrap/>
            <w:vAlign w:val="center"/>
            <w:hideMark/>
          </w:tcPr>
          <w:p w14:paraId="61F85907" w14:textId="77777777" w:rsidR="00C17DD7" w:rsidRPr="00217865" w:rsidRDefault="00C17DD7"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w:t>
            </w:r>
          </w:p>
        </w:tc>
        <w:tc>
          <w:tcPr>
            <w:tcW w:w="1571" w:type="dxa"/>
            <w:noWrap/>
            <w:vAlign w:val="center"/>
            <w:hideMark/>
          </w:tcPr>
          <w:p w14:paraId="0F7C523D" w14:textId="77777777" w:rsidR="00C17DD7" w:rsidRPr="00217865" w:rsidRDefault="00C17DD7"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66.66</w:t>
            </w:r>
          </w:p>
        </w:tc>
        <w:tc>
          <w:tcPr>
            <w:tcW w:w="1571" w:type="dxa"/>
            <w:noWrap/>
            <w:vAlign w:val="center"/>
            <w:hideMark/>
          </w:tcPr>
          <w:p w14:paraId="2F6BA8D5" w14:textId="77777777" w:rsidR="00C17DD7" w:rsidRPr="00217865" w:rsidRDefault="00C17DD7"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noWrap/>
            <w:vAlign w:val="center"/>
            <w:hideMark/>
          </w:tcPr>
          <w:p w14:paraId="5038AF79" w14:textId="77777777" w:rsidR="00C17DD7" w:rsidRPr="00217865" w:rsidRDefault="00C17DD7"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63.64</w:t>
            </w:r>
          </w:p>
        </w:tc>
        <w:tc>
          <w:tcPr>
            <w:tcW w:w="1843" w:type="dxa"/>
            <w:noWrap/>
            <w:vAlign w:val="center"/>
            <w:hideMark/>
          </w:tcPr>
          <w:p w14:paraId="29B0825C" w14:textId="77777777" w:rsidR="00C17DD7" w:rsidRPr="00217865" w:rsidRDefault="00C17DD7"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r>
      <w:tr w:rsidR="00217865" w:rsidRPr="00217865" w14:paraId="7A49AA6D" w14:textId="77777777" w:rsidTr="00C409D8">
        <w:trPr>
          <w:trHeight w:val="290"/>
        </w:trPr>
        <w:tc>
          <w:tcPr>
            <w:tcW w:w="1520" w:type="dxa"/>
            <w:noWrap/>
            <w:vAlign w:val="bottom"/>
            <w:hideMark/>
          </w:tcPr>
          <w:p w14:paraId="6F6C9D31"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QLTEACH</w:t>
            </w:r>
          </w:p>
        </w:tc>
        <w:tc>
          <w:tcPr>
            <w:tcW w:w="1570" w:type="dxa"/>
            <w:noWrap/>
            <w:vAlign w:val="center"/>
            <w:hideMark/>
          </w:tcPr>
          <w:p w14:paraId="34D76400"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2</w:t>
            </w:r>
          </w:p>
        </w:tc>
        <w:tc>
          <w:tcPr>
            <w:tcW w:w="1571" w:type="dxa"/>
            <w:noWrap/>
            <w:vAlign w:val="center"/>
            <w:hideMark/>
          </w:tcPr>
          <w:p w14:paraId="46242FF0"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33.33</w:t>
            </w:r>
          </w:p>
        </w:tc>
        <w:tc>
          <w:tcPr>
            <w:tcW w:w="1571" w:type="dxa"/>
            <w:noWrap/>
            <w:vAlign w:val="center"/>
            <w:hideMark/>
          </w:tcPr>
          <w:p w14:paraId="754FDF27"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0</w:t>
            </w:r>
          </w:p>
        </w:tc>
        <w:tc>
          <w:tcPr>
            <w:tcW w:w="1418" w:type="dxa"/>
            <w:vAlign w:val="center"/>
            <w:hideMark/>
          </w:tcPr>
          <w:p w14:paraId="1430DAA0" w14:textId="7DFD4C0A"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313FDE8E" w14:textId="52953A64"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285FBD54" w14:textId="77777777" w:rsidTr="00C409D8">
        <w:trPr>
          <w:trHeight w:val="290"/>
        </w:trPr>
        <w:tc>
          <w:tcPr>
            <w:tcW w:w="1520" w:type="dxa"/>
            <w:noWrap/>
            <w:vAlign w:val="bottom"/>
            <w:hideMark/>
          </w:tcPr>
          <w:p w14:paraId="771C0451"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STDSTRUC</w:t>
            </w:r>
          </w:p>
        </w:tc>
        <w:tc>
          <w:tcPr>
            <w:tcW w:w="1570" w:type="dxa"/>
            <w:noWrap/>
            <w:vAlign w:val="center"/>
            <w:hideMark/>
          </w:tcPr>
          <w:p w14:paraId="08DE86D9"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4</w:t>
            </w:r>
          </w:p>
        </w:tc>
        <w:tc>
          <w:tcPr>
            <w:tcW w:w="1571" w:type="dxa"/>
            <w:noWrap/>
            <w:vAlign w:val="center"/>
            <w:hideMark/>
          </w:tcPr>
          <w:p w14:paraId="5BE7EA34"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75</w:t>
            </w:r>
          </w:p>
        </w:tc>
        <w:tc>
          <w:tcPr>
            <w:tcW w:w="1571" w:type="dxa"/>
            <w:noWrap/>
            <w:vAlign w:val="center"/>
            <w:hideMark/>
          </w:tcPr>
          <w:p w14:paraId="6B10AFA5"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hideMark/>
          </w:tcPr>
          <w:p w14:paraId="7A2F3636" w14:textId="7CAA9B53"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003FBDC4" w14:textId="41EE01DE"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30640644" w14:textId="77777777" w:rsidTr="00C409D8">
        <w:trPr>
          <w:trHeight w:val="290"/>
        </w:trPr>
        <w:tc>
          <w:tcPr>
            <w:tcW w:w="1520" w:type="dxa"/>
            <w:noWrap/>
            <w:vAlign w:val="bottom"/>
            <w:hideMark/>
          </w:tcPr>
          <w:p w14:paraId="7BEF1109"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STDRELEV</w:t>
            </w:r>
          </w:p>
        </w:tc>
        <w:tc>
          <w:tcPr>
            <w:tcW w:w="1570" w:type="dxa"/>
            <w:noWrap/>
            <w:vAlign w:val="center"/>
            <w:hideMark/>
          </w:tcPr>
          <w:p w14:paraId="1D6D8679"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5</w:t>
            </w:r>
          </w:p>
        </w:tc>
        <w:tc>
          <w:tcPr>
            <w:tcW w:w="1571" w:type="dxa"/>
            <w:noWrap/>
            <w:vAlign w:val="center"/>
            <w:hideMark/>
          </w:tcPr>
          <w:p w14:paraId="0DCCA1B5"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100</w:t>
            </w:r>
          </w:p>
        </w:tc>
        <w:tc>
          <w:tcPr>
            <w:tcW w:w="1571" w:type="dxa"/>
            <w:noWrap/>
            <w:vAlign w:val="center"/>
            <w:hideMark/>
          </w:tcPr>
          <w:p w14:paraId="7E6456BF"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hideMark/>
          </w:tcPr>
          <w:p w14:paraId="6A60CDDA" w14:textId="3815CBA5"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1EC616C3" w14:textId="62CA7EEF"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26C8595F" w14:textId="77777777" w:rsidTr="00C409D8">
        <w:trPr>
          <w:trHeight w:val="290"/>
        </w:trPr>
        <w:tc>
          <w:tcPr>
            <w:tcW w:w="1520" w:type="dxa"/>
            <w:noWrap/>
            <w:vAlign w:val="bottom"/>
            <w:hideMark/>
          </w:tcPr>
          <w:p w14:paraId="085126DD"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TCHACTIV</w:t>
            </w:r>
          </w:p>
        </w:tc>
        <w:tc>
          <w:tcPr>
            <w:tcW w:w="1570" w:type="dxa"/>
            <w:noWrap/>
            <w:vAlign w:val="center"/>
            <w:hideMark/>
          </w:tcPr>
          <w:p w14:paraId="2C4C9CB1"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4</w:t>
            </w:r>
          </w:p>
        </w:tc>
        <w:tc>
          <w:tcPr>
            <w:tcW w:w="1571" w:type="dxa"/>
            <w:noWrap/>
            <w:vAlign w:val="center"/>
            <w:hideMark/>
          </w:tcPr>
          <w:p w14:paraId="1223F2D1"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75</w:t>
            </w:r>
          </w:p>
        </w:tc>
        <w:tc>
          <w:tcPr>
            <w:tcW w:w="1571" w:type="dxa"/>
            <w:noWrap/>
            <w:vAlign w:val="center"/>
            <w:hideMark/>
          </w:tcPr>
          <w:p w14:paraId="0826FE77"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hideMark/>
          </w:tcPr>
          <w:p w14:paraId="5AFCDA18" w14:textId="37324299"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3147B3C5" w14:textId="0D747623"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3DF3FAB0" w14:textId="77777777" w:rsidTr="00C409D8">
        <w:trPr>
          <w:trHeight w:val="290"/>
        </w:trPr>
        <w:tc>
          <w:tcPr>
            <w:tcW w:w="1520" w:type="dxa"/>
            <w:noWrap/>
            <w:vAlign w:val="bottom"/>
            <w:hideMark/>
          </w:tcPr>
          <w:p w14:paraId="6F194BF4"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TCHCONLR</w:t>
            </w:r>
          </w:p>
        </w:tc>
        <w:tc>
          <w:tcPr>
            <w:tcW w:w="1570" w:type="dxa"/>
            <w:noWrap/>
            <w:vAlign w:val="center"/>
            <w:hideMark/>
          </w:tcPr>
          <w:p w14:paraId="3883C38E"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w:t>
            </w:r>
          </w:p>
        </w:tc>
        <w:tc>
          <w:tcPr>
            <w:tcW w:w="1571" w:type="dxa"/>
            <w:noWrap/>
            <w:vAlign w:val="center"/>
            <w:hideMark/>
          </w:tcPr>
          <w:p w14:paraId="31F1F86D"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50</w:t>
            </w:r>
          </w:p>
        </w:tc>
        <w:tc>
          <w:tcPr>
            <w:tcW w:w="1571" w:type="dxa"/>
            <w:noWrap/>
            <w:vAlign w:val="center"/>
            <w:hideMark/>
          </w:tcPr>
          <w:p w14:paraId="2AD43F45"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0</w:t>
            </w:r>
          </w:p>
        </w:tc>
        <w:tc>
          <w:tcPr>
            <w:tcW w:w="1418" w:type="dxa"/>
            <w:hideMark/>
          </w:tcPr>
          <w:p w14:paraId="2B8C1375" w14:textId="1E31B044"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37D33DBB" w14:textId="47E4D1FD"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3727021B" w14:textId="77777777" w:rsidTr="00C409D8">
        <w:trPr>
          <w:trHeight w:val="290"/>
        </w:trPr>
        <w:tc>
          <w:tcPr>
            <w:tcW w:w="1520" w:type="dxa"/>
            <w:noWrap/>
            <w:vAlign w:val="bottom"/>
            <w:hideMark/>
          </w:tcPr>
          <w:p w14:paraId="53E4FDEA"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TCHCLEXP</w:t>
            </w:r>
          </w:p>
        </w:tc>
        <w:tc>
          <w:tcPr>
            <w:tcW w:w="1570" w:type="dxa"/>
            <w:noWrap/>
            <w:vAlign w:val="center"/>
            <w:hideMark/>
          </w:tcPr>
          <w:p w14:paraId="12EDDAE5"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w:t>
            </w:r>
          </w:p>
        </w:tc>
        <w:tc>
          <w:tcPr>
            <w:tcW w:w="1571" w:type="dxa"/>
            <w:noWrap/>
            <w:vAlign w:val="center"/>
            <w:hideMark/>
          </w:tcPr>
          <w:p w14:paraId="49F33159"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50</w:t>
            </w:r>
          </w:p>
        </w:tc>
        <w:tc>
          <w:tcPr>
            <w:tcW w:w="1571" w:type="dxa"/>
            <w:noWrap/>
            <w:vAlign w:val="center"/>
            <w:hideMark/>
          </w:tcPr>
          <w:p w14:paraId="11B8F8FA"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0</w:t>
            </w:r>
          </w:p>
        </w:tc>
        <w:tc>
          <w:tcPr>
            <w:tcW w:w="1418" w:type="dxa"/>
            <w:hideMark/>
          </w:tcPr>
          <w:p w14:paraId="003459E7" w14:textId="7343DB85"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7369A68A" w14:textId="3058B65F"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498A39EF" w14:textId="77777777" w:rsidTr="00C409D8">
        <w:trPr>
          <w:trHeight w:val="290"/>
        </w:trPr>
        <w:tc>
          <w:tcPr>
            <w:tcW w:w="1520" w:type="dxa"/>
            <w:noWrap/>
            <w:vAlign w:val="bottom"/>
            <w:hideMark/>
          </w:tcPr>
          <w:p w14:paraId="6E88A557"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TCHSTIMI</w:t>
            </w:r>
          </w:p>
        </w:tc>
        <w:tc>
          <w:tcPr>
            <w:tcW w:w="1570" w:type="dxa"/>
            <w:noWrap/>
            <w:vAlign w:val="center"/>
            <w:hideMark/>
          </w:tcPr>
          <w:p w14:paraId="0B3BEB27"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w:t>
            </w:r>
          </w:p>
        </w:tc>
        <w:tc>
          <w:tcPr>
            <w:tcW w:w="1571" w:type="dxa"/>
            <w:noWrap/>
            <w:vAlign w:val="center"/>
            <w:hideMark/>
          </w:tcPr>
          <w:p w14:paraId="14B8E40E"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50</w:t>
            </w:r>
          </w:p>
        </w:tc>
        <w:tc>
          <w:tcPr>
            <w:tcW w:w="1571" w:type="dxa"/>
            <w:noWrap/>
            <w:vAlign w:val="center"/>
            <w:hideMark/>
          </w:tcPr>
          <w:p w14:paraId="141198FF"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0</w:t>
            </w:r>
          </w:p>
        </w:tc>
        <w:tc>
          <w:tcPr>
            <w:tcW w:w="1418" w:type="dxa"/>
            <w:hideMark/>
          </w:tcPr>
          <w:p w14:paraId="0227330D" w14:textId="0D496DB6"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34DE26FB" w14:textId="56591DB9"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3B6727B3" w14:textId="77777777" w:rsidTr="00C409D8">
        <w:trPr>
          <w:trHeight w:val="290"/>
        </w:trPr>
        <w:tc>
          <w:tcPr>
            <w:tcW w:w="1520" w:type="dxa"/>
            <w:noWrap/>
            <w:vAlign w:val="bottom"/>
            <w:hideMark/>
          </w:tcPr>
          <w:p w14:paraId="56DD72FE"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TCHFEEDB</w:t>
            </w:r>
          </w:p>
        </w:tc>
        <w:tc>
          <w:tcPr>
            <w:tcW w:w="1570" w:type="dxa"/>
            <w:noWrap/>
            <w:vAlign w:val="center"/>
            <w:hideMark/>
          </w:tcPr>
          <w:p w14:paraId="08916D11"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4</w:t>
            </w:r>
          </w:p>
        </w:tc>
        <w:tc>
          <w:tcPr>
            <w:tcW w:w="1571" w:type="dxa"/>
            <w:noWrap/>
            <w:vAlign w:val="center"/>
            <w:hideMark/>
          </w:tcPr>
          <w:p w14:paraId="4E11E324"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75</w:t>
            </w:r>
          </w:p>
        </w:tc>
        <w:tc>
          <w:tcPr>
            <w:tcW w:w="1571" w:type="dxa"/>
            <w:noWrap/>
            <w:vAlign w:val="center"/>
            <w:hideMark/>
          </w:tcPr>
          <w:p w14:paraId="1F43BE3D"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hideMark/>
          </w:tcPr>
          <w:p w14:paraId="04E5DBB1" w14:textId="5502A446"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0129CB41" w14:textId="33D6196D"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47423C54" w14:textId="77777777" w:rsidTr="00C409D8">
        <w:trPr>
          <w:trHeight w:val="290"/>
        </w:trPr>
        <w:tc>
          <w:tcPr>
            <w:tcW w:w="1520" w:type="dxa"/>
            <w:noWrap/>
            <w:vAlign w:val="bottom"/>
            <w:hideMark/>
          </w:tcPr>
          <w:p w14:paraId="7F6AC282"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TCHHELP</w:t>
            </w:r>
          </w:p>
        </w:tc>
        <w:tc>
          <w:tcPr>
            <w:tcW w:w="1570" w:type="dxa"/>
            <w:noWrap/>
            <w:vAlign w:val="center"/>
            <w:hideMark/>
          </w:tcPr>
          <w:p w14:paraId="3DB501A5"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4</w:t>
            </w:r>
          </w:p>
        </w:tc>
        <w:tc>
          <w:tcPr>
            <w:tcW w:w="1571" w:type="dxa"/>
            <w:noWrap/>
            <w:vAlign w:val="center"/>
            <w:hideMark/>
          </w:tcPr>
          <w:p w14:paraId="640CD9B3"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75</w:t>
            </w:r>
          </w:p>
        </w:tc>
        <w:tc>
          <w:tcPr>
            <w:tcW w:w="1571" w:type="dxa"/>
            <w:noWrap/>
            <w:vAlign w:val="center"/>
            <w:hideMark/>
          </w:tcPr>
          <w:p w14:paraId="5C08A229"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1</w:t>
            </w:r>
          </w:p>
        </w:tc>
        <w:tc>
          <w:tcPr>
            <w:tcW w:w="1418" w:type="dxa"/>
            <w:hideMark/>
          </w:tcPr>
          <w:p w14:paraId="5241DB94" w14:textId="6165045E"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4391B10E" w14:textId="379A2E8F"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r w:rsidR="00217865" w:rsidRPr="00217865" w14:paraId="7CA92289" w14:textId="77777777" w:rsidTr="00C409D8">
        <w:trPr>
          <w:trHeight w:val="290"/>
        </w:trPr>
        <w:tc>
          <w:tcPr>
            <w:tcW w:w="1520" w:type="dxa"/>
            <w:noWrap/>
            <w:vAlign w:val="bottom"/>
            <w:hideMark/>
          </w:tcPr>
          <w:p w14:paraId="53113EFA" w14:textId="77777777" w:rsidR="00E76A8D" w:rsidRPr="00217865" w:rsidRDefault="00E76A8D" w:rsidP="00E76A8D">
            <w:pPr>
              <w:spacing w:before="60" w:after="60"/>
              <w:rPr>
                <w:rFonts w:eastAsia="Times New Roman" w:cs="Arial"/>
                <w:color w:val="000000" w:themeColor="text1"/>
                <w:sz w:val="18"/>
                <w:lang w:eastAsia="en-AU"/>
              </w:rPr>
            </w:pPr>
            <w:r w:rsidRPr="00217865">
              <w:rPr>
                <w:rFonts w:eastAsia="Times New Roman" w:cs="Arial"/>
                <w:color w:val="000000" w:themeColor="text1"/>
                <w:sz w:val="18"/>
                <w:lang w:eastAsia="en-AU"/>
              </w:rPr>
              <w:t>TCHASSCH</w:t>
            </w:r>
          </w:p>
        </w:tc>
        <w:tc>
          <w:tcPr>
            <w:tcW w:w="1570" w:type="dxa"/>
            <w:noWrap/>
            <w:vAlign w:val="center"/>
            <w:hideMark/>
          </w:tcPr>
          <w:p w14:paraId="57A9DC34"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3</w:t>
            </w:r>
          </w:p>
        </w:tc>
        <w:tc>
          <w:tcPr>
            <w:tcW w:w="1571" w:type="dxa"/>
            <w:noWrap/>
            <w:vAlign w:val="center"/>
            <w:hideMark/>
          </w:tcPr>
          <w:p w14:paraId="2A71997F"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50</w:t>
            </w:r>
          </w:p>
        </w:tc>
        <w:tc>
          <w:tcPr>
            <w:tcW w:w="1571" w:type="dxa"/>
            <w:noWrap/>
            <w:vAlign w:val="center"/>
            <w:hideMark/>
          </w:tcPr>
          <w:p w14:paraId="631A7879" w14:textId="77777777"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0</w:t>
            </w:r>
          </w:p>
        </w:tc>
        <w:tc>
          <w:tcPr>
            <w:tcW w:w="1418" w:type="dxa"/>
            <w:hideMark/>
          </w:tcPr>
          <w:p w14:paraId="098CA3E9" w14:textId="7B657C69"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c>
          <w:tcPr>
            <w:tcW w:w="1843" w:type="dxa"/>
            <w:hideMark/>
          </w:tcPr>
          <w:p w14:paraId="7378CEF9" w14:textId="30F8F420" w:rsidR="00E76A8D" w:rsidRPr="00217865" w:rsidRDefault="00E76A8D" w:rsidP="00E76A8D">
            <w:pPr>
              <w:spacing w:before="60" w:after="60"/>
              <w:jc w:val="center"/>
              <w:rPr>
                <w:rFonts w:eastAsia="Times New Roman" w:cs="Arial"/>
                <w:color w:val="000000" w:themeColor="text1"/>
                <w:sz w:val="18"/>
                <w:lang w:eastAsia="en-AU"/>
              </w:rPr>
            </w:pPr>
            <w:r w:rsidRPr="00217865">
              <w:rPr>
                <w:rFonts w:eastAsia="Times New Roman" w:cs="Arial"/>
                <w:color w:val="000000" w:themeColor="text1"/>
                <w:sz w:val="18"/>
                <w:lang w:eastAsia="en-AU"/>
              </w:rPr>
              <w:t>-</w:t>
            </w:r>
          </w:p>
        </w:tc>
      </w:tr>
    </w:tbl>
    <w:p w14:paraId="7F9EDA2D" w14:textId="4CCEEC09" w:rsidR="00C17DD7" w:rsidRPr="00217865" w:rsidRDefault="00C17DD7" w:rsidP="0081215D">
      <w:pPr>
        <w:pStyle w:val="Tabletitle"/>
      </w:pPr>
      <w:bookmarkStart w:id="575" w:name="_Ref175646762"/>
      <w:bookmarkStart w:id="576" w:name="_Toc208242381"/>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24</w:t>
      </w:r>
      <w:r w:rsidR="005F7CB1" w:rsidRPr="00217865">
        <w:fldChar w:fldCharType="end"/>
      </w:r>
      <w:bookmarkEnd w:id="575"/>
      <w:r w:rsidR="00CF00B5">
        <w:tab/>
      </w:r>
      <w:r w:rsidRPr="00217865">
        <w:t>Example of how to use SPSS syntax to rescale SEQ items</w:t>
      </w:r>
      <w:bookmarkEnd w:id="57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217865" w:rsidRPr="00217865" w14:paraId="67270B10" w14:textId="77777777" w:rsidTr="00735EE6">
        <w:tc>
          <w:tcPr>
            <w:tcW w:w="9858" w:type="dxa"/>
          </w:tcPr>
          <w:p w14:paraId="0C24ECA8"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RECODE STDSTRUC STDRELEV TCHACTIV TCHCONLR TCHCLEXP TCHSTIMI TCHFEEDB TCHHELP TCHASSCH</w:t>
            </w:r>
          </w:p>
          <w:p w14:paraId="7F97A9B1"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(1=0) (2=25) (3=50) (4=75) (5=100) INTO</w:t>
            </w:r>
          </w:p>
          <w:p w14:paraId="7855E222" w14:textId="77777777" w:rsidR="00C17DD7" w:rsidRPr="00217865" w:rsidRDefault="00C17DD7" w:rsidP="00735EE6">
            <w:pPr>
              <w:pStyle w:val="Syntaxfont"/>
              <w:rPr>
                <w:rFonts w:cs="Arial"/>
                <w:color w:val="000000" w:themeColor="text1"/>
                <w:sz w:val="18"/>
                <w:szCs w:val="18"/>
              </w:rPr>
            </w:pPr>
            <w:proofErr w:type="spellStart"/>
            <w:r w:rsidRPr="00217865">
              <w:rPr>
                <w:rFonts w:cs="Arial"/>
                <w:color w:val="000000" w:themeColor="text1"/>
                <w:sz w:val="18"/>
                <w:szCs w:val="18"/>
              </w:rPr>
              <w:t>STDSTRUCr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STDRELEVr</w:t>
            </w:r>
            <w:proofErr w:type="spellEnd"/>
            <w:r w:rsidRPr="00217865">
              <w:rPr>
                <w:rFonts w:cs="Arial"/>
                <w:color w:val="000000" w:themeColor="text1"/>
                <w:sz w:val="18"/>
                <w:szCs w:val="18"/>
              </w:rPr>
              <w:t xml:space="preserve"> TCHACTIVr </w:t>
            </w:r>
            <w:proofErr w:type="spellStart"/>
            <w:r w:rsidRPr="00217865">
              <w:rPr>
                <w:rFonts w:cs="Arial"/>
                <w:color w:val="000000" w:themeColor="text1"/>
                <w:sz w:val="18"/>
                <w:szCs w:val="18"/>
              </w:rPr>
              <w:t>TCHCONLRr</w:t>
            </w:r>
            <w:proofErr w:type="spellEnd"/>
            <w:r w:rsidRPr="00217865">
              <w:rPr>
                <w:rFonts w:cs="Arial"/>
                <w:color w:val="000000" w:themeColor="text1"/>
                <w:sz w:val="18"/>
                <w:szCs w:val="18"/>
              </w:rPr>
              <w:t xml:space="preserve"> TCHCLEXPr </w:t>
            </w:r>
            <w:proofErr w:type="spellStart"/>
            <w:r w:rsidRPr="00217865">
              <w:rPr>
                <w:rFonts w:cs="Arial"/>
                <w:color w:val="000000" w:themeColor="text1"/>
                <w:sz w:val="18"/>
                <w:szCs w:val="18"/>
              </w:rPr>
              <w:t>TCHSTIMIr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TCHFEEDBr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TCHHELPr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TCHASSCHr</w:t>
            </w:r>
            <w:proofErr w:type="spellEnd"/>
          </w:p>
          <w:p w14:paraId="11D135DB" w14:textId="77777777" w:rsidR="00C17DD7" w:rsidRPr="00217865" w:rsidRDefault="00C17DD7" w:rsidP="00735EE6">
            <w:pPr>
              <w:pStyle w:val="Syntaxfont"/>
              <w:rPr>
                <w:rFonts w:cs="Arial"/>
                <w:color w:val="000000" w:themeColor="text1"/>
                <w:sz w:val="18"/>
                <w:szCs w:val="18"/>
              </w:rPr>
            </w:pPr>
          </w:p>
          <w:p w14:paraId="220BBDA5"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RECODE QLTEACH OVERALL</w:t>
            </w:r>
          </w:p>
          <w:p w14:paraId="3777276D"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(1=0) (2=33.33) (3=66.66) (4=100) INTO</w:t>
            </w:r>
          </w:p>
          <w:p w14:paraId="71305B2F" w14:textId="77777777" w:rsidR="00C17DD7" w:rsidRPr="00217865" w:rsidRDefault="00C17DD7" w:rsidP="00735EE6">
            <w:pPr>
              <w:pStyle w:val="Syntaxfont"/>
              <w:rPr>
                <w:rFonts w:cs="Arial"/>
                <w:color w:val="000000" w:themeColor="text1"/>
                <w:sz w:val="18"/>
                <w:szCs w:val="18"/>
              </w:rPr>
            </w:pPr>
            <w:proofErr w:type="spellStart"/>
            <w:r w:rsidRPr="00217865">
              <w:rPr>
                <w:rFonts w:cs="Arial"/>
                <w:color w:val="000000" w:themeColor="text1"/>
                <w:sz w:val="18"/>
                <w:szCs w:val="18"/>
              </w:rPr>
              <w:t>QLTEACHr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OVERALLr</w:t>
            </w:r>
            <w:proofErr w:type="spellEnd"/>
            <w:r w:rsidRPr="00217865">
              <w:rPr>
                <w:rFonts w:cs="Arial"/>
                <w:color w:val="000000" w:themeColor="text1"/>
                <w:sz w:val="18"/>
                <w:szCs w:val="18"/>
              </w:rPr>
              <w:t>.</w:t>
            </w:r>
          </w:p>
        </w:tc>
      </w:tr>
    </w:tbl>
    <w:p w14:paraId="5FE061B7" w14:textId="78CF9FF9" w:rsidR="00C17DD7" w:rsidRPr="00217865" w:rsidRDefault="00C17DD7" w:rsidP="0081215D">
      <w:pPr>
        <w:pStyle w:val="Tabletitle"/>
      </w:pPr>
      <w:bookmarkStart w:id="577" w:name="_Ref176350542"/>
      <w:bookmarkStart w:id="578" w:name="_Toc208242382"/>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25</w:t>
      </w:r>
      <w:r w:rsidR="005F7CB1" w:rsidRPr="00217865">
        <w:fldChar w:fldCharType="end"/>
      </w:r>
      <w:bookmarkEnd w:id="577"/>
      <w:r w:rsidR="00CF00B5">
        <w:tab/>
      </w:r>
      <w:r w:rsidRPr="00217865">
        <w:t>Example of how to use SPSS syntax to compute SES focus area scores</w:t>
      </w:r>
      <w:bookmarkEnd w:id="57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217865" w:rsidRPr="00217865" w14:paraId="45799DD3" w14:textId="77777777" w:rsidTr="00735EE6">
        <w:tc>
          <w:tcPr>
            <w:tcW w:w="9858" w:type="dxa"/>
          </w:tcPr>
          <w:p w14:paraId="3E11A1D1"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COMPUTE TEACH = MEAN.8(</w:t>
            </w:r>
            <w:proofErr w:type="spellStart"/>
            <w:r w:rsidRPr="00217865">
              <w:rPr>
                <w:rFonts w:cs="Arial"/>
                <w:color w:val="000000" w:themeColor="text1"/>
                <w:sz w:val="18"/>
                <w:szCs w:val="18"/>
              </w:rPr>
              <w:t>STDSTRUCr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STDRELEVr</w:t>
            </w:r>
            <w:proofErr w:type="spellEnd"/>
            <w:r w:rsidRPr="00217865">
              <w:rPr>
                <w:rFonts w:cs="Arial"/>
                <w:color w:val="000000" w:themeColor="text1"/>
                <w:sz w:val="18"/>
                <w:szCs w:val="18"/>
              </w:rPr>
              <w:t xml:space="preserve">, TCHACTIVr, </w:t>
            </w:r>
            <w:proofErr w:type="spellStart"/>
            <w:r w:rsidRPr="00217865">
              <w:rPr>
                <w:rFonts w:cs="Arial"/>
                <w:color w:val="000000" w:themeColor="text1"/>
                <w:sz w:val="18"/>
                <w:szCs w:val="18"/>
              </w:rPr>
              <w:t>TCHCONLRr</w:t>
            </w:r>
            <w:proofErr w:type="spellEnd"/>
            <w:r w:rsidRPr="00217865">
              <w:rPr>
                <w:rFonts w:cs="Arial"/>
                <w:color w:val="000000" w:themeColor="text1"/>
                <w:sz w:val="18"/>
                <w:szCs w:val="18"/>
              </w:rPr>
              <w:t xml:space="preserve">, TCHCLEXPr, </w:t>
            </w:r>
            <w:proofErr w:type="spellStart"/>
            <w:r w:rsidRPr="00217865">
              <w:rPr>
                <w:rFonts w:cs="Arial"/>
                <w:color w:val="000000" w:themeColor="text1"/>
                <w:sz w:val="18"/>
                <w:szCs w:val="18"/>
              </w:rPr>
              <w:t>TCHSTIMIr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TCHFEEDBr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TCHHELPr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TCHASSCHr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QLTEACHr</w:t>
            </w:r>
            <w:proofErr w:type="spellEnd"/>
            <w:r w:rsidRPr="00217865">
              <w:rPr>
                <w:rFonts w:cs="Arial"/>
                <w:color w:val="000000" w:themeColor="text1"/>
                <w:sz w:val="18"/>
                <w:szCs w:val="18"/>
              </w:rPr>
              <w:t xml:space="preserve">, </w:t>
            </w:r>
            <w:proofErr w:type="spellStart"/>
            <w:r w:rsidRPr="00217865">
              <w:rPr>
                <w:rFonts w:cs="Arial"/>
                <w:color w:val="000000" w:themeColor="text1"/>
                <w:sz w:val="18"/>
                <w:szCs w:val="18"/>
              </w:rPr>
              <w:t>OVERALLr</w:t>
            </w:r>
            <w:proofErr w:type="spellEnd"/>
            <w:r w:rsidRPr="00217865">
              <w:rPr>
                <w:rFonts w:cs="Arial"/>
                <w:color w:val="000000" w:themeColor="text1"/>
                <w:sz w:val="18"/>
                <w:szCs w:val="18"/>
              </w:rPr>
              <w:t>).</w:t>
            </w:r>
          </w:p>
        </w:tc>
      </w:tr>
    </w:tbl>
    <w:p w14:paraId="65A88BC1" w14:textId="542F57A3" w:rsidR="00C17DD7" w:rsidRPr="00217865" w:rsidRDefault="00C17DD7" w:rsidP="0081215D">
      <w:pPr>
        <w:pStyle w:val="Tabletitle"/>
      </w:pPr>
      <w:bookmarkStart w:id="579" w:name="_Ref175646826"/>
      <w:bookmarkStart w:id="580" w:name="_Toc208242383"/>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26</w:t>
      </w:r>
      <w:r w:rsidR="005F7CB1" w:rsidRPr="00217865">
        <w:fldChar w:fldCharType="end"/>
      </w:r>
      <w:bookmarkEnd w:id="579"/>
      <w:r w:rsidR="00CF00B5">
        <w:tab/>
      </w:r>
      <w:r w:rsidRPr="00217865">
        <w:t>Example of how to use SPSS syntax to compute SES binary focus area scores</w:t>
      </w:r>
      <w:bookmarkEnd w:id="58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217865" w:rsidRPr="00217865" w14:paraId="5E531ED7" w14:textId="77777777" w:rsidTr="00735EE6">
        <w:tc>
          <w:tcPr>
            <w:tcW w:w="9858" w:type="dxa"/>
          </w:tcPr>
          <w:p w14:paraId="0E065EBB"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IF NOT MISSING(TEACH) TEACHING_SAT = 0.</w:t>
            </w:r>
          </w:p>
          <w:p w14:paraId="256CE9D4" w14:textId="77777777" w:rsidR="00C17DD7" w:rsidRPr="00217865" w:rsidRDefault="00C17DD7" w:rsidP="00735EE6">
            <w:pPr>
              <w:pStyle w:val="Syntaxfont"/>
              <w:rPr>
                <w:rFonts w:cs="Arial"/>
                <w:color w:val="000000" w:themeColor="text1"/>
              </w:rPr>
            </w:pPr>
            <w:r w:rsidRPr="00217865">
              <w:rPr>
                <w:rFonts w:cs="Arial"/>
                <w:color w:val="000000" w:themeColor="text1"/>
                <w:sz w:val="18"/>
                <w:szCs w:val="18"/>
              </w:rPr>
              <w:t>IF TEACH GE 55 TEACHSAT = 1.</w:t>
            </w:r>
          </w:p>
        </w:tc>
      </w:tr>
    </w:tbl>
    <w:p w14:paraId="35D2FA1E" w14:textId="3A4665F9" w:rsidR="00C17DD7" w:rsidRPr="00217865" w:rsidRDefault="00C17DD7" w:rsidP="0081215D">
      <w:pPr>
        <w:pStyle w:val="Tabletitle"/>
      </w:pPr>
      <w:bookmarkStart w:id="581" w:name="_Ref175646909"/>
      <w:bookmarkStart w:id="582" w:name="_Toc208242384"/>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27</w:t>
      </w:r>
      <w:r w:rsidR="005F7CB1" w:rsidRPr="00217865">
        <w:fldChar w:fldCharType="end"/>
      </w:r>
      <w:bookmarkEnd w:id="581"/>
      <w:r w:rsidR="00CF00B5">
        <w:tab/>
      </w:r>
      <w:r w:rsidRPr="00217865">
        <w:t>Example of how to use SPSS syntax to compute item-level scores</w:t>
      </w:r>
      <w:bookmarkEnd w:id="582"/>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81215D" w:rsidRPr="00217865" w14:paraId="0F0EE2B7" w14:textId="77777777" w:rsidTr="00735EE6">
        <w:tc>
          <w:tcPr>
            <w:tcW w:w="9858" w:type="dxa"/>
            <w:vAlign w:val="bottom"/>
          </w:tcPr>
          <w:p w14:paraId="79D22CD5" w14:textId="77777777" w:rsidR="00C17DD7" w:rsidRPr="00217865" w:rsidRDefault="00C17DD7" w:rsidP="0081215D">
            <w:pPr>
              <w:pStyle w:val="Tabletitle"/>
            </w:pPr>
            <w:r w:rsidRPr="00217865">
              <w:t>RECODE TCHACTIV (1=0) (2=0) (3=0) (4=1) (5=1) (ELSE=SYSMIS) INTO TCHACTIV_SAT.</w:t>
            </w:r>
          </w:p>
        </w:tc>
      </w:tr>
    </w:tbl>
    <w:p w14:paraId="491C395B" w14:textId="77777777" w:rsidR="00C17DD7" w:rsidRPr="00217865" w:rsidRDefault="00C17DD7" w:rsidP="00C17DD7">
      <w:pPr>
        <w:rPr>
          <w:rFonts w:cs="Arial"/>
          <w:color w:val="000000" w:themeColor="text1"/>
        </w:rPr>
      </w:pPr>
    </w:p>
    <w:p w14:paraId="5AD13EB6" w14:textId="77777777" w:rsidR="00C17DD7" w:rsidRPr="00217865" w:rsidRDefault="00C17DD7" w:rsidP="00C17DD7">
      <w:pPr>
        <w:pStyle w:val="Body"/>
        <w:rPr>
          <w:rFonts w:cs="Arial"/>
          <w:b/>
          <w:bCs/>
          <w:color w:val="000000" w:themeColor="text1"/>
        </w:rPr>
      </w:pPr>
      <w:r w:rsidRPr="00217865">
        <w:rPr>
          <w:rFonts w:cs="Arial"/>
          <w:b/>
          <w:bCs/>
          <w:color w:val="000000" w:themeColor="text1"/>
        </w:rPr>
        <w:lastRenderedPageBreak/>
        <w:t>Freedom of Expression scores</w:t>
      </w:r>
    </w:p>
    <w:p w14:paraId="285FA01D" w14:textId="5A72574B" w:rsidR="00C17DD7" w:rsidRPr="00217865" w:rsidRDefault="00C17DD7" w:rsidP="00C17DD7">
      <w:pPr>
        <w:pStyle w:val="Body"/>
        <w:rPr>
          <w:rFonts w:cs="Arial"/>
          <w:color w:val="000000" w:themeColor="text1"/>
        </w:rPr>
      </w:pPr>
      <w:r w:rsidRPr="00217865">
        <w:rPr>
          <w:rFonts w:cs="Arial"/>
          <w:color w:val="000000" w:themeColor="text1"/>
        </w:rPr>
        <w:t>Freedom of expression scores are calculated similarly to focus area scores. Example syntax for the overall freedom of expression score calculation is displayed in</w:t>
      </w:r>
      <w:r w:rsidR="00D75C9E" w:rsidRPr="00217865">
        <w:rPr>
          <w:rFonts w:cs="Arial"/>
          <w:b/>
          <w:bCs/>
          <w:color w:val="000000" w:themeColor="text1"/>
        </w:rPr>
        <w:t xml:space="preserve"> </w:t>
      </w:r>
      <w:r w:rsidR="00D75C9E" w:rsidRPr="00217865">
        <w:rPr>
          <w:rFonts w:cs="Arial"/>
          <w:b/>
          <w:bCs/>
          <w:color w:val="000000" w:themeColor="text1"/>
        </w:rPr>
        <w:fldChar w:fldCharType="begin"/>
      </w:r>
      <w:r w:rsidR="00D75C9E" w:rsidRPr="00217865">
        <w:rPr>
          <w:rFonts w:cs="Arial"/>
          <w:b/>
          <w:bCs/>
          <w:color w:val="000000" w:themeColor="text1"/>
        </w:rPr>
        <w:instrText xml:space="preserve"> REF _Ref175646937 \h  \* MERGEFORMAT </w:instrText>
      </w:r>
      <w:r w:rsidR="00D75C9E" w:rsidRPr="00217865">
        <w:rPr>
          <w:rFonts w:cs="Arial"/>
          <w:b/>
          <w:bCs/>
          <w:color w:val="000000" w:themeColor="text1"/>
        </w:rPr>
      </w:r>
      <w:r w:rsidR="00D75C9E" w:rsidRPr="00217865">
        <w:rPr>
          <w:rFonts w:cs="Arial"/>
          <w:b/>
          <w:bCs/>
          <w:color w:val="000000" w:themeColor="text1"/>
        </w:rPr>
        <w:fldChar w:fldCharType="separate"/>
      </w:r>
      <w:r w:rsidR="005D5678" w:rsidRPr="005D5678">
        <w:rPr>
          <w:rFonts w:cs="Arial"/>
          <w:b/>
          <w:bCs/>
          <w:color w:val="000000" w:themeColor="text1"/>
        </w:rPr>
        <w:t xml:space="preserve">Figure </w:t>
      </w:r>
      <w:r w:rsidR="005D5678" w:rsidRPr="005D5678">
        <w:rPr>
          <w:rFonts w:cs="Arial"/>
          <w:b/>
          <w:bCs/>
          <w:noProof/>
          <w:color w:val="000000" w:themeColor="text1"/>
        </w:rPr>
        <w:t>28</w:t>
      </w:r>
      <w:r w:rsidR="00D75C9E" w:rsidRPr="00217865">
        <w:rPr>
          <w:rFonts w:cs="Arial"/>
          <w:b/>
          <w:bCs/>
          <w:color w:val="000000" w:themeColor="text1"/>
        </w:rPr>
        <w:fldChar w:fldCharType="end"/>
      </w:r>
      <w:r w:rsidRPr="00217865">
        <w:rPr>
          <w:rFonts w:cs="Arial"/>
          <w:color w:val="000000" w:themeColor="text1"/>
        </w:rPr>
        <w:t>, and example syntax for item-level scores is displayed in</w:t>
      </w:r>
      <w:r w:rsidR="00D75C9E" w:rsidRPr="00217865">
        <w:rPr>
          <w:rFonts w:cs="Arial"/>
          <w:b/>
          <w:bCs/>
          <w:color w:val="000000" w:themeColor="text1"/>
        </w:rPr>
        <w:t xml:space="preserve"> </w:t>
      </w:r>
      <w:r w:rsidR="00D75C9E" w:rsidRPr="00217865">
        <w:rPr>
          <w:rFonts w:cs="Arial"/>
          <w:b/>
          <w:bCs/>
          <w:color w:val="000000" w:themeColor="text1"/>
        </w:rPr>
        <w:fldChar w:fldCharType="begin"/>
      </w:r>
      <w:r w:rsidR="00D75C9E" w:rsidRPr="00217865">
        <w:rPr>
          <w:rFonts w:cs="Arial"/>
          <w:b/>
          <w:bCs/>
          <w:color w:val="000000" w:themeColor="text1"/>
        </w:rPr>
        <w:instrText xml:space="preserve"> REF _Ref175646971 \h  \* MERGEFORMAT </w:instrText>
      </w:r>
      <w:r w:rsidR="00D75C9E" w:rsidRPr="00217865">
        <w:rPr>
          <w:rFonts w:cs="Arial"/>
          <w:b/>
          <w:bCs/>
          <w:color w:val="000000" w:themeColor="text1"/>
        </w:rPr>
      </w:r>
      <w:r w:rsidR="00D75C9E" w:rsidRPr="00217865">
        <w:rPr>
          <w:rFonts w:cs="Arial"/>
          <w:b/>
          <w:bCs/>
          <w:color w:val="000000" w:themeColor="text1"/>
        </w:rPr>
        <w:fldChar w:fldCharType="separate"/>
      </w:r>
      <w:r w:rsidR="005D5678" w:rsidRPr="005D5678">
        <w:rPr>
          <w:rFonts w:cs="Arial"/>
          <w:b/>
          <w:bCs/>
          <w:color w:val="000000" w:themeColor="text1"/>
        </w:rPr>
        <w:t xml:space="preserve">Figure </w:t>
      </w:r>
      <w:r w:rsidR="005D5678" w:rsidRPr="005D5678">
        <w:rPr>
          <w:rFonts w:cs="Arial"/>
          <w:b/>
          <w:bCs/>
          <w:noProof/>
          <w:color w:val="000000" w:themeColor="text1"/>
        </w:rPr>
        <w:t>29</w:t>
      </w:r>
      <w:r w:rsidR="00D75C9E" w:rsidRPr="00217865">
        <w:rPr>
          <w:rFonts w:cs="Arial"/>
          <w:b/>
          <w:bCs/>
          <w:color w:val="000000" w:themeColor="text1"/>
        </w:rPr>
        <w:fldChar w:fldCharType="end"/>
      </w:r>
      <w:r w:rsidRPr="00217865">
        <w:rPr>
          <w:rFonts w:cs="Arial"/>
          <w:color w:val="000000" w:themeColor="text1"/>
        </w:rPr>
        <w:t>.</w:t>
      </w:r>
    </w:p>
    <w:p w14:paraId="778E43C3" w14:textId="73FC8093" w:rsidR="00C17DD7" w:rsidRPr="00217865" w:rsidRDefault="00C17DD7" w:rsidP="0081215D">
      <w:pPr>
        <w:pStyle w:val="Tabletitle"/>
      </w:pPr>
      <w:bookmarkStart w:id="583" w:name="_Ref175646937"/>
      <w:bookmarkStart w:id="584" w:name="_Toc208242385"/>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28</w:t>
      </w:r>
      <w:r w:rsidR="005F7CB1" w:rsidRPr="00217865">
        <w:fldChar w:fldCharType="end"/>
      </w:r>
      <w:bookmarkEnd w:id="583"/>
      <w:r w:rsidR="00CF00B5">
        <w:tab/>
      </w:r>
      <w:r w:rsidRPr="00217865">
        <w:t>Example of how to use SPSS syntax to compute the SES freedom of expression score</w:t>
      </w:r>
      <w:bookmarkEnd w:id="584"/>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217865" w:rsidRPr="00217865" w14:paraId="0D598CE0" w14:textId="77777777" w:rsidTr="00735EE6">
        <w:tc>
          <w:tcPr>
            <w:tcW w:w="9858" w:type="dxa"/>
          </w:tcPr>
          <w:p w14:paraId="27CA77C4" w14:textId="77777777" w:rsidR="00C17DD7" w:rsidRPr="00217865" w:rsidRDefault="00C17DD7" w:rsidP="00735EE6">
            <w:pPr>
              <w:pStyle w:val="Syntaxfont"/>
              <w:rPr>
                <w:rStyle w:val="cf01"/>
                <w:rFonts w:ascii="Arial" w:hAnsi="Arial" w:cs="Arial"/>
                <w:color w:val="000000" w:themeColor="text1"/>
              </w:rPr>
            </w:pPr>
            <w:r w:rsidRPr="00217865">
              <w:rPr>
                <w:rStyle w:val="cf01"/>
                <w:rFonts w:ascii="Arial" w:hAnsi="Arial" w:cs="Arial"/>
                <w:color w:val="000000" w:themeColor="text1"/>
              </w:rPr>
              <w:t xml:space="preserve">RECODE FOEXA FOEXB FOEXC (1=0) (2=25) (3=50) (4=75) (5=100) INTO </w:t>
            </w:r>
            <w:proofErr w:type="spellStart"/>
            <w:r w:rsidRPr="00217865">
              <w:rPr>
                <w:rStyle w:val="cf01"/>
                <w:rFonts w:ascii="Arial" w:hAnsi="Arial" w:cs="Arial"/>
                <w:color w:val="000000" w:themeColor="text1"/>
              </w:rPr>
              <w:t>FOEXAr</w:t>
            </w:r>
            <w:proofErr w:type="spellEnd"/>
            <w:r w:rsidRPr="00217865">
              <w:rPr>
                <w:rStyle w:val="cf01"/>
                <w:rFonts w:ascii="Arial" w:hAnsi="Arial" w:cs="Arial"/>
                <w:color w:val="000000" w:themeColor="text1"/>
              </w:rPr>
              <w:t xml:space="preserve"> FOEXBr </w:t>
            </w:r>
            <w:proofErr w:type="spellStart"/>
            <w:r w:rsidRPr="00217865">
              <w:rPr>
                <w:rStyle w:val="cf01"/>
                <w:rFonts w:ascii="Arial" w:hAnsi="Arial" w:cs="Arial"/>
                <w:color w:val="000000" w:themeColor="text1"/>
              </w:rPr>
              <w:t>FOEXCr</w:t>
            </w:r>
            <w:proofErr w:type="spellEnd"/>
            <w:r w:rsidRPr="00217865">
              <w:rPr>
                <w:rStyle w:val="cf01"/>
                <w:rFonts w:ascii="Arial" w:hAnsi="Arial" w:cs="Arial"/>
                <w:color w:val="000000" w:themeColor="text1"/>
              </w:rPr>
              <w:t xml:space="preserve"> </w:t>
            </w:r>
          </w:p>
          <w:p w14:paraId="1D6171A6" w14:textId="77777777" w:rsidR="00C17DD7" w:rsidRPr="00217865" w:rsidRDefault="00C17DD7" w:rsidP="00735EE6">
            <w:pPr>
              <w:pStyle w:val="Syntaxfont"/>
              <w:rPr>
                <w:rStyle w:val="cf01"/>
                <w:rFonts w:ascii="Arial" w:hAnsi="Arial" w:cs="Arial"/>
                <w:color w:val="000000" w:themeColor="text1"/>
              </w:rPr>
            </w:pPr>
          </w:p>
          <w:p w14:paraId="3E519FCF" w14:textId="77777777" w:rsidR="00C17DD7" w:rsidRPr="00217865" w:rsidRDefault="00C17DD7" w:rsidP="00735EE6">
            <w:pPr>
              <w:pStyle w:val="Syntaxfont"/>
              <w:rPr>
                <w:rStyle w:val="cf01"/>
                <w:rFonts w:ascii="Arial" w:hAnsi="Arial" w:cs="Arial"/>
                <w:color w:val="000000" w:themeColor="text1"/>
              </w:rPr>
            </w:pPr>
            <w:r w:rsidRPr="00217865">
              <w:rPr>
                <w:rStyle w:val="cf01"/>
                <w:rFonts w:ascii="Arial" w:hAnsi="Arial" w:cs="Arial"/>
                <w:color w:val="000000" w:themeColor="text1"/>
              </w:rPr>
              <w:t>COMPUTE FOEX = MEAN.2(</w:t>
            </w:r>
            <w:proofErr w:type="spellStart"/>
            <w:r w:rsidRPr="00217865">
              <w:rPr>
                <w:rStyle w:val="cf01"/>
                <w:rFonts w:ascii="Arial" w:hAnsi="Arial" w:cs="Arial"/>
                <w:color w:val="000000" w:themeColor="text1"/>
              </w:rPr>
              <w:t>FOEXAr</w:t>
            </w:r>
            <w:proofErr w:type="spellEnd"/>
            <w:r w:rsidRPr="00217865">
              <w:rPr>
                <w:rStyle w:val="cf01"/>
                <w:rFonts w:ascii="Arial" w:hAnsi="Arial" w:cs="Arial"/>
                <w:color w:val="000000" w:themeColor="text1"/>
              </w:rPr>
              <w:t xml:space="preserve"> FOEXBr </w:t>
            </w:r>
            <w:proofErr w:type="spellStart"/>
            <w:r w:rsidRPr="00217865">
              <w:rPr>
                <w:rStyle w:val="cf01"/>
                <w:rFonts w:ascii="Arial" w:hAnsi="Arial" w:cs="Arial"/>
                <w:color w:val="000000" w:themeColor="text1"/>
              </w:rPr>
              <w:t>FOEXCr</w:t>
            </w:r>
            <w:proofErr w:type="spellEnd"/>
            <w:r w:rsidRPr="00217865">
              <w:rPr>
                <w:rStyle w:val="cf01"/>
                <w:rFonts w:ascii="Arial" w:hAnsi="Arial" w:cs="Arial"/>
                <w:color w:val="000000" w:themeColor="text1"/>
              </w:rPr>
              <w:t>).</w:t>
            </w:r>
          </w:p>
          <w:p w14:paraId="5C6C8C02" w14:textId="77777777" w:rsidR="00C17DD7" w:rsidRPr="00217865" w:rsidRDefault="00C17DD7" w:rsidP="00735EE6">
            <w:pPr>
              <w:pStyle w:val="Syntaxfont"/>
              <w:rPr>
                <w:rStyle w:val="cf01"/>
                <w:rFonts w:ascii="Arial" w:hAnsi="Arial" w:cs="Arial"/>
                <w:color w:val="000000" w:themeColor="text1"/>
              </w:rPr>
            </w:pPr>
          </w:p>
          <w:p w14:paraId="4B441153" w14:textId="77777777" w:rsidR="00C17DD7" w:rsidRPr="00217865" w:rsidRDefault="00C17DD7" w:rsidP="00735EE6">
            <w:pPr>
              <w:pStyle w:val="Syntaxfont"/>
              <w:rPr>
                <w:rFonts w:cs="Arial"/>
                <w:color w:val="000000" w:themeColor="text1"/>
                <w:sz w:val="18"/>
                <w:szCs w:val="18"/>
              </w:rPr>
            </w:pPr>
            <w:r w:rsidRPr="00217865">
              <w:rPr>
                <w:rFonts w:cs="Arial"/>
                <w:color w:val="000000" w:themeColor="text1"/>
                <w:sz w:val="18"/>
                <w:szCs w:val="18"/>
              </w:rPr>
              <w:t>IF NOT MISSING(FOEX) FOEXSAT = 0. IF FOEX GE 55 FOEXSAT = 1.</w:t>
            </w:r>
          </w:p>
        </w:tc>
      </w:tr>
    </w:tbl>
    <w:p w14:paraId="3F7E1A2F" w14:textId="370DC1B2" w:rsidR="00C17DD7" w:rsidRPr="00217865" w:rsidRDefault="00C17DD7" w:rsidP="0081215D">
      <w:pPr>
        <w:pStyle w:val="Tabletitle"/>
      </w:pPr>
      <w:bookmarkStart w:id="585" w:name="_Ref175646971"/>
      <w:bookmarkStart w:id="586" w:name="_Toc208242386"/>
      <w:r w:rsidRPr="00217865">
        <w:t xml:space="preserve">Figure </w:t>
      </w:r>
      <w:r w:rsidR="005F7CB1" w:rsidRPr="00217865">
        <w:fldChar w:fldCharType="begin"/>
      </w:r>
      <w:r w:rsidR="005F7CB1" w:rsidRPr="00217865">
        <w:instrText xml:space="preserve"> SEQ Figure \* ARABIC </w:instrText>
      </w:r>
      <w:r w:rsidR="005F7CB1" w:rsidRPr="00217865">
        <w:fldChar w:fldCharType="separate"/>
      </w:r>
      <w:r w:rsidR="005D5678">
        <w:rPr>
          <w:noProof/>
        </w:rPr>
        <w:t>29</w:t>
      </w:r>
      <w:r w:rsidR="005F7CB1" w:rsidRPr="00217865">
        <w:fldChar w:fldCharType="end"/>
      </w:r>
      <w:bookmarkEnd w:id="585"/>
      <w:r w:rsidR="00CF00B5">
        <w:tab/>
      </w:r>
      <w:r w:rsidRPr="00217865">
        <w:t>Example of how to use SPSS syntax to compute item-level freedom of expression scores</w:t>
      </w:r>
      <w:bookmarkEnd w:id="58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6"/>
      </w:tblGrid>
      <w:tr w:rsidR="00217865" w:rsidRPr="00217865" w14:paraId="3C4879C5" w14:textId="77777777" w:rsidTr="00735EE6">
        <w:tc>
          <w:tcPr>
            <w:tcW w:w="9858" w:type="dxa"/>
          </w:tcPr>
          <w:p w14:paraId="63BF4860" w14:textId="77777777" w:rsidR="00C17DD7" w:rsidRPr="00217865" w:rsidRDefault="00C17DD7" w:rsidP="0081215D">
            <w:pPr>
              <w:pStyle w:val="Tabletitle"/>
            </w:pPr>
            <w:r w:rsidRPr="00217865">
              <w:t>RECODE FOEXA (1=0) (2=0) (3=0) (4=1) (5=1) (ELSE=SYSMIS) INTO FOEXA_SAT.</w:t>
            </w:r>
          </w:p>
        </w:tc>
      </w:tr>
    </w:tbl>
    <w:p w14:paraId="5B6C2A0D" w14:textId="77777777" w:rsidR="005A5905" w:rsidRPr="00217865" w:rsidRDefault="005A5905" w:rsidP="005A5905">
      <w:pPr>
        <w:pStyle w:val="Body"/>
        <w:rPr>
          <w:rFonts w:cs="Arial"/>
          <w:b/>
          <w:color w:val="000000" w:themeColor="text1"/>
          <w:sz w:val="21"/>
          <w:highlight w:val="yellow"/>
        </w:rPr>
      </w:pPr>
      <w:r w:rsidRPr="00217865">
        <w:rPr>
          <w:rFonts w:cs="Arial"/>
          <w:color w:val="000000" w:themeColor="text1"/>
          <w:highlight w:val="yellow"/>
        </w:rPr>
        <w:br w:type="page"/>
      </w:r>
    </w:p>
    <w:p w14:paraId="5F961BAC" w14:textId="3F3619A9" w:rsidR="005A5905" w:rsidRPr="00217865" w:rsidRDefault="005A5905" w:rsidP="00535E2A">
      <w:pPr>
        <w:pStyle w:val="AppendixHeading"/>
        <w:numPr>
          <w:ilvl w:val="0"/>
          <w:numId w:val="44"/>
        </w:numPr>
        <w:rPr>
          <w:rFonts w:cs="Arial"/>
          <w:color w:val="000000" w:themeColor="text1"/>
        </w:rPr>
      </w:pPr>
      <w:bookmarkStart w:id="587" w:name="_Toc531104125"/>
      <w:bookmarkStart w:id="588" w:name="_Ref58491662"/>
      <w:bookmarkStart w:id="589" w:name="_Ref90961523"/>
      <w:bookmarkStart w:id="590" w:name="_Ref166236088"/>
      <w:bookmarkStart w:id="591" w:name="_Toc167872823"/>
      <w:bookmarkStart w:id="592" w:name="_Toc178599320"/>
      <w:r w:rsidRPr="00217865">
        <w:rPr>
          <w:rFonts w:cs="Arial"/>
          <w:color w:val="000000" w:themeColor="text1"/>
        </w:rPr>
        <w:lastRenderedPageBreak/>
        <w:t>Construction of confidence intervals</w:t>
      </w:r>
      <w:bookmarkEnd w:id="587"/>
      <w:bookmarkEnd w:id="588"/>
      <w:bookmarkEnd w:id="589"/>
      <w:bookmarkEnd w:id="590"/>
      <w:bookmarkEnd w:id="591"/>
      <w:bookmarkEnd w:id="592"/>
    </w:p>
    <w:p w14:paraId="1CB0855B" w14:textId="77777777" w:rsidR="005A5905" w:rsidRPr="00217865" w:rsidRDefault="005A5905" w:rsidP="005A5905">
      <w:pPr>
        <w:pStyle w:val="Body"/>
        <w:rPr>
          <w:rFonts w:cs="Arial"/>
          <w:color w:val="000000" w:themeColor="text1"/>
        </w:rPr>
      </w:pPr>
      <w:bookmarkStart w:id="593" w:name="_Toc531104126"/>
      <w:r w:rsidRPr="00217865">
        <w:rPr>
          <w:rFonts w:cs="Arial"/>
          <w:color w:val="000000" w:themeColor="text1"/>
        </w:rPr>
        <w:t xml:space="preserve">Confidence intervals are a range of values derived in relation to a parameter determined from sample data. They represent the uncertainty inherent in estimating population parameters from sample data. A 90 per cent confidence suggests that should the parameter be determined from any sample of the population multiple times; the parameter would fall within the confidence interval 90 per cent of the time. </w:t>
      </w:r>
    </w:p>
    <w:p w14:paraId="3AF8AECE" w14:textId="77777777" w:rsidR="005A5905" w:rsidRPr="00217865" w:rsidRDefault="005A5905" w:rsidP="005A5905">
      <w:pPr>
        <w:pStyle w:val="Body"/>
        <w:rPr>
          <w:rFonts w:cs="Arial"/>
          <w:color w:val="000000" w:themeColor="text1"/>
        </w:rPr>
      </w:pPr>
      <w:r w:rsidRPr="00217865">
        <w:rPr>
          <w:rFonts w:cs="Arial"/>
          <w:color w:val="000000" w:themeColor="text1"/>
        </w:rPr>
        <w:t>The 90 percent confidence intervals presented in this report have been approximated using the method described by Agresti and Coull (1998)</w:t>
      </w:r>
      <w:r w:rsidRPr="00217865">
        <w:rPr>
          <w:rStyle w:val="FootnoteReference"/>
          <w:rFonts w:cs="Arial"/>
          <w:color w:val="000000" w:themeColor="text1"/>
        </w:rPr>
        <w:footnoteReference w:id="9"/>
      </w:r>
      <w:r w:rsidRPr="00217865">
        <w:rPr>
          <w:rFonts w:cs="Arial"/>
          <w:color w:val="000000" w:themeColor="text1"/>
        </w:rPr>
        <w:t>. This is an adjusted version of the previously used Wald method to accommodate a wider range of sample sizes and to produce intervals that more consistently reflect the desired level of confidence.</w:t>
      </w:r>
    </w:p>
    <w:p w14:paraId="7156D7E5" w14:textId="77777777" w:rsidR="005A5905" w:rsidRPr="00217865" w:rsidRDefault="005A5905" w:rsidP="005A5905">
      <w:pPr>
        <w:pStyle w:val="Body"/>
        <w:rPr>
          <w:rFonts w:eastAsiaTheme="minorEastAsia" w:cs="Arial"/>
          <w:color w:val="000000" w:themeColor="text1"/>
        </w:rPr>
      </w:pPr>
      <w:r w:rsidRPr="00217865">
        <w:rPr>
          <w:rFonts w:cs="Arial"/>
          <w:color w:val="000000" w:themeColor="text1"/>
        </w:rPr>
        <w:t xml:space="preserve">The Wald method is given by the well-known expression </w:t>
      </w:r>
      <m:oMath>
        <m:r>
          <w:rPr>
            <w:rFonts w:ascii="Cambria Math" w:hAnsi="Cambria Math" w:cs="Arial"/>
            <w:color w:val="000000" w:themeColor="text1"/>
          </w:rPr>
          <m:t>p±z</m:t>
        </m:r>
        <m:rad>
          <m:radPr>
            <m:degHide m:val="1"/>
            <m:ctrlPr>
              <w:rPr>
                <w:rFonts w:ascii="Cambria Math" w:hAnsi="Cambria Math" w:cs="Arial"/>
                <w:i/>
                <w:color w:val="000000" w:themeColor="text1"/>
              </w:rPr>
            </m:ctrlPr>
          </m:radPr>
          <m:deg/>
          <m:e>
            <m:r>
              <w:rPr>
                <w:rFonts w:ascii="Cambria Math" w:hAnsi="Cambria Math" w:cs="Arial"/>
                <w:color w:val="000000" w:themeColor="text1"/>
              </w:rPr>
              <m:t>p(1-p)/n</m:t>
            </m:r>
          </m:e>
        </m:rad>
      </m:oMath>
      <w:r w:rsidRPr="00217865">
        <w:rPr>
          <w:rFonts w:cs="Arial"/>
          <w:color w:val="000000" w:themeColor="text1"/>
        </w:rPr>
        <w:t xml:space="preserve">, where </w:t>
      </w:r>
      <m:oMath>
        <m:r>
          <w:rPr>
            <w:rFonts w:ascii="Cambria Math" w:hAnsi="Cambria Math" w:cs="Arial"/>
            <w:color w:val="000000" w:themeColor="text1"/>
          </w:rPr>
          <m:t>p</m:t>
        </m:r>
      </m:oMath>
      <w:r w:rsidRPr="00217865">
        <w:rPr>
          <w:rFonts w:cs="Arial"/>
          <w:color w:val="000000" w:themeColor="text1"/>
        </w:rPr>
        <w:t xml:space="preserve"> is the ratio of the number of positive responses for the measure of interest (</w:t>
      </w:r>
      <m:oMath>
        <m:sSub>
          <m:sSubPr>
            <m:ctrlPr>
              <w:rPr>
                <w:rFonts w:ascii="Cambria Math" w:hAnsi="Cambria Math" w:cs="Arial"/>
                <w:i/>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1</m:t>
            </m:r>
          </m:sub>
        </m:sSub>
      </m:oMath>
      <w:r w:rsidRPr="00217865">
        <w:rPr>
          <w:rFonts w:cs="Arial"/>
          <w:color w:val="000000" w:themeColor="text1"/>
        </w:rPr>
        <w:t>) to the total number of valid responses (</w:t>
      </w:r>
      <m:oMath>
        <m:r>
          <w:rPr>
            <w:rFonts w:ascii="Cambria Math" w:hAnsi="Cambria Math" w:cs="Arial"/>
            <w:color w:val="000000" w:themeColor="text1"/>
          </w:rPr>
          <m:t>n</m:t>
        </m:r>
      </m:oMath>
      <w:r w:rsidRPr="00217865">
        <w:rPr>
          <w:rFonts w:cs="Arial"/>
          <w:color w:val="000000" w:themeColor="text1"/>
        </w:rPr>
        <w:t xml:space="preserve">) </w:t>
      </w:r>
      <w:r w:rsidRPr="00217865">
        <w:rPr>
          <w:rFonts w:eastAsiaTheme="minorEastAsia" w:cs="Arial"/>
          <w:color w:val="000000" w:themeColor="text1"/>
        </w:rPr>
        <w:t xml:space="preserve">and </w:t>
      </w:r>
      <m:oMath>
        <m:r>
          <w:rPr>
            <w:rFonts w:ascii="Cambria Math" w:eastAsiaTheme="minorEastAsia" w:hAnsi="Cambria Math" w:cs="Arial"/>
            <w:color w:val="000000" w:themeColor="text1"/>
          </w:rPr>
          <m:t>z</m:t>
        </m:r>
      </m:oMath>
      <w:r w:rsidRPr="00217865">
        <w:rPr>
          <w:rFonts w:eastAsiaTheme="minorEastAsia" w:cs="Arial"/>
          <w:color w:val="000000" w:themeColor="text1"/>
        </w:rPr>
        <w:t xml:space="preserve"> is the quantile of the standard normal distribution (1.645 for a 90 per cent level of confidence). </w:t>
      </w:r>
    </w:p>
    <w:p w14:paraId="2BA55BD6" w14:textId="77777777" w:rsidR="005A5905" w:rsidRPr="00217865" w:rsidRDefault="005A5905" w:rsidP="005A5905">
      <w:pPr>
        <w:pStyle w:val="Body"/>
        <w:rPr>
          <w:rFonts w:eastAsiaTheme="minorEastAsia" w:cs="Arial"/>
          <w:color w:val="000000" w:themeColor="text1"/>
        </w:rPr>
      </w:pPr>
      <w:r w:rsidRPr="00217865">
        <w:rPr>
          <w:rFonts w:eastAsiaTheme="minorEastAsia" w:cs="Arial"/>
          <w:color w:val="000000" w:themeColor="text1"/>
        </w:rPr>
        <w:t xml:space="preserve">The Agresti-Coull method involves increasing the total number of responses to yield an adjusted proportion, given respectively by </w:t>
      </w:r>
      <m:oMath>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n</m:t>
            </m:r>
          </m:e>
        </m:acc>
        <m:r>
          <w:rPr>
            <w:rFonts w:ascii="Cambria Math" w:eastAsiaTheme="minorEastAsia" w:hAnsi="Cambria Math" w:cs="Arial"/>
            <w:color w:val="000000" w:themeColor="text1"/>
          </w:rPr>
          <m:t>=n+</m:t>
        </m:r>
        <m:sSup>
          <m:sSupPr>
            <m:ctrlPr>
              <w:rPr>
                <w:rFonts w:ascii="Cambria Math" w:eastAsiaTheme="minorEastAsia" w:hAnsi="Cambria Math" w:cs="Arial"/>
                <w:i/>
                <w:color w:val="000000" w:themeColor="text1"/>
              </w:rPr>
            </m:ctrlPr>
          </m:sSupPr>
          <m:e>
            <m:r>
              <w:rPr>
                <w:rFonts w:ascii="Cambria Math" w:eastAsiaTheme="minorEastAsia" w:hAnsi="Cambria Math" w:cs="Arial"/>
                <w:color w:val="000000" w:themeColor="text1"/>
              </w:rPr>
              <m:t>z</m:t>
            </m:r>
          </m:e>
          <m:sup>
            <m:r>
              <w:rPr>
                <w:rFonts w:ascii="Cambria Math" w:eastAsiaTheme="minorEastAsia" w:hAnsi="Cambria Math" w:cs="Arial"/>
                <w:color w:val="000000" w:themeColor="text1"/>
              </w:rPr>
              <m:t>2</m:t>
            </m:r>
          </m:sup>
        </m:sSup>
      </m:oMath>
      <w:r w:rsidRPr="00217865">
        <w:rPr>
          <w:rFonts w:eastAsiaTheme="minorEastAsia" w:cs="Arial"/>
          <w:color w:val="000000" w:themeColor="text1"/>
        </w:rPr>
        <w:t xml:space="preserve"> and </w:t>
      </w:r>
      <m:oMath>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p</m:t>
            </m:r>
          </m:e>
        </m:acc>
        <m:r>
          <w:rPr>
            <w:rFonts w:ascii="Cambria Math" w:eastAsiaTheme="minorEastAsia" w:hAnsi="Cambria Math" w:cs="Arial"/>
            <w:color w:val="000000" w:themeColor="text1"/>
          </w:rPr>
          <m:t>=</m:t>
        </m:r>
        <m:f>
          <m:fPr>
            <m:ctrlPr>
              <w:rPr>
                <w:rFonts w:ascii="Cambria Math" w:eastAsiaTheme="minorEastAsia" w:hAnsi="Cambria Math" w:cs="Arial"/>
                <w:i/>
                <w:color w:val="000000" w:themeColor="text1"/>
              </w:rPr>
            </m:ctrlPr>
          </m:fPr>
          <m:num>
            <m:r>
              <w:rPr>
                <w:rFonts w:ascii="Cambria Math" w:eastAsiaTheme="minorEastAsia" w:hAnsi="Cambria Math" w:cs="Arial"/>
                <w:color w:val="000000" w:themeColor="text1"/>
              </w:rPr>
              <m:t>1</m:t>
            </m:r>
          </m:num>
          <m:den>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n</m:t>
                </m:r>
              </m:e>
            </m:acc>
          </m:den>
        </m:f>
        <m:r>
          <w:rPr>
            <w:rFonts w:ascii="Cambria Math" w:eastAsiaTheme="minorEastAsia" w:hAnsi="Cambria Math" w:cs="Arial"/>
            <w:color w:val="000000" w:themeColor="text1"/>
          </w:rPr>
          <m:t>(</m:t>
        </m:r>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n</m:t>
            </m:r>
          </m:e>
          <m:sub>
            <m:r>
              <w:rPr>
                <w:rFonts w:ascii="Cambria Math" w:eastAsiaTheme="minorEastAsia" w:hAnsi="Cambria Math" w:cs="Arial"/>
                <w:color w:val="000000" w:themeColor="text1"/>
              </w:rPr>
              <m:t>1</m:t>
            </m:r>
          </m:sub>
        </m:sSub>
        <m:r>
          <w:rPr>
            <w:rFonts w:ascii="Cambria Math" w:eastAsiaTheme="minorEastAsia" w:hAnsi="Cambria Math" w:cs="Arial"/>
            <w:color w:val="000000" w:themeColor="text1"/>
          </w:rPr>
          <m:t>+</m:t>
        </m:r>
        <m:f>
          <m:fPr>
            <m:ctrlPr>
              <w:rPr>
                <w:rFonts w:ascii="Cambria Math" w:eastAsiaTheme="minorEastAsia" w:hAnsi="Cambria Math" w:cs="Arial"/>
                <w:i/>
                <w:color w:val="000000" w:themeColor="text1"/>
              </w:rPr>
            </m:ctrlPr>
          </m:fPr>
          <m:num>
            <m:sSup>
              <m:sSupPr>
                <m:ctrlPr>
                  <w:rPr>
                    <w:rFonts w:ascii="Cambria Math" w:eastAsiaTheme="minorEastAsia" w:hAnsi="Cambria Math" w:cs="Arial"/>
                    <w:i/>
                    <w:color w:val="000000" w:themeColor="text1"/>
                  </w:rPr>
                </m:ctrlPr>
              </m:sSupPr>
              <m:e>
                <m:r>
                  <w:rPr>
                    <w:rFonts w:ascii="Cambria Math" w:eastAsiaTheme="minorEastAsia" w:hAnsi="Cambria Math" w:cs="Arial"/>
                    <w:color w:val="000000" w:themeColor="text1"/>
                  </w:rPr>
                  <m:t>z</m:t>
                </m:r>
              </m:e>
              <m:sup>
                <m:r>
                  <w:rPr>
                    <w:rFonts w:ascii="Cambria Math" w:eastAsiaTheme="minorEastAsia" w:hAnsi="Cambria Math" w:cs="Arial"/>
                    <w:color w:val="000000" w:themeColor="text1"/>
                  </w:rPr>
                  <m:t>2</m:t>
                </m:r>
              </m:sup>
            </m:sSup>
          </m:num>
          <m:den>
            <m:r>
              <w:rPr>
                <w:rFonts w:ascii="Cambria Math" w:eastAsiaTheme="minorEastAsia" w:hAnsi="Cambria Math" w:cs="Arial"/>
                <w:color w:val="000000" w:themeColor="text1"/>
              </w:rPr>
              <m:t>2</m:t>
            </m:r>
          </m:den>
        </m:f>
        <m:r>
          <w:rPr>
            <w:rFonts w:ascii="Cambria Math" w:eastAsiaTheme="minorEastAsia" w:hAnsi="Cambria Math" w:cs="Arial"/>
            <w:color w:val="000000" w:themeColor="text1"/>
          </w:rPr>
          <m:t>)</m:t>
        </m:r>
      </m:oMath>
      <w:r w:rsidRPr="00217865">
        <w:rPr>
          <w:rFonts w:eastAsiaTheme="minorEastAsia" w:cs="Arial"/>
          <w:color w:val="000000" w:themeColor="text1"/>
        </w:rPr>
        <w:t xml:space="preserve">. The adjusted confidence interval then becomes </w:t>
      </w:r>
      <m:oMath>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p</m:t>
            </m:r>
          </m:e>
        </m:acc>
        <m:r>
          <w:rPr>
            <w:rFonts w:ascii="Cambria Math" w:eastAsiaTheme="minorEastAsia" w:hAnsi="Cambria Math" w:cs="Arial"/>
            <w:color w:val="000000" w:themeColor="text1"/>
          </w:rPr>
          <m:t>±z</m:t>
        </m:r>
        <m:rad>
          <m:radPr>
            <m:degHide m:val="1"/>
            <m:ctrlPr>
              <w:rPr>
                <w:rFonts w:ascii="Cambria Math" w:eastAsiaTheme="minorEastAsia" w:hAnsi="Cambria Math" w:cs="Arial"/>
                <w:i/>
                <w:color w:val="000000" w:themeColor="text1"/>
              </w:rPr>
            </m:ctrlPr>
          </m:radPr>
          <m:deg/>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p</m:t>
                </m:r>
              </m:e>
            </m:acc>
            <m:r>
              <w:rPr>
                <w:rFonts w:ascii="Cambria Math" w:eastAsiaTheme="minorEastAsia" w:hAnsi="Cambria Math" w:cs="Arial"/>
                <w:color w:val="000000" w:themeColor="text1"/>
              </w:rPr>
              <m:t>(1-</m:t>
            </m:r>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p</m:t>
                </m:r>
              </m:e>
            </m:acc>
            <m:r>
              <w:rPr>
                <w:rFonts w:ascii="Cambria Math" w:eastAsiaTheme="minorEastAsia" w:hAnsi="Cambria Math" w:cs="Arial"/>
                <w:color w:val="000000" w:themeColor="text1"/>
              </w:rPr>
              <m:t>)/</m:t>
            </m:r>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n</m:t>
                </m:r>
              </m:e>
            </m:acc>
          </m:e>
        </m:rad>
      </m:oMath>
      <w:r w:rsidRPr="00217865">
        <w:rPr>
          <w:rFonts w:eastAsiaTheme="minorEastAsia" w:cs="Arial"/>
          <w:color w:val="000000" w:themeColor="text1"/>
        </w:rPr>
        <w:t>.</w:t>
      </w:r>
    </w:p>
    <w:p w14:paraId="01C0ED19" w14:textId="77777777" w:rsidR="005A5905" w:rsidRPr="00217865" w:rsidRDefault="005A5905" w:rsidP="005A5905">
      <w:pPr>
        <w:pStyle w:val="Body"/>
        <w:rPr>
          <w:rFonts w:cs="Arial"/>
          <w:color w:val="000000" w:themeColor="text1"/>
        </w:rPr>
      </w:pPr>
      <w:r w:rsidRPr="00217865">
        <w:rPr>
          <w:rFonts w:cs="Arial"/>
          <w:color w:val="000000" w:themeColor="text1"/>
        </w:rPr>
        <w:t xml:space="preserve">It is common to deflate the confidence interval for situations where the responding sample is relatively large compared to the population, as is the case for the Student Experience Survey (SES). This is done by multiplying the term to the right of the ± symbol by a finite population correction factor, given as </w:t>
      </w:r>
      <m:oMath>
        <m:d>
          <m:dPr>
            <m:ctrlPr>
              <w:rPr>
                <w:rFonts w:ascii="Cambria Math" w:hAnsi="Cambria Math" w:cs="Arial"/>
                <w:color w:val="000000" w:themeColor="text1"/>
                <w:sz w:val="24"/>
                <w:szCs w:val="24"/>
              </w:rPr>
            </m:ctrlPr>
          </m:dPr>
          <m:e>
            <m:r>
              <m:rPr>
                <m:sty m:val="p"/>
              </m:rPr>
              <w:rPr>
                <w:rFonts w:ascii="Cambria Math" w:hAnsi="Cambria Math" w:cs="Arial"/>
                <w:color w:val="000000" w:themeColor="text1"/>
              </w:rPr>
              <m:t>1-</m:t>
            </m:r>
            <m:f>
              <m:fPr>
                <m:ctrlPr>
                  <w:rPr>
                    <w:rFonts w:ascii="Cambria Math" w:hAnsi="Cambria Math" w:cs="Arial"/>
                    <w:color w:val="000000" w:themeColor="text1"/>
                    <w:sz w:val="24"/>
                    <w:szCs w:val="24"/>
                  </w:rPr>
                </m:ctrlPr>
              </m:fPr>
              <m:num>
                <m:r>
                  <w:rPr>
                    <w:rFonts w:ascii="Cambria Math" w:hAnsi="Cambria Math" w:cs="Arial"/>
                    <w:color w:val="000000" w:themeColor="text1"/>
                  </w:rPr>
                  <m:t>n</m:t>
                </m:r>
              </m:num>
              <m:den>
                <m:r>
                  <w:rPr>
                    <w:rFonts w:ascii="Cambria Math" w:hAnsi="Cambria Math" w:cs="Arial"/>
                    <w:color w:val="000000" w:themeColor="text1"/>
                  </w:rPr>
                  <m:t>N</m:t>
                </m:r>
              </m:den>
            </m:f>
          </m:e>
        </m:d>
      </m:oMath>
      <w:r w:rsidRPr="00217865">
        <w:rPr>
          <w:rFonts w:cs="Arial"/>
          <w:color w:val="000000" w:themeColor="text1"/>
        </w:rPr>
        <w:t xml:space="preserve"> where </w:t>
      </w:r>
      <m:oMath>
        <m:r>
          <w:rPr>
            <w:rFonts w:ascii="Cambria Math" w:hAnsi="Cambria Math" w:cs="Arial"/>
            <w:color w:val="000000" w:themeColor="text1"/>
          </w:rPr>
          <m:t>N</m:t>
        </m:r>
      </m:oMath>
      <w:r w:rsidRPr="00217865">
        <w:rPr>
          <w:rFonts w:cs="Arial"/>
          <w:color w:val="000000" w:themeColor="text1"/>
        </w:rPr>
        <w:t xml:space="preserve"> is the population size.</w:t>
      </w:r>
    </w:p>
    <w:p w14:paraId="61548F14" w14:textId="77777777" w:rsidR="005A5905" w:rsidRPr="00217865" w:rsidRDefault="005A5905" w:rsidP="005A5905">
      <w:pPr>
        <w:pStyle w:val="Body"/>
        <w:rPr>
          <w:rFonts w:cs="Arial"/>
          <w:color w:val="000000" w:themeColor="text1"/>
        </w:rPr>
      </w:pPr>
      <w:r w:rsidRPr="00217865">
        <w:rPr>
          <w:rFonts w:cs="Arial"/>
          <w:color w:val="000000" w:themeColor="text1"/>
        </w:rPr>
        <w:t>Note that the adjusted confidence interval is around the adjusted proportion (</w:t>
      </w:r>
      <m:oMath>
        <m:acc>
          <m:accPr>
            <m:chr m:val="̃"/>
            <m:ctrlPr>
              <w:rPr>
                <w:rFonts w:ascii="Cambria Math" w:eastAsiaTheme="minorHAnsi" w:hAnsi="Cambria Math" w:cs="Arial"/>
                <w:i/>
                <w:color w:val="000000" w:themeColor="text1"/>
              </w:rPr>
            </m:ctrlPr>
          </m:accPr>
          <m:e>
            <m:r>
              <w:rPr>
                <w:rFonts w:ascii="Cambria Math" w:hAnsi="Cambria Math" w:cs="Arial"/>
                <w:color w:val="000000" w:themeColor="text1"/>
              </w:rPr>
              <m:t>p</m:t>
            </m:r>
          </m:e>
        </m:acc>
      </m:oMath>
      <w:r w:rsidRPr="00217865">
        <w:rPr>
          <w:rFonts w:cs="Arial"/>
          <w:color w:val="000000" w:themeColor="text1"/>
        </w:rPr>
        <w:t>) but the proportions presented in the report are the raw, unadjusted values (</w:t>
      </w:r>
      <m:oMath>
        <m:r>
          <w:rPr>
            <w:rFonts w:ascii="Cambria Math" w:hAnsi="Cambria Math" w:cs="Arial"/>
            <w:color w:val="000000" w:themeColor="text1"/>
          </w:rPr>
          <m:t>p</m:t>
        </m:r>
      </m:oMath>
      <w:r w:rsidRPr="00217865">
        <w:rPr>
          <w:rFonts w:cs="Arial"/>
          <w:color w:val="000000" w:themeColor="text1"/>
        </w:rPr>
        <w:t xml:space="preserve">). Like other approximations for confidence intervals, this method can give unreliable results for values of </w:t>
      </w:r>
      <m:oMath>
        <m:r>
          <w:rPr>
            <w:rFonts w:ascii="Cambria Math" w:hAnsi="Cambria Math" w:cs="Arial"/>
            <w:color w:val="000000" w:themeColor="text1"/>
          </w:rPr>
          <m:t>p</m:t>
        </m:r>
      </m:oMath>
      <w:r w:rsidRPr="00217865">
        <w:rPr>
          <w:rFonts w:eastAsiaTheme="minorEastAsia" w:cs="Arial"/>
          <w:color w:val="000000" w:themeColor="text1"/>
        </w:rPr>
        <w:t xml:space="preserve"> very close to 0 per cent and 100 per cent. In this report, such occurrences are flagged, and the confidence intervals are not shown.</w:t>
      </w:r>
    </w:p>
    <w:p w14:paraId="0401D88D" w14:textId="77777777" w:rsidR="005A5905" w:rsidRPr="00217865" w:rsidRDefault="005A5905" w:rsidP="005A5905">
      <w:pPr>
        <w:rPr>
          <w:rFonts w:eastAsiaTheme="majorEastAsia" w:cs="Arial"/>
          <w:bCs/>
          <w:color w:val="000000" w:themeColor="text1"/>
          <w:sz w:val="40"/>
          <w:szCs w:val="40"/>
        </w:rPr>
      </w:pPr>
      <w:r w:rsidRPr="00217865">
        <w:rPr>
          <w:rFonts w:cs="Arial"/>
          <w:bCs/>
          <w:color w:val="000000" w:themeColor="text1"/>
        </w:rPr>
        <w:br w:type="page"/>
      </w:r>
    </w:p>
    <w:p w14:paraId="55DD3B04" w14:textId="0FD1B2D7" w:rsidR="005A5905" w:rsidRPr="00217865" w:rsidRDefault="005A5905" w:rsidP="00535E2A">
      <w:pPr>
        <w:pStyle w:val="AppendixHeading"/>
        <w:numPr>
          <w:ilvl w:val="0"/>
          <w:numId w:val="44"/>
        </w:numPr>
        <w:rPr>
          <w:rFonts w:cs="Arial"/>
          <w:color w:val="000000" w:themeColor="text1"/>
        </w:rPr>
      </w:pPr>
      <w:bookmarkStart w:id="594" w:name="_Toc167872824"/>
      <w:bookmarkStart w:id="595" w:name="_Toc178599321"/>
      <w:r w:rsidRPr="00217865">
        <w:rPr>
          <w:rFonts w:cs="Arial"/>
          <w:color w:val="000000" w:themeColor="text1"/>
        </w:rPr>
        <w:lastRenderedPageBreak/>
        <w:t>Study area definitions</w:t>
      </w:r>
      <w:bookmarkEnd w:id="593"/>
      <w:bookmarkEnd w:id="594"/>
      <w:bookmarkEnd w:id="595"/>
    </w:p>
    <w:p w14:paraId="232DDF39" w14:textId="726EACD7" w:rsidR="005A5905" w:rsidRPr="00217865" w:rsidRDefault="005A5905" w:rsidP="0081215D">
      <w:pPr>
        <w:pStyle w:val="Tabletitle"/>
        <w:rPr>
          <w:i/>
        </w:rPr>
      </w:pPr>
      <w:bookmarkStart w:id="596" w:name="_Toc167872879"/>
      <w:bookmarkStart w:id="597" w:name="_Toc178599402"/>
      <w:r w:rsidRPr="00217865">
        <w:t xml:space="preserve">Table </w:t>
      </w:r>
      <w:r w:rsidRPr="00217865">
        <w:rPr>
          <w:i/>
        </w:rPr>
        <w:fldChar w:fldCharType="begin"/>
      </w:r>
      <w:r w:rsidRPr="00217865">
        <w:instrText xml:space="preserve"> SEQ Table \* ARABIC </w:instrText>
      </w:r>
      <w:r w:rsidRPr="00217865">
        <w:rPr>
          <w:i/>
        </w:rPr>
        <w:fldChar w:fldCharType="separate"/>
      </w:r>
      <w:r w:rsidR="005D5678">
        <w:rPr>
          <w:noProof/>
        </w:rPr>
        <w:t>37</w:t>
      </w:r>
      <w:r w:rsidRPr="00217865">
        <w:rPr>
          <w:i/>
        </w:rPr>
        <w:fldChar w:fldCharType="end"/>
      </w:r>
      <w:r w:rsidR="00CF00B5">
        <w:tab/>
      </w:r>
      <w:r w:rsidRPr="00217865">
        <w:t>21 and 45 study areas concordance with ASCED field of education</w:t>
      </w:r>
      <w:bookmarkEnd w:id="596"/>
      <w:bookmarkEnd w:id="597"/>
    </w:p>
    <w:tbl>
      <w:tblPr>
        <w:tblStyle w:val="QILTTableStylePH"/>
        <w:tblW w:w="5000" w:type="pct"/>
        <w:tblLook w:val="04A0" w:firstRow="1" w:lastRow="0" w:firstColumn="1" w:lastColumn="0" w:noHBand="0" w:noVBand="1"/>
      </w:tblPr>
      <w:tblGrid>
        <w:gridCol w:w="561"/>
        <w:gridCol w:w="2374"/>
        <w:gridCol w:w="561"/>
        <w:gridCol w:w="2492"/>
        <w:gridCol w:w="3748"/>
      </w:tblGrid>
      <w:tr w:rsidR="00217865" w:rsidRPr="00217865" w14:paraId="7015B520" w14:textId="77777777" w:rsidTr="006121CF">
        <w:trPr>
          <w:trHeight w:val="240"/>
          <w:tblHeader/>
        </w:trPr>
        <w:tc>
          <w:tcPr>
            <w:tcW w:w="288" w:type="pct"/>
            <w:vAlign w:val="center"/>
            <w:hideMark/>
          </w:tcPr>
          <w:p w14:paraId="31D94E39" w14:textId="77777777" w:rsidR="005A5905" w:rsidRPr="006121CF" w:rsidRDefault="005A5905" w:rsidP="0006511F">
            <w:pPr>
              <w:pStyle w:val="Z"/>
              <w:rPr>
                <w:b/>
                <w:bCs/>
                <w:color w:val="000000" w:themeColor="text1"/>
                <w:lang w:bidi="en-US"/>
              </w:rPr>
            </w:pPr>
            <w:r w:rsidRPr="006121CF">
              <w:rPr>
                <w:b/>
                <w:bCs/>
                <w:color w:val="000000" w:themeColor="text1"/>
                <w:lang w:bidi="en-US"/>
              </w:rPr>
              <w:t>0</w:t>
            </w:r>
            <w:bookmarkStart w:id="598" w:name="Title_37"/>
            <w:bookmarkEnd w:id="598"/>
          </w:p>
        </w:tc>
        <w:tc>
          <w:tcPr>
            <w:tcW w:w="1219" w:type="pct"/>
            <w:vAlign w:val="center"/>
            <w:hideMark/>
          </w:tcPr>
          <w:p w14:paraId="789AA33D" w14:textId="77777777" w:rsidR="005A5905" w:rsidRPr="006121CF" w:rsidRDefault="005A5905" w:rsidP="00CF00B5">
            <w:pPr>
              <w:pStyle w:val="Z"/>
              <w:rPr>
                <w:b/>
                <w:bCs/>
                <w:color w:val="000000" w:themeColor="text1"/>
                <w:lang w:bidi="en-US"/>
              </w:rPr>
            </w:pPr>
            <w:r w:rsidRPr="006121CF">
              <w:rPr>
                <w:b/>
                <w:bCs/>
                <w:color w:val="000000" w:themeColor="text1"/>
                <w:lang w:bidi="en-US"/>
              </w:rPr>
              <w:t>Non-award</w:t>
            </w:r>
          </w:p>
        </w:tc>
        <w:tc>
          <w:tcPr>
            <w:tcW w:w="288" w:type="pct"/>
            <w:vAlign w:val="center"/>
            <w:hideMark/>
          </w:tcPr>
          <w:p w14:paraId="5F7566C0" w14:textId="77777777" w:rsidR="005A5905" w:rsidRPr="006121CF" w:rsidRDefault="005A5905" w:rsidP="0006511F">
            <w:pPr>
              <w:pStyle w:val="Z"/>
              <w:rPr>
                <w:b/>
                <w:bCs/>
                <w:color w:val="000000" w:themeColor="text1"/>
                <w:lang w:bidi="en-US"/>
              </w:rPr>
            </w:pPr>
            <w:r w:rsidRPr="006121CF">
              <w:rPr>
                <w:b/>
                <w:bCs/>
                <w:color w:val="000000" w:themeColor="text1"/>
                <w:lang w:bidi="en-US"/>
              </w:rPr>
              <w:t>0</w:t>
            </w:r>
          </w:p>
        </w:tc>
        <w:tc>
          <w:tcPr>
            <w:tcW w:w="1280" w:type="pct"/>
            <w:vAlign w:val="center"/>
            <w:hideMark/>
          </w:tcPr>
          <w:p w14:paraId="35F3BCE0" w14:textId="77777777" w:rsidR="005A5905" w:rsidRPr="006121CF" w:rsidRDefault="005A5905" w:rsidP="0006511F">
            <w:pPr>
              <w:pStyle w:val="Z"/>
              <w:rPr>
                <w:b/>
                <w:bCs/>
                <w:color w:val="000000" w:themeColor="text1"/>
                <w:lang w:bidi="en-US"/>
              </w:rPr>
            </w:pPr>
            <w:r w:rsidRPr="006121CF">
              <w:rPr>
                <w:b/>
                <w:bCs/>
                <w:color w:val="000000" w:themeColor="text1"/>
                <w:lang w:bidi="en-US"/>
              </w:rPr>
              <w:t>Non-award</w:t>
            </w:r>
          </w:p>
        </w:tc>
        <w:tc>
          <w:tcPr>
            <w:tcW w:w="1925" w:type="pct"/>
            <w:vAlign w:val="center"/>
            <w:hideMark/>
          </w:tcPr>
          <w:p w14:paraId="62A1B125" w14:textId="77777777" w:rsidR="005A5905" w:rsidRPr="006121CF" w:rsidRDefault="005A5905" w:rsidP="0006511F">
            <w:pPr>
              <w:pStyle w:val="Z"/>
              <w:rPr>
                <w:b/>
                <w:bCs/>
                <w:color w:val="000000" w:themeColor="text1"/>
                <w:lang w:bidi="en-US"/>
              </w:rPr>
            </w:pPr>
            <w:r w:rsidRPr="006121CF">
              <w:rPr>
                <w:b/>
                <w:bCs/>
                <w:color w:val="000000" w:themeColor="text1"/>
                <w:lang w:bidi="en-US"/>
              </w:rPr>
              <w:t>000000</w:t>
            </w:r>
          </w:p>
        </w:tc>
      </w:tr>
      <w:tr w:rsidR="00217865" w:rsidRPr="00217865" w14:paraId="03487726" w14:textId="77777777" w:rsidTr="00CF00B5">
        <w:trPr>
          <w:trHeight w:val="480"/>
        </w:trPr>
        <w:tc>
          <w:tcPr>
            <w:tcW w:w="288" w:type="pct"/>
            <w:vAlign w:val="center"/>
            <w:hideMark/>
          </w:tcPr>
          <w:p w14:paraId="0BD280EB" w14:textId="77777777" w:rsidR="005A5905" w:rsidRPr="00217865" w:rsidRDefault="005A5905" w:rsidP="0006511F">
            <w:pPr>
              <w:pStyle w:val="Z"/>
              <w:rPr>
                <w:color w:val="000000" w:themeColor="text1"/>
                <w:lang w:bidi="en-US"/>
              </w:rPr>
            </w:pPr>
            <w:r w:rsidRPr="00217865">
              <w:rPr>
                <w:color w:val="000000" w:themeColor="text1"/>
                <w:lang w:bidi="en-US"/>
              </w:rPr>
              <w:t>1</w:t>
            </w:r>
          </w:p>
        </w:tc>
        <w:tc>
          <w:tcPr>
            <w:tcW w:w="1219" w:type="pct"/>
            <w:vAlign w:val="center"/>
            <w:hideMark/>
          </w:tcPr>
          <w:p w14:paraId="25A86741" w14:textId="77777777" w:rsidR="005A5905" w:rsidRPr="00217865" w:rsidRDefault="005A5905" w:rsidP="00CF00B5">
            <w:pPr>
              <w:pStyle w:val="Z"/>
              <w:rPr>
                <w:color w:val="000000" w:themeColor="text1"/>
                <w:lang w:bidi="en-US"/>
              </w:rPr>
            </w:pPr>
            <w:r w:rsidRPr="00217865">
              <w:rPr>
                <w:color w:val="000000" w:themeColor="text1"/>
                <w:lang w:bidi="en-US"/>
              </w:rPr>
              <w:t>Science and mathematics</w:t>
            </w:r>
          </w:p>
        </w:tc>
        <w:tc>
          <w:tcPr>
            <w:tcW w:w="288" w:type="pct"/>
            <w:vAlign w:val="center"/>
            <w:hideMark/>
          </w:tcPr>
          <w:p w14:paraId="488DDEB6" w14:textId="77777777" w:rsidR="005A5905" w:rsidRPr="00217865" w:rsidRDefault="005A5905" w:rsidP="0006511F">
            <w:pPr>
              <w:pStyle w:val="Z"/>
              <w:rPr>
                <w:color w:val="000000" w:themeColor="text1"/>
                <w:lang w:bidi="en-US"/>
              </w:rPr>
            </w:pPr>
            <w:r w:rsidRPr="00217865">
              <w:rPr>
                <w:color w:val="000000" w:themeColor="text1"/>
                <w:lang w:bidi="en-US"/>
              </w:rPr>
              <w:t>1</w:t>
            </w:r>
          </w:p>
        </w:tc>
        <w:tc>
          <w:tcPr>
            <w:tcW w:w="1280" w:type="pct"/>
            <w:vAlign w:val="center"/>
            <w:hideMark/>
          </w:tcPr>
          <w:p w14:paraId="05A5CB81" w14:textId="77777777" w:rsidR="005A5905" w:rsidRPr="00217865" w:rsidRDefault="005A5905" w:rsidP="0006511F">
            <w:pPr>
              <w:pStyle w:val="Z"/>
              <w:rPr>
                <w:color w:val="000000" w:themeColor="text1"/>
                <w:lang w:bidi="en-US"/>
              </w:rPr>
            </w:pPr>
            <w:r w:rsidRPr="00217865">
              <w:rPr>
                <w:color w:val="000000" w:themeColor="text1"/>
                <w:lang w:bidi="en-US"/>
              </w:rPr>
              <w:t>Natural &amp; Physical Sciences</w:t>
            </w:r>
          </w:p>
        </w:tc>
        <w:tc>
          <w:tcPr>
            <w:tcW w:w="1925" w:type="pct"/>
            <w:vAlign w:val="center"/>
            <w:hideMark/>
          </w:tcPr>
          <w:p w14:paraId="447CD01B" w14:textId="77777777" w:rsidR="005A5905" w:rsidRPr="00217865" w:rsidRDefault="005A5905" w:rsidP="0006511F">
            <w:pPr>
              <w:pStyle w:val="Z"/>
              <w:rPr>
                <w:color w:val="000000" w:themeColor="text1"/>
                <w:lang w:bidi="en-US"/>
              </w:rPr>
            </w:pPr>
            <w:r w:rsidRPr="00217865">
              <w:rPr>
                <w:color w:val="000000" w:themeColor="text1"/>
                <w:lang w:bidi="en-US"/>
              </w:rPr>
              <w:t>010000, 010300, 010301, 010303, 010500, 010501, 010503, 010599, 010700, 010701, 010703, 010705, 010707, 010709, 010711, 010713, 010799, 019900, 019999</w:t>
            </w:r>
          </w:p>
        </w:tc>
      </w:tr>
      <w:tr w:rsidR="00217865" w:rsidRPr="00217865" w14:paraId="56DE96CB" w14:textId="77777777" w:rsidTr="00CF00B5">
        <w:trPr>
          <w:trHeight w:val="240"/>
        </w:trPr>
        <w:tc>
          <w:tcPr>
            <w:tcW w:w="288" w:type="pct"/>
            <w:vAlign w:val="center"/>
            <w:hideMark/>
          </w:tcPr>
          <w:p w14:paraId="0E0FB065" w14:textId="58E5A07E"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0AEEC007" w14:textId="7C4AF310"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044992E8" w14:textId="77777777" w:rsidR="005A5905" w:rsidRPr="00217865" w:rsidRDefault="005A5905" w:rsidP="0006511F">
            <w:pPr>
              <w:pStyle w:val="Z"/>
              <w:rPr>
                <w:color w:val="000000" w:themeColor="text1"/>
                <w:lang w:bidi="en-US"/>
              </w:rPr>
            </w:pPr>
            <w:r w:rsidRPr="00217865">
              <w:rPr>
                <w:color w:val="000000" w:themeColor="text1"/>
                <w:lang w:bidi="en-US"/>
              </w:rPr>
              <w:t>2</w:t>
            </w:r>
          </w:p>
        </w:tc>
        <w:tc>
          <w:tcPr>
            <w:tcW w:w="1280" w:type="pct"/>
            <w:vAlign w:val="center"/>
            <w:hideMark/>
          </w:tcPr>
          <w:p w14:paraId="159570E7" w14:textId="77777777" w:rsidR="005A5905" w:rsidRPr="00217865" w:rsidRDefault="005A5905" w:rsidP="0006511F">
            <w:pPr>
              <w:pStyle w:val="Z"/>
              <w:rPr>
                <w:color w:val="000000" w:themeColor="text1"/>
                <w:lang w:bidi="en-US"/>
              </w:rPr>
            </w:pPr>
            <w:r w:rsidRPr="00217865">
              <w:rPr>
                <w:color w:val="000000" w:themeColor="text1"/>
                <w:lang w:bidi="en-US"/>
              </w:rPr>
              <w:t>Mathematics</w:t>
            </w:r>
          </w:p>
        </w:tc>
        <w:tc>
          <w:tcPr>
            <w:tcW w:w="1925" w:type="pct"/>
            <w:vAlign w:val="center"/>
            <w:hideMark/>
          </w:tcPr>
          <w:p w14:paraId="2118FE40" w14:textId="77777777" w:rsidR="005A5905" w:rsidRPr="00217865" w:rsidRDefault="005A5905" w:rsidP="0006511F">
            <w:pPr>
              <w:pStyle w:val="Z"/>
              <w:rPr>
                <w:color w:val="000000" w:themeColor="text1"/>
                <w:lang w:bidi="en-US"/>
              </w:rPr>
            </w:pPr>
            <w:r w:rsidRPr="00217865">
              <w:rPr>
                <w:color w:val="000000" w:themeColor="text1"/>
                <w:lang w:bidi="en-US"/>
              </w:rPr>
              <w:t>010100, 010101, 010103, 010199</w:t>
            </w:r>
          </w:p>
        </w:tc>
      </w:tr>
      <w:tr w:rsidR="00217865" w:rsidRPr="00217865" w14:paraId="575916EB" w14:textId="77777777" w:rsidTr="00CF00B5">
        <w:trPr>
          <w:trHeight w:val="240"/>
        </w:trPr>
        <w:tc>
          <w:tcPr>
            <w:tcW w:w="288" w:type="pct"/>
            <w:vAlign w:val="center"/>
            <w:hideMark/>
          </w:tcPr>
          <w:p w14:paraId="344BD6C5" w14:textId="625B9F3A"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5C7B020E" w14:textId="6FF85BFE"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760ABFA7" w14:textId="77777777" w:rsidR="005A5905" w:rsidRPr="00217865" w:rsidRDefault="005A5905" w:rsidP="0006511F">
            <w:pPr>
              <w:pStyle w:val="Z"/>
              <w:rPr>
                <w:color w:val="000000" w:themeColor="text1"/>
                <w:lang w:bidi="en-US"/>
              </w:rPr>
            </w:pPr>
            <w:r w:rsidRPr="00217865">
              <w:rPr>
                <w:color w:val="000000" w:themeColor="text1"/>
                <w:lang w:bidi="en-US"/>
              </w:rPr>
              <w:t>3</w:t>
            </w:r>
          </w:p>
        </w:tc>
        <w:tc>
          <w:tcPr>
            <w:tcW w:w="1280" w:type="pct"/>
            <w:vAlign w:val="center"/>
            <w:hideMark/>
          </w:tcPr>
          <w:p w14:paraId="15677171" w14:textId="77777777" w:rsidR="005A5905" w:rsidRPr="00217865" w:rsidRDefault="005A5905" w:rsidP="0006511F">
            <w:pPr>
              <w:pStyle w:val="Z"/>
              <w:rPr>
                <w:color w:val="000000" w:themeColor="text1"/>
                <w:lang w:bidi="en-US"/>
              </w:rPr>
            </w:pPr>
            <w:r w:rsidRPr="00217865">
              <w:rPr>
                <w:color w:val="000000" w:themeColor="text1"/>
                <w:lang w:bidi="en-US"/>
              </w:rPr>
              <w:t>Biological Sciences</w:t>
            </w:r>
          </w:p>
        </w:tc>
        <w:tc>
          <w:tcPr>
            <w:tcW w:w="1925" w:type="pct"/>
            <w:vAlign w:val="center"/>
            <w:hideMark/>
          </w:tcPr>
          <w:p w14:paraId="3C77B49F" w14:textId="77777777" w:rsidR="005A5905" w:rsidRPr="00217865" w:rsidRDefault="005A5905" w:rsidP="0006511F">
            <w:pPr>
              <w:pStyle w:val="Z"/>
              <w:rPr>
                <w:color w:val="000000" w:themeColor="text1"/>
                <w:lang w:bidi="en-US"/>
              </w:rPr>
            </w:pPr>
            <w:r w:rsidRPr="00217865">
              <w:rPr>
                <w:color w:val="000000" w:themeColor="text1"/>
                <w:lang w:bidi="en-US"/>
              </w:rPr>
              <w:t>010900, 010901, 010903, 010905, 010907, 010909, 010911, 010913, 010915, 010999</w:t>
            </w:r>
          </w:p>
        </w:tc>
      </w:tr>
      <w:tr w:rsidR="00217865" w:rsidRPr="00217865" w14:paraId="11962B41" w14:textId="77777777" w:rsidTr="00CF00B5">
        <w:trPr>
          <w:trHeight w:val="240"/>
        </w:trPr>
        <w:tc>
          <w:tcPr>
            <w:tcW w:w="288" w:type="pct"/>
            <w:vAlign w:val="center"/>
            <w:hideMark/>
          </w:tcPr>
          <w:p w14:paraId="0FD12970" w14:textId="3ADB8169"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662F6F06" w14:textId="25EE1D01"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44C32201" w14:textId="77777777" w:rsidR="005A5905" w:rsidRPr="00217865" w:rsidRDefault="005A5905" w:rsidP="0006511F">
            <w:pPr>
              <w:pStyle w:val="Z"/>
              <w:rPr>
                <w:color w:val="000000" w:themeColor="text1"/>
                <w:lang w:bidi="en-US"/>
              </w:rPr>
            </w:pPr>
            <w:r w:rsidRPr="00217865">
              <w:rPr>
                <w:color w:val="000000" w:themeColor="text1"/>
                <w:lang w:bidi="en-US"/>
              </w:rPr>
              <w:t>4</w:t>
            </w:r>
          </w:p>
        </w:tc>
        <w:tc>
          <w:tcPr>
            <w:tcW w:w="1280" w:type="pct"/>
            <w:vAlign w:val="center"/>
            <w:hideMark/>
          </w:tcPr>
          <w:p w14:paraId="0CFC5EA0" w14:textId="77777777" w:rsidR="005A5905" w:rsidRPr="00217865" w:rsidRDefault="005A5905" w:rsidP="0006511F">
            <w:pPr>
              <w:pStyle w:val="Z"/>
              <w:rPr>
                <w:color w:val="000000" w:themeColor="text1"/>
                <w:lang w:bidi="en-US"/>
              </w:rPr>
            </w:pPr>
            <w:r w:rsidRPr="00217865">
              <w:rPr>
                <w:color w:val="000000" w:themeColor="text1"/>
                <w:lang w:bidi="en-US"/>
              </w:rPr>
              <w:t>Medical Science &amp; Technology</w:t>
            </w:r>
          </w:p>
        </w:tc>
        <w:tc>
          <w:tcPr>
            <w:tcW w:w="1925" w:type="pct"/>
            <w:vAlign w:val="center"/>
            <w:hideMark/>
          </w:tcPr>
          <w:p w14:paraId="48C6E6EF" w14:textId="77777777" w:rsidR="005A5905" w:rsidRPr="00217865" w:rsidRDefault="005A5905" w:rsidP="0006511F">
            <w:pPr>
              <w:pStyle w:val="Z"/>
              <w:rPr>
                <w:color w:val="000000" w:themeColor="text1"/>
                <w:lang w:bidi="en-US"/>
              </w:rPr>
            </w:pPr>
            <w:r w:rsidRPr="00217865">
              <w:rPr>
                <w:color w:val="000000" w:themeColor="text1"/>
                <w:lang w:bidi="en-US"/>
              </w:rPr>
              <w:t>019901, 019903, 019905, 019907, 019909</w:t>
            </w:r>
          </w:p>
        </w:tc>
      </w:tr>
      <w:tr w:rsidR="00217865" w:rsidRPr="00217865" w14:paraId="4A585533" w14:textId="77777777" w:rsidTr="00CF00B5">
        <w:trPr>
          <w:trHeight w:val="720"/>
        </w:trPr>
        <w:tc>
          <w:tcPr>
            <w:tcW w:w="288" w:type="pct"/>
            <w:vAlign w:val="center"/>
            <w:hideMark/>
          </w:tcPr>
          <w:p w14:paraId="49061A94" w14:textId="77777777" w:rsidR="005A5905" w:rsidRPr="00217865" w:rsidRDefault="005A5905" w:rsidP="0006511F">
            <w:pPr>
              <w:pStyle w:val="Z"/>
              <w:rPr>
                <w:color w:val="000000" w:themeColor="text1"/>
                <w:lang w:bidi="en-US"/>
              </w:rPr>
            </w:pPr>
            <w:r w:rsidRPr="00217865">
              <w:rPr>
                <w:color w:val="000000" w:themeColor="text1"/>
                <w:lang w:bidi="en-US"/>
              </w:rPr>
              <w:t>2</w:t>
            </w:r>
          </w:p>
        </w:tc>
        <w:tc>
          <w:tcPr>
            <w:tcW w:w="1219" w:type="pct"/>
            <w:vAlign w:val="center"/>
            <w:hideMark/>
          </w:tcPr>
          <w:p w14:paraId="0A3681ED" w14:textId="77777777" w:rsidR="005A5905" w:rsidRPr="00217865" w:rsidRDefault="005A5905" w:rsidP="00CF00B5">
            <w:pPr>
              <w:pStyle w:val="Z"/>
              <w:rPr>
                <w:color w:val="000000" w:themeColor="text1"/>
                <w:lang w:bidi="en-US"/>
              </w:rPr>
            </w:pPr>
            <w:r w:rsidRPr="00217865">
              <w:rPr>
                <w:color w:val="000000" w:themeColor="text1"/>
                <w:lang w:bidi="en-US"/>
              </w:rPr>
              <w:t>Computing &amp; Information systems</w:t>
            </w:r>
          </w:p>
        </w:tc>
        <w:tc>
          <w:tcPr>
            <w:tcW w:w="288" w:type="pct"/>
            <w:vAlign w:val="center"/>
            <w:hideMark/>
          </w:tcPr>
          <w:p w14:paraId="682312A0" w14:textId="77777777" w:rsidR="005A5905" w:rsidRPr="00217865" w:rsidRDefault="005A5905" w:rsidP="0006511F">
            <w:pPr>
              <w:pStyle w:val="Z"/>
              <w:rPr>
                <w:color w:val="000000" w:themeColor="text1"/>
                <w:lang w:bidi="en-US"/>
              </w:rPr>
            </w:pPr>
            <w:r w:rsidRPr="00217865">
              <w:rPr>
                <w:color w:val="000000" w:themeColor="text1"/>
                <w:lang w:bidi="en-US"/>
              </w:rPr>
              <w:t>5</w:t>
            </w:r>
          </w:p>
        </w:tc>
        <w:tc>
          <w:tcPr>
            <w:tcW w:w="1280" w:type="pct"/>
            <w:vAlign w:val="center"/>
            <w:hideMark/>
          </w:tcPr>
          <w:p w14:paraId="248E6070" w14:textId="77777777" w:rsidR="005A5905" w:rsidRPr="00217865" w:rsidRDefault="005A5905" w:rsidP="0006511F">
            <w:pPr>
              <w:pStyle w:val="Z"/>
              <w:rPr>
                <w:color w:val="000000" w:themeColor="text1"/>
                <w:lang w:bidi="en-US"/>
              </w:rPr>
            </w:pPr>
            <w:r w:rsidRPr="00217865">
              <w:rPr>
                <w:color w:val="000000" w:themeColor="text1"/>
                <w:lang w:bidi="en-US"/>
              </w:rPr>
              <w:t>Computing &amp; Information systems</w:t>
            </w:r>
          </w:p>
        </w:tc>
        <w:tc>
          <w:tcPr>
            <w:tcW w:w="1925" w:type="pct"/>
            <w:vAlign w:val="center"/>
            <w:hideMark/>
          </w:tcPr>
          <w:p w14:paraId="05167A23" w14:textId="77777777" w:rsidR="005A5905" w:rsidRPr="00217865" w:rsidRDefault="005A5905" w:rsidP="0006511F">
            <w:pPr>
              <w:pStyle w:val="Z"/>
              <w:rPr>
                <w:color w:val="000000" w:themeColor="text1"/>
                <w:lang w:bidi="en-US"/>
              </w:rPr>
            </w:pPr>
            <w:r w:rsidRPr="00217865">
              <w:rPr>
                <w:color w:val="000000" w:themeColor="text1"/>
                <w:lang w:bidi="en-US"/>
              </w:rPr>
              <w:t>020000, 020100, 020101, 020103, 020105, 020107, 020109, 020111, 020113, 020115, 020117, 020119, 020199, 020300, 020301, 020303, 020305, 020307, 020399, 029900, 029901, 029999</w:t>
            </w:r>
          </w:p>
        </w:tc>
      </w:tr>
      <w:tr w:rsidR="00217865" w:rsidRPr="00217865" w14:paraId="7765A9CB" w14:textId="77777777" w:rsidTr="00CF00B5">
        <w:trPr>
          <w:trHeight w:val="1200"/>
        </w:trPr>
        <w:tc>
          <w:tcPr>
            <w:tcW w:w="288" w:type="pct"/>
            <w:vAlign w:val="center"/>
            <w:hideMark/>
          </w:tcPr>
          <w:p w14:paraId="39C9601E" w14:textId="77777777" w:rsidR="005A5905" w:rsidRPr="00217865" w:rsidRDefault="005A5905" w:rsidP="0006511F">
            <w:pPr>
              <w:pStyle w:val="Z"/>
              <w:rPr>
                <w:color w:val="000000" w:themeColor="text1"/>
                <w:lang w:bidi="en-US"/>
              </w:rPr>
            </w:pPr>
            <w:r w:rsidRPr="00217865">
              <w:rPr>
                <w:color w:val="000000" w:themeColor="text1"/>
                <w:lang w:bidi="en-US"/>
              </w:rPr>
              <w:t>3</w:t>
            </w:r>
          </w:p>
        </w:tc>
        <w:tc>
          <w:tcPr>
            <w:tcW w:w="1219" w:type="pct"/>
            <w:vAlign w:val="center"/>
            <w:hideMark/>
          </w:tcPr>
          <w:p w14:paraId="7D792986" w14:textId="77777777" w:rsidR="005A5905" w:rsidRPr="00217865" w:rsidRDefault="005A5905" w:rsidP="00CF00B5">
            <w:pPr>
              <w:pStyle w:val="Z"/>
              <w:rPr>
                <w:color w:val="000000" w:themeColor="text1"/>
                <w:lang w:bidi="en-US"/>
              </w:rPr>
            </w:pPr>
            <w:r w:rsidRPr="00217865">
              <w:rPr>
                <w:color w:val="000000" w:themeColor="text1"/>
                <w:lang w:bidi="en-US"/>
              </w:rPr>
              <w:t>Engineering</w:t>
            </w:r>
          </w:p>
          <w:p w14:paraId="44B333B7" w14:textId="77777777" w:rsidR="005A5905" w:rsidRPr="00217865" w:rsidRDefault="005A5905" w:rsidP="00CF00B5">
            <w:pPr>
              <w:pStyle w:val="Z"/>
              <w:rPr>
                <w:color w:val="000000" w:themeColor="text1"/>
                <w:lang w:bidi="en-US"/>
              </w:rPr>
            </w:pPr>
          </w:p>
        </w:tc>
        <w:tc>
          <w:tcPr>
            <w:tcW w:w="288" w:type="pct"/>
            <w:vAlign w:val="center"/>
            <w:hideMark/>
          </w:tcPr>
          <w:p w14:paraId="29D3DD6E" w14:textId="77777777" w:rsidR="005A5905" w:rsidRPr="00217865" w:rsidRDefault="005A5905" w:rsidP="0006511F">
            <w:pPr>
              <w:pStyle w:val="Z"/>
              <w:rPr>
                <w:color w:val="000000" w:themeColor="text1"/>
                <w:lang w:bidi="en-US"/>
              </w:rPr>
            </w:pPr>
            <w:r w:rsidRPr="00217865">
              <w:rPr>
                <w:color w:val="000000" w:themeColor="text1"/>
                <w:lang w:bidi="en-US"/>
              </w:rPr>
              <w:t>6</w:t>
            </w:r>
          </w:p>
        </w:tc>
        <w:tc>
          <w:tcPr>
            <w:tcW w:w="1280" w:type="pct"/>
            <w:vAlign w:val="center"/>
            <w:hideMark/>
          </w:tcPr>
          <w:p w14:paraId="3FE298A8" w14:textId="77777777" w:rsidR="005A5905" w:rsidRPr="00217865" w:rsidRDefault="005A5905" w:rsidP="0006511F">
            <w:pPr>
              <w:pStyle w:val="Z"/>
              <w:rPr>
                <w:color w:val="000000" w:themeColor="text1"/>
                <w:lang w:bidi="en-US"/>
              </w:rPr>
            </w:pPr>
            <w:r w:rsidRPr="00217865">
              <w:rPr>
                <w:color w:val="000000" w:themeColor="text1"/>
                <w:lang w:bidi="en-US"/>
              </w:rPr>
              <w:t>Engineering - Other</w:t>
            </w:r>
          </w:p>
        </w:tc>
        <w:tc>
          <w:tcPr>
            <w:tcW w:w="1925" w:type="pct"/>
            <w:vAlign w:val="center"/>
            <w:hideMark/>
          </w:tcPr>
          <w:p w14:paraId="73073ABF" w14:textId="77777777" w:rsidR="005A5905" w:rsidRPr="00217865" w:rsidRDefault="005A5905" w:rsidP="0006511F">
            <w:pPr>
              <w:pStyle w:val="Z"/>
              <w:rPr>
                <w:color w:val="000000" w:themeColor="text1"/>
                <w:lang w:bidi="en-US"/>
              </w:rPr>
            </w:pPr>
            <w:r w:rsidRPr="00217865">
              <w:rPr>
                <w:color w:val="000000" w:themeColor="text1"/>
                <w:lang w:bidi="en-US"/>
              </w:rPr>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217865" w:rsidRPr="00217865" w14:paraId="5B181A34" w14:textId="77777777" w:rsidTr="00CF00B5">
        <w:trPr>
          <w:trHeight w:val="240"/>
        </w:trPr>
        <w:tc>
          <w:tcPr>
            <w:tcW w:w="288" w:type="pct"/>
            <w:vAlign w:val="center"/>
            <w:hideMark/>
          </w:tcPr>
          <w:p w14:paraId="122FCD0E" w14:textId="78583D10" w:rsidR="0006511F"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4EDA52C0" w14:textId="4A1334E7" w:rsidR="0006511F"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28A5603A" w14:textId="77777777" w:rsidR="0006511F" w:rsidRPr="00217865" w:rsidRDefault="0006511F" w:rsidP="0006511F">
            <w:pPr>
              <w:pStyle w:val="Z"/>
              <w:rPr>
                <w:color w:val="000000" w:themeColor="text1"/>
                <w:lang w:bidi="en-US"/>
              </w:rPr>
            </w:pPr>
            <w:r w:rsidRPr="00217865">
              <w:rPr>
                <w:color w:val="000000" w:themeColor="text1"/>
                <w:lang w:bidi="en-US"/>
              </w:rPr>
              <w:t>7</w:t>
            </w:r>
          </w:p>
        </w:tc>
        <w:tc>
          <w:tcPr>
            <w:tcW w:w="1280" w:type="pct"/>
            <w:vAlign w:val="center"/>
            <w:hideMark/>
          </w:tcPr>
          <w:p w14:paraId="6B6947B1" w14:textId="77777777" w:rsidR="0006511F" w:rsidRPr="00217865" w:rsidRDefault="0006511F" w:rsidP="0006511F">
            <w:pPr>
              <w:pStyle w:val="Z"/>
              <w:rPr>
                <w:color w:val="000000" w:themeColor="text1"/>
                <w:lang w:bidi="en-US"/>
              </w:rPr>
            </w:pPr>
            <w:r w:rsidRPr="00217865">
              <w:rPr>
                <w:color w:val="000000" w:themeColor="text1"/>
                <w:lang w:bidi="en-US"/>
              </w:rPr>
              <w:t>Engineering - Process &amp; Resources</w:t>
            </w:r>
          </w:p>
        </w:tc>
        <w:tc>
          <w:tcPr>
            <w:tcW w:w="1925" w:type="pct"/>
            <w:vAlign w:val="center"/>
            <w:hideMark/>
          </w:tcPr>
          <w:p w14:paraId="40F03B1A" w14:textId="77777777" w:rsidR="0006511F" w:rsidRPr="00217865" w:rsidRDefault="0006511F" w:rsidP="0006511F">
            <w:pPr>
              <w:pStyle w:val="Z"/>
              <w:rPr>
                <w:color w:val="000000" w:themeColor="text1"/>
                <w:lang w:bidi="en-US"/>
              </w:rPr>
            </w:pPr>
            <w:r w:rsidRPr="00217865">
              <w:rPr>
                <w:color w:val="000000" w:themeColor="text1"/>
                <w:lang w:bidi="en-US"/>
              </w:rPr>
              <w:t>030300, 030301, 030303, 030305, 030307, 030399</w:t>
            </w:r>
          </w:p>
        </w:tc>
      </w:tr>
      <w:tr w:rsidR="00217865" w:rsidRPr="00217865" w14:paraId="14FEB3FC" w14:textId="77777777" w:rsidTr="00CF00B5">
        <w:trPr>
          <w:trHeight w:val="480"/>
        </w:trPr>
        <w:tc>
          <w:tcPr>
            <w:tcW w:w="288" w:type="pct"/>
            <w:vAlign w:val="center"/>
            <w:hideMark/>
          </w:tcPr>
          <w:p w14:paraId="46B21ADA" w14:textId="6C2B8CFD" w:rsidR="0006511F"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39BCEE7E" w14:textId="3C7405E7" w:rsidR="0006511F"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201634B0" w14:textId="77777777" w:rsidR="0006511F" w:rsidRPr="00217865" w:rsidRDefault="0006511F" w:rsidP="0006511F">
            <w:pPr>
              <w:pStyle w:val="Z"/>
              <w:rPr>
                <w:color w:val="000000" w:themeColor="text1"/>
                <w:lang w:bidi="en-US"/>
              </w:rPr>
            </w:pPr>
            <w:r w:rsidRPr="00217865">
              <w:rPr>
                <w:color w:val="000000" w:themeColor="text1"/>
                <w:lang w:bidi="en-US"/>
              </w:rPr>
              <w:t>8</w:t>
            </w:r>
          </w:p>
        </w:tc>
        <w:tc>
          <w:tcPr>
            <w:tcW w:w="1280" w:type="pct"/>
            <w:vAlign w:val="center"/>
            <w:hideMark/>
          </w:tcPr>
          <w:p w14:paraId="0EF00068" w14:textId="77777777" w:rsidR="0006511F" w:rsidRPr="00217865" w:rsidRDefault="0006511F" w:rsidP="0006511F">
            <w:pPr>
              <w:pStyle w:val="Z"/>
              <w:rPr>
                <w:color w:val="000000" w:themeColor="text1"/>
                <w:lang w:bidi="en-US"/>
              </w:rPr>
            </w:pPr>
            <w:r w:rsidRPr="00217865">
              <w:rPr>
                <w:color w:val="000000" w:themeColor="text1"/>
                <w:lang w:bidi="en-US"/>
              </w:rPr>
              <w:t>Engineering - Mechanical</w:t>
            </w:r>
          </w:p>
        </w:tc>
        <w:tc>
          <w:tcPr>
            <w:tcW w:w="1925" w:type="pct"/>
            <w:vAlign w:val="center"/>
            <w:hideMark/>
          </w:tcPr>
          <w:p w14:paraId="284C5FAA" w14:textId="77777777" w:rsidR="0006511F" w:rsidRPr="00217865" w:rsidRDefault="0006511F" w:rsidP="0006511F">
            <w:pPr>
              <w:pStyle w:val="Z"/>
              <w:rPr>
                <w:color w:val="000000" w:themeColor="text1"/>
                <w:lang w:bidi="en-US"/>
              </w:rPr>
            </w:pPr>
            <w:r w:rsidRPr="00217865">
              <w:rPr>
                <w:color w:val="000000" w:themeColor="text1"/>
                <w:lang w:bidi="en-US"/>
              </w:rPr>
              <w:t>030700, 030701, 030703, 030705, 030707, 030709, 030711, 030713, 030715, 030717, 030799</w:t>
            </w:r>
          </w:p>
        </w:tc>
      </w:tr>
      <w:tr w:rsidR="00217865" w:rsidRPr="00217865" w14:paraId="111F65B4" w14:textId="77777777" w:rsidTr="00CF00B5">
        <w:trPr>
          <w:trHeight w:val="240"/>
        </w:trPr>
        <w:tc>
          <w:tcPr>
            <w:tcW w:w="288" w:type="pct"/>
            <w:vAlign w:val="center"/>
            <w:hideMark/>
          </w:tcPr>
          <w:p w14:paraId="0A4B7902" w14:textId="5DCCC19E" w:rsidR="0006511F"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0C6DE685" w14:textId="054829B0" w:rsidR="0006511F"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6F3136E8" w14:textId="77777777" w:rsidR="0006511F" w:rsidRPr="00217865" w:rsidRDefault="0006511F" w:rsidP="0006511F">
            <w:pPr>
              <w:pStyle w:val="Z"/>
              <w:rPr>
                <w:color w:val="000000" w:themeColor="text1"/>
                <w:lang w:bidi="en-US"/>
              </w:rPr>
            </w:pPr>
            <w:r w:rsidRPr="00217865">
              <w:rPr>
                <w:color w:val="000000" w:themeColor="text1"/>
                <w:lang w:bidi="en-US"/>
              </w:rPr>
              <w:t>9</w:t>
            </w:r>
          </w:p>
        </w:tc>
        <w:tc>
          <w:tcPr>
            <w:tcW w:w="1280" w:type="pct"/>
            <w:vAlign w:val="center"/>
            <w:hideMark/>
          </w:tcPr>
          <w:p w14:paraId="4E146422" w14:textId="77777777" w:rsidR="0006511F" w:rsidRPr="00217865" w:rsidRDefault="0006511F" w:rsidP="0006511F">
            <w:pPr>
              <w:pStyle w:val="Z"/>
              <w:rPr>
                <w:color w:val="000000" w:themeColor="text1"/>
                <w:lang w:bidi="en-US"/>
              </w:rPr>
            </w:pPr>
            <w:r w:rsidRPr="00217865">
              <w:rPr>
                <w:color w:val="000000" w:themeColor="text1"/>
                <w:lang w:bidi="en-US"/>
              </w:rPr>
              <w:t>Engineering - Civil</w:t>
            </w:r>
          </w:p>
        </w:tc>
        <w:tc>
          <w:tcPr>
            <w:tcW w:w="1925" w:type="pct"/>
            <w:vAlign w:val="center"/>
            <w:hideMark/>
          </w:tcPr>
          <w:p w14:paraId="7F523DF2" w14:textId="77777777" w:rsidR="0006511F" w:rsidRPr="00217865" w:rsidRDefault="0006511F" w:rsidP="0006511F">
            <w:pPr>
              <w:pStyle w:val="Z"/>
              <w:rPr>
                <w:color w:val="000000" w:themeColor="text1"/>
                <w:lang w:bidi="en-US"/>
              </w:rPr>
            </w:pPr>
            <w:r w:rsidRPr="00217865">
              <w:rPr>
                <w:color w:val="000000" w:themeColor="text1"/>
                <w:lang w:bidi="en-US"/>
              </w:rPr>
              <w:t>030900, 030901, 030903, 030905, 030907, 030909, 030911, 030913, 030999</w:t>
            </w:r>
          </w:p>
        </w:tc>
      </w:tr>
      <w:tr w:rsidR="00217865" w:rsidRPr="00217865" w14:paraId="66B5614A" w14:textId="77777777" w:rsidTr="00CF00B5">
        <w:trPr>
          <w:trHeight w:val="480"/>
        </w:trPr>
        <w:tc>
          <w:tcPr>
            <w:tcW w:w="288" w:type="pct"/>
            <w:vAlign w:val="center"/>
            <w:hideMark/>
          </w:tcPr>
          <w:p w14:paraId="7C8D565F" w14:textId="132CA00B" w:rsidR="0006511F"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55376C40" w14:textId="1A95F0EB" w:rsidR="0006511F"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4A40C943" w14:textId="77777777" w:rsidR="0006511F" w:rsidRPr="00217865" w:rsidRDefault="0006511F" w:rsidP="0006511F">
            <w:pPr>
              <w:pStyle w:val="Z"/>
              <w:rPr>
                <w:color w:val="000000" w:themeColor="text1"/>
                <w:lang w:bidi="en-US"/>
              </w:rPr>
            </w:pPr>
            <w:r w:rsidRPr="00217865">
              <w:rPr>
                <w:color w:val="000000" w:themeColor="text1"/>
                <w:lang w:bidi="en-US"/>
              </w:rPr>
              <w:t>10</w:t>
            </w:r>
          </w:p>
        </w:tc>
        <w:tc>
          <w:tcPr>
            <w:tcW w:w="1280" w:type="pct"/>
            <w:vAlign w:val="center"/>
            <w:hideMark/>
          </w:tcPr>
          <w:p w14:paraId="3275EC67" w14:textId="77777777" w:rsidR="0006511F" w:rsidRPr="00217865" w:rsidRDefault="0006511F" w:rsidP="0006511F">
            <w:pPr>
              <w:pStyle w:val="Z"/>
              <w:rPr>
                <w:color w:val="000000" w:themeColor="text1"/>
                <w:lang w:bidi="en-US"/>
              </w:rPr>
            </w:pPr>
            <w:r w:rsidRPr="00217865">
              <w:rPr>
                <w:color w:val="000000" w:themeColor="text1"/>
                <w:lang w:bidi="en-US"/>
              </w:rPr>
              <w:t>Engineering - Electrical &amp; Electronic</w:t>
            </w:r>
          </w:p>
        </w:tc>
        <w:tc>
          <w:tcPr>
            <w:tcW w:w="1925" w:type="pct"/>
            <w:vAlign w:val="center"/>
            <w:hideMark/>
          </w:tcPr>
          <w:p w14:paraId="70FAF5D2" w14:textId="77777777" w:rsidR="0006511F" w:rsidRPr="00217865" w:rsidRDefault="0006511F" w:rsidP="0006511F">
            <w:pPr>
              <w:pStyle w:val="Z"/>
              <w:rPr>
                <w:color w:val="000000" w:themeColor="text1"/>
                <w:lang w:bidi="en-US"/>
              </w:rPr>
            </w:pPr>
            <w:r w:rsidRPr="00217865">
              <w:rPr>
                <w:color w:val="000000" w:themeColor="text1"/>
                <w:lang w:bidi="en-US"/>
              </w:rPr>
              <w:t>031300, 031301, 031303, 031305, 031307, 031309, 031311, 031313, 031315, 031317, 031399</w:t>
            </w:r>
          </w:p>
        </w:tc>
      </w:tr>
      <w:tr w:rsidR="00217865" w:rsidRPr="00217865" w14:paraId="4FD04BF0" w14:textId="77777777" w:rsidTr="00CF00B5">
        <w:trPr>
          <w:trHeight w:val="240"/>
        </w:trPr>
        <w:tc>
          <w:tcPr>
            <w:tcW w:w="288" w:type="pct"/>
            <w:vAlign w:val="center"/>
            <w:hideMark/>
          </w:tcPr>
          <w:p w14:paraId="57623237" w14:textId="32049113" w:rsidR="0006511F"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6D2D5C1E" w14:textId="031D6AC6" w:rsidR="0006511F"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0033D992" w14:textId="77777777" w:rsidR="0006511F" w:rsidRPr="00217865" w:rsidRDefault="0006511F" w:rsidP="0006511F">
            <w:pPr>
              <w:pStyle w:val="Z"/>
              <w:rPr>
                <w:color w:val="000000" w:themeColor="text1"/>
                <w:lang w:bidi="en-US"/>
              </w:rPr>
            </w:pPr>
            <w:r w:rsidRPr="00217865">
              <w:rPr>
                <w:color w:val="000000" w:themeColor="text1"/>
                <w:lang w:bidi="en-US"/>
              </w:rPr>
              <w:t>11</w:t>
            </w:r>
          </w:p>
        </w:tc>
        <w:tc>
          <w:tcPr>
            <w:tcW w:w="1280" w:type="pct"/>
            <w:vAlign w:val="center"/>
            <w:hideMark/>
          </w:tcPr>
          <w:p w14:paraId="602E7474" w14:textId="77777777" w:rsidR="0006511F" w:rsidRPr="00217865" w:rsidRDefault="0006511F" w:rsidP="0006511F">
            <w:pPr>
              <w:pStyle w:val="Z"/>
              <w:rPr>
                <w:color w:val="000000" w:themeColor="text1"/>
                <w:lang w:bidi="en-US"/>
              </w:rPr>
            </w:pPr>
            <w:r w:rsidRPr="00217865">
              <w:rPr>
                <w:color w:val="000000" w:themeColor="text1"/>
                <w:lang w:bidi="en-US"/>
              </w:rPr>
              <w:t>Engineering - Aerospace</w:t>
            </w:r>
          </w:p>
        </w:tc>
        <w:tc>
          <w:tcPr>
            <w:tcW w:w="1925" w:type="pct"/>
            <w:vAlign w:val="center"/>
            <w:hideMark/>
          </w:tcPr>
          <w:p w14:paraId="71366BBE" w14:textId="77777777" w:rsidR="0006511F" w:rsidRPr="00217865" w:rsidRDefault="0006511F" w:rsidP="0006511F">
            <w:pPr>
              <w:pStyle w:val="Z"/>
              <w:rPr>
                <w:color w:val="000000" w:themeColor="text1"/>
                <w:lang w:bidi="en-US"/>
              </w:rPr>
            </w:pPr>
            <w:r w:rsidRPr="00217865">
              <w:rPr>
                <w:color w:val="000000" w:themeColor="text1"/>
                <w:lang w:bidi="en-US"/>
              </w:rPr>
              <w:t>031500, 031501, 031503, 031505, 031507, 031599</w:t>
            </w:r>
          </w:p>
        </w:tc>
      </w:tr>
      <w:tr w:rsidR="00217865" w:rsidRPr="00217865" w14:paraId="3C17EF90" w14:textId="77777777" w:rsidTr="00CF00B5">
        <w:trPr>
          <w:trHeight w:val="240"/>
        </w:trPr>
        <w:tc>
          <w:tcPr>
            <w:tcW w:w="288" w:type="pct"/>
            <w:vAlign w:val="center"/>
            <w:hideMark/>
          </w:tcPr>
          <w:p w14:paraId="04FE1008" w14:textId="77777777" w:rsidR="005A5905" w:rsidRPr="00217865" w:rsidRDefault="005A5905" w:rsidP="0006511F">
            <w:pPr>
              <w:pStyle w:val="Z"/>
              <w:rPr>
                <w:color w:val="000000" w:themeColor="text1"/>
                <w:lang w:bidi="en-US"/>
              </w:rPr>
            </w:pPr>
            <w:r w:rsidRPr="00217865">
              <w:rPr>
                <w:color w:val="000000" w:themeColor="text1"/>
                <w:lang w:bidi="en-US"/>
              </w:rPr>
              <w:t>4</w:t>
            </w:r>
          </w:p>
        </w:tc>
        <w:tc>
          <w:tcPr>
            <w:tcW w:w="1219" w:type="pct"/>
            <w:vAlign w:val="center"/>
            <w:hideMark/>
          </w:tcPr>
          <w:p w14:paraId="21B9AE38" w14:textId="77777777" w:rsidR="005A5905" w:rsidRPr="00217865" w:rsidRDefault="005A5905" w:rsidP="00CF00B5">
            <w:pPr>
              <w:pStyle w:val="Z"/>
              <w:rPr>
                <w:color w:val="000000" w:themeColor="text1"/>
                <w:lang w:bidi="en-US"/>
              </w:rPr>
            </w:pPr>
            <w:r w:rsidRPr="00217865">
              <w:rPr>
                <w:color w:val="000000" w:themeColor="text1"/>
                <w:lang w:bidi="en-US"/>
              </w:rPr>
              <w:t>Architecture and built environment</w:t>
            </w:r>
          </w:p>
        </w:tc>
        <w:tc>
          <w:tcPr>
            <w:tcW w:w="288" w:type="pct"/>
            <w:vAlign w:val="center"/>
            <w:hideMark/>
          </w:tcPr>
          <w:p w14:paraId="6B5D4D5E" w14:textId="77777777" w:rsidR="005A5905" w:rsidRPr="00217865" w:rsidRDefault="005A5905" w:rsidP="0006511F">
            <w:pPr>
              <w:pStyle w:val="Z"/>
              <w:rPr>
                <w:color w:val="000000" w:themeColor="text1"/>
                <w:lang w:bidi="en-US"/>
              </w:rPr>
            </w:pPr>
            <w:r w:rsidRPr="00217865">
              <w:rPr>
                <w:color w:val="000000" w:themeColor="text1"/>
                <w:lang w:bidi="en-US"/>
              </w:rPr>
              <w:t>12</w:t>
            </w:r>
          </w:p>
        </w:tc>
        <w:tc>
          <w:tcPr>
            <w:tcW w:w="1280" w:type="pct"/>
            <w:vAlign w:val="center"/>
            <w:hideMark/>
          </w:tcPr>
          <w:p w14:paraId="756E03BC" w14:textId="77777777" w:rsidR="005A5905" w:rsidRPr="00217865" w:rsidRDefault="005A5905" w:rsidP="0006511F">
            <w:pPr>
              <w:pStyle w:val="Z"/>
              <w:rPr>
                <w:color w:val="000000" w:themeColor="text1"/>
                <w:lang w:bidi="en-US"/>
              </w:rPr>
            </w:pPr>
            <w:r w:rsidRPr="00217865">
              <w:rPr>
                <w:color w:val="000000" w:themeColor="text1"/>
                <w:lang w:bidi="en-US"/>
              </w:rPr>
              <w:t>Architecture &amp; Urban Environments</w:t>
            </w:r>
          </w:p>
        </w:tc>
        <w:tc>
          <w:tcPr>
            <w:tcW w:w="1925" w:type="pct"/>
            <w:vAlign w:val="center"/>
            <w:hideMark/>
          </w:tcPr>
          <w:p w14:paraId="1892356A" w14:textId="77777777" w:rsidR="005A5905" w:rsidRPr="00217865" w:rsidRDefault="005A5905" w:rsidP="0006511F">
            <w:pPr>
              <w:pStyle w:val="Z"/>
              <w:rPr>
                <w:color w:val="000000" w:themeColor="text1"/>
                <w:lang w:bidi="en-US"/>
              </w:rPr>
            </w:pPr>
            <w:r w:rsidRPr="00217865">
              <w:rPr>
                <w:color w:val="000000" w:themeColor="text1"/>
                <w:lang w:bidi="en-US"/>
              </w:rPr>
              <w:t>040000, 040100, 040101, 040103, 040105, 040107, 040199</w:t>
            </w:r>
          </w:p>
        </w:tc>
      </w:tr>
      <w:tr w:rsidR="00217865" w:rsidRPr="00217865" w14:paraId="1FA249B9" w14:textId="77777777" w:rsidTr="00CF00B5">
        <w:trPr>
          <w:trHeight w:val="480"/>
        </w:trPr>
        <w:tc>
          <w:tcPr>
            <w:tcW w:w="288" w:type="pct"/>
            <w:vAlign w:val="center"/>
            <w:hideMark/>
          </w:tcPr>
          <w:p w14:paraId="7D4E28CC" w14:textId="28CBD2D6"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3A8010DF" w14:textId="2E642AB8"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5E14111A" w14:textId="77777777" w:rsidR="005A5905" w:rsidRPr="00217865" w:rsidRDefault="005A5905" w:rsidP="0006511F">
            <w:pPr>
              <w:pStyle w:val="Z"/>
              <w:rPr>
                <w:color w:val="000000" w:themeColor="text1"/>
                <w:lang w:bidi="en-US"/>
              </w:rPr>
            </w:pPr>
            <w:r w:rsidRPr="00217865">
              <w:rPr>
                <w:color w:val="000000" w:themeColor="text1"/>
                <w:lang w:bidi="en-US"/>
              </w:rPr>
              <w:t>13</w:t>
            </w:r>
          </w:p>
        </w:tc>
        <w:tc>
          <w:tcPr>
            <w:tcW w:w="1280" w:type="pct"/>
            <w:vAlign w:val="center"/>
            <w:hideMark/>
          </w:tcPr>
          <w:p w14:paraId="42E10755" w14:textId="77777777" w:rsidR="005A5905" w:rsidRPr="00217865" w:rsidRDefault="005A5905" w:rsidP="0006511F">
            <w:pPr>
              <w:pStyle w:val="Z"/>
              <w:rPr>
                <w:color w:val="000000" w:themeColor="text1"/>
                <w:lang w:bidi="en-US"/>
              </w:rPr>
            </w:pPr>
            <w:r w:rsidRPr="00217865">
              <w:rPr>
                <w:color w:val="000000" w:themeColor="text1"/>
                <w:lang w:bidi="en-US"/>
              </w:rPr>
              <w:t>Building &amp; Construction</w:t>
            </w:r>
          </w:p>
        </w:tc>
        <w:tc>
          <w:tcPr>
            <w:tcW w:w="1925" w:type="pct"/>
            <w:vAlign w:val="center"/>
            <w:hideMark/>
          </w:tcPr>
          <w:p w14:paraId="4DE32F81" w14:textId="77777777" w:rsidR="005A5905" w:rsidRPr="00217865" w:rsidRDefault="005A5905" w:rsidP="0006511F">
            <w:pPr>
              <w:pStyle w:val="Z"/>
              <w:rPr>
                <w:color w:val="000000" w:themeColor="text1"/>
                <w:lang w:bidi="en-US"/>
              </w:rPr>
            </w:pPr>
            <w:r w:rsidRPr="00217865">
              <w:rPr>
                <w:color w:val="000000" w:themeColor="text1"/>
                <w:lang w:bidi="en-US"/>
              </w:rPr>
              <w:t>040300, 040301, 040303, 040305, 040307, 040309, 040311, 040313, 040315, 040317, 040319, 040321, 040323, 040325, 040327, 040329, 040399</w:t>
            </w:r>
          </w:p>
        </w:tc>
      </w:tr>
      <w:tr w:rsidR="00217865" w:rsidRPr="00217865" w14:paraId="1C3E036E" w14:textId="77777777" w:rsidTr="00CF00B5">
        <w:trPr>
          <w:trHeight w:val="480"/>
        </w:trPr>
        <w:tc>
          <w:tcPr>
            <w:tcW w:w="288" w:type="pct"/>
            <w:vAlign w:val="center"/>
            <w:hideMark/>
          </w:tcPr>
          <w:p w14:paraId="2FF2FA3A" w14:textId="77777777" w:rsidR="005A5905" w:rsidRPr="00217865" w:rsidRDefault="005A5905" w:rsidP="0006511F">
            <w:pPr>
              <w:pStyle w:val="Z"/>
              <w:rPr>
                <w:color w:val="000000" w:themeColor="text1"/>
                <w:lang w:bidi="en-US"/>
              </w:rPr>
            </w:pPr>
            <w:r w:rsidRPr="00217865">
              <w:rPr>
                <w:color w:val="000000" w:themeColor="text1"/>
                <w:lang w:bidi="en-US"/>
              </w:rPr>
              <w:t>5</w:t>
            </w:r>
          </w:p>
        </w:tc>
        <w:tc>
          <w:tcPr>
            <w:tcW w:w="1219" w:type="pct"/>
            <w:vAlign w:val="center"/>
            <w:hideMark/>
          </w:tcPr>
          <w:p w14:paraId="17764981" w14:textId="77777777" w:rsidR="005A5905" w:rsidRPr="00217865" w:rsidRDefault="005A5905" w:rsidP="00CF00B5">
            <w:pPr>
              <w:pStyle w:val="Z"/>
              <w:rPr>
                <w:color w:val="000000" w:themeColor="text1"/>
                <w:lang w:bidi="en-US"/>
              </w:rPr>
            </w:pPr>
            <w:r w:rsidRPr="00217865">
              <w:rPr>
                <w:color w:val="000000" w:themeColor="text1"/>
                <w:lang w:bidi="en-US"/>
              </w:rPr>
              <w:t>Agriculture and environmental studies</w:t>
            </w:r>
          </w:p>
        </w:tc>
        <w:tc>
          <w:tcPr>
            <w:tcW w:w="288" w:type="pct"/>
            <w:vAlign w:val="center"/>
            <w:hideMark/>
          </w:tcPr>
          <w:p w14:paraId="2FEEA9D0" w14:textId="77777777" w:rsidR="005A5905" w:rsidRPr="00217865" w:rsidRDefault="005A5905" w:rsidP="0006511F">
            <w:pPr>
              <w:pStyle w:val="Z"/>
              <w:rPr>
                <w:color w:val="000000" w:themeColor="text1"/>
                <w:lang w:bidi="en-US"/>
              </w:rPr>
            </w:pPr>
            <w:r w:rsidRPr="00217865">
              <w:rPr>
                <w:color w:val="000000" w:themeColor="text1"/>
                <w:lang w:bidi="en-US"/>
              </w:rPr>
              <w:t>14</w:t>
            </w:r>
          </w:p>
        </w:tc>
        <w:tc>
          <w:tcPr>
            <w:tcW w:w="1280" w:type="pct"/>
            <w:vAlign w:val="center"/>
            <w:hideMark/>
          </w:tcPr>
          <w:p w14:paraId="71F56321" w14:textId="77777777" w:rsidR="005A5905" w:rsidRPr="00217865" w:rsidRDefault="005A5905" w:rsidP="0006511F">
            <w:pPr>
              <w:pStyle w:val="Z"/>
              <w:rPr>
                <w:color w:val="000000" w:themeColor="text1"/>
                <w:lang w:bidi="en-US"/>
              </w:rPr>
            </w:pPr>
            <w:r w:rsidRPr="00217865">
              <w:rPr>
                <w:color w:val="000000" w:themeColor="text1"/>
                <w:lang w:bidi="en-US"/>
              </w:rPr>
              <w:t>Agriculture &amp; Forestry</w:t>
            </w:r>
          </w:p>
        </w:tc>
        <w:tc>
          <w:tcPr>
            <w:tcW w:w="1925" w:type="pct"/>
            <w:vAlign w:val="center"/>
            <w:hideMark/>
          </w:tcPr>
          <w:p w14:paraId="6DE8EFA2" w14:textId="77777777" w:rsidR="005A5905" w:rsidRPr="00217865" w:rsidRDefault="005A5905" w:rsidP="0006511F">
            <w:pPr>
              <w:pStyle w:val="Z"/>
              <w:rPr>
                <w:color w:val="000000" w:themeColor="text1"/>
                <w:lang w:bidi="en-US"/>
              </w:rPr>
            </w:pPr>
            <w:r w:rsidRPr="00217865">
              <w:rPr>
                <w:color w:val="000000" w:themeColor="text1"/>
                <w:lang w:bidi="en-US"/>
              </w:rPr>
              <w:t>050000, 050100, 050101, 050103, 050105, 050199, 050300, 050301, 050303, 050500, 050501, 050700, 050701, 050799, 059900, 059901, 059999</w:t>
            </w:r>
          </w:p>
        </w:tc>
      </w:tr>
      <w:tr w:rsidR="00217865" w:rsidRPr="00217865" w14:paraId="1886F1EB" w14:textId="77777777" w:rsidTr="00CF00B5">
        <w:trPr>
          <w:trHeight w:val="240"/>
        </w:trPr>
        <w:tc>
          <w:tcPr>
            <w:tcW w:w="288" w:type="pct"/>
            <w:vAlign w:val="center"/>
            <w:hideMark/>
          </w:tcPr>
          <w:p w14:paraId="121643E4" w14:textId="17F18D70"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7B374CC1" w14:textId="743E5FE3"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13887A88" w14:textId="77777777" w:rsidR="005A5905" w:rsidRPr="00217865" w:rsidRDefault="005A5905" w:rsidP="0006511F">
            <w:pPr>
              <w:pStyle w:val="Z"/>
              <w:rPr>
                <w:color w:val="000000" w:themeColor="text1"/>
                <w:lang w:bidi="en-US"/>
              </w:rPr>
            </w:pPr>
            <w:r w:rsidRPr="00217865">
              <w:rPr>
                <w:color w:val="000000" w:themeColor="text1"/>
                <w:lang w:bidi="en-US"/>
              </w:rPr>
              <w:t>15</w:t>
            </w:r>
          </w:p>
        </w:tc>
        <w:tc>
          <w:tcPr>
            <w:tcW w:w="1280" w:type="pct"/>
            <w:vAlign w:val="center"/>
            <w:hideMark/>
          </w:tcPr>
          <w:p w14:paraId="75D174F7" w14:textId="77777777" w:rsidR="005A5905" w:rsidRPr="00217865" w:rsidRDefault="005A5905" w:rsidP="0006511F">
            <w:pPr>
              <w:pStyle w:val="Z"/>
              <w:rPr>
                <w:color w:val="000000" w:themeColor="text1"/>
                <w:lang w:bidi="en-US"/>
              </w:rPr>
            </w:pPr>
            <w:r w:rsidRPr="00217865">
              <w:rPr>
                <w:color w:val="000000" w:themeColor="text1"/>
                <w:lang w:bidi="en-US"/>
              </w:rPr>
              <w:t>Environmental Studies</w:t>
            </w:r>
          </w:p>
        </w:tc>
        <w:tc>
          <w:tcPr>
            <w:tcW w:w="1925" w:type="pct"/>
            <w:vAlign w:val="center"/>
            <w:hideMark/>
          </w:tcPr>
          <w:p w14:paraId="7F812575" w14:textId="77777777" w:rsidR="005A5905" w:rsidRPr="00217865" w:rsidRDefault="005A5905" w:rsidP="0006511F">
            <w:pPr>
              <w:pStyle w:val="Z"/>
              <w:rPr>
                <w:color w:val="000000" w:themeColor="text1"/>
                <w:lang w:bidi="en-US"/>
              </w:rPr>
            </w:pPr>
            <w:r w:rsidRPr="00217865">
              <w:rPr>
                <w:color w:val="000000" w:themeColor="text1"/>
                <w:lang w:bidi="en-US"/>
              </w:rPr>
              <w:t>050900, 050901, 050999</w:t>
            </w:r>
          </w:p>
        </w:tc>
      </w:tr>
      <w:tr w:rsidR="00217865" w:rsidRPr="00217865" w14:paraId="7AE5ADC3" w14:textId="77777777" w:rsidTr="00CF00B5">
        <w:trPr>
          <w:trHeight w:val="720"/>
        </w:trPr>
        <w:tc>
          <w:tcPr>
            <w:tcW w:w="288" w:type="pct"/>
            <w:vAlign w:val="center"/>
            <w:hideMark/>
          </w:tcPr>
          <w:p w14:paraId="0BFB73F4" w14:textId="77777777" w:rsidR="005A5905" w:rsidRPr="00217865" w:rsidRDefault="005A5905" w:rsidP="0006511F">
            <w:pPr>
              <w:pStyle w:val="Z"/>
              <w:rPr>
                <w:color w:val="000000" w:themeColor="text1"/>
                <w:lang w:bidi="en-US"/>
              </w:rPr>
            </w:pPr>
            <w:r w:rsidRPr="00217865">
              <w:rPr>
                <w:color w:val="000000" w:themeColor="text1"/>
                <w:lang w:bidi="en-US"/>
              </w:rPr>
              <w:t>6</w:t>
            </w:r>
          </w:p>
        </w:tc>
        <w:tc>
          <w:tcPr>
            <w:tcW w:w="1219" w:type="pct"/>
            <w:vAlign w:val="center"/>
            <w:hideMark/>
          </w:tcPr>
          <w:p w14:paraId="489C183B" w14:textId="77777777" w:rsidR="005A5905" w:rsidRPr="00217865" w:rsidRDefault="005A5905" w:rsidP="00CF00B5">
            <w:pPr>
              <w:pStyle w:val="Z"/>
              <w:rPr>
                <w:color w:val="000000" w:themeColor="text1"/>
                <w:lang w:bidi="en-US"/>
              </w:rPr>
            </w:pPr>
            <w:r w:rsidRPr="00217865">
              <w:rPr>
                <w:color w:val="000000" w:themeColor="text1"/>
                <w:lang w:bidi="en-US"/>
              </w:rPr>
              <w:t>Health services and support</w:t>
            </w:r>
          </w:p>
        </w:tc>
        <w:tc>
          <w:tcPr>
            <w:tcW w:w="288" w:type="pct"/>
            <w:vAlign w:val="center"/>
            <w:hideMark/>
          </w:tcPr>
          <w:p w14:paraId="275A58F1" w14:textId="77777777" w:rsidR="005A5905" w:rsidRPr="00217865" w:rsidRDefault="005A5905" w:rsidP="0006511F">
            <w:pPr>
              <w:pStyle w:val="Z"/>
              <w:rPr>
                <w:color w:val="000000" w:themeColor="text1"/>
                <w:lang w:bidi="en-US"/>
              </w:rPr>
            </w:pPr>
            <w:r w:rsidRPr="00217865">
              <w:rPr>
                <w:color w:val="000000" w:themeColor="text1"/>
                <w:lang w:bidi="en-US"/>
              </w:rPr>
              <w:t>16</w:t>
            </w:r>
          </w:p>
        </w:tc>
        <w:tc>
          <w:tcPr>
            <w:tcW w:w="1280" w:type="pct"/>
            <w:vAlign w:val="center"/>
            <w:hideMark/>
          </w:tcPr>
          <w:p w14:paraId="5012D04B" w14:textId="77777777" w:rsidR="005A5905" w:rsidRPr="00217865" w:rsidRDefault="005A5905" w:rsidP="0006511F">
            <w:pPr>
              <w:pStyle w:val="Z"/>
              <w:rPr>
                <w:color w:val="000000" w:themeColor="text1"/>
                <w:lang w:bidi="en-US"/>
              </w:rPr>
            </w:pPr>
            <w:r w:rsidRPr="00217865">
              <w:rPr>
                <w:color w:val="000000" w:themeColor="text1"/>
                <w:lang w:bidi="en-US"/>
              </w:rPr>
              <w:t>Health Services &amp; Support</w:t>
            </w:r>
          </w:p>
        </w:tc>
        <w:tc>
          <w:tcPr>
            <w:tcW w:w="1925" w:type="pct"/>
            <w:vAlign w:val="center"/>
            <w:hideMark/>
          </w:tcPr>
          <w:p w14:paraId="7CCDB6AB" w14:textId="77777777" w:rsidR="005A5905" w:rsidRPr="00217865" w:rsidRDefault="005A5905" w:rsidP="0006511F">
            <w:pPr>
              <w:pStyle w:val="Z"/>
              <w:rPr>
                <w:color w:val="000000" w:themeColor="text1"/>
                <w:lang w:bidi="en-US"/>
              </w:rPr>
            </w:pPr>
            <w:r w:rsidRPr="00217865">
              <w:rPr>
                <w:color w:val="000000" w:themeColor="text1"/>
                <w:lang w:bidi="en-US"/>
              </w:rPr>
              <w:t>060000, 060900, 060901, 060903, 060999, 061500, 061501, 061700, 061705, 061707, 061709, 061711, 061713, 061799, 061900, 061901, 061903, 061905, 061999, 069900, 069901, 069903, 069905, 069907, 069999</w:t>
            </w:r>
          </w:p>
        </w:tc>
      </w:tr>
      <w:tr w:rsidR="00217865" w:rsidRPr="00217865" w14:paraId="328B6945" w14:textId="77777777" w:rsidTr="00CF00B5">
        <w:trPr>
          <w:trHeight w:val="240"/>
        </w:trPr>
        <w:tc>
          <w:tcPr>
            <w:tcW w:w="288" w:type="pct"/>
            <w:vAlign w:val="center"/>
            <w:hideMark/>
          </w:tcPr>
          <w:p w14:paraId="5848048E" w14:textId="53C7998D"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5DE39905" w14:textId="2B5AA5B8"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7F72420F" w14:textId="77777777" w:rsidR="005A5905" w:rsidRPr="00217865" w:rsidRDefault="005A5905" w:rsidP="0006511F">
            <w:pPr>
              <w:pStyle w:val="Z"/>
              <w:rPr>
                <w:color w:val="000000" w:themeColor="text1"/>
                <w:lang w:bidi="en-US"/>
              </w:rPr>
            </w:pPr>
            <w:r w:rsidRPr="00217865">
              <w:rPr>
                <w:color w:val="000000" w:themeColor="text1"/>
                <w:lang w:bidi="en-US"/>
              </w:rPr>
              <w:t>17</w:t>
            </w:r>
          </w:p>
        </w:tc>
        <w:tc>
          <w:tcPr>
            <w:tcW w:w="1280" w:type="pct"/>
            <w:vAlign w:val="center"/>
            <w:hideMark/>
          </w:tcPr>
          <w:p w14:paraId="5D5D3335" w14:textId="77777777" w:rsidR="005A5905" w:rsidRPr="00217865" w:rsidRDefault="005A5905" w:rsidP="0006511F">
            <w:pPr>
              <w:pStyle w:val="Z"/>
              <w:rPr>
                <w:color w:val="000000" w:themeColor="text1"/>
                <w:lang w:bidi="en-US"/>
              </w:rPr>
            </w:pPr>
            <w:r w:rsidRPr="00217865">
              <w:rPr>
                <w:color w:val="000000" w:themeColor="text1"/>
                <w:lang w:bidi="en-US"/>
              </w:rPr>
              <w:t>Public Health</w:t>
            </w:r>
          </w:p>
        </w:tc>
        <w:tc>
          <w:tcPr>
            <w:tcW w:w="1925" w:type="pct"/>
            <w:vAlign w:val="center"/>
            <w:hideMark/>
          </w:tcPr>
          <w:p w14:paraId="5B825889" w14:textId="77777777" w:rsidR="005A5905" w:rsidRPr="00217865" w:rsidRDefault="005A5905" w:rsidP="0006511F">
            <w:pPr>
              <w:pStyle w:val="Z"/>
              <w:rPr>
                <w:color w:val="000000" w:themeColor="text1"/>
                <w:lang w:bidi="en-US"/>
              </w:rPr>
            </w:pPr>
            <w:r w:rsidRPr="00217865">
              <w:rPr>
                <w:color w:val="000000" w:themeColor="text1"/>
                <w:lang w:bidi="en-US"/>
              </w:rPr>
              <w:t>061300, 061301, 061303, 061305, 061307, 061309, 061311, 061399</w:t>
            </w:r>
          </w:p>
        </w:tc>
      </w:tr>
      <w:tr w:rsidR="00217865" w:rsidRPr="00217865" w14:paraId="2E3A68D6" w14:textId="77777777" w:rsidTr="00CF00B5">
        <w:trPr>
          <w:trHeight w:val="480"/>
        </w:trPr>
        <w:tc>
          <w:tcPr>
            <w:tcW w:w="288" w:type="pct"/>
            <w:vAlign w:val="center"/>
            <w:hideMark/>
          </w:tcPr>
          <w:p w14:paraId="29524C51" w14:textId="77777777" w:rsidR="005A5905" w:rsidRPr="00217865" w:rsidRDefault="005A5905" w:rsidP="0006511F">
            <w:pPr>
              <w:pStyle w:val="Z"/>
              <w:rPr>
                <w:color w:val="000000" w:themeColor="text1"/>
                <w:lang w:bidi="en-US"/>
              </w:rPr>
            </w:pPr>
            <w:r w:rsidRPr="00217865">
              <w:rPr>
                <w:color w:val="000000" w:themeColor="text1"/>
                <w:lang w:bidi="en-US"/>
              </w:rPr>
              <w:lastRenderedPageBreak/>
              <w:t>7</w:t>
            </w:r>
          </w:p>
        </w:tc>
        <w:tc>
          <w:tcPr>
            <w:tcW w:w="1219" w:type="pct"/>
            <w:vAlign w:val="center"/>
            <w:hideMark/>
          </w:tcPr>
          <w:p w14:paraId="55468781" w14:textId="77777777" w:rsidR="005A5905" w:rsidRPr="00217865" w:rsidRDefault="005A5905" w:rsidP="00CF00B5">
            <w:pPr>
              <w:pStyle w:val="Z"/>
              <w:rPr>
                <w:color w:val="000000" w:themeColor="text1"/>
                <w:lang w:bidi="en-US"/>
              </w:rPr>
            </w:pPr>
            <w:r w:rsidRPr="00217865">
              <w:rPr>
                <w:color w:val="000000" w:themeColor="text1"/>
                <w:lang w:bidi="en-US"/>
              </w:rPr>
              <w:t>Medicine</w:t>
            </w:r>
          </w:p>
        </w:tc>
        <w:tc>
          <w:tcPr>
            <w:tcW w:w="288" w:type="pct"/>
            <w:vAlign w:val="center"/>
            <w:hideMark/>
          </w:tcPr>
          <w:p w14:paraId="0DC95607" w14:textId="77777777" w:rsidR="005A5905" w:rsidRPr="00217865" w:rsidRDefault="005A5905" w:rsidP="0006511F">
            <w:pPr>
              <w:pStyle w:val="Z"/>
              <w:rPr>
                <w:color w:val="000000" w:themeColor="text1"/>
                <w:lang w:bidi="en-US"/>
              </w:rPr>
            </w:pPr>
            <w:r w:rsidRPr="00217865">
              <w:rPr>
                <w:color w:val="000000" w:themeColor="text1"/>
                <w:lang w:bidi="en-US"/>
              </w:rPr>
              <w:t>18</w:t>
            </w:r>
          </w:p>
        </w:tc>
        <w:tc>
          <w:tcPr>
            <w:tcW w:w="1280" w:type="pct"/>
            <w:vAlign w:val="center"/>
            <w:hideMark/>
          </w:tcPr>
          <w:p w14:paraId="7FF60F2C" w14:textId="77777777" w:rsidR="005A5905" w:rsidRPr="00217865" w:rsidRDefault="005A5905" w:rsidP="0006511F">
            <w:pPr>
              <w:pStyle w:val="Z"/>
              <w:rPr>
                <w:color w:val="000000" w:themeColor="text1"/>
                <w:lang w:bidi="en-US"/>
              </w:rPr>
            </w:pPr>
            <w:r w:rsidRPr="00217865">
              <w:rPr>
                <w:color w:val="000000" w:themeColor="text1"/>
                <w:lang w:bidi="en-US"/>
              </w:rPr>
              <w:t>Medicine</w:t>
            </w:r>
          </w:p>
        </w:tc>
        <w:tc>
          <w:tcPr>
            <w:tcW w:w="1925" w:type="pct"/>
            <w:vAlign w:val="center"/>
            <w:hideMark/>
          </w:tcPr>
          <w:p w14:paraId="1DB119E0" w14:textId="77777777" w:rsidR="005A5905" w:rsidRPr="00217865" w:rsidRDefault="005A5905" w:rsidP="0006511F">
            <w:pPr>
              <w:pStyle w:val="Z"/>
              <w:rPr>
                <w:color w:val="000000" w:themeColor="text1"/>
                <w:lang w:bidi="en-US"/>
              </w:rPr>
            </w:pPr>
            <w:r w:rsidRPr="00217865">
              <w:rPr>
                <w:color w:val="000000" w:themeColor="text1"/>
                <w:lang w:bidi="en-US"/>
              </w:rPr>
              <w:t>060100, 060101, 060103, 060105, 060107, 060109, 060111, 060113, 060115, 060117, 060119, 060199</w:t>
            </w:r>
          </w:p>
        </w:tc>
      </w:tr>
      <w:tr w:rsidR="00217865" w:rsidRPr="00217865" w14:paraId="26FF0D6E" w14:textId="77777777" w:rsidTr="00CF00B5">
        <w:trPr>
          <w:trHeight w:val="240"/>
        </w:trPr>
        <w:tc>
          <w:tcPr>
            <w:tcW w:w="288" w:type="pct"/>
            <w:vAlign w:val="center"/>
            <w:hideMark/>
          </w:tcPr>
          <w:p w14:paraId="11D4B801" w14:textId="77777777" w:rsidR="005A5905" w:rsidRPr="00217865" w:rsidRDefault="005A5905" w:rsidP="0006511F">
            <w:pPr>
              <w:pStyle w:val="Z"/>
              <w:rPr>
                <w:color w:val="000000" w:themeColor="text1"/>
                <w:lang w:bidi="en-US"/>
              </w:rPr>
            </w:pPr>
            <w:r w:rsidRPr="00217865">
              <w:rPr>
                <w:color w:val="000000" w:themeColor="text1"/>
                <w:lang w:bidi="en-US"/>
              </w:rPr>
              <w:t>8</w:t>
            </w:r>
          </w:p>
        </w:tc>
        <w:tc>
          <w:tcPr>
            <w:tcW w:w="1219" w:type="pct"/>
            <w:vAlign w:val="center"/>
            <w:hideMark/>
          </w:tcPr>
          <w:p w14:paraId="28A3C52C" w14:textId="77777777" w:rsidR="005A5905" w:rsidRPr="00217865" w:rsidRDefault="005A5905" w:rsidP="00CF00B5">
            <w:pPr>
              <w:pStyle w:val="Z"/>
              <w:rPr>
                <w:color w:val="000000" w:themeColor="text1"/>
                <w:lang w:bidi="en-US"/>
              </w:rPr>
            </w:pPr>
            <w:r w:rsidRPr="00217865">
              <w:rPr>
                <w:color w:val="000000" w:themeColor="text1"/>
                <w:lang w:bidi="en-US"/>
              </w:rPr>
              <w:t>Nursing</w:t>
            </w:r>
          </w:p>
        </w:tc>
        <w:tc>
          <w:tcPr>
            <w:tcW w:w="288" w:type="pct"/>
            <w:vAlign w:val="center"/>
            <w:hideMark/>
          </w:tcPr>
          <w:p w14:paraId="2DCFF56A" w14:textId="77777777" w:rsidR="005A5905" w:rsidRPr="00217865" w:rsidRDefault="005A5905" w:rsidP="0006511F">
            <w:pPr>
              <w:pStyle w:val="Z"/>
              <w:rPr>
                <w:color w:val="000000" w:themeColor="text1"/>
                <w:lang w:bidi="en-US"/>
              </w:rPr>
            </w:pPr>
            <w:r w:rsidRPr="00217865">
              <w:rPr>
                <w:color w:val="000000" w:themeColor="text1"/>
                <w:lang w:bidi="en-US"/>
              </w:rPr>
              <w:t>19</w:t>
            </w:r>
          </w:p>
        </w:tc>
        <w:tc>
          <w:tcPr>
            <w:tcW w:w="1280" w:type="pct"/>
            <w:vAlign w:val="center"/>
            <w:hideMark/>
          </w:tcPr>
          <w:p w14:paraId="1E06A17A" w14:textId="77777777" w:rsidR="005A5905" w:rsidRPr="00217865" w:rsidRDefault="005A5905" w:rsidP="0006511F">
            <w:pPr>
              <w:pStyle w:val="Z"/>
              <w:rPr>
                <w:color w:val="000000" w:themeColor="text1"/>
                <w:lang w:bidi="en-US"/>
              </w:rPr>
            </w:pPr>
            <w:r w:rsidRPr="00217865">
              <w:rPr>
                <w:color w:val="000000" w:themeColor="text1"/>
                <w:lang w:bidi="en-US"/>
              </w:rPr>
              <w:t>Nursing</w:t>
            </w:r>
          </w:p>
        </w:tc>
        <w:tc>
          <w:tcPr>
            <w:tcW w:w="1925" w:type="pct"/>
            <w:vAlign w:val="center"/>
            <w:hideMark/>
          </w:tcPr>
          <w:p w14:paraId="7F6D811C" w14:textId="77777777" w:rsidR="005A5905" w:rsidRPr="00217865" w:rsidRDefault="005A5905" w:rsidP="0006511F">
            <w:pPr>
              <w:pStyle w:val="Z"/>
              <w:rPr>
                <w:color w:val="000000" w:themeColor="text1"/>
                <w:lang w:bidi="en-US"/>
              </w:rPr>
            </w:pPr>
            <w:r w:rsidRPr="00217865">
              <w:rPr>
                <w:color w:val="000000" w:themeColor="text1"/>
                <w:lang w:bidi="en-US"/>
              </w:rPr>
              <w:t>060300, 060301, 060303, 060305, 060307, 060309, 060311, 060313, 060315, 060399</w:t>
            </w:r>
          </w:p>
        </w:tc>
      </w:tr>
      <w:tr w:rsidR="00217865" w:rsidRPr="00217865" w14:paraId="7C644782" w14:textId="77777777" w:rsidTr="00CF00B5">
        <w:trPr>
          <w:trHeight w:val="240"/>
        </w:trPr>
        <w:tc>
          <w:tcPr>
            <w:tcW w:w="288" w:type="pct"/>
            <w:vAlign w:val="center"/>
            <w:hideMark/>
          </w:tcPr>
          <w:p w14:paraId="21B2EAFD" w14:textId="77777777" w:rsidR="005A5905" w:rsidRPr="00217865" w:rsidRDefault="005A5905" w:rsidP="0006511F">
            <w:pPr>
              <w:pStyle w:val="Z"/>
              <w:rPr>
                <w:color w:val="000000" w:themeColor="text1"/>
                <w:lang w:bidi="en-US"/>
              </w:rPr>
            </w:pPr>
            <w:r w:rsidRPr="00217865">
              <w:rPr>
                <w:color w:val="000000" w:themeColor="text1"/>
                <w:lang w:bidi="en-US"/>
              </w:rPr>
              <w:t>9</w:t>
            </w:r>
          </w:p>
        </w:tc>
        <w:tc>
          <w:tcPr>
            <w:tcW w:w="1219" w:type="pct"/>
            <w:vAlign w:val="center"/>
            <w:hideMark/>
          </w:tcPr>
          <w:p w14:paraId="67ED9DF6" w14:textId="77777777" w:rsidR="005A5905" w:rsidRPr="00217865" w:rsidRDefault="005A5905" w:rsidP="00CF00B5">
            <w:pPr>
              <w:pStyle w:val="Z"/>
              <w:rPr>
                <w:color w:val="000000" w:themeColor="text1"/>
                <w:lang w:bidi="en-US"/>
              </w:rPr>
            </w:pPr>
            <w:r w:rsidRPr="00217865">
              <w:rPr>
                <w:color w:val="000000" w:themeColor="text1"/>
                <w:lang w:bidi="en-US"/>
              </w:rPr>
              <w:t>Pharmacy</w:t>
            </w:r>
          </w:p>
        </w:tc>
        <w:tc>
          <w:tcPr>
            <w:tcW w:w="288" w:type="pct"/>
            <w:vAlign w:val="center"/>
            <w:hideMark/>
          </w:tcPr>
          <w:p w14:paraId="21D1CD19" w14:textId="77777777" w:rsidR="005A5905" w:rsidRPr="00217865" w:rsidRDefault="005A5905" w:rsidP="0006511F">
            <w:pPr>
              <w:pStyle w:val="Z"/>
              <w:rPr>
                <w:color w:val="000000" w:themeColor="text1"/>
                <w:lang w:bidi="en-US"/>
              </w:rPr>
            </w:pPr>
            <w:r w:rsidRPr="00217865">
              <w:rPr>
                <w:color w:val="000000" w:themeColor="text1"/>
                <w:lang w:bidi="en-US"/>
              </w:rPr>
              <w:t>20</w:t>
            </w:r>
          </w:p>
        </w:tc>
        <w:tc>
          <w:tcPr>
            <w:tcW w:w="1280" w:type="pct"/>
            <w:vAlign w:val="center"/>
            <w:hideMark/>
          </w:tcPr>
          <w:p w14:paraId="08B5ECAF" w14:textId="77777777" w:rsidR="005A5905" w:rsidRPr="00217865" w:rsidRDefault="005A5905" w:rsidP="0006511F">
            <w:pPr>
              <w:pStyle w:val="Z"/>
              <w:rPr>
                <w:color w:val="000000" w:themeColor="text1"/>
                <w:lang w:bidi="en-US"/>
              </w:rPr>
            </w:pPr>
            <w:r w:rsidRPr="00217865">
              <w:rPr>
                <w:color w:val="000000" w:themeColor="text1"/>
                <w:lang w:bidi="en-US"/>
              </w:rPr>
              <w:t>Pharmacy</w:t>
            </w:r>
          </w:p>
        </w:tc>
        <w:tc>
          <w:tcPr>
            <w:tcW w:w="1925" w:type="pct"/>
            <w:vAlign w:val="center"/>
            <w:hideMark/>
          </w:tcPr>
          <w:p w14:paraId="4645BCAE" w14:textId="77777777" w:rsidR="005A5905" w:rsidRPr="00217865" w:rsidRDefault="005A5905" w:rsidP="0006511F">
            <w:pPr>
              <w:pStyle w:val="Z"/>
              <w:rPr>
                <w:color w:val="000000" w:themeColor="text1"/>
                <w:lang w:bidi="en-US"/>
              </w:rPr>
            </w:pPr>
            <w:r w:rsidRPr="00217865">
              <w:rPr>
                <w:color w:val="000000" w:themeColor="text1"/>
                <w:lang w:bidi="en-US"/>
              </w:rPr>
              <w:t>060500, 060501</w:t>
            </w:r>
          </w:p>
        </w:tc>
      </w:tr>
      <w:tr w:rsidR="00217865" w:rsidRPr="00217865" w14:paraId="6D8AB379" w14:textId="77777777" w:rsidTr="00CF00B5">
        <w:trPr>
          <w:trHeight w:val="240"/>
        </w:trPr>
        <w:tc>
          <w:tcPr>
            <w:tcW w:w="288" w:type="pct"/>
            <w:vAlign w:val="center"/>
            <w:hideMark/>
          </w:tcPr>
          <w:p w14:paraId="2E184070" w14:textId="77777777" w:rsidR="005A5905" w:rsidRPr="00217865" w:rsidRDefault="005A5905" w:rsidP="0006511F">
            <w:pPr>
              <w:pStyle w:val="Z"/>
              <w:rPr>
                <w:color w:val="000000" w:themeColor="text1"/>
                <w:lang w:bidi="en-US"/>
              </w:rPr>
            </w:pPr>
            <w:r w:rsidRPr="00217865">
              <w:rPr>
                <w:color w:val="000000" w:themeColor="text1"/>
                <w:lang w:bidi="en-US"/>
              </w:rPr>
              <w:t>10</w:t>
            </w:r>
          </w:p>
        </w:tc>
        <w:tc>
          <w:tcPr>
            <w:tcW w:w="1219" w:type="pct"/>
            <w:vAlign w:val="center"/>
            <w:hideMark/>
          </w:tcPr>
          <w:p w14:paraId="736CC60D" w14:textId="77777777" w:rsidR="005A5905" w:rsidRPr="00217865" w:rsidRDefault="005A5905" w:rsidP="00CF00B5">
            <w:pPr>
              <w:pStyle w:val="Z"/>
              <w:rPr>
                <w:color w:val="000000" w:themeColor="text1"/>
                <w:lang w:bidi="en-US"/>
              </w:rPr>
            </w:pPr>
            <w:r w:rsidRPr="00217865">
              <w:rPr>
                <w:color w:val="000000" w:themeColor="text1"/>
                <w:lang w:bidi="en-US"/>
              </w:rPr>
              <w:t>Dentistry</w:t>
            </w:r>
          </w:p>
        </w:tc>
        <w:tc>
          <w:tcPr>
            <w:tcW w:w="288" w:type="pct"/>
            <w:vAlign w:val="center"/>
            <w:hideMark/>
          </w:tcPr>
          <w:p w14:paraId="2EF6D7DC" w14:textId="77777777" w:rsidR="005A5905" w:rsidRPr="00217865" w:rsidRDefault="005A5905" w:rsidP="0006511F">
            <w:pPr>
              <w:pStyle w:val="Z"/>
              <w:rPr>
                <w:color w:val="000000" w:themeColor="text1"/>
                <w:lang w:bidi="en-US"/>
              </w:rPr>
            </w:pPr>
            <w:r w:rsidRPr="00217865">
              <w:rPr>
                <w:color w:val="000000" w:themeColor="text1"/>
                <w:lang w:bidi="en-US"/>
              </w:rPr>
              <w:t>21</w:t>
            </w:r>
          </w:p>
        </w:tc>
        <w:tc>
          <w:tcPr>
            <w:tcW w:w="1280" w:type="pct"/>
            <w:vAlign w:val="center"/>
            <w:hideMark/>
          </w:tcPr>
          <w:p w14:paraId="4EC3E591" w14:textId="77777777" w:rsidR="005A5905" w:rsidRPr="00217865" w:rsidRDefault="005A5905" w:rsidP="0006511F">
            <w:pPr>
              <w:pStyle w:val="Z"/>
              <w:rPr>
                <w:color w:val="000000" w:themeColor="text1"/>
                <w:lang w:bidi="en-US"/>
              </w:rPr>
            </w:pPr>
            <w:r w:rsidRPr="00217865">
              <w:rPr>
                <w:color w:val="000000" w:themeColor="text1"/>
                <w:lang w:bidi="en-US"/>
              </w:rPr>
              <w:t>Dentistry</w:t>
            </w:r>
          </w:p>
        </w:tc>
        <w:tc>
          <w:tcPr>
            <w:tcW w:w="1925" w:type="pct"/>
            <w:vAlign w:val="center"/>
            <w:hideMark/>
          </w:tcPr>
          <w:p w14:paraId="4C4AD2ED" w14:textId="77777777" w:rsidR="005A5905" w:rsidRPr="00217865" w:rsidRDefault="005A5905" w:rsidP="0006511F">
            <w:pPr>
              <w:pStyle w:val="Z"/>
              <w:rPr>
                <w:color w:val="000000" w:themeColor="text1"/>
                <w:lang w:bidi="en-US"/>
              </w:rPr>
            </w:pPr>
            <w:r w:rsidRPr="00217865">
              <w:rPr>
                <w:color w:val="000000" w:themeColor="text1"/>
                <w:lang w:bidi="en-US"/>
              </w:rPr>
              <w:t>060700, 060701, 060703, 060705, 060799</w:t>
            </w:r>
          </w:p>
        </w:tc>
      </w:tr>
      <w:tr w:rsidR="00217865" w:rsidRPr="00217865" w14:paraId="144E166B" w14:textId="77777777" w:rsidTr="00CF00B5">
        <w:trPr>
          <w:trHeight w:val="240"/>
        </w:trPr>
        <w:tc>
          <w:tcPr>
            <w:tcW w:w="288" w:type="pct"/>
            <w:vAlign w:val="center"/>
            <w:hideMark/>
          </w:tcPr>
          <w:p w14:paraId="7D141FF1" w14:textId="77777777" w:rsidR="005A5905" w:rsidRPr="00217865" w:rsidRDefault="005A5905" w:rsidP="0006511F">
            <w:pPr>
              <w:pStyle w:val="Z"/>
              <w:rPr>
                <w:color w:val="000000" w:themeColor="text1"/>
                <w:lang w:bidi="en-US"/>
              </w:rPr>
            </w:pPr>
            <w:r w:rsidRPr="00217865">
              <w:rPr>
                <w:color w:val="000000" w:themeColor="text1"/>
                <w:lang w:bidi="en-US"/>
              </w:rPr>
              <w:t>11</w:t>
            </w:r>
          </w:p>
        </w:tc>
        <w:tc>
          <w:tcPr>
            <w:tcW w:w="1219" w:type="pct"/>
            <w:vAlign w:val="center"/>
            <w:hideMark/>
          </w:tcPr>
          <w:p w14:paraId="081A4B7A" w14:textId="77777777" w:rsidR="005A5905" w:rsidRPr="00217865" w:rsidRDefault="005A5905" w:rsidP="00CF00B5">
            <w:pPr>
              <w:pStyle w:val="Z"/>
              <w:rPr>
                <w:color w:val="000000" w:themeColor="text1"/>
                <w:lang w:bidi="en-US"/>
              </w:rPr>
            </w:pPr>
            <w:r w:rsidRPr="00217865">
              <w:rPr>
                <w:color w:val="000000" w:themeColor="text1"/>
                <w:lang w:bidi="en-US"/>
              </w:rPr>
              <w:t>Veterinary science</w:t>
            </w:r>
          </w:p>
        </w:tc>
        <w:tc>
          <w:tcPr>
            <w:tcW w:w="288" w:type="pct"/>
            <w:vAlign w:val="center"/>
            <w:hideMark/>
          </w:tcPr>
          <w:p w14:paraId="73CE4296" w14:textId="77777777" w:rsidR="005A5905" w:rsidRPr="00217865" w:rsidRDefault="005A5905" w:rsidP="0006511F">
            <w:pPr>
              <w:pStyle w:val="Z"/>
              <w:rPr>
                <w:color w:val="000000" w:themeColor="text1"/>
                <w:lang w:bidi="en-US"/>
              </w:rPr>
            </w:pPr>
            <w:r w:rsidRPr="00217865">
              <w:rPr>
                <w:color w:val="000000" w:themeColor="text1"/>
                <w:lang w:bidi="en-US"/>
              </w:rPr>
              <w:t>22</w:t>
            </w:r>
          </w:p>
        </w:tc>
        <w:tc>
          <w:tcPr>
            <w:tcW w:w="1280" w:type="pct"/>
            <w:vAlign w:val="center"/>
            <w:hideMark/>
          </w:tcPr>
          <w:p w14:paraId="4ADD6855" w14:textId="77777777" w:rsidR="005A5905" w:rsidRPr="00217865" w:rsidRDefault="005A5905" w:rsidP="0006511F">
            <w:pPr>
              <w:pStyle w:val="Z"/>
              <w:rPr>
                <w:color w:val="000000" w:themeColor="text1"/>
                <w:lang w:bidi="en-US"/>
              </w:rPr>
            </w:pPr>
            <w:r w:rsidRPr="00217865">
              <w:rPr>
                <w:color w:val="000000" w:themeColor="text1"/>
                <w:lang w:bidi="en-US"/>
              </w:rPr>
              <w:t>Veterinary Science</w:t>
            </w:r>
          </w:p>
        </w:tc>
        <w:tc>
          <w:tcPr>
            <w:tcW w:w="1925" w:type="pct"/>
            <w:vAlign w:val="center"/>
            <w:hideMark/>
          </w:tcPr>
          <w:p w14:paraId="2AF857D3" w14:textId="77777777" w:rsidR="005A5905" w:rsidRPr="00217865" w:rsidRDefault="005A5905" w:rsidP="0006511F">
            <w:pPr>
              <w:pStyle w:val="Z"/>
              <w:rPr>
                <w:color w:val="000000" w:themeColor="text1"/>
                <w:lang w:bidi="en-US"/>
              </w:rPr>
            </w:pPr>
            <w:r w:rsidRPr="00217865">
              <w:rPr>
                <w:color w:val="000000" w:themeColor="text1"/>
                <w:lang w:bidi="en-US"/>
              </w:rPr>
              <w:t>061100, 061101, 061103, 061199</w:t>
            </w:r>
          </w:p>
        </w:tc>
      </w:tr>
      <w:tr w:rsidR="00217865" w:rsidRPr="00217865" w14:paraId="5FE89593" w14:textId="77777777" w:rsidTr="00CF00B5">
        <w:trPr>
          <w:trHeight w:val="240"/>
        </w:trPr>
        <w:tc>
          <w:tcPr>
            <w:tcW w:w="288" w:type="pct"/>
            <w:vAlign w:val="center"/>
            <w:hideMark/>
          </w:tcPr>
          <w:p w14:paraId="12BEB568" w14:textId="77777777" w:rsidR="005A5905" w:rsidRPr="00217865" w:rsidRDefault="005A5905" w:rsidP="0006511F">
            <w:pPr>
              <w:pStyle w:val="Z"/>
              <w:rPr>
                <w:color w:val="000000" w:themeColor="text1"/>
                <w:lang w:bidi="en-US"/>
              </w:rPr>
            </w:pPr>
            <w:r w:rsidRPr="00217865">
              <w:rPr>
                <w:color w:val="000000" w:themeColor="text1"/>
                <w:lang w:bidi="en-US"/>
              </w:rPr>
              <w:t>12</w:t>
            </w:r>
          </w:p>
        </w:tc>
        <w:tc>
          <w:tcPr>
            <w:tcW w:w="1219" w:type="pct"/>
            <w:vAlign w:val="center"/>
            <w:hideMark/>
          </w:tcPr>
          <w:p w14:paraId="3942028A" w14:textId="77777777" w:rsidR="005A5905" w:rsidRPr="00217865" w:rsidRDefault="005A5905" w:rsidP="00CF00B5">
            <w:pPr>
              <w:pStyle w:val="Z"/>
              <w:rPr>
                <w:color w:val="000000" w:themeColor="text1"/>
                <w:lang w:bidi="en-US"/>
              </w:rPr>
            </w:pPr>
            <w:r w:rsidRPr="00217865">
              <w:rPr>
                <w:color w:val="000000" w:themeColor="text1"/>
                <w:lang w:bidi="en-US"/>
              </w:rPr>
              <w:t>Rehabilitation</w:t>
            </w:r>
          </w:p>
        </w:tc>
        <w:tc>
          <w:tcPr>
            <w:tcW w:w="288" w:type="pct"/>
            <w:vAlign w:val="center"/>
            <w:hideMark/>
          </w:tcPr>
          <w:p w14:paraId="346844F8" w14:textId="77777777" w:rsidR="005A5905" w:rsidRPr="00217865" w:rsidRDefault="005A5905" w:rsidP="0006511F">
            <w:pPr>
              <w:pStyle w:val="Z"/>
              <w:rPr>
                <w:color w:val="000000" w:themeColor="text1"/>
                <w:lang w:bidi="en-US"/>
              </w:rPr>
            </w:pPr>
            <w:r w:rsidRPr="00217865">
              <w:rPr>
                <w:color w:val="000000" w:themeColor="text1"/>
                <w:lang w:bidi="en-US"/>
              </w:rPr>
              <w:t>23</w:t>
            </w:r>
          </w:p>
        </w:tc>
        <w:tc>
          <w:tcPr>
            <w:tcW w:w="1280" w:type="pct"/>
            <w:vAlign w:val="center"/>
            <w:hideMark/>
          </w:tcPr>
          <w:p w14:paraId="1F2AB9F5" w14:textId="77777777" w:rsidR="005A5905" w:rsidRPr="00217865" w:rsidRDefault="005A5905" w:rsidP="0006511F">
            <w:pPr>
              <w:pStyle w:val="Z"/>
              <w:rPr>
                <w:color w:val="000000" w:themeColor="text1"/>
                <w:lang w:bidi="en-US"/>
              </w:rPr>
            </w:pPr>
            <w:r w:rsidRPr="00217865">
              <w:rPr>
                <w:color w:val="000000" w:themeColor="text1"/>
                <w:lang w:bidi="en-US"/>
              </w:rPr>
              <w:t>Physiotherapy</w:t>
            </w:r>
          </w:p>
        </w:tc>
        <w:tc>
          <w:tcPr>
            <w:tcW w:w="1925" w:type="pct"/>
            <w:vAlign w:val="center"/>
            <w:hideMark/>
          </w:tcPr>
          <w:p w14:paraId="452CBA01" w14:textId="77777777" w:rsidR="005A5905" w:rsidRPr="00217865" w:rsidRDefault="005A5905" w:rsidP="0006511F">
            <w:pPr>
              <w:pStyle w:val="Z"/>
              <w:rPr>
                <w:color w:val="000000" w:themeColor="text1"/>
                <w:lang w:bidi="en-US"/>
              </w:rPr>
            </w:pPr>
            <w:r w:rsidRPr="00217865">
              <w:rPr>
                <w:color w:val="000000" w:themeColor="text1"/>
                <w:lang w:bidi="en-US"/>
              </w:rPr>
              <w:t>061701</w:t>
            </w:r>
          </w:p>
        </w:tc>
      </w:tr>
      <w:tr w:rsidR="00217865" w:rsidRPr="00217865" w14:paraId="0E9BB680" w14:textId="77777777" w:rsidTr="00CF00B5">
        <w:trPr>
          <w:trHeight w:val="240"/>
        </w:trPr>
        <w:tc>
          <w:tcPr>
            <w:tcW w:w="288" w:type="pct"/>
            <w:vAlign w:val="center"/>
            <w:hideMark/>
          </w:tcPr>
          <w:p w14:paraId="78BF00BD" w14:textId="5CA116AB" w:rsidR="005A5905" w:rsidRPr="00217865" w:rsidRDefault="00CF411A" w:rsidP="0006511F">
            <w:pPr>
              <w:pStyle w:val="Z"/>
              <w:rPr>
                <w:color w:val="000000" w:themeColor="text1"/>
                <w:lang w:bidi="en-US"/>
              </w:rPr>
            </w:pPr>
            <w:r>
              <w:rPr>
                <w:color w:val="000000" w:themeColor="text1"/>
                <w:lang w:bidi="en-US"/>
              </w:rPr>
              <w:t>-</w:t>
            </w:r>
          </w:p>
        </w:tc>
        <w:tc>
          <w:tcPr>
            <w:tcW w:w="1219" w:type="pct"/>
            <w:vAlign w:val="center"/>
            <w:hideMark/>
          </w:tcPr>
          <w:p w14:paraId="528C58C8" w14:textId="2AEF7BDC" w:rsidR="005A5905" w:rsidRPr="00217865" w:rsidRDefault="00CF411A" w:rsidP="00CF00B5">
            <w:pPr>
              <w:pStyle w:val="Z"/>
              <w:rPr>
                <w:color w:val="000000" w:themeColor="text1"/>
                <w:lang w:bidi="en-US"/>
              </w:rPr>
            </w:pPr>
            <w:r>
              <w:rPr>
                <w:color w:val="000000" w:themeColor="text1"/>
                <w:lang w:bidi="en-US"/>
              </w:rPr>
              <w:t>-</w:t>
            </w:r>
          </w:p>
        </w:tc>
        <w:tc>
          <w:tcPr>
            <w:tcW w:w="288" w:type="pct"/>
            <w:vAlign w:val="center"/>
            <w:hideMark/>
          </w:tcPr>
          <w:p w14:paraId="6D36CFE3" w14:textId="77777777" w:rsidR="005A5905" w:rsidRPr="00217865" w:rsidRDefault="005A5905" w:rsidP="0006511F">
            <w:pPr>
              <w:pStyle w:val="Z"/>
              <w:rPr>
                <w:color w:val="000000" w:themeColor="text1"/>
                <w:lang w:bidi="en-US"/>
              </w:rPr>
            </w:pPr>
            <w:r w:rsidRPr="00217865">
              <w:rPr>
                <w:color w:val="000000" w:themeColor="text1"/>
                <w:lang w:bidi="en-US"/>
              </w:rPr>
              <w:t>24</w:t>
            </w:r>
          </w:p>
        </w:tc>
        <w:tc>
          <w:tcPr>
            <w:tcW w:w="1280" w:type="pct"/>
            <w:vAlign w:val="center"/>
            <w:hideMark/>
          </w:tcPr>
          <w:p w14:paraId="6AD2327F" w14:textId="77777777" w:rsidR="005A5905" w:rsidRPr="00217865" w:rsidRDefault="005A5905" w:rsidP="0006511F">
            <w:pPr>
              <w:pStyle w:val="Z"/>
              <w:rPr>
                <w:color w:val="000000" w:themeColor="text1"/>
                <w:lang w:bidi="en-US"/>
              </w:rPr>
            </w:pPr>
            <w:r w:rsidRPr="00217865">
              <w:rPr>
                <w:color w:val="000000" w:themeColor="text1"/>
                <w:lang w:bidi="en-US"/>
              </w:rPr>
              <w:t>Occupational Therapy</w:t>
            </w:r>
          </w:p>
        </w:tc>
        <w:tc>
          <w:tcPr>
            <w:tcW w:w="1925" w:type="pct"/>
            <w:vAlign w:val="center"/>
            <w:hideMark/>
          </w:tcPr>
          <w:p w14:paraId="1CE815DE" w14:textId="77777777" w:rsidR="005A5905" w:rsidRPr="00217865" w:rsidRDefault="005A5905" w:rsidP="0006511F">
            <w:pPr>
              <w:pStyle w:val="Z"/>
              <w:rPr>
                <w:color w:val="000000" w:themeColor="text1"/>
                <w:lang w:bidi="en-US"/>
              </w:rPr>
            </w:pPr>
            <w:r w:rsidRPr="00217865">
              <w:rPr>
                <w:color w:val="000000" w:themeColor="text1"/>
                <w:lang w:bidi="en-US"/>
              </w:rPr>
              <w:t>061703</w:t>
            </w:r>
          </w:p>
        </w:tc>
      </w:tr>
      <w:tr w:rsidR="00217865" w:rsidRPr="00217865" w14:paraId="4356A8D6" w14:textId="77777777" w:rsidTr="00CF00B5">
        <w:trPr>
          <w:trHeight w:val="480"/>
        </w:trPr>
        <w:tc>
          <w:tcPr>
            <w:tcW w:w="288" w:type="pct"/>
            <w:vAlign w:val="center"/>
            <w:hideMark/>
          </w:tcPr>
          <w:p w14:paraId="06B4FF9B" w14:textId="77777777" w:rsidR="005A5905" w:rsidRPr="00217865" w:rsidRDefault="005A5905" w:rsidP="0006511F">
            <w:pPr>
              <w:pStyle w:val="Z"/>
              <w:rPr>
                <w:color w:val="000000" w:themeColor="text1"/>
                <w:lang w:bidi="en-US"/>
              </w:rPr>
            </w:pPr>
            <w:r w:rsidRPr="00217865">
              <w:rPr>
                <w:color w:val="000000" w:themeColor="text1"/>
                <w:lang w:bidi="en-US"/>
              </w:rPr>
              <w:t>13</w:t>
            </w:r>
          </w:p>
        </w:tc>
        <w:tc>
          <w:tcPr>
            <w:tcW w:w="1219" w:type="pct"/>
            <w:vAlign w:val="center"/>
            <w:hideMark/>
          </w:tcPr>
          <w:p w14:paraId="5837BACC" w14:textId="07750686" w:rsidR="005A5905" w:rsidRPr="00217865" w:rsidRDefault="005A5905" w:rsidP="00CF00B5">
            <w:pPr>
              <w:pStyle w:val="Z"/>
              <w:rPr>
                <w:color w:val="000000" w:themeColor="text1"/>
                <w:lang w:bidi="en-US"/>
              </w:rPr>
            </w:pPr>
            <w:r w:rsidRPr="00217865">
              <w:rPr>
                <w:color w:val="000000" w:themeColor="text1"/>
                <w:lang w:bidi="en-US"/>
              </w:rPr>
              <w:t>Teacher education</w:t>
            </w:r>
          </w:p>
          <w:p w14:paraId="6D060776" w14:textId="77777777" w:rsidR="005A5905" w:rsidRPr="00217865" w:rsidRDefault="005A5905" w:rsidP="00CF00B5">
            <w:pPr>
              <w:pStyle w:val="Z"/>
              <w:rPr>
                <w:color w:val="000000" w:themeColor="text1"/>
                <w:lang w:bidi="en-US"/>
              </w:rPr>
            </w:pPr>
          </w:p>
        </w:tc>
        <w:tc>
          <w:tcPr>
            <w:tcW w:w="288" w:type="pct"/>
            <w:vAlign w:val="center"/>
            <w:hideMark/>
          </w:tcPr>
          <w:p w14:paraId="1B593487" w14:textId="77777777" w:rsidR="005A5905" w:rsidRPr="00217865" w:rsidRDefault="005A5905" w:rsidP="0006511F">
            <w:pPr>
              <w:pStyle w:val="Z"/>
              <w:rPr>
                <w:color w:val="000000" w:themeColor="text1"/>
                <w:lang w:bidi="en-US"/>
              </w:rPr>
            </w:pPr>
            <w:r w:rsidRPr="00217865">
              <w:rPr>
                <w:color w:val="000000" w:themeColor="text1"/>
                <w:lang w:bidi="en-US"/>
              </w:rPr>
              <w:t>25</w:t>
            </w:r>
          </w:p>
        </w:tc>
        <w:tc>
          <w:tcPr>
            <w:tcW w:w="1280" w:type="pct"/>
            <w:vAlign w:val="center"/>
            <w:hideMark/>
          </w:tcPr>
          <w:p w14:paraId="4840DFDB" w14:textId="77777777" w:rsidR="005A5905" w:rsidRPr="00217865" w:rsidRDefault="005A5905" w:rsidP="0006511F">
            <w:pPr>
              <w:pStyle w:val="Z"/>
              <w:rPr>
                <w:color w:val="000000" w:themeColor="text1"/>
                <w:lang w:bidi="en-US"/>
              </w:rPr>
            </w:pPr>
            <w:r w:rsidRPr="00217865">
              <w:rPr>
                <w:color w:val="000000" w:themeColor="text1"/>
                <w:lang w:bidi="en-US"/>
              </w:rPr>
              <w:t>Teacher Education - Other</w:t>
            </w:r>
          </w:p>
        </w:tc>
        <w:tc>
          <w:tcPr>
            <w:tcW w:w="1925" w:type="pct"/>
            <w:vAlign w:val="center"/>
            <w:hideMark/>
          </w:tcPr>
          <w:p w14:paraId="7BD8B2F7" w14:textId="77777777" w:rsidR="005A5905" w:rsidRPr="00217865" w:rsidRDefault="005A5905" w:rsidP="0006511F">
            <w:pPr>
              <w:pStyle w:val="Z"/>
              <w:rPr>
                <w:color w:val="000000" w:themeColor="text1"/>
                <w:lang w:bidi="en-US"/>
              </w:rPr>
            </w:pPr>
            <w:r w:rsidRPr="00217865">
              <w:rPr>
                <w:color w:val="000000" w:themeColor="text1"/>
                <w:lang w:bidi="en-US"/>
              </w:rPr>
              <w:t>070000, 070100, 070107, 070109, 070111, 070113, 070115, 070117, 070199, 070300, 070301, 070303, 079900, 079999</w:t>
            </w:r>
          </w:p>
        </w:tc>
      </w:tr>
      <w:tr w:rsidR="00217865" w:rsidRPr="00217865" w14:paraId="1B48CD23" w14:textId="77777777" w:rsidTr="00CF00B5">
        <w:trPr>
          <w:trHeight w:val="240"/>
        </w:trPr>
        <w:tc>
          <w:tcPr>
            <w:tcW w:w="288" w:type="pct"/>
            <w:vAlign w:val="center"/>
            <w:hideMark/>
          </w:tcPr>
          <w:p w14:paraId="6E98045D" w14:textId="2F88055E"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58EC4FD5" w14:textId="1042B3F4"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7CBF7584" w14:textId="77777777" w:rsidR="005A5905" w:rsidRPr="00217865" w:rsidRDefault="005A5905" w:rsidP="0006511F">
            <w:pPr>
              <w:pStyle w:val="Z"/>
              <w:rPr>
                <w:color w:val="000000" w:themeColor="text1"/>
                <w:lang w:bidi="en-US"/>
              </w:rPr>
            </w:pPr>
            <w:r w:rsidRPr="00217865">
              <w:rPr>
                <w:color w:val="000000" w:themeColor="text1"/>
                <w:lang w:bidi="en-US"/>
              </w:rPr>
              <w:t>26</w:t>
            </w:r>
          </w:p>
        </w:tc>
        <w:tc>
          <w:tcPr>
            <w:tcW w:w="1280" w:type="pct"/>
            <w:vAlign w:val="center"/>
            <w:hideMark/>
          </w:tcPr>
          <w:p w14:paraId="580C52AC" w14:textId="77777777" w:rsidR="005A5905" w:rsidRPr="00217865" w:rsidRDefault="005A5905" w:rsidP="0006511F">
            <w:pPr>
              <w:pStyle w:val="Z"/>
              <w:rPr>
                <w:color w:val="000000" w:themeColor="text1"/>
                <w:lang w:bidi="en-US"/>
              </w:rPr>
            </w:pPr>
            <w:r w:rsidRPr="00217865">
              <w:rPr>
                <w:color w:val="000000" w:themeColor="text1"/>
                <w:lang w:bidi="en-US"/>
              </w:rPr>
              <w:t>Teacher Education - Early Childhood</w:t>
            </w:r>
          </w:p>
        </w:tc>
        <w:tc>
          <w:tcPr>
            <w:tcW w:w="1925" w:type="pct"/>
            <w:vAlign w:val="center"/>
            <w:hideMark/>
          </w:tcPr>
          <w:p w14:paraId="6BCC64ED" w14:textId="77777777" w:rsidR="005A5905" w:rsidRPr="00217865" w:rsidRDefault="005A5905" w:rsidP="0006511F">
            <w:pPr>
              <w:pStyle w:val="Z"/>
              <w:rPr>
                <w:color w:val="000000" w:themeColor="text1"/>
                <w:lang w:bidi="en-US"/>
              </w:rPr>
            </w:pPr>
            <w:r w:rsidRPr="00217865">
              <w:rPr>
                <w:color w:val="000000" w:themeColor="text1"/>
                <w:lang w:bidi="en-US"/>
              </w:rPr>
              <w:t>070101</w:t>
            </w:r>
          </w:p>
        </w:tc>
      </w:tr>
      <w:tr w:rsidR="00217865" w:rsidRPr="00217865" w14:paraId="2F686691" w14:textId="77777777" w:rsidTr="00CF00B5">
        <w:trPr>
          <w:trHeight w:val="240"/>
        </w:trPr>
        <w:tc>
          <w:tcPr>
            <w:tcW w:w="288" w:type="pct"/>
            <w:vAlign w:val="center"/>
            <w:hideMark/>
          </w:tcPr>
          <w:p w14:paraId="52F28710" w14:textId="69FE5215"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3D34585D" w14:textId="5C9FE38B"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1C2EC2AD" w14:textId="77777777" w:rsidR="005A5905" w:rsidRPr="00217865" w:rsidRDefault="005A5905" w:rsidP="0006511F">
            <w:pPr>
              <w:pStyle w:val="Z"/>
              <w:rPr>
                <w:color w:val="000000" w:themeColor="text1"/>
                <w:lang w:bidi="en-US"/>
              </w:rPr>
            </w:pPr>
            <w:r w:rsidRPr="00217865">
              <w:rPr>
                <w:color w:val="000000" w:themeColor="text1"/>
                <w:lang w:bidi="en-US"/>
              </w:rPr>
              <w:t>27</w:t>
            </w:r>
          </w:p>
        </w:tc>
        <w:tc>
          <w:tcPr>
            <w:tcW w:w="1280" w:type="pct"/>
            <w:vAlign w:val="center"/>
            <w:hideMark/>
          </w:tcPr>
          <w:p w14:paraId="48EF26FC" w14:textId="77777777" w:rsidR="005A5905" w:rsidRPr="00217865" w:rsidRDefault="005A5905" w:rsidP="0006511F">
            <w:pPr>
              <w:pStyle w:val="Z"/>
              <w:rPr>
                <w:color w:val="000000" w:themeColor="text1"/>
                <w:lang w:bidi="en-US"/>
              </w:rPr>
            </w:pPr>
            <w:r w:rsidRPr="00217865">
              <w:rPr>
                <w:color w:val="000000" w:themeColor="text1"/>
                <w:lang w:bidi="en-US"/>
              </w:rPr>
              <w:t>Teacher Education - Primary &amp; Secondary</w:t>
            </w:r>
          </w:p>
        </w:tc>
        <w:tc>
          <w:tcPr>
            <w:tcW w:w="1925" w:type="pct"/>
            <w:vAlign w:val="center"/>
            <w:hideMark/>
          </w:tcPr>
          <w:p w14:paraId="19B77DF9" w14:textId="77777777" w:rsidR="005A5905" w:rsidRPr="00217865" w:rsidRDefault="005A5905" w:rsidP="0006511F">
            <w:pPr>
              <w:pStyle w:val="Z"/>
              <w:rPr>
                <w:color w:val="000000" w:themeColor="text1"/>
                <w:lang w:bidi="en-US"/>
              </w:rPr>
            </w:pPr>
            <w:r w:rsidRPr="00217865">
              <w:rPr>
                <w:color w:val="000000" w:themeColor="text1"/>
                <w:lang w:bidi="en-US"/>
              </w:rPr>
              <w:t>070103, 070105</w:t>
            </w:r>
          </w:p>
        </w:tc>
      </w:tr>
      <w:tr w:rsidR="00217865" w:rsidRPr="00217865" w14:paraId="42157859" w14:textId="77777777" w:rsidTr="00CF00B5">
        <w:trPr>
          <w:trHeight w:val="240"/>
        </w:trPr>
        <w:tc>
          <w:tcPr>
            <w:tcW w:w="288" w:type="pct"/>
            <w:vAlign w:val="center"/>
            <w:hideMark/>
          </w:tcPr>
          <w:p w14:paraId="5333897D" w14:textId="77777777" w:rsidR="005A5905" w:rsidRPr="00217865" w:rsidRDefault="005A5905" w:rsidP="0006511F">
            <w:pPr>
              <w:pStyle w:val="Z"/>
              <w:rPr>
                <w:color w:val="000000" w:themeColor="text1"/>
                <w:lang w:bidi="en-US"/>
              </w:rPr>
            </w:pPr>
            <w:r w:rsidRPr="00217865">
              <w:rPr>
                <w:color w:val="000000" w:themeColor="text1"/>
                <w:lang w:bidi="en-US"/>
              </w:rPr>
              <w:t>14</w:t>
            </w:r>
          </w:p>
        </w:tc>
        <w:tc>
          <w:tcPr>
            <w:tcW w:w="1219" w:type="pct"/>
            <w:vAlign w:val="center"/>
            <w:hideMark/>
          </w:tcPr>
          <w:p w14:paraId="7B2E5ED1" w14:textId="77777777" w:rsidR="005A5905" w:rsidRPr="00217865" w:rsidRDefault="005A5905" w:rsidP="00CF00B5">
            <w:pPr>
              <w:pStyle w:val="Z"/>
              <w:rPr>
                <w:color w:val="000000" w:themeColor="text1"/>
                <w:lang w:bidi="en-US"/>
              </w:rPr>
            </w:pPr>
            <w:r w:rsidRPr="00217865">
              <w:rPr>
                <w:color w:val="000000" w:themeColor="text1"/>
                <w:lang w:bidi="en-US"/>
              </w:rPr>
              <w:t>Business and management</w:t>
            </w:r>
          </w:p>
        </w:tc>
        <w:tc>
          <w:tcPr>
            <w:tcW w:w="288" w:type="pct"/>
            <w:vAlign w:val="center"/>
            <w:hideMark/>
          </w:tcPr>
          <w:p w14:paraId="3CF87309" w14:textId="77777777" w:rsidR="005A5905" w:rsidRPr="00217865" w:rsidRDefault="005A5905" w:rsidP="0006511F">
            <w:pPr>
              <w:pStyle w:val="Z"/>
              <w:rPr>
                <w:color w:val="000000" w:themeColor="text1"/>
                <w:lang w:bidi="en-US"/>
              </w:rPr>
            </w:pPr>
            <w:r w:rsidRPr="00217865">
              <w:rPr>
                <w:color w:val="000000" w:themeColor="text1"/>
                <w:lang w:bidi="en-US"/>
              </w:rPr>
              <w:t>28</w:t>
            </w:r>
          </w:p>
        </w:tc>
        <w:tc>
          <w:tcPr>
            <w:tcW w:w="1280" w:type="pct"/>
            <w:vAlign w:val="center"/>
            <w:hideMark/>
          </w:tcPr>
          <w:p w14:paraId="2261E488" w14:textId="77777777" w:rsidR="005A5905" w:rsidRPr="00217865" w:rsidRDefault="005A5905" w:rsidP="0006511F">
            <w:pPr>
              <w:pStyle w:val="Z"/>
              <w:rPr>
                <w:color w:val="000000" w:themeColor="text1"/>
                <w:lang w:bidi="en-US"/>
              </w:rPr>
            </w:pPr>
            <w:r w:rsidRPr="00217865">
              <w:rPr>
                <w:color w:val="000000" w:themeColor="text1"/>
                <w:lang w:bidi="en-US"/>
              </w:rPr>
              <w:t>Accounting</w:t>
            </w:r>
          </w:p>
        </w:tc>
        <w:tc>
          <w:tcPr>
            <w:tcW w:w="1925" w:type="pct"/>
            <w:vAlign w:val="center"/>
            <w:hideMark/>
          </w:tcPr>
          <w:p w14:paraId="2088FB18" w14:textId="77777777" w:rsidR="005A5905" w:rsidRPr="00217865" w:rsidRDefault="005A5905" w:rsidP="0006511F">
            <w:pPr>
              <w:pStyle w:val="Z"/>
              <w:rPr>
                <w:color w:val="000000" w:themeColor="text1"/>
                <w:lang w:bidi="en-US"/>
              </w:rPr>
            </w:pPr>
            <w:r w:rsidRPr="00217865">
              <w:rPr>
                <w:color w:val="000000" w:themeColor="text1"/>
                <w:lang w:bidi="en-US"/>
              </w:rPr>
              <w:t>080100, 080101</w:t>
            </w:r>
          </w:p>
        </w:tc>
      </w:tr>
      <w:tr w:rsidR="00217865" w:rsidRPr="00217865" w14:paraId="27EA2A43" w14:textId="77777777" w:rsidTr="00CF00B5">
        <w:trPr>
          <w:trHeight w:val="480"/>
        </w:trPr>
        <w:tc>
          <w:tcPr>
            <w:tcW w:w="288" w:type="pct"/>
            <w:vAlign w:val="center"/>
            <w:hideMark/>
          </w:tcPr>
          <w:p w14:paraId="4CB6C3C0" w14:textId="7CE92542"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1A80794A" w14:textId="1747460C"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4DB9CBDF" w14:textId="77777777" w:rsidR="005A5905" w:rsidRPr="00217865" w:rsidRDefault="005A5905" w:rsidP="0006511F">
            <w:pPr>
              <w:pStyle w:val="Z"/>
              <w:rPr>
                <w:color w:val="000000" w:themeColor="text1"/>
                <w:lang w:bidi="en-US"/>
              </w:rPr>
            </w:pPr>
            <w:r w:rsidRPr="00217865">
              <w:rPr>
                <w:color w:val="000000" w:themeColor="text1"/>
                <w:lang w:bidi="en-US"/>
              </w:rPr>
              <w:t>29</w:t>
            </w:r>
          </w:p>
        </w:tc>
        <w:tc>
          <w:tcPr>
            <w:tcW w:w="1280" w:type="pct"/>
            <w:vAlign w:val="center"/>
            <w:hideMark/>
          </w:tcPr>
          <w:p w14:paraId="6BCF087E" w14:textId="77777777" w:rsidR="005A5905" w:rsidRPr="00217865" w:rsidRDefault="005A5905" w:rsidP="0006511F">
            <w:pPr>
              <w:pStyle w:val="Z"/>
              <w:rPr>
                <w:color w:val="000000" w:themeColor="text1"/>
                <w:lang w:bidi="en-US"/>
              </w:rPr>
            </w:pPr>
            <w:r w:rsidRPr="00217865">
              <w:rPr>
                <w:color w:val="000000" w:themeColor="text1"/>
                <w:lang w:bidi="en-US"/>
              </w:rPr>
              <w:t>Business Management</w:t>
            </w:r>
          </w:p>
        </w:tc>
        <w:tc>
          <w:tcPr>
            <w:tcW w:w="1925" w:type="pct"/>
            <w:vAlign w:val="center"/>
            <w:hideMark/>
          </w:tcPr>
          <w:p w14:paraId="0085CBDA" w14:textId="77777777" w:rsidR="005A5905" w:rsidRPr="00217865" w:rsidRDefault="005A5905" w:rsidP="0006511F">
            <w:pPr>
              <w:pStyle w:val="Z"/>
              <w:rPr>
                <w:color w:val="000000" w:themeColor="text1"/>
                <w:lang w:bidi="en-US"/>
              </w:rPr>
            </w:pPr>
            <w:r w:rsidRPr="00217865">
              <w:rPr>
                <w:color w:val="000000" w:themeColor="text1"/>
                <w:lang w:bidi="en-US"/>
              </w:rPr>
              <w:t>080300, 080301, 080303, 080305, 080307, 080309, 080311, 080313, 080315, 080317, 080319, 080321, 080323, 080399</w:t>
            </w:r>
          </w:p>
        </w:tc>
      </w:tr>
      <w:tr w:rsidR="00217865" w:rsidRPr="00217865" w14:paraId="44DD133C" w14:textId="77777777" w:rsidTr="00CF00B5">
        <w:trPr>
          <w:trHeight w:val="240"/>
        </w:trPr>
        <w:tc>
          <w:tcPr>
            <w:tcW w:w="288" w:type="pct"/>
            <w:vAlign w:val="center"/>
            <w:hideMark/>
          </w:tcPr>
          <w:p w14:paraId="5D640B6E" w14:textId="2456F195"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62175E0D" w14:textId="367EB5F3"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35800E36" w14:textId="77777777" w:rsidR="005A5905" w:rsidRPr="00217865" w:rsidRDefault="005A5905" w:rsidP="0006511F">
            <w:pPr>
              <w:pStyle w:val="Z"/>
              <w:rPr>
                <w:color w:val="000000" w:themeColor="text1"/>
                <w:lang w:bidi="en-US"/>
              </w:rPr>
            </w:pPr>
            <w:r w:rsidRPr="00217865">
              <w:rPr>
                <w:color w:val="000000" w:themeColor="text1"/>
                <w:lang w:bidi="en-US"/>
              </w:rPr>
              <w:t>30</w:t>
            </w:r>
          </w:p>
        </w:tc>
        <w:tc>
          <w:tcPr>
            <w:tcW w:w="1280" w:type="pct"/>
            <w:vAlign w:val="center"/>
            <w:hideMark/>
          </w:tcPr>
          <w:p w14:paraId="0CAE0044" w14:textId="77777777" w:rsidR="005A5905" w:rsidRPr="00217865" w:rsidRDefault="005A5905" w:rsidP="0006511F">
            <w:pPr>
              <w:pStyle w:val="Z"/>
              <w:rPr>
                <w:color w:val="000000" w:themeColor="text1"/>
                <w:lang w:bidi="en-US"/>
              </w:rPr>
            </w:pPr>
            <w:r w:rsidRPr="00217865">
              <w:rPr>
                <w:color w:val="000000" w:themeColor="text1"/>
                <w:lang w:bidi="en-US"/>
              </w:rPr>
              <w:t>Sales &amp; Marketing</w:t>
            </w:r>
          </w:p>
        </w:tc>
        <w:tc>
          <w:tcPr>
            <w:tcW w:w="1925" w:type="pct"/>
            <w:vAlign w:val="center"/>
            <w:hideMark/>
          </w:tcPr>
          <w:p w14:paraId="0A4CF198" w14:textId="77777777" w:rsidR="005A5905" w:rsidRPr="00217865" w:rsidRDefault="005A5905" w:rsidP="0006511F">
            <w:pPr>
              <w:pStyle w:val="Z"/>
              <w:rPr>
                <w:color w:val="000000" w:themeColor="text1"/>
                <w:lang w:bidi="en-US"/>
              </w:rPr>
            </w:pPr>
            <w:r w:rsidRPr="00217865">
              <w:rPr>
                <w:color w:val="000000" w:themeColor="text1"/>
                <w:lang w:bidi="en-US"/>
              </w:rPr>
              <w:t>080500, 080501, 080503, 080505, 080507, 080509, 080599</w:t>
            </w:r>
          </w:p>
        </w:tc>
      </w:tr>
      <w:tr w:rsidR="00217865" w:rsidRPr="00217865" w14:paraId="60EB509E" w14:textId="77777777" w:rsidTr="00CF00B5">
        <w:trPr>
          <w:trHeight w:val="240"/>
        </w:trPr>
        <w:tc>
          <w:tcPr>
            <w:tcW w:w="288" w:type="pct"/>
            <w:vAlign w:val="center"/>
            <w:hideMark/>
          </w:tcPr>
          <w:p w14:paraId="7037B56B" w14:textId="29F8BAEB"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2437B4CC" w14:textId="3616F66E"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081FB162" w14:textId="77777777" w:rsidR="005A5905" w:rsidRPr="00217865" w:rsidRDefault="005A5905" w:rsidP="0006511F">
            <w:pPr>
              <w:pStyle w:val="Z"/>
              <w:rPr>
                <w:color w:val="000000" w:themeColor="text1"/>
                <w:lang w:bidi="en-US"/>
              </w:rPr>
            </w:pPr>
            <w:r w:rsidRPr="00217865">
              <w:rPr>
                <w:color w:val="000000" w:themeColor="text1"/>
                <w:lang w:bidi="en-US"/>
              </w:rPr>
              <w:t>31</w:t>
            </w:r>
          </w:p>
        </w:tc>
        <w:tc>
          <w:tcPr>
            <w:tcW w:w="1280" w:type="pct"/>
            <w:vAlign w:val="center"/>
            <w:hideMark/>
          </w:tcPr>
          <w:p w14:paraId="42E4A3B7" w14:textId="77777777" w:rsidR="005A5905" w:rsidRPr="00217865" w:rsidRDefault="005A5905" w:rsidP="0006511F">
            <w:pPr>
              <w:pStyle w:val="Z"/>
              <w:rPr>
                <w:color w:val="000000" w:themeColor="text1"/>
                <w:lang w:bidi="en-US"/>
              </w:rPr>
            </w:pPr>
            <w:r w:rsidRPr="00217865">
              <w:rPr>
                <w:color w:val="000000" w:themeColor="text1"/>
                <w:lang w:bidi="en-US"/>
              </w:rPr>
              <w:t>Management &amp; Commerce - Other</w:t>
            </w:r>
          </w:p>
        </w:tc>
        <w:tc>
          <w:tcPr>
            <w:tcW w:w="1925" w:type="pct"/>
            <w:vAlign w:val="center"/>
            <w:hideMark/>
          </w:tcPr>
          <w:p w14:paraId="58697646" w14:textId="77777777" w:rsidR="005A5905" w:rsidRPr="00217865" w:rsidRDefault="005A5905" w:rsidP="0006511F">
            <w:pPr>
              <w:pStyle w:val="Z"/>
              <w:rPr>
                <w:color w:val="000000" w:themeColor="text1"/>
                <w:lang w:bidi="en-US"/>
              </w:rPr>
            </w:pPr>
            <w:r w:rsidRPr="00217865">
              <w:rPr>
                <w:color w:val="000000" w:themeColor="text1"/>
                <w:lang w:bidi="en-US"/>
              </w:rPr>
              <w:t>080000, 080900, 080901, 080903, 080905, 080999, 089900, 089901, 089903, 089999</w:t>
            </w:r>
          </w:p>
        </w:tc>
      </w:tr>
      <w:tr w:rsidR="00217865" w:rsidRPr="00217865" w14:paraId="6382445C" w14:textId="77777777" w:rsidTr="00CF00B5">
        <w:trPr>
          <w:trHeight w:val="240"/>
        </w:trPr>
        <w:tc>
          <w:tcPr>
            <w:tcW w:w="288" w:type="pct"/>
            <w:vAlign w:val="center"/>
            <w:hideMark/>
          </w:tcPr>
          <w:p w14:paraId="3E809A89" w14:textId="4627A4DC"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66B54B24" w14:textId="79EC5D71"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541087F5" w14:textId="77777777" w:rsidR="005A5905" w:rsidRPr="00217865" w:rsidRDefault="005A5905" w:rsidP="0006511F">
            <w:pPr>
              <w:pStyle w:val="Z"/>
              <w:rPr>
                <w:color w:val="000000" w:themeColor="text1"/>
                <w:lang w:bidi="en-US"/>
              </w:rPr>
            </w:pPr>
            <w:r w:rsidRPr="00217865">
              <w:rPr>
                <w:color w:val="000000" w:themeColor="text1"/>
                <w:lang w:bidi="en-US"/>
              </w:rPr>
              <w:t>32</w:t>
            </w:r>
          </w:p>
        </w:tc>
        <w:tc>
          <w:tcPr>
            <w:tcW w:w="1280" w:type="pct"/>
            <w:vAlign w:val="center"/>
            <w:hideMark/>
          </w:tcPr>
          <w:p w14:paraId="193CA0B7" w14:textId="77777777" w:rsidR="005A5905" w:rsidRPr="00217865" w:rsidRDefault="005A5905" w:rsidP="0006511F">
            <w:pPr>
              <w:pStyle w:val="Z"/>
              <w:rPr>
                <w:color w:val="000000" w:themeColor="text1"/>
                <w:lang w:bidi="en-US"/>
              </w:rPr>
            </w:pPr>
            <w:r w:rsidRPr="00217865">
              <w:rPr>
                <w:color w:val="000000" w:themeColor="text1"/>
                <w:lang w:bidi="en-US"/>
              </w:rPr>
              <w:t>Banking &amp; Finance</w:t>
            </w:r>
          </w:p>
        </w:tc>
        <w:tc>
          <w:tcPr>
            <w:tcW w:w="1925" w:type="pct"/>
            <w:vAlign w:val="center"/>
            <w:hideMark/>
          </w:tcPr>
          <w:p w14:paraId="45EE56BC" w14:textId="77777777" w:rsidR="005A5905" w:rsidRPr="00217865" w:rsidRDefault="005A5905" w:rsidP="0006511F">
            <w:pPr>
              <w:pStyle w:val="Z"/>
              <w:rPr>
                <w:color w:val="000000" w:themeColor="text1"/>
                <w:lang w:bidi="en-US"/>
              </w:rPr>
            </w:pPr>
            <w:r w:rsidRPr="00217865">
              <w:rPr>
                <w:color w:val="000000" w:themeColor="text1"/>
                <w:lang w:bidi="en-US"/>
              </w:rPr>
              <w:t>081100, 081101, 081103, 081105, 081199</w:t>
            </w:r>
          </w:p>
        </w:tc>
      </w:tr>
      <w:tr w:rsidR="00217865" w:rsidRPr="00217865" w14:paraId="649BCA04" w14:textId="77777777" w:rsidTr="00CF00B5">
        <w:trPr>
          <w:trHeight w:val="240"/>
        </w:trPr>
        <w:tc>
          <w:tcPr>
            <w:tcW w:w="288" w:type="pct"/>
            <w:vAlign w:val="center"/>
          </w:tcPr>
          <w:p w14:paraId="17856400" w14:textId="02868032"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tcPr>
          <w:p w14:paraId="735A2106" w14:textId="7BC9A9DD"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tcPr>
          <w:p w14:paraId="63B1D8E4" w14:textId="77777777" w:rsidR="005A5905" w:rsidRPr="00217865" w:rsidRDefault="005A5905" w:rsidP="0006511F">
            <w:pPr>
              <w:pStyle w:val="Z"/>
              <w:rPr>
                <w:color w:val="000000" w:themeColor="text1"/>
                <w:lang w:bidi="en-US"/>
              </w:rPr>
            </w:pPr>
            <w:r w:rsidRPr="00217865">
              <w:rPr>
                <w:color w:val="000000" w:themeColor="text1"/>
                <w:lang w:bidi="en-US"/>
              </w:rPr>
              <w:t>40</w:t>
            </w:r>
          </w:p>
        </w:tc>
        <w:tc>
          <w:tcPr>
            <w:tcW w:w="1280" w:type="pct"/>
            <w:vAlign w:val="center"/>
          </w:tcPr>
          <w:p w14:paraId="38DA8A74" w14:textId="77777777" w:rsidR="005A5905" w:rsidRPr="00217865" w:rsidRDefault="005A5905" w:rsidP="0006511F">
            <w:pPr>
              <w:pStyle w:val="Z"/>
              <w:rPr>
                <w:color w:val="000000" w:themeColor="text1"/>
                <w:lang w:bidi="en-US"/>
              </w:rPr>
            </w:pPr>
            <w:r w:rsidRPr="00217865">
              <w:rPr>
                <w:color w:val="000000" w:themeColor="text1"/>
                <w:lang w:bidi="en-US"/>
              </w:rPr>
              <w:t>Economics</w:t>
            </w:r>
          </w:p>
        </w:tc>
        <w:tc>
          <w:tcPr>
            <w:tcW w:w="1925" w:type="pct"/>
            <w:vAlign w:val="center"/>
          </w:tcPr>
          <w:p w14:paraId="32FE6600" w14:textId="77777777" w:rsidR="005A5905" w:rsidRPr="00217865" w:rsidRDefault="005A5905" w:rsidP="0006511F">
            <w:pPr>
              <w:pStyle w:val="Z"/>
              <w:rPr>
                <w:color w:val="000000" w:themeColor="text1"/>
                <w:lang w:bidi="en-US"/>
              </w:rPr>
            </w:pPr>
            <w:r w:rsidRPr="00217865">
              <w:rPr>
                <w:color w:val="000000" w:themeColor="text1"/>
                <w:lang w:bidi="en-US"/>
              </w:rPr>
              <w:t>091900, 091901, 091903</w:t>
            </w:r>
          </w:p>
        </w:tc>
      </w:tr>
      <w:tr w:rsidR="00217865" w:rsidRPr="00217865" w14:paraId="17DB9EC5" w14:textId="77777777" w:rsidTr="00CF00B5">
        <w:trPr>
          <w:trHeight w:val="240"/>
        </w:trPr>
        <w:tc>
          <w:tcPr>
            <w:tcW w:w="288" w:type="pct"/>
            <w:vAlign w:val="center"/>
            <w:hideMark/>
          </w:tcPr>
          <w:p w14:paraId="47A1E840" w14:textId="77777777" w:rsidR="005A5905" w:rsidRPr="00217865" w:rsidRDefault="005A5905" w:rsidP="0006511F">
            <w:pPr>
              <w:pStyle w:val="Z"/>
              <w:rPr>
                <w:color w:val="000000" w:themeColor="text1"/>
                <w:lang w:bidi="en-US"/>
              </w:rPr>
            </w:pPr>
            <w:r w:rsidRPr="00217865">
              <w:rPr>
                <w:color w:val="000000" w:themeColor="text1"/>
                <w:lang w:bidi="en-US"/>
              </w:rPr>
              <w:t>15</w:t>
            </w:r>
          </w:p>
        </w:tc>
        <w:tc>
          <w:tcPr>
            <w:tcW w:w="1219" w:type="pct"/>
            <w:vAlign w:val="center"/>
            <w:hideMark/>
          </w:tcPr>
          <w:p w14:paraId="2957AF33" w14:textId="77777777" w:rsidR="005A5905" w:rsidRPr="00217865" w:rsidRDefault="005A5905" w:rsidP="00CF00B5">
            <w:pPr>
              <w:pStyle w:val="Z"/>
              <w:rPr>
                <w:color w:val="000000" w:themeColor="text1"/>
                <w:lang w:bidi="en-US"/>
              </w:rPr>
            </w:pPr>
            <w:r w:rsidRPr="00217865">
              <w:rPr>
                <w:color w:val="000000" w:themeColor="text1"/>
                <w:lang w:bidi="en-US"/>
              </w:rPr>
              <w:t>Humanities, culture and social sciences</w:t>
            </w:r>
          </w:p>
        </w:tc>
        <w:tc>
          <w:tcPr>
            <w:tcW w:w="288" w:type="pct"/>
            <w:vAlign w:val="center"/>
            <w:hideMark/>
          </w:tcPr>
          <w:p w14:paraId="23E90A1A" w14:textId="77777777" w:rsidR="005A5905" w:rsidRPr="00217865" w:rsidRDefault="005A5905" w:rsidP="0006511F">
            <w:pPr>
              <w:pStyle w:val="Z"/>
              <w:rPr>
                <w:color w:val="000000" w:themeColor="text1"/>
                <w:lang w:bidi="en-US"/>
              </w:rPr>
            </w:pPr>
            <w:r w:rsidRPr="00217865">
              <w:rPr>
                <w:color w:val="000000" w:themeColor="text1"/>
                <w:lang w:bidi="en-US"/>
              </w:rPr>
              <w:t>33</w:t>
            </w:r>
          </w:p>
        </w:tc>
        <w:tc>
          <w:tcPr>
            <w:tcW w:w="1280" w:type="pct"/>
            <w:vAlign w:val="center"/>
            <w:hideMark/>
          </w:tcPr>
          <w:p w14:paraId="3E35415E" w14:textId="77777777" w:rsidR="005A5905" w:rsidRPr="00217865" w:rsidRDefault="005A5905" w:rsidP="0006511F">
            <w:pPr>
              <w:pStyle w:val="Z"/>
              <w:rPr>
                <w:color w:val="000000" w:themeColor="text1"/>
                <w:lang w:bidi="en-US"/>
              </w:rPr>
            </w:pPr>
            <w:r w:rsidRPr="00217865">
              <w:rPr>
                <w:color w:val="000000" w:themeColor="text1"/>
                <w:lang w:bidi="en-US"/>
              </w:rPr>
              <w:t>Political Science</w:t>
            </w:r>
          </w:p>
        </w:tc>
        <w:tc>
          <w:tcPr>
            <w:tcW w:w="1925" w:type="pct"/>
            <w:vAlign w:val="center"/>
            <w:hideMark/>
          </w:tcPr>
          <w:p w14:paraId="1C197649" w14:textId="77777777" w:rsidR="005A5905" w:rsidRPr="00217865" w:rsidRDefault="005A5905" w:rsidP="0006511F">
            <w:pPr>
              <w:pStyle w:val="Z"/>
              <w:rPr>
                <w:color w:val="000000" w:themeColor="text1"/>
                <w:lang w:bidi="en-US"/>
              </w:rPr>
            </w:pPr>
            <w:r w:rsidRPr="00217865">
              <w:rPr>
                <w:color w:val="000000" w:themeColor="text1"/>
                <w:lang w:bidi="en-US"/>
              </w:rPr>
              <w:t>090100, 090101, 090103</w:t>
            </w:r>
          </w:p>
        </w:tc>
      </w:tr>
      <w:tr w:rsidR="00217865" w:rsidRPr="00217865" w14:paraId="39EF9DC2" w14:textId="77777777" w:rsidTr="00CF00B5">
        <w:trPr>
          <w:trHeight w:val="720"/>
        </w:trPr>
        <w:tc>
          <w:tcPr>
            <w:tcW w:w="288" w:type="pct"/>
            <w:vAlign w:val="center"/>
            <w:hideMark/>
          </w:tcPr>
          <w:p w14:paraId="5F66B3A5" w14:textId="7CF0A9D8"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0206B71C" w14:textId="37B0BFB4"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56AB4B71" w14:textId="77777777" w:rsidR="005A5905" w:rsidRPr="00217865" w:rsidRDefault="005A5905" w:rsidP="0006511F">
            <w:pPr>
              <w:pStyle w:val="Z"/>
              <w:rPr>
                <w:color w:val="000000" w:themeColor="text1"/>
                <w:lang w:bidi="en-US"/>
              </w:rPr>
            </w:pPr>
            <w:r w:rsidRPr="00217865">
              <w:rPr>
                <w:color w:val="000000" w:themeColor="text1"/>
                <w:lang w:bidi="en-US"/>
              </w:rPr>
              <w:t>34</w:t>
            </w:r>
          </w:p>
        </w:tc>
        <w:tc>
          <w:tcPr>
            <w:tcW w:w="1280" w:type="pct"/>
            <w:vAlign w:val="center"/>
            <w:hideMark/>
          </w:tcPr>
          <w:p w14:paraId="047A1695" w14:textId="77777777" w:rsidR="005A5905" w:rsidRPr="00217865" w:rsidRDefault="005A5905" w:rsidP="0006511F">
            <w:pPr>
              <w:pStyle w:val="Z"/>
              <w:rPr>
                <w:color w:val="000000" w:themeColor="text1"/>
                <w:lang w:bidi="en-US"/>
              </w:rPr>
            </w:pPr>
            <w:r w:rsidRPr="00217865">
              <w:rPr>
                <w:color w:val="000000" w:themeColor="text1"/>
                <w:lang w:bidi="en-US"/>
              </w:rPr>
              <w:t xml:space="preserve">Humanities </w:t>
            </w:r>
            <w:proofErr w:type="spellStart"/>
            <w:r w:rsidRPr="00217865">
              <w:rPr>
                <w:color w:val="000000" w:themeColor="text1"/>
                <w:lang w:bidi="en-US"/>
              </w:rPr>
              <w:t>inc</w:t>
            </w:r>
            <w:proofErr w:type="spellEnd"/>
            <w:r w:rsidRPr="00217865">
              <w:rPr>
                <w:color w:val="000000" w:themeColor="text1"/>
                <w:lang w:bidi="en-US"/>
              </w:rPr>
              <w:t xml:space="preserve"> History &amp; Geography</w:t>
            </w:r>
          </w:p>
        </w:tc>
        <w:tc>
          <w:tcPr>
            <w:tcW w:w="1925" w:type="pct"/>
            <w:vAlign w:val="center"/>
            <w:hideMark/>
          </w:tcPr>
          <w:p w14:paraId="5AC10527" w14:textId="77777777" w:rsidR="005A5905" w:rsidRPr="00217865" w:rsidRDefault="005A5905" w:rsidP="0006511F">
            <w:pPr>
              <w:pStyle w:val="Z"/>
              <w:rPr>
                <w:color w:val="000000" w:themeColor="text1"/>
                <w:lang w:bidi="en-US"/>
              </w:rPr>
            </w:pPr>
            <w:r w:rsidRPr="00217865">
              <w:rPr>
                <w:color w:val="000000" w:themeColor="text1"/>
                <w:lang w:bidi="en-US"/>
              </w:rPr>
              <w:t>090000, 090300, 090301, 090303, 090305, 090307, 090309, 090311, 090313, 090399, 091300, 091301, 091303, 091700, 091701, 091703, 099900, 099901, 099903, 099905, 099999</w:t>
            </w:r>
          </w:p>
        </w:tc>
      </w:tr>
      <w:tr w:rsidR="00217865" w:rsidRPr="00217865" w14:paraId="3AA26A95" w14:textId="77777777" w:rsidTr="00CF00B5">
        <w:trPr>
          <w:trHeight w:val="480"/>
        </w:trPr>
        <w:tc>
          <w:tcPr>
            <w:tcW w:w="288" w:type="pct"/>
            <w:vAlign w:val="center"/>
            <w:hideMark/>
          </w:tcPr>
          <w:p w14:paraId="3883E73B" w14:textId="184996E3"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374A8E69" w14:textId="12B72D17"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42463307" w14:textId="77777777" w:rsidR="005A5905" w:rsidRPr="00217865" w:rsidRDefault="005A5905" w:rsidP="0006511F">
            <w:pPr>
              <w:pStyle w:val="Z"/>
              <w:rPr>
                <w:color w:val="000000" w:themeColor="text1"/>
                <w:lang w:bidi="en-US"/>
              </w:rPr>
            </w:pPr>
            <w:r w:rsidRPr="00217865">
              <w:rPr>
                <w:color w:val="000000" w:themeColor="text1"/>
                <w:lang w:bidi="en-US"/>
              </w:rPr>
              <w:t>35</w:t>
            </w:r>
          </w:p>
        </w:tc>
        <w:tc>
          <w:tcPr>
            <w:tcW w:w="1280" w:type="pct"/>
            <w:vAlign w:val="center"/>
            <w:hideMark/>
          </w:tcPr>
          <w:p w14:paraId="1A206811" w14:textId="77777777" w:rsidR="005A5905" w:rsidRPr="00217865" w:rsidRDefault="005A5905" w:rsidP="0006511F">
            <w:pPr>
              <w:pStyle w:val="Z"/>
              <w:rPr>
                <w:color w:val="000000" w:themeColor="text1"/>
                <w:lang w:bidi="en-US"/>
              </w:rPr>
            </w:pPr>
            <w:r w:rsidRPr="00217865">
              <w:rPr>
                <w:color w:val="000000" w:themeColor="text1"/>
                <w:lang w:bidi="en-US"/>
              </w:rPr>
              <w:t>Language &amp; Literature</w:t>
            </w:r>
          </w:p>
        </w:tc>
        <w:tc>
          <w:tcPr>
            <w:tcW w:w="1925" w:type="pct"/>
            <w:vAlign w:val="center"/>
            <w:hideMark/>
          </w:tcPr>
          <w:p w14:paraId="68450374" w14:textId="77777777" w:rsidR="005A5905" w:rsidRPr="00217865" w:rsidRDefault="005A5905" w:rsidP="0006511F">
            <w:pPr>
              <w:pStyle w:val="Z"/>
              <w:rPr>
                <w:color w:val="000000" w:themeColor="text1"/>
                <w:lang w:bidi="en-US"/>
              </w:rPr>
            </w:pPr>
            <w:r w:rsidRPr="00217865">
              <w:rPr>
                <w:color w:val="000000" w:themeColor="text1"/>
                <w:lang w:bidi="en-US"/>
              </w:rPr>
              <w:t>091500, 091501, 091503, 091505, 091507, 091509, 091511, 091513, 091515, 091517, 091519, 091521, 091523, 091599</w:t>
            </w:r>
          </w:p>
        </w:tc>
      </w:tr>
      <w:tr w:rsidR="00217865" w:rsidRPr="00217865" w14:paraId="5C088369" w14:textId="77777777" w:rsidTr="00CF00B5">
        <w:trPr>
          <w:trHeight w:val="240"/>
        </w:trPr>
        <w:tc>
          <w:tcPr>
            <w:tcW w:w="288" w:type="pct"/>
            <w:vAlign w:val="center"/>
            <w:hideMark/>
          </w:tcPr>
          <w:p w14:paraId="03DFB01F" w14:textId="77777777" w:rsidR="005A5905" w:rsidRPr="00217865" w:rsidRDefault="005A5905" w:rsidP="0006511F">
            <w:pPr>
              <w:pStyle w:val="Z"/>
              <w:rPr>
                <w:color w:val="000000" w:themeColor="text1"/>
                <w:lang w:bidi="en-US"/>
              </w:rPr>
            </w:pPr>
            <w:r w:rsidRPr="00217865">
              <w:rPr>
                <w:color w:val="000000" w:themeColor="text1"/>
                <w:lang w:bidi="en-US"/>
              </w:rPr>
              <w:t>16</w:t>
            </w:r>
          </w:p>
        </w:tc>
        <w:tc>
          <w:tcPr>
            <w:tcW w:w="1219" w:type="pct"/>
            <w:vAlign w:val="center"/>
            <w:hideMark/>
          </w:tcPr>
          <w:p w14:paraId="37744E82" w14:textId="77777777" w:rsidR="005A5905" w:rsidRPr="00217865" w:rsidRDefault="005A5905" w:rsidP="00CF00B5">
            <w:pPr>
              <w:pStyle w:val="Z"/>
              <w:rPr>
                <w:color w:val="000000" w:themeColor="text1"/>
                <w:lang w:bidi="en-US"/>
              </w:rPr>
            </w:pPr>
            <w:r w:rsidRPr="00217865">
              <w:rPr>
                <w:color w:val="000000" w:themeColor="text1"/>
                <w:lang w:bidi="en-US"/>
              </w:rPr>
              <w:t>Social work</w:t>
            </w:r>
          </w:p>
        </w:tc>
        <w:tc>
          <w:tcPr>
            <w:tcW w:w="288" w:type="pct"/>
            <w:vAlign w:val="center"/>
            <w:hideMark/>
          </w:tcPr>
          <w:p w14:paraId="03F4A261" w14:textId="77777777" w:rsidR="005A5905" w:rsidRPr="00217865" w:rsidRDefault="005A5905" w:rsidP="0006511F">
            <w:pPr>
              <w:pStyle w:val="Z"/>
              <w:rPr>
                <w:color w:val="000000" w:themeColor="text1"/>
                <w:lang w:bidi="en-US"/>
              </w:rPr>
            </w:pPr>
            <w:r w:rsidRPr="00217865">
              <w:rPr>
                <w:color w:val="000000" w:themeColor="text1"/>
                <w:lang w:bidi="en-US"/>
              </w:rPr>
              <w:t>36</w:t>
            </w:r>
          </w:p>
        </w:tc>
        <w:tc>
          <w:tcPr>
            <w:tcW w:w="1280" w:type="pct"/>
            <w:vAlign w:val="center"/>
            <w:hideMark/>
          </w:tcPr>
          <w:p w14:paraId="5B060BD9" w14:textId="77777777" w:rsidR="005A5905" w:rsidRPr="00217865" w:rsidRDefault="005A5905" w:rsidP="0006511F">
            <w:pPr>
              <w:pStyle w:val="Z"/>
              <w:rPr>
                <w:color w:val="000000" w:themeColor="text1"/>
                <w:lang w:bidi="en-US"/>
              </w:rPr>
            </w:pPr>
            <w:r w:rsidRPr="00217865">
              <w:rPr>
                <w:color w:val="000000" w:themeColor="text1"/>
                <w:lang w:bidi="en-US"/>
              </w:rPr>
              <w:t>Social Work</w:t>
            </w:r>
          </w:p>
        </w:tc>
        <w:tc>
          <w:tcPr>
            <w:tcW w:w="1925" w:type="pct"/>
            <w:vAlign w:val="center"/>
            <w:hideMark/>
          </w:tcPr>
          <w:p w14:paraId="12016EE8" w14:textId="77777777" w:rsidR="005A5905" w:rsidRPr="00217865" w:rsidRDefault="005A5905" w:rsidP="0006511F">
            <w:pPr>
              <w:pStyle w:val="Z"/>
              <w:rPr>
                <w:color w:val="000000" w:themeColor="text1"/>
                <w:lang w:bidi="en-US"/>
              </w:rPr>
            </w:pPr>
            <w:r w:rsidRPr="00217865">
              <w:rPr>
                <w:color w:val="000000" w:themeColor="text1"/>
                <w:lang w:bidi="en-US"/>
              </w:rPr>
              <w:t>090500, 090501, 090503, 090505, 090507, 090509, 090511, 090513, 090515, 090599</w:t>
            </w:r>
          </w:p>
        </w:tc>
      </w:tr>
      <w:tr w:rsidR="00217865" w:rsidRPr="00217865" w14:paraId="0050C51C" w14:textId="77777777" w:rsidTr="00CF00B5">
        <w:trPr>
          <w:trHeight w:val="240"/>
        </w:trPr>
        <w:tc>
          <w:tcPr>
            <w:tcW w:w="288" w:type="pct"/>
            <w:vAlign w:val="center"/>
            <w:hideMark/>
          </w:tcPr>
          <w:p w14:paraId="4DA637C6" w14:textId="77777777" w:rsidR="005A5905" w:rsidRPr="00217865" w:rsidRDefault="005A5905" w:rsidP="0006511F">
            <w:pPr>
              <w:pStyle w:val="Z"/>
              <w:rPr>
                <w:color w:val="000000" w:themeColor="text1"/>
                <w:lang w:bidi="en-US"/>
              </w:rPr>
            </w:pPr>
            <w:r w:rsidRPr="00217865">
              <w:rPr>
                <w:color w:val="000000" w:themeColor="text1"/>
                <w:lang w:bidi="en-US"/>
              </w:rPr>
              <w:t>17</w:t>
            </w:r>
          </w:p>
        </w:tc>
        <w:tc>
          <w:tcPr>
            <w:tcW w:w="1219" w:type="pct"/>
            <w:vAlign w:val="center"/>
            <w:hideMark/>
          </w:tcPr>
          <w:p w14:paraId="7CB67E98" w14:textId="77777777" w:rsidR="005A5905" w:rsidRPr="00217865" w:rsidRDefault="005A5905" w:rsidP="00CF00B5">
            <w:pPr>
              <w:pStyle w:val="Z"/>
              <w:rPr>
                <w:color w:val="000000" w:themeColor="text1"/>
                <w:lang w:bidi="en-US"/>
              </w:rPr>
            </w:pPr>
            <w:r w:rsidRPr="00217865">
              <w:rPr>
                <w:color w:val="000000" w:themeColor="text1"/>
                <w:lang w:bidi="en-US"/>
              </w:rPr>
              <w:t>Psychology</w:t>
            </w:r>
          </w:p>
        </w:tc>
        <w:tc>
          <w:tcPr>
            <w:tcW w:w="288" w:type="pct"/>
            <w:vAlign w:val="center"/>
            <w:hideMark/>
          </w:tcPr>
          <w:p w14:paraId="00237AFE" w14:textId="77777777" w:rsidR="005A5905" w:rsidRPr="00217865" w:rsidRDefault="005A5905" w:rsidP="0006511F">
            <w:pPr>
              <w:pStyle w:val="Z"/>
              <w:rPr>
                <w:color w:val="000000" w:themeColor="text1"/>
                <w:lang w:bidi="en-US"/>
              </w:rPr>
            </w:pPr>
            <w:r w:rsidRPr="00217865">
              <w:rPr>
                <w:color w:val="000000" w:themeColor="text1"/>
                <w:lang w:bidi="en-US"/>
              </w:rPr>
              <w:t>37</w:t>
            </w:r>
          </w:p>
        </w:tc>
        <w:tc>
          <w:tcPr>
            <w:tcW w:w="1280" w:type="pct"/>
            <w:vAlign w:val="center"/>
            <w:hideMark/>
          </w:tcPr>
          <w:p w14:paraId="6C3219CB" w14:textId="77777777" w:rsidR="005A5905" w:rsidRPr="00217865" w:rsidRDefault="005A5905" w:rsidP="0006511F">
            <w:pPr>
              <w:pStyle w:val="Z"/>
              <w:rPr>
                <w:color w:val="000000" w:themeColor="text1"/>
                <w:lang w:bidi="en-US"/>
              </w:rPr>
            </w:pPr>
            <w:r w:rsidRPr="00217865">
              <w:rPr>
                <w:color w:val="000000" w:themeColor="text1"/>
                <w:lang w:bidi="en-US"/>
              </w:rPr>
              <w:t>Psychology</w:t>
            </w:r>
          </w:p>
        </w:tc>
        <w:tc>
          <w:tcPr>
            <w:tcW w:w="1925" w:type="pct"/>
            <w:vAlign w:val="center"/>
            <w:hideMark/>
          </w:tcPr>
          <w:p w14:paraId="59147170" w14:textId="77777777" w:rsidR="005A5905" w:rsidRPr="00217865" w:rsidRDefault="005A5905" w:rsidP="0006511F">
            <w:pPr>
              <w:pStyle w:val="Z"/>
              <w:rPr>
                <w:color w:val="000000" w:themeColor="text1"/>
                <w:lang w:bidi="en-US"/>
              </w:rPr>
            </w:pPr>
            <w:r w:rsidRPr="00217865">
              <w:rPr>
                <w:color w:val="000000" w:themeColor="text1"/>
                <w:lang w:bidi="en-US"/>
              </w:rPr>
              <w:t>090700, 090701, 090799</w:t>
            </w:r>
          </w:p>
        </w:tc>
      </w:tr>
      <w:tr w:rsidR="00217865" w:rsidRPr="00217865" w14:paraId="78092FD7" w14:textId="77777777" w:rsidTr="00CF00B5">
        <w:trPr>
          <w:trHeight w:val="240"/>
        </w:trPr>
        <w:tc>
          <w:tcPr>
            <w:tcW w:w="288" w:type="pct"/>
            <w:vAlign w:val="center"/>
            <w:hideMark/>
          </w:tcPr>
          <w:p w14:paraId="35A67A78" w14:textId="77777777" w:rsidR="005A5905" w:rsidRPr="00217865" w:rsidRDefault="005A5905" w:rsidP="0006511F">
            <w:pPr>
              <w:pStyle w:val="Z"/>
              <w:rPr>
                <w:color w:val="000000" w:themeColor="text1"/>
                <w:lang w:bidi="en-US"/>
              </w:rPr>
            </w:pPr>
            <w:r w:rsidRPr="00217865">
              <w:rPr>
                <w:color w:val="000000" w:themeColor="text1"/>
                <w:lang w:bidi="en-US"/>
              </w:rPr>
              <w:t>18</w:t>
            </w:r>
          </w:p>
        </w:tc>
        <w:tc>
          <w:tcPr>
            <w:tcW w:w="1219" w:type="pct"/>
            <w:vAlign w:val="center"/>
            <w:hideMark/>
          </w:tcPr>
          <w:p w14:paraId="4EB52962" w14:textId="77777777" w:rsidR="005A5905" w:rsidRPr="00217865" w:rsidRDefault="005A5905" w:rsidP="00CF00B5">
            <w:pPr>
              <w:pStyle w:val="Z"/>
              <w:rPr>
                <w:color w:val="000000" w:themeColor="text1"/>
                <w:lang w:bidi="en-US"/>
              </w:rPr>
            </w:pPr>
            <w:r w:rsidRPr="00217865">
              <w:rPr>
                <w:color w:val="000000" w:themeColor="text1"/>
                <w:lang w:bidi="en-US"/>
              </w:rPr>
              <w:t>Law and paralegal studies</w:t>
            </w:r>
          </w:p>
        </w:tc>
        <w:tc>
          <w:tcPr>
            <w:tcW w:w="288" w:type="pct"/>
            <w:vAlign w:val="center"/>
            <w:hideMark/>
          </w:tcPr>
          <w:p w14:paraId="17016A06" w14:textId="77777777" w:rsidR="005A5905" w:rsidRPr="00217865" w:rsidRDefault="005A5905" w:rsidP="0006511F">
            <w:pPr>
              <w:pStyle w:val="Z"/>
              <w:rPr>
                <w:color w:val="000000" w:themeColor="text1"/>
                <w:lang w:bidi="en-US"/>
              </w:rPr>
            </w:pPr>
            <w:r w:rsidRPr="00217865">
              <w:rPr>
                <w:color w:val="000000" w:themeColor="text1"/>
                <w:lang w:bidi="en-US"/>
              </w:rPr>
              <w:t>38</w:t>
            </w:r>
          </w:p>
        </w:tc>
        <w:tc>
          <w:tcPr>
            <w:tcW w:w="1280" w:type="pct"/>
            <w:vAlign w:val="center"/>
            <w:hideMark/>
          </w:tcPr>
          <w:p w14:paraId="2C4D1E5B" w14:textId="77777777" w:rsidR="005A5905" w:rsidRPr="00217865" w:rsidRDefault="005A5905" w:rsidP="0006511F">
            <w:pPr>
              <w:pStyle w:val="Z"/>
              <w:rPr>
                <w:color w:val="000000" w:themeColor="text1"/>
                <w:lang w:bidi="en-US"/>
              </w:rPr>
            </w:pPr>
            <w:r w:rsidRPr="00217865">
              <w:rPr>
                <w:color w:val="000000" w:themeColor="text1"/>
                <w:lang w:bidi="en-US"/>
              </w:rPr>
              <w:t>Law</w:t>
            </w:r>
          </w:p>
        </w:tc>
        <w:tc>
          <w:tcPr>
            <w:tcW w:w="1925" w:type="pct"/>
            <w:vAlign w:val="center"/>
            <w:hideMark/>
          </w:tcPr>
          <w:p w14:paraId="2592490D" w14:textId="77777777" w:rsidR="005A5905" w:rsidRPr="00217865" w:rsidRDefault="005A5905" w:rsidP="0006511F">
            <w:pPr>
              <w:pStyle w:val="Z"/>
              <w:rPr>
                <w:color w:val="000000" w:themeColor="text1"/>
                <w:lang w:bidi="en-US"/>
              </w:rPr>
            </w:pPr>
            <w:r w:rsidRPr="00217865">
              <w:rPr>
                <w:color w:val="000000" w:themeColor="text1"/>
                <w:lang w:bidi="en-US"/>
              </w:rPr>
              <w:t>090900, 090901, 090903, 090905, 090907, 090909, 090911, 090913, 090999</w:t>
            </w:r>
          </w:p>
        </w:tc>
      </w:tr>
      <w:tr w:rsidR="00217865" w:rsidRPr="00217865" w14:paraId="3C5739CE" w14:textId="77777777" w:rsidTr="00CF00B5">
        <w:trPr>
          <w:trHeight w:val="240"/>
        </w:trPr>
        <w:tc>
          <w:tcPr>
            <w:tcW w:w="288" w:type="pct"/>
            <w:vAlign w:val="center"/>
            <w:hideMark/>
          </w:tcPr>
          <w:p w14:paraId="137D4D2F" w14:textId="3A622A04"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4906C423" w14:textId="5A2E3989"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239F582B" w14:textId="77777777" w:rsidR="005A5905" w:rsidRPr="00217865" w:rsidRDefault="005A5905" w:rsidP="0006511F">
            <w:pPr>
              <w:pStyle w:val="Z"/>
              <w:rPr>
                <w:color w:val="000000" w:themeColor="text1"/>
                <w:lang w:bidi="en-US"/>
              </w:rPr>
            </w:pPr>
            <w:r w:rsidRPr="00217865">
              <w:rPr>
                <w:color w:val="000000" w:themeColor="text1"/>
                <w:lang w:bidi="en-US"/>
              </w:rPr>
              <w:t>39</w:t>
            </w:r>
          </w:p>
        </w:tc>
        <w:tc>
          <w:tcPr>
            <w:tcW w:w="1280" w:type="pct"/>
            <w:vAlign w:val="center"/>
            <w:hideMark/>
          </w:tcPr>
          <w:p w14:paraId="33064137" w14:textId="77777777" w:rsidR="005A5905" w:rsidRPr="00217865" w:rsidRDefault="005A5905" w:rsidP="0006511F">
            <w:pPr>
              <w:pStyle w:val="Z"/>
              <w:rPr>
                <w:color w:val="000000" w:themeColor="text1"/>
                <w:lang w:bidi="en-US"/>
              </w:rPr>
            </w:pPr>
            <w:r w:rsidRPr="00217865">
              <w:rPr>
                <w:color w:val="000000" w:themeColor="text1"/>
                <w:lang w:bidi="en-US"/>
              </w:rPr>
              <w:t>Justice Studies &amp; Policing</w:t>
            </w:r>
          </w:p>
        </w:tc>
        <w:tc>
          <w:tcPr>
            <w:tcW w:w="1925" w:type="pct"/>
            <w:vAlign w:val="center"/>
            <w:hideMark/>
          </w:tcPr>
          <w:p w14:paraId="12009B6C" w14:textId="77777777" w:rsidR="005A5905" w:rsidRPr="00217865" w:rsidRDefault="005A5905" w:rsidP="0006511F">
            <w:pPr>
              <w:pStyle w:val="Z"/>
              <w:rPr>
                <w:color w:val="000000" w:themeColor="text1"/>
                <w:lang w:bidi="en-US"/>
              </w:rPr>
            </w:pPr>
            <w:r w:rsidRPr="00217865">
              <w:rPr>
                <w:color w:val="000000" w:themeColor="text1"/>
                <w:lang w:bidi="en-US"/>
              </w:rPr>
              <w:t>091100, 091101, 091103, 091105, 091199</w:t>
            </w:r>
          </w:p>
        </w:tc>
      </w:tr>
      <w:tr w:rsidR="00217865" w:rsidRPr="00217865" w14:paraId="345623E7" w14:textId="77777777" w:rsidTr="00CF00B5">
        <w:trPr>
          <w:trHeight w:val="480"/>
        </w:trPr>
        <w:tc>
          <w:tcPr>
            <w:tcW w:w="288" w:type="pct"/>
            <w:vAlign w:val="center"/>
            <w:hideMark/>
          </w:tcPr>
          <w:p w14:paraId="795156D2" w14:textId="77777777" w:rsidR="005A5905" w:rsidRPr="00217865" w:rsidRDefault="005A5905" w:rsidP="0006511F">
            <w:pPr>
              <w:pStyle w:val="Z"/>
              <w:rPr>
                <w:color w:val="000000" w:themeColor="text1"/>
                <w:lang w:bidi="en-US"/>
              </w:rPr>
            </w:pPr>
            <w:r w:rsidRPr="00217865">
              <w:rPr>
                <w:color w:val="000000" w:themeColor="text1"/>
                <w:lang w:bidi="en-US"/>
              </w:rPr>
              <w:t>19</w:t>
            </w:r>
          </w:p>
        </w:tc>
        <w:tc>
          <w:tcPr>
            <w:tcW w:w="1219" w:type="pct"/>
            <w:vAlign w:val="center"/>
            <w:hideMark/>
          </w:tcPr>
          <w:p w14:paraId="407C9EF7" w14:textId="77777777" w:rsidR="005A5905" w:rsidRPr="00217865" w:rsidRDefault="005A5905" w:rsidP="00CF00B5">
            <w:pPr>
              <w:pStyle w:val="Z"/>
              <w:rPr>
                <w:color w:val="000000" w:themeColor="text1"/>
                <w:lang w:bidi="en-US"/>
              </w:rPr>
            </w:pPr>
            <w:r w:rsidRPr="00217865">
              <w:rPr>
                <w:color w:val="000000" w:themeColor="text1"/>
                <w:lang w:bidi="en-US"/>
              </w:rPr>
              <w:t>Creative arts</w:t>
            </w:r>
          </w:p>
        </w:tc>
        <w:tc>
          <w:tcPr>
            <w:tcW w:w="288" w:type="pct"/>
            <w:vAlign w:val="center"/>
            <w:hideMark/>
          </w:tcPr>
          <w:p w14:paraId="07EB3A22" w14:textId="77777777" w:rsidR="005A5905" w:rsidRPr="00217865" w:rsidRDefault="005A5905" w:rsidP="0006511F">
            <w:pPr>
              <w:pStyle w:val="Z"/>
              <w:rPr>
                <w:color w:val="000000" w:themeColor="text1"/>
                <w:lang w:bidi="en-US"/>
              </w:rPr>
            </w:pPr>
            <w:r w:rsidRPr="00217865">
              <w:rPr>
                <w:color w:val="000000" w:themeColor="text1"/>
                <w:lang w:bidi="en-US"/>
              </w:rPr>
              <w:t>42</w:t>
            </w:r>
          </w:p>
        </w:tc>
        <w:tc>
          <w:tcPr>
            <w:tcW w:w="1280" w:type="pct"/>
            <w:vAlign w:val="center"/>
            <w:hideMark/>
          </w:tcPr>
          <w:p w14:paraId="6621DA01" w14:textId="77777777" w:rsidR="005A5905" w:rsidRPr="00217865" w:rsidRDefault="005A5905" w:rsidP="0006511F">
            <w:pPr>
              <w:pStyle w:val="Z"/>
              <w:rPr>
                <w:color w:val="000000" w:themeColor="text1"/>
                <w:lang w:bidi="en-US"/>
              </w:rPr>
            </w:pPr>
            <w:r w:rsidRPr="00217865">
              <w:rPr>
                <w:color w:val="000000" w:themeColor="text1"/>
                <w:lang w:bidi="en-US"/>
              </w:rPr>
              <w:t>Art &amp; Design</w:t>
            </w:r>
          </w:p>
        </w:tc>
        <w:tc>
          <w:tcPr>
            <w:tcW w:w="1925" w:type="pct"/>
            <w:vAlign w:val="center"/>
            <w:hideMark/>
          </w:tcPr>
          <w:p w14:paraId="3BB54649" w14:textId="77777777" w:rsidR="005A5905" w:rsidRPr="00217865" w:rsidRDefault="005A5905" w:rsidP="0006511F">
            <w:pPr>
              <w:pStyle w:val="Z"/>
              <w:rPr>
                <w:color w:val="000000" w:themeColor="text1"/>
                <w:lang w:bidi="en-US"/>
              </w:rPr>
            </w:pPr>
            <w:r w:rsidRPr="00217865">
              <w:rPr>
                <w:color w:val="000000" w:themeColor="text1"/>
                <w:lang w:bidi="en-US"/>
              </w:rPr>
              <w:t>100000, 100300, 100301, 100303, 100305, 100307, 100309, 100399, 100500, 100501, 100503, 100505, 100599, 109900, 109999</w:t>
            </w:r>
          </w:p>
        </w:tc>
      </w:tr>
      <w:tr w:rsidR="00217865" w:rsidRPr="00217865" w14:paraId="2CBA1ECE" w14:textId="77777777" w:rsidTr="00CF00B5">
        <w:trPr>
          <w:trHeight w:val="240"/>
        </w:trPr>
        <w:tc>
          <w:tcPr>
            <w:tcW w:w="288" w:type="pct"/>
            <w:vAlign w:val="center"/>
            <w:hideMark/>
          </w:tcPr>
          <w:p w14:paraId="67AC3666" w14:textId="62F2AED9" w:rsidR="005A5905" w:rsidRPr="00217865" w:rsidRDefault="0006511F" w:rsidP="0006511F">
            <w:pPr>
              <w:pStyle w:val="Z"/>
              <w:rPr>
                <w:color w:val="000000" w:themeColor="text1"/>
                <w:lang w:bidi="en-US"/>
              </w:rPr>
            </w:pPr>
            <w:r w:rsidRPr="00217865">
              <w:rPr>
                <w:color w:val="000000" w:themeColor="text1"/>
                <w:lang w:bidi="en-US"/>
              </w:rPr>
              <w:t>-</w:t>
            </w:r>
          </w:p>
        </w:tc>
        <w:tc>
          <w:tcPr>
            <w:tcW w:w="1219" w:type="pct"/>
            <w:vAlign w:val="center"/>
            <w:hideMark/>
          </w:tcPr>
          <w:p w14:paraId="54AFCCF5" w14:textId="132A9B0B"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7756AE0A" w14:textId="77777777" w:rsidR="005A5905" w:rsidRPr="00217865" w:rsidRDefault="005A5905" w:rsidP="0006511F">
            <w:pPr>
              <w:pStyle w:val="Z"/>
              <w:rPr>
                <w:color w:val="000000" w:themeColor="text1"/>
                <w:lang w:bidi="en-US"/>
              </w:rPr>
            </w:pPr>
            <w:r w:rsidRPr="00217865">
              <w:rPr>
                <w:color w:val="000000" w:themeColor="text1"/>
                <w:lang w:bidi="en-US"/>
              </w:rPr>
              <w:t>43</w:t>
            </w:r>
          </w:p>
        </w:tc>
        <w:tc>
          <w:tcPr>
            <w:tcW w:w="1280" w:type="pct"/>
            <w:vAlign w:val="center"/>
            <w:hideMark/>
          </w:tcPr>
          <w:p w14:paraId="535FAA12" w14:textId="77777777" w:rsidR="005A5905" w:rsidRPr="00217865" w:rsidRDefault="005A5905" w:rsidP="0006511F">
            <w:pPr>
              <w:pStyle w:val="Z"/>
              <w:rPr>
                <w:color w:val="000000" w:themeColor="text1"/>
                <w:lang w:bidi="en-US"/>
              </w:rPr>
            </w:pPr>
            <w:r w:rsidRPr="00217865">
              <w:rPr>
                <w:color w:val="000000" w:themeColor="text1"/>
                <w:lang w:bidi="en-US"/>
              </w:rPr>
              <w:t>Music &amp; Performing Arts</w:t>
            </w:r>
          </w:p>
        </w:tc>
        <w:tc>
          <w:tcPr>
            <w:tcW w:w="1925" w:type="pct"/>
            <w:vAlign w:val="center"/>
            <w:hideMark/>
          </w:tcPr>
          <w:p w14:paraId="180C58DF" w14:textId="77777777" w:rsidR="005A5905" w:rsidRPr="00217865" w:rsidRDefault="005A5905" w:rsidP="0006511F">
            <w:pPr>
              <w:pStyle w:val="Z"/>
              <w:rPr>
                <w:color w:val="000000" w:themeColor="text1"/>
                <w:lang w:bidi="en-US"/>
              </w:rPr>
            </w:pPr>
            <w:r w:rsidRPr="00217865">
              <w:rPr>
                <w:color w:val="000000" w:themeColor="text1"/>
                <w:lang w:bidi="en-US"/>
              </w:rPr>
              <w:t>100100, 100101, 100103, 100105, 100199</w:t>
            </w:r>
          </w:p>
        </w:tc>
      </w:tr>
      <w:tr w:rsidR="00217865" w:rsidRPr="00217865" w14:paraId="41709320" w14:textId="77777777" w:rsidTr="00CF00B5">
        <w:trPr>
          <w:trHeight w:val="680"/>
        </w:trPr>
        <w:tc>
          <w:tcPr>
            <w:tcW w:w="288" w:type="pct"/>
            <w:vAlign w:val="center"/>
            <w:hideMark/>
          </w:tcPr>
          <w:p w14:paraId="7B3C9CB9" w14:textId="77777777" w:rsidR="005A5905" w:rsidRPr="00217865" w:rsidRDefault="005A5905" w:rsidP="0006511F">
            <w:pPr>
              <w:pStyle w:val="Z"/>
              <w:rPr>
                <w:color w:val="000000" w:themeColor="text1"/>
                <w:lang w:bidi="en-US"/>
              </w:rPr>
            </w:pPr>
            <w:r w:rsidRPr="00217865">
              <w:rPr>
                <w:color w:val="000000" w:themeColor="text1"/>
                <w:lang w:bidi="en-US"/>
              </w:rPr>
              <w:t>20</w:t>
            </w:r>
          </w:p>
        </w:tc>
        <w:tc>
          <w:tcPr>
            <w:tcW w:w="1219" w:type="pct"/>
            <w:vAlign w:val="center"/>
            <w:hideMark/>
          </w:tcPr>
          <w:p w14:paraId="5F5567E1" w14:textId="77777777" w:rsidR="005A5905" w:rsidRPr="00217865" w:rsidRDefault="005A5905" w:rsidP="00CF00B5">
            <w:pPr>
              <w:pStyle w:val="Z"/>
              <w:rPr>
                <w:color w:val="000000" w:themeColor="text1"/>
                <w:lang w:bidi="en-US"/>
              </w:rPr>
            </w:pPr>
            <w:r w:rsidRPr="00217865">
              <w:rPr>
                <w:color w:val="000000" w:themeColor="text1"/>
                <w:lang w:bidi="en-US"/>
              </w:rPr>
              <w:t>Communications</w:t>
            </w:r>
          </w:p>
          <w:p w14:paraId="6A7F1A8C" w14:textId="77777777" w:rsidR="005A5905" w:rsidRPr="00217865" w:rsidRDefault="005A5905" w:rsidP="00CF00B5">
            <w:pPr>
              <w:pStyle w:val="Z"/>
              <w:rPr>
                <w:color w:val="000000" w:themeColor="text1"/>
                <w:lang w:bidi="en-US"/>
              </w:rPr>
            </w:pPr>
          </w:p>
        </w:tc>
        <w:tc>
          <w:tcPr>
            <w:tcW w:w="288" w:type="pct"/>
            <w:vAlign w:val="center"/>
            <w:hideMark/>
          </w:tcPr>
          <w:p w14:paraId="292A57B5" w14:textId="77777777" w:rsidR="005A5905" w:rsidRPr="00217865" w:rsidRDefault="005A5905" w:rsidP="0006511F">
            <w:pPr>
              <w:pStyle w:val="Z"/>
              <w:rPr>
                <w:color w:val="000000" w:themeColor="text1"/>
                <w:lang w:bidi="en-US"/>
              </w:rPr>
            </w:pPr>
            <w:r w:rsidRPr="00217865">
              <w:rPr>
                <w:color w:val="000000" w:themeColor="text1"/>
                <w:lang w:bidi="en-US"/>
              </w:rPr>
              <w:t>44</w:t>
            </w:r>
          </w:p>
        </w:tc>
        <w:tc>
          <w:tcPr>
            <w:tcW w:w="1280" w:type="pct"/>
            <w:vAlign w:val="center"/>
            <w:hideMark/>
          </w:tcPr>
          <w:p w14:paraId="58739557" w14:textId="77777777" w:rsidR="005A5905" w:rsidRPr="00217865" w:rsidRDefault="005A5905" w:rsidP="0006511F">
            <w:pPr>
              <w:pStyle w:val="Z"/>
              <w:rPr>
                <w:color w:val="000000" w:themeColor="text1"/>
                <w:lang w:bidi="en-US"/>
              </w:rPr>
            </w:pPr>
            <w:r w:rsidRPr="00217865">
              <w:rPr>
                <w:color w:val="000000" w:themeColor="text1"/>
                <w:lang w:bidi="en-US"/>
              </w:rPr>
              <w:t>Communication, Media &amp; Journalism</w:t>
            </w:r>
          </w:p>
        </w:tc>
        <w:tc>
          <w:tcPr>
            <w:tcW w:w="1925" w:type="pct"/>
            <w:vAlign w:val="center"/>
            <w:hideMark/>
          </w:tcPr>
          <w:p w14:paraId="65351B98" w14:textId="77777777" w:rsidR="005A5905" w:rsidRPr="00217865" w:rsidRDefault="005A5905" w:rsidP="0006511F">
            <w:pPr>
              <w:pStyle w:val="Z"/>
              <w:rPr>
                <w:color w:val="000000" w:themeColor="text1"/>
                <w:lang w:bidi="en-US"/>
              </w:rPr>
            </w:pPr>
            <w:r w:rsidRPr="00217865">
              <w:rPr>
                <w:color w:val="000000" w:themeColor="text1"/>
                <w:lang w:bidi="en-US"/>
              </w:rPr>
              <w:t>100700, 100701, 100703, 100705, 100707, 100799</w:t>
            </w:r>
          </w:p>
        </w:tc>
      </w:tr>
      <w:tr w:rsidR="00217865" w:rsidRPr="00217865" w14:paraId="18947200" w14:textId="77777777" w:rsidTr="00CF00B5">
        <w:trPr>
          <w:trHeight w:val="240"/>
        </w:trPr>
        <w:tc>
          <w:tcPr>
            <w:tcW w:w="288" w:type="pct"/>
            <w:vAlign w:val="center"/>
            <w:hideMark/>
          </w:tcPr>
          <w:p w14:paraId="16C90499" w14:textId="77777777" w:rsidR="005A5905" w:rsidRPr="00217865" w:rsidRDefault="005A5905" w:rsidP="0006511F">
            <w:pPr>
              <w:pStyle w:val="Z"/>
              <w:rPr>
                <w:color w:val="000000" w:themeColor="text1"/>
                <w:lang w:bidi="en-US"/>
              </w:rPr>
            </w:pPr>
            <w:r w:rsidRPr="00217865">
              <w:rPr>
                <w:color w:val="000000" w:themeColor="text1"/>
                <w:lang w:bidi="en-US"/>
              </w:rPr>
              <w:t>21</w:t>
            </w:r>
          </w:p>
        </w:tc>
        <w:tc>
          <w:tcPr>
            <w:tcW w:w="1219" w:type="pct"/>
            <w:vAlign w:val="center"/>
            <w:hideMark/>
          </w:tcPr>
          <w:p w14:paraId="38C2307B" w14:textId="77777777" w:rsidR="005A5905" w:rsidRPr="00217865" w:rsidRDefault="005A5905" w:rsidP="00CF00B5">
            <w:pPr>
              <w:pStyle w:val="Z"/>
              <w:rPr>
                <w:color w:val="000000" w:themeColor="text1"/>
                <w:lang w:bidi="en-US"/>
              </w:rPr>
            </w:pPr>
            <w:r w:rsidRPr="00217865">
              <w:rPr>
                <w:color w:val="000000" w:themeColor="text1"/>
                <w:lang w:bidi="en-US"/>
              </w:rPr>
              <w:t>Tourism, hospitality, personal services, sport and recreation</w:t>
            </w:r>
          </w:p>
        </w:tc>
        <w:tc>
          <w:tcPr>
            <w:tcW w:w="288" w:type="pct"/>
            <w:vAlign w:val="center"/>
            <w:hideMark/>
          </w:tcPr>
          <w:p w14:paraId="0CCAC2CB" w14:textId="77777777" w:rsidR="005A5905" w:rsidRPr="00217865" w:rsidRDefault="005A5905" w:rsidP="0006511F">
            <w:pPr>
              <w:pStyle w:val="Z"/>
              <w:rPr>
                <w:color w:val="000000" w:themeColor="text1"/>
                <w:lang w:bidi="en-US"/>
              </w:rPr>
            </w:pPr>
            <w:r w:rsidRPr="00217865">
              <w:rPr>
                <w:color w:val="000000" w:themeColor="text1"/>
                <w:lang w:bidi="en-US"/>
              </w:rPr>
              <w:t>41</w:t>
            </w:r>
          </w:p>
        </w:tc>
        <w:tc>
          <w:tcPr>
            <w:tcW w:w="1280" w:type="pct"/>
            <w:vAlign w:val="center"/>
            <w:hideMark/>
          </w:tcPr>
          <w:p w14:paraId="599F8CA2" w14:textId="77777777" w:rsidR="005A5905" w:rsidRPr="00217865" w:rsidRDefault="005A5905" w:rsidP="0006511F">
            <w:pPr>
              <w:pStyle w:val="Z"/>
              <w:rPr>
                <w:color w:val="000000" w:themeColor="text1"/>
                <w:lang w:bidi="en-US"/>
              </w:rPr>
            </w:pPr>
            <w:r w:rsidRPr="00217865">
              <w:rPr>
                <w:color w:val="000000" w:themeColor="text1"/>
                <w:lang w:bidi="en-US"/>
              </w:rPr>
              <w:t>Sport &amp; Recreation</w:t>
            </w:r>
          </w:p>
        </w:tc>
        <w:tc>
          <w:tcPr>
            <w:tcW w:w="1925" w:type="pct"/>
            <w:vAlign w:val="center"/>
            <w:hideMark/>
          </w:tcPr>
          <w:p w14:paraId="58E3071B" w14:textId="77777777" w:rsidR="005A5905" w:rsidRPr="00217865" w:rsidRDefault="005A5905" w:rsidP="0006511F">
            <w:pPr>
              <w:pStyle w:val="Z"/>
              <w:rPr>
                <w:color w:val="000000" w:themeColor="text1"/>
                <w:lang w:bidi="en-US"/>
              </w:rPr>
            </w:pPr>
            <w:r w:rsidRPr="00217865">
              <w:rPr>
                <w:color w:val="000000" w:themeColor="text1"/>
                <w:lang w:bidi="en-US"/>
              </w:rPr>
              <w:t>092100, 092101, 092103, 092199</w:t>
            </w:r>
          </w:p>
        </w:tc>
      </w:tr>
      <w:tr w:rsidR="00CF00B5" w:rsidRPr="00217865" w14:paraId="238C6B3D" w14:textId="77777777" w:rsidTr="00CF00B5">
        <w:trPr>
          <w:trHeight w:val="388"/>
        </w:trPr>
        <w:tc>
          <w:tcPr>
            <w:tcW w:w="288" w:type="pct"/>
            <w:vAlign w:val="center"/>
            <w:hideMark/>
          </w:tcPr>
          <w:p w14:paraId="11E61FA7" w14:textId="37BB6CA1" w:rsidR="005A5905" w:rsidRPr="00217865" w:rsidRDefault="0006511F" w:rsidP="0006511F">
            <w:pPr>
              <w:pStyle w:val="Z"/>
              <w:rPr>
                <w:color w:val="000000" w:themeColor="text1"/>
                <w:lang w:bidi="en-US"/>
              </w:rPr>
            </w:pPr>
            <w:r w:rsidRPr="00217865">
              <w:rPr>
                <w:color w:val="000000" w:themeColor="text1"/>
                <w:lang w:bidi="en-US"/>
              </w:rPr>
              <w:lastRenderedPageBreak/>
              <w:t>-</w:t>
            </w:r>
          </w:p>
        </w:tc>
        <w:tc>
          <w:tcPr>
            <w:tcW w:w="1219" w:type="pct"/>
            <w:vAlign w:val="center"/>
            <w:hideMark/>
          </w:tcPr>
          <w:p w14:paraId="4458FF3E" w14:textId="648AB129" w:rsidR="005A5905" w:rsidRPr="00217865" w:rsidRDefault="0006511F" w:rsidP="00CF00B5">
            <w:pPr>
              <w:pStyle w:val="Z"/>
              <w:rPr>
                <w:color w:val="000000" w:themeColor="text1"/>
                <w:lang w:bidi="en-US"/>
              </w:rPr>
            </w:pPr>
            <w:r w:rsidRPr="00217865">
              <w:rPr>
                <w:color w:val="000000" w:themeColor="text1"/>
                <w:lang w:bidi="en-US"/>
              </w:rPr>
              <w:t>-</w:t>
            </w:r>
          </w:p>
        </w:tc>
        <w:tc>
          <w:tcPr>
            <w:tcW w:w="288" w:type="pct"/>
            <w:vAlign w:val="center"/>
            <w:hideMark/>
          </w:tcPr>
          <w:p w14:paraId="2544C27E" w14:textId="77777777" w:rsidR="005A5905" w:rsidRPr="00217865" w:rsidRDefault="005A5905" w:rsidP="0006511F">
            <w:pPr>
              <w:pStyle w:val="Z"/>
              <w:rPr>
                <w:color w:val="000000" w:themeColor="text1"/>
                <w:lang w:bidi="en-US"/>
              </w:rPr>
            </w:pPr>
            <w:r w:rsidRPr="00217865">
              <w:rPr>
                <w:color w:val="000000" w:themeColor="text1"/>
                <w:lang w:bidi="en-US"/>
              </w:rPr>
              <w:t>45</w:t>
            </w:r>
          </w:p>
        </w:tc>
        <w:tc>
          <w:tcPr>
            <w:tcW w:w="1280" w:type="pct"/>
            <w:vAlign w:val="center"/>
            <w:hideMark/>
          </w:tcPr>
          <w:p w14:paraId="59E634DD" w14:textId="77777777" w:rsidR="005A5905" w:rsidRPr="00217865" w:rsidRDefault="005A5905" w:rsidP="0006511F">
            <w:pPr>
              <w:pStyle w:val="Z"/>
              <w:rPr>
                <w:color w:val="000000" w:themeColor="text1"/>
                <w:lang w:bidi="en-US"/>
              </w:rPr>
            </w:pPr>
            <w:r w:rsidRPr="00217865">
              <w:rPr>
                <w:color w:val="000000" w:themeColor="text1"/>
                <w:lang w:bidi="en-US"/>
              </w:rPr>
              <w:t>Tourism, Hospitality &amp; Personal Services</w:t>
            </w:r>
          </w:p>
        </w:tc>
        <w:tc>
          <w:tcPr>
            <w:tcW w:w="1925" w:type="pct"/>
            <w:vAlign w:val="center"/>
            <w:hideMark/>
          </w:tcPr>
          <w:p w14:paraId="6F86DAFF" w14:textId="77777777" w:rsidR="005A5905" w:rsidRPr="00217865" w:rsidRDefault="005A5905" w:rsidP="0006511F">
            <w:pPr>
              <w:pStyle w:val="Z"/>
              <w:rPr>
                <w:color w:val="000000" w:themeColor="text1"/>
                <w:lang w:bidi="en-US"/>
              </w:rPr>
            </w:pPr>
            <w:r w:rsidRPr="00217865">
              <w:rPr>
                <w:color w:val="000000" w:themeColor="text1"/>
                <w:lang w:bidi="en-US"/>
              </w:rPr>
              <w:t>080700, 080701, 110000, 110100, 110101, 110103, 110105, 110107, 110109, 110111, 110199, 110300, 110301, 110303, 110399, 120000, 120100, 120101, 120103, 120105, 120199, 120300, 120301, 120303, 120305, 120399, 120500, 120501, 120503, 120505, 120599, 129900, 129999</w:t>
            </w:r>
          </w:p>
        </w:tc>
      </w:tr>
    </w:tbl>
    <w:p w14:paraId="5CFACDB6" w14:textId="77777777" w:rsidR="005A5905" w:rsidRPr="00217865" w:rsidRDefault="005A5905" w:rsidP="005A5905">
      <w:pPr>
        <w:pStyle w:val="Footertable"/>
        <w:rPr>
          <w:rFonts w:ascii="Arial" w:hAnsi="Arial" w:cs="Arial"/>
          <w:color w:val="000000" w:themeColor="text1"/>
        </w:rPr>
      </w:pPr>
    </w:p>
    <w:p w14:paraId="1CB2B50F" w14:textId="77777777" w:rsidR="005A5905" w:rsidRPr="00217865" w:rsidRDefault="005A5905" w:rsidP="005A5905">
      <w:pPr>
        <w:pStyle w:val="Noteupdate"/>
        <w:rPr>
          <w:color w:val="000000" w:themeColor="text1"/>
        </w:rPr>
      </w:pPr>
      <w:r w:rsidRPr="00217865">
        <w:rPr>
          <w:color w:val="000000" w:themeColor="text1"/>
          <w:sz w:val="18"/>
          <w:szCs w:val="18"/>
        </w:rPr>
        <w:t>Note: SES targets for collection are based on 45 study areas as above. The QILT website and this report use 21 study areas as the basis of analysis. Field of Education listings are available from the Australian Bureau of Statistics website (ASCED Field of Education Broad, Narrow and Detailed fields).</w:t>
      </w:r>
      <w:r w:rsidRPr="00217865">
        <w:rPr>
          <w:color w:val="000000" w:themeColor="text1"/>
        </w:rPr>
        <w:br w:type="page"/>
      </w:r>
    </w:p>
    <w:p w14:paraId="5C2A524F" w14:textId="3D2635F2" w:rsidR="005A5905" w:rsidRPr="00217865" w:rsidRDefault="005A5905" w:rsidP="004749F3">
      <w:pPr>
        <w:pStyle w:val="AppendixHeading"/>
        <w:numPr>
          <w:ilvl w:val="0"/>
          <w:numId w:val="44"/>
        </w:numPr>
        <w:rPr>
          <w:rFonts w:cs="Arial"/>
          <w:color w:val="000000" w:themeColor="text1"/>
        </w:rPr>
      </w:pPr>
      <w:bookmarkStart w:id="599" w:name="_Toc531104127"/>
      <w:bookmarkStart w:id="600" w:name="_Ref58491597"/>
      <w:bookmarkStart w:id="601" w:name="_Toc167872831"/>
      <w:bookmarkStart w:id="602" w:name="_Toc178599322"/>
      <w:r w:rsidRPr="00217865">
        <w:rPr>
          <w:rFonts w:cs="Arial"/>
          <w:color w:val="000000" w:themeColor="text1"/>
        </w:rPr>
        <w:lastRenderedPageBreak/>
        <w:t>Additional tables</w:t>
      </w:r>
      <w:bookmarkEnd w:id="599"/>
      <w:bookmarkEnd w:id="600"/>
      <w:bookmarkEnd w:id="601"/>
      <w:bookmarkEnd w:id="602"/>
    </w:p>
    <w:p w14:paraId="5EA48BCF" w14:textId="77777777" w:rsidR="005A5905" w:rsidRPr="00217865" w:rsidRDefault="005A5905" w:rsidP="005A5905">
      <w:pPr>
        <w:pStyle w:val="Body"/>
        <w:rPr>
          <w:rFonts w:cs="Arial"/>
          <w:color w:val="000000" w:themeColor="text1"/>
        </w:rPr>
      </w:pPr>
      <w:bookmarkStart w:id="603" w:name="_Toc509240192"/>
      <w:bookmarkStart w:id="604" w:name="_Toc531104128"/>
      <w:r w:rsidRPr="00217865">
        <w:rPr>
          <w:rFonts w:cs="Arial"/>
          <w:color w:val="000000" w:themeColor="text1"/>
        </w:rPr>
        <w:t>This report is accompanied by additional benchmarking tables which may be used alongside this report and data visualisation to support institutional benchmarking and analysis.</w:t>
      </w:r>
    </w:p>
    <w:p w14:paraId="699463F5" w14:textId="77777777" w:rsidR="005A5905" w:rsidRPr="00217865" w:rsidRDefault="005A5905" w:rsidP="005A5905">
      <w:pPr>
        <w:pStyle w:val="Body"/>
        <w:rPr>
          <w:rFonts w:cs="Arial"/>
          <w:color w:val="000000" w:themeColor="text1"/>
        </w:rPr>
      </w:pPr>
      <w:r w:rsidRPr="00217865">
        <w:rPr>
          <w:rFonts w:cs="Arial"/>
          <w:color w:val="000000" w:themeColor="text1"/>
        </w:rPr>
        <w:t>Listed below are tables related to specific concepts relevant to the Student Experience Survey (SES) as well as a listing of tables that can be used to explore and benchmark additional themes related to the SES.</w:t>
      </w:r>
    </w:p>
    <w:p w14:paraId="7CCB8D16" w14:textId="7B019242" w:rsidR="005A5905" w:rsidRPr="00217865" w:rsidRDefault="00801E43" w:rsidP="00801E43">
      <w:pPr>
        <w:pStyle w:val="Appendix2"/>
        <w:numPr>
          <w:ilvl w:val="0"/>
          <w:numId w:val="27"/>
        </w:numPr>
        <w:ind w:left="567" w:hanging="567"/>
      </w:pPr>
      <w:bookmarkStart w:id="605" w:name="_Toc167872832"/>
      <w:bookmarkStart w:id="606" w:name="_Toc178599323"/>
      <w:bookmarkEnd w:id="603"/>
      <w:bookmarkEnd w:id="604"/>
      <w:r>
        <w:t xml:space="preserve"> </w:t>
      </w:r>
      <w:r>
        <w:tab/>
      </w:r>
      <w:r w:rsidR="005A5905" w:rsidRPr="00217865">
        <w:t>SES results</w:t>
      </w:r>
      <w:bookmarkEnd w:id="605"/>
      <w:bookmarkEnd w:id="606"/>
    </w:p>
    <w:p w14:paraId="27F07217" w14:textId="4C5E7A74" w:rsidR="005A5905" w:rsidRPr="00217865" w:rsidRDefault="005A5905" w:rsidP="00CF00B5">
      <w:pPr>
        <w:pStyle w:val="Appendix3"/>
        <w:numPr>
          <w:ilvl w:val="0"/>
          <w:numId w:val="28"/>
        </w:numPr>
        <w:ind w:hanging="720"/>
        <w:rPr>
          <w:rFonts w:cs="Arial"/>
          <w:color w:val="000000" w:themeColor="text1"/>
        </w:rPr>
      </w:pPr>
      <w:bookmarkStart w:id="607" w:name="_Toc167872833"/>
      <w:bookmarkStart w:id="608" w:name="_Toc178599324"/>
      <w:r w:rsidRPr="00217865">
        <w:rPr>
          <w:rFonts w:cs="Arial"/>
          <w:color w:val="000000" w:themeColor="text1"/>
        </w:rPr>
        <w:t>Focus areas</w:t>
      </w:r>
      <w:bookmarkEnd w:id="607"/>
      <w:bookmarkEnd w:id="608"/>
    </w:p>
    <w:p w14:paraId="4E55A1D0" w14:textId="77777777" w:rsidR="005A5905" w:rsidRPr="00217865" w:rsidRDefault="005A5905" w:rsidP="005A5905">
      <w:pPr>
        <w:pStyle w:val="Body"/>
        <w:rPr>
          <w:rFonts w:cs="Arial"/>
          <w:color w:val="000000" w:themeColor="text1"/>
        </w:rPr>
      </w:pPr>
      <w:r w:rsidRPr="00217865">
        <w:rPr>
          <w:rFonts w:cs="Arial"/>
          <w:color w:val="000000" w:themeColor="text1"/>
        </w:rPr>
        <w:t xml:space="preserve">This group of tables outline SES focus areas for undergraduate and postgraduate coursework students by </w:t>
      </w:r>
      <w:proofErr w:type="gramStart"/>
      <w:r w:rsidRPr="00217865">
        <w:rPr>
          <w:rFonts w:cs="Arial"/>
          <w:color w:val="000000" w:themeColor="text1"/>
        </w:rPr>
        <w:t>a number of</w:t>
      </w:r>
      <w:proofErr w:type="gramEnd"/>
      <w:r w:rsidRPr="00217865">
        <w:rPr>
          <w:rFonts w:cs="Arial"/>
          <w:color w:val="000000" w:themeColor="text1"/>
        </w:rPr>
        <w:t xml:space="preserve"> parameters including demographic characteristics, study area and institution type.</w:t>
      </w:r>
    </w:p>
    <w:p w14:paraId="462D9103" w14:textId="585DBB08" w:rsidR="005A5905" w:rsidRPr="00217865" w:rsidRDefault="005A5905" w:rsidP="005A5905">
      <w:pPr>
        <w:pStyle w:val="Body"/>
        <w:rPr>
          <w:rFonts w:cs="Arial"/>
          <w:color w:val="000000" w:themeColor="text1"/>
        </w:rPr>
      </w:pPr>
      <w:r w:rsidRPr="00217865">
        <w:rPr>
          <w:rFonts w:cs="Arial"/>
          <w:color w:val="000000" w:themeColor="text1"/>
        </w:rPr>
        <w:t xml:space="preserve">The SES focus areas are comprised of </w:t>
      </w:r>
      <w:proofErr w:type="gramStart"/>
      <w:r w:rsidRPr="00217865">
        <w:rPr>
          <w:rFonts w:cs="Arial"/>
          <w:color w:val="000000" w:themeColor="text1"/>
        </w:rPr>
        <w:t>a number of</w:t>
      </w:r>
      <w:proofErr w:type="gramEnd"/>
      <w:r w:rsidRPr="00217865">
        <w:rPr>
          <w:rFonts w:cs="Arial"/>
          <w:color w:val="000000" w:themeColor="text1"/>
        </w:rPr>
        <w:t xml:space="preserve"> underlying items as seen in Appendix 2. Results at the item level for each focus area is available in </w:t>
      </w:r>
      <w:r w:rsidR="001706E8" w:rsidRPr="002D5D30">
        <w:rPr>
          <w:rFonts w:cs="Arial"/>
          <w:b/>
          <w:bCs/>
          <w:color w:val="000000" w:themeColor="text1"/>
        </w:rPr>
        <w:fldChar w:fldCharType="begin"/>
      </w:r>
      <w:r w:rsidR="001706E8" w:rsidRPr="002D5D30">
        <w:rPr>
          <w:rFonts w:cs="Arial"/>
          <w:b/>
          <w:bCs/>
          <w:color w:val="000000" w:themeColor="text1"/>
        </w:rPr>
        <w:instrText xml:space="preserve"> REF _Ref58493947  \* MERGEFORMAT </w:instrText>
      </w:r>
      <w:r w:rsidR="001706E8" w:rsidRPr="002D5D30">
        <w:rPr>
          <w:rFonts w:cs="Arial"/>
          <w:b/>
          <w:bCs/>
          <w:color w:val="000000" w:themeColor="text1"/>
        </w:rPr>
        <w:fldChar w:fldCharType="separate"/>
      </w:r>
      <w:r w:rsidR="005D5678" w:rsidRPr="002D5D30">
        <w:rPr>
          <w:rFonts w:cs="Arial"/>
          <w:b/>
          <w:bCs/>
          <w:color w:val="000000" w:themeColor="text1"/>
        </w:rPr>
        <w:t>A7.1.5</w:t>
      </w:r>
      <w:r w:rsidR="002D5D30" w:rsidRPr="002D5D30">
        <w:rPr>
          <w:rFonts w:cs="Arial"/>
          <w:b/>
          <w:bCs/>
          <w:color w:val="000000" w:themeColor="text1"/>
        </w:rPr>
        <w:t xml:space="preserve"> </w:t>
      </w:r>
      <w:r w:rsidR="005D5678" w:rsidRPr="002D5D30">
        <w:rPr>
          <w:rFonts w:cs="Arial"/>
          <w:b/>
          <w:bCs/>
          <w:color w:val="000000" w:themeColor="text1"/>
        </w:rPr>
        <w:t>Detailed focus area items</w:t>
      </w:r>
      <w:r w:rsidR="001706E8" w:rsidRPr="002D5D30">
        <w:rPr>
          <w:rFonts w:cs="Arial"/>
          <w:b/>
          <w:bCs/>
          <w:color w:val="000000" w:themeColor="text1"/>
        </w:rPr>
        <w:fldChar w:fldCharType="end"/>
      </w:r>
      <w:r w:rsidRPr="00217865">
        <w:rPr>
          <w:rFonts w:cs="Arial"/>
          <w:color w:val="000000" w:themeColor="text1"/>
        </w:rPr>
        <w:t xml:space="preserve">. </w:t>
      </w:r>
    </w:p>
    <w:p w14:paraId="5D2101DF" w14:textId="77777777" w:rsidR="005A5905" w:rsidRPr="00217865" w:rsidRDefault="005A5905" w:rsidP="005A5905">
      <w:pPr>
        <w:pStyle w:val="Body"/>
        <w:rPr>
          <w:rFonts w:cs="Arial"/>
          <w:color w:val="000000" w:themeColor="text1"/>
        </w:rPr>
      </w:pPr>
      <w:r w:rsidRPr="00217865">
        <w:rPr>
          <w:rFonts w:cs="Arial"/>
          <w:color w:val="000000" w:themeColor="text1"/>
        </w:rPr>
        <w:t>Appendix 3 gives examples of how these focus area scores are calculated.</w:t>
      </w:r>
    </w:p>
    <w:tbl>
      <w:tblPr>
        <w:tblStyle w:val="QILTTableStylePH"/>
        <w:tblW w:w="9879" w:type="dxa"/>
        <w:tblLayout w:type="fixed"/>
        <w:tblLook w:val="04A0" w:firstRow="1" w:lastRow="0" w:firstColumn="1" w:lastColumn="0" w:noHBand="0" w:noVBand="1"/>
      </w:tblPr>
      <w:tblGrid>
        <w:gridCol w:w="957"/>
        <w:gridCol w:w="1165"/>
        <w:gridCol w:w="3362"/>
        <w:gridCol w:w="4395"/>
      </w:tblGrid>
      <w:tr w:rsidR="00217865" w:rsidRPr="00217865" w14:paraId="1489D280" w14:textId="77777777" w:rsidTr="0006511F">
        <w:trPr>
          <w:tblHeader/>
        </w:trPr>
        <w:tc>
          <w:tcPr>
            <w:tcW w:w="957" w:type="dxa"/>
            <w:vAlign w:val="bottom"/>
          </w:tcPr>
          <w:p w14:paraId="5651A36C" w14:textId="77777777" w:rsidR="005A5905" w:rsidRPr="00217865" w:rsidRDefault="005A5905" w:rsidP="0006511F">
            <w:pPr>
              <w:pStyle w:val="Body"/>
              <w:rPr>
                <w:rFonts w:cs="Arial"/>
                <w:color w:val="000000" w:themeColor="text1"/>
                <w:sz w:val="18"/>
                <w:szCs w:val="18"/>
              </w:rPr>
            </w:pPr>
            <w:r w:rsidRPr="00217865">
              <w:rPr>
                <w:rFonts w:cs="Arial"/>
                <w:b/>
                <w:color w:val="000000" w:themeColor="text1"/>
                <w:sz w:val="18"/>
                <w:szCs w:val="18"/>
              </w:rPr>
              <w:t>Course level</w:t>
            </w:r>
          </w:p>
        </w:tc>
        <w:tc>
          <w:tcPr>
            <w:tcW w:w="1165" w:type="dxa"/>
            <w:vAlign w:val="bottom"/>
          </w:tcPr>
          <w:p w14:paraId="14F75727" w14:textId="33B4F091" w:rsidR="005A5905" w:rsidRPr="00217865" w:rsidRDefault="005A5905" w:rsidP="0006511F">
            <w:pPr>
              <w:pStyle w:val="Body"/>
              <w:rPr>
                <w:rFonts w:cs="Arial"/>
                <w:color w:val="000000" w:themeColor="text1"/>
                <w:sz w:val="18"/>
                <w:szCs w:val="18"/>
              </w:rPr>
            </w:pPr>
            <w:r w:rsidRPr="00217865">
              <w:rPr>
                <w:rFonts w:cs="Arial"/>
                <w:b/>
                <w:color w:val="000000" w:themeColor="text1"/>
                <w:sz w:val="18"/>
                <w:szCs w:val="18"/>
              </w:rPr>
              <w:t xml:space="preserve">Report </w:t>
            </w:r>
            <w:r w:rsidR="008279CE" w:rsidRPr="00217865">
              <w:rPr>
                <w:rFonts w:cs="Arial"/>
                <w:b/>
                <w:bCs/>
                <w:color w:val="000000" w:themeColor="text1"/>
                <w:sz w:val="18"/>
                <w:szCs w:val="18"/>
              </w:rPr>
              <w:t>reference</w:t>
            </w:r>
          </w:p>
        </w:tc>
        <w:tc>
          <w:tcPr>
            <w:tcW w:w="3362" w:type="dxa"/>
            <w:vAlign w:val="bottom"/>
          </w:tcPr>
          <w:p w14:paraId="6FD742BD" w14:textId="77777777" w:rsidR="005A5905" w:rsidRPr="00217865" w:rsidRDefault="005A5905" w:rsidP="0006511F">
            <w:pPr>
              <w:pStyle w:val="Body"/>
              <w:rPr>
                <w:rFonts w:cs="Arial"/>
                <w:color w:val="000000" w:themeColor="text1"/>
                <w:sz w:val="18"/>
                <w:szCs w:val="18"/>
              </w:rPr>
            </w:pPr>
            <w:r w:rsidRPr="00217865">
              <w:rPr>
                <w:rFonts w:cs="Arial"/>
                <w:b/>
                <w:color w:val="000000" w:themeColor="text1"/>
                <w:sz w:val="18"/>
                <w:szCs w:val="18"/>
              </w:rPr>
              <w:t>Sheet name</w:t>
            </w:r>
          </w:p>
        </w:tc>
        <w:tc>
          <w:tcPr>
            <w:tcW w:w="4395" w:type="dxa"/>
            <w:vAlign w:val="bottom"/>
          </w:tcPr>
          <w:p w14:paraId="3028491E" w14:textId="77777777" w:rsidR="005A5905" w:rsidRPr="00217865" w:rsidRDefault="005A5905" w:rsidP="0006511F">
            <w:pPr>
              <w:pStyle w:val="Body"/>
              <w:rPr>
                <w:rFonts w:cs="Arial"/>
                <w:color w:val="000000" w:themeColor="text1"/>
                <w:sz w:val="18"/>
                <w:szCs w:val="18"/>
              </w:rPr>
            </w:pPr>
            <w:r w:rsidRPr="00217865">
              <w:rPr>
                <w:rFonts w:cs="Arial"/>
                <w:b/>
                <w:color w:val="000000" w:themeColor="text1"/>
                <w:sz w:val="18"/>
                <w:szCs w:val="18"/>
              </w:rPr>
              <w:t>Table title</w:t>
            </w:r>
          </w:p>
        </w:tc>
      </w:tr>
      <w:tr w:rsidR="00217865" w:rsidRPr="00217865" w14:paraId="675FD502" w14:textId="77777777" w:rsidTr="0006511F">
        <w:tc>
          <w:tcPr>
            <w:tcW w:w="957" w:type="dxa"/>
            <w:vAlign w:val="center"/>
          </w:tcPr>
          <w:p w14:paraId="065D40BC" w14:textId="1C352AD9" w:rsidR="007E7942" w:rsidRPr="00217865" w:rsidRDefault="007E7942" w:rsidP="0006511F">
            <w:pPr>
              <w:pStyle w:val="Body"/>
              <w:rPr>
                <w:rFonts w:cs="Arial"/>
                <w:color w:val="000000" w:themeColor="text1"/>
                <w:sz w:val="18"/>
                <w:szCs w:val="18"/>
                <w:highlight w:val="yellow"/>
              </w:rPr>
            </w:pPr>
            <w:r w:rsidRPr="00217865" w:rsidDel="004C3788">
              <w:rPr>
                <w:rFonts w:cs="Arial"/>
                <w:color w:val="000000" w:themeColor="text1"/>
                <w:sz w:val="18"/>
                <w:szCs w:val="18"/>
              </w:rPr>
              <w:t>ALL</w:t>
            </w:r>
          </w:p>
        </w:tc>
        <w:tc>
          <w:tcPr>
            <w:tcW w:w="1165" w:type="dxa"/>
            <w:vAlign w:val="center"/>
          </w:tcPr>
          <w:p w14:paraId="428923AB" w14:textId="1820F399"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222A39E1" w14:textId="3EB99608" w:rsidR="007E7942" w:rsidRPr="00217865" w:rsidRDefault="007E7942" w:rsidP="0006511F">
            <w:pPr>
              <w:pStyle w:val="Body"/>
              <w:rPr>
                <w:rFonts w:cs="Arial"/>
                <w:color w:val="000000" w:themeColor="text1"/>
                <w:sz w:val="18"/>
                <w:szCs w:val="18"/>
                <w:highlight w:val="yellow"/>
              </w:rPr>
            </w:pPr>
            <w:r w:rsidRPr="00217865" w:rsidDel="004C3788">
              <w:rPr>
                <w:rFonts w:cs="Arial"/>
                <w:color w:val="000000" w:themeColor="text1"/>
                <w:sz w:val="18"/>
                <w:szCs w:val="18"/>
              </w:rPr>
              <w:t>FOCUS_ALL_ALL_1Y</w:t>
            </w:r>
          </w:p>
        </w:tc>
        <w:tc>
          <w:tcPr>
            <w:tcW w:w="4395" w:type="dxa"/>
            <w:vAlign w:val="center"/>
          </w:tcPr>
          <w:p w14:paraId="48FB2FA6" w14:textId="70BD8A8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all course levels from all provider types by level and stage of </w:t>
            </w:r>
            <w:r w:rsidRPr="00217865" w:rsidDel="004C3788">
              <w:rPr>
                <w:rFonts w:cs="Arial"/>
                <w:color w:val="000000" w:themeColor="text1"/>
                <w:sz w:val="18"/>
                <w:szCs w:val="18"/>
              </w:rPr>
              <w:t>study</w:t>
            </w:r>
          </w:p>
        </w:tc>
      </w:tr>
      <w:tr w:rsidR="00217865" w:rsidRPr="00217865" w14:paraId="71CB7D6F" w14:textId="77777777" w:rsidTr="0006511F">
        <w:tc>
          <w:tcPr>
            <w:tcW w:w="957" w:type="dxa"/>
            <w:vAlign w:val="center"/>
          </w:tcPr>
          <w:p w14:paraId="627BA888" w14:textId="3277F373"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3CFD5E72" w14:textId="3EC3423E"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Figure 1</w:t>
            </w:r>
          </w:p>
        </w:tc>
        <w:tc>
          <w:tcPr>
            <w:tcW w:w="3362" w:type="dxa"/>
            <w:vAlign w:val="center"/>
          </w:tcPr>
          <w:p w14:paraId="5F1D0A9D" w14:textId="63D11897"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FOCUS_UG_ALL_14-YY_YEAR</w:t>
            </w:r>
          </w:p>
        </w:tc>
        <w:tc>
          <w:tcPr>
            <w:tcW w:w="4395" w:type="dxa"/>
            <w:vAlign w:val="center"/>
          </w:tcPr>
          <w:p w14:paraId="782D02A5" w14:textId="67A9516A"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among undergraduates from all provider types by year</w:t>
            </w:r>
          </w:p>
        </w:tc>
      </w:tr>
      <w:tr w:rsidR="00217865" w:rsidRPr="00217865" w14:paraId="119D374F" w14:textId="77777777" w:rsidTr="0006511F">
        <w:tc>
          <w:tcPr>
            <w:tcW w:w="957" w:type="dxa"/>
            <w:vAlign w:val="center"/>
          </w:tcPr>
          <w:p w14:paraId="2697F127" w14:textId="65A5334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2E0B3950" w14:textId="0DAE5BC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Figure 2</w:t>
            </w:r>
          </w:p>
        </w:tc>
        <w:tc>
          <w:tcPr>
            <w:tcW w:w="3362" w:type="dxa"/>
            <w:vAlign w:val="center"/>
          </w:tcPr>
          <w:p w14:paraId="7FA28B39" w14:textId="7504BC3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FOCUS_PGC_ALL_17-YY_</w:t>
            </w:r>
            <w:r w:rsidRPr="00217865" w:rsidDel="004C3788">
              <w:rPr>
                <w:rFonts w:cs="Arial"/>
                <w:color w:val="000000" w:themeColor="text1"/>
                <w:sz w:val="18"/>
                <w:szCs w:val="18"/>
              </w:rPr>
              <w:t>YEAR</w:t>
            </w:r>
          </w:p>
        </w:tc>
        <w:tc>
          <w:tcPr>
            <w:tcW w:w="4395" w:type="dxa"/>
            <w:vAlign w:val="center"/>
          </w:tcPr>
          <w:p w14:paraId="19C40FC2" w14:textId="51B53D4E"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among postgraduate coursework students from all provider types by </w:t>
            </w:r>
            <w:r w:rsidRPr="00217865" w:rsidDel="004C3788">
              <w:rPr>
                <w:rFonts w:cs="Arial"/>
                <w:color w:val="000000" w:themeColor="text1"/>
                <w:sz w:val="18"/>
                <w:szCs w:val="18"/>
              </w:rPr>
              <w:t>year</w:t>
            </w:r>
          </w:p>
        </w:tc>
      </w:tr>
      <w:tr w:rsidR="00217865" w:rsidRPr="00217865" w14:paraId="12CB1EF5" w14:textId="77777777" w:rsidTr="0006511F">
        <w:tc>
          <w:tcPr>
            <w:tcW w:w="957" w:type="dxa"/>
            <w:vAlign w:val="center"/>
          </w:tcPr>
          <w:p w14:paraId="575F7D28" w14:textId="30FDC383"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05514EDC" w14:textId="0D0BC8BF"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1B4B13E8" w14:textId="12423AD4"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FOCUS_UG_ALL_1Y_STAGE</w:t>
            </w:r>
          </w:p>
        </w:tc>
        <w:tc>
          <w:tcPr>
            <w:tcW w:w="4395" w:type="dxa"/>
            <w:vAlign w:val="center"/>
          </w:tcPr>
          <w:p w14:paraId="2A4777C9" w14:textId="11D7A060"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undergraduates from all provider types by stage of study</w:t>
            </w:r>
          </w:p>
        </w:tc>
      </w:tr>
      <w:tr w:rsidR="00217865" w:rsidRPr="00217865" w14:paraId="31A87CBA" w14:textId="77777777" w:rsidTr="0006511F">
        <w:tc>
          <w:tcPr>
            <w:tcW w:w="957" w:type="dxa"/>
            <w:vAlign w:val="center"/>
          </w:tcPr>
          <w:p w14:paraId="156F54AE" w14:textId="18302FA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6B10491C" w14:textId="262D274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6AD1B653" w14:textId="0BA217E1"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FOCUS_PGC_ALL_1Y_</w:t>
            </w:r>
            <w:r w:rsidRPr="00217865" w:rsidDel="004C3788">
              <w:rPr>
                <w:rFonts w:cs="Arial"/>
                <w:color w:val="000000" w:themeColor="text1"/>
                <w:sz w:val="18"/>
                <w:szCs w:val="18"/>
              </w:rPr>
              <w:t>STAGE</w:t>
            </w:r>
          </w:p>
        </w:tc>
        <w:tc>
          <w:tcPr>
            <w:tcW w:w="4395" w:type="dxa"/>
            <w:vAlign w:val="center"/>
          </w:tcPr>
          <w:p w14:paraId="0A4C7170" w14:textId="647ADB4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all provider types by stage of </w:t>
            </w:r>
            <w:r w:rsidRPr="00217865" w:rsidDel="004C3788">
              <w:rPr>
                <w:rFonts w:cs="Arial"/>
                <w:color w:val="000000" w:themeColor="text1"/>
                <w:sz w:val="18"/>
                <w:szCs w:val="18"/>
              </w:rPr>
              <w:t>study</w:t>
            </w:r>
          </w:p>
        </w:tc>
      </w:tr>
      <w:tr w:rsidR="00217865" w:rsidRPr="00217865" w14:paraId="0D5A666C" w14:textId="77777777" w:rsidTr="0006511F">
        <w:tc>
          <w:tcPr>
            <w:tcW w:w="957" w:type="dxa"/>
            <w:vAlign w:val="center"/>
          </w:tcPr>
          <w:p w14:paraId="27C5B766" w14:textId="583AB95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67199700" w14:textId="2D492B6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BC2B7C3" w14:textId="5FE40455"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FOCUS_UG_ALL_1Y_ISG</w:t>
            </w:r>
          </w:p>
        </w:tc>
        <w:tc>
          <w:tcPr>
            <w:tcW w:w="4395" w:type="dxa"/>
            <w:vAlign w:val="center"/>
          </w:tcPr>
          <w:p w14:paraId="581088BC" w14:textId="49871BA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undergraduates from all provider types by demographic and contextual group</w:t>
            </w:r>
          </w:p>
        </w:tc>
      </w:tr>
      <w:tr w:rsidR="00217865" w:rsidRPr="00217865" w14:paraId="409AB40B" w14:textId="77777777" w:rsidTr="0006511F">
        <w:tc>
          <w:tcPr>
            <w:tcW w:w="957" w:type="dxa"/>
            <w:vAlign w:val="center"/>
          </w:tcPr>
          <w:p w14:paraId="6017F3B5" w14:textId="5F3CA949"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UG</w:t>
            </w:r>
          </w:p>
        </w:tc>
        <w:tc>
          <w:tcPr>
            <w:tcW w:w="1165" w:type="dxa"/>
            <w:vAlign w:val="center"/>
          </w:tcPr>
          <w:p w14:paraId="11ED429E" w14:textId="6B121ED9"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6217566" w14:textId="35374AA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FOCUS_UG_UNI_1Y_ISG</w:t>
            </w:r>
          </w:p>
        </w:tc>
        <w:tc>
          <w:tcPr>
            <w:tcW w:w="4395" w:type="dxa"/>
            <w:vAlign w:val="center"/>
          </w:tcPr>
          <w:p w14:paraId="5CA1A744" w14:textId="2536FF05"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undergraduates from universities by demographic and contextual </w:t>
            </w:r>
            <w:r w:rsidRPr="00217865" w:rsidDel="004C3788">
              <w:rPr>
                <w:rFonts w:cs="Arial"/>
                <w:color w:val="000000" w:themeColor="text1"/>
                <w:sz w:val="18"/>
                <w:szCs w:val="18"/>
              </w:rPr>
              <w:t>group</w:t>
            </w:r>
          </w:p>
        </w:tc>
      </w:tr>
      <w:tr w:rsidR="00217865" w:rsidRPr="00217865" w14:paraId="5164E08F" w14:textId="77777777" w:rsidTr="0006511F">
        <w:tc>
          <w:tcPr>
            <w:tcW w:w="957" w:type="dxa"/>
            <w:vAlign w:val="center"/>
          </w:tcPr>
          <w:p w14:paraId="09F9E9C2" w14:textId="49E2384F"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UG</w:t>
            </w:r>
          </w:p>
        </w:tc>
        <w:tc>
          <w:tcPr>
            <w:tcW w:w="1165" w:type="dxa"/>
            <w:vAlign w:val="center"/>
          </w:tcPr>
          <w:p w14:paraId="53897032" w14:textId="3136594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AA21B42" w14:textId="6CA2371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FOCUS_UG_NUHEI_1Y_ISG</w:t>
            </w:r>
          </w:p>
        </w:tc>
        <w:tc>
          <w:tcPr>
            <w:tcW w:w="4395" w:type="dxa"/>
            <w:vAlign w:val="center"/>
          </w:tcPr>
          <w:p w14:paraId="17FC9ECD" w14:textId="26297F1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undergraduates from non-university higher education </w:t>
            </w:r>
            <w:r w:rsidRPr="00217865">
              <w:rPr>
                <w:rFonts w:cs="Arial"/>
                <w:color w:val="000000" w:themeColor="text1"/>
                <w:sz w:val="18"/>
                <w:szCs w:val="18"/>
              </w:rPr>
              <w:lastRenderedPageBreak/>
              <w:t xml:space="preserve">institutes (NUHEIs) by demographic and contextual </w:t>
            </w:r>
            <w:r w:rsidRPr="00217865" w:rsidDel="004C3788">
              <w:rPr>
                <w:rFonts w:cs="Arial"/>
                <w:color w:val="000000" w:themeColor="text1"/>
                <w:sz w:val="18"/>
                <w:szCs w:val="18"/>
              </w:rPr>
              <w:t>group</w:t>
            </w:r>
          </w:p>
        </w:tc>
      </w:tr>
      <w:tr w:rsidR="00217865" w:rsidRPr="00217865" w14:paraId="4DEFBDBA" w14:textId="77777777" w:rsidTr="0006511F">
        <w:tc>
          <w:tcPr>
            <w:tcW w:w="957" w:type="dxa"/>
            <w:vAlign w:val="center"/>
          </w:tcPr>
          <w:p w14:paraId="2607AFBC" w14:textId="20FEA09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lastRenderedPageBreak/>
              <w:t>PGC</w:t>
            </w:r>
          </w:p>
        </w:tc>
        <w:tc>
          <w:tcPr>
            <w:tcW w:w="1165" w:type="dxa"/>
            <w:vAlign w:val="center"/>
          </w:tcPr>
          <w:p w14:paraId="0FED7459" w14:textId="0C374E5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239544E3" w14:textId="636413B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FOCUS_PGC_ALL_1Y_ISG</w:t>
            </w:r>
          </w:p>
        </w:tc>
        <w:tc>
          <w:tcPr>
            <w:tcW w:w="4395" w:type="dxa"/>
            <w:vAlign w:val="center"/>
          </w:tcPr>
          <w:p w14:paraId="3080880A" w14:textId="1154BF7A"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all provider types by demographic and contextual </w:t>
            </w:r>
            <w:r w:rsidRPr="00217865" w:rsidDel="004C3788">
              <w:rPr>
                <w:rFonts w:cs="Arial"/>
                <w:color w:val="000000" w:themeColor="text1"/>
                <w:sz w:val="18"/>
                <w:szCs w:val="18"/>
              </w:rPr>
              <w:t>group</w:t>
            </w:r>
          </w:p>
        </w:tc>
      </w:tr>
      <w:tr w:rsidR="00217865" w:rsidRPr="00217865" w14:paraId="2D63A8EB" w14:textId="77777777" w:rsidTr="0006511F">
        <w:tc>
          <w:tcPr>
            <w:tcW w:w="957" w:type="dxa"/>
            <w:vAlign w:val="center"/>
          </w:tcPr>
          <w:p w14:paraId="014E5719" w14:textId="7B42720D"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35701B58" w14:textId="40C40BE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28D5E0D4" w14:textId="3F1E488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FOCUS_PGC_UNI_1Y_ISG</w:t>
            </w:r>
          </w:p>
        </w:tc>
        <w:tc>
          <w:tcPr>
            <w:tcW w:w="4395" w:type="dxa"/>
            <w:vAlign w:val="center"/>
          </w:tcPr>
          <w:p w14:paraId="301EEC80" w14:textId="07D1E50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universities by demographic and contextual </w:t>
            </w:r>
            <w:r w:rsidRPr="00217865" w:rsidDel="004C3788">
              <w:rPr>
                <w:rFonts w:cs="Arial"/>
                <w:color w:val="000000" w:themeColor="text1"/>
                <w:sz w:val="18"/>
                <w:szCs w:val="18"/>
              </w:rPr>
              <w:t>group</w:t>
            </w:r>
          </w:p>
        </w:tc>
      </w:tr>
      <w:tr w:rsidR="00217865" w:rsidRPr="00217865" w14:paraId="2ED6F5CB" w14:textId="77777777" w:rsidTr="0006511F">
        <w:tc>
          <w:tcPr>
            <w:tcW w:w="957" w:type="dxa"/>
            <w:vAlign w:val="center"/>
          </w:tcPr>
          <w:p w14:paraId="6353FE9C" w14:textId="1A4BD992"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PGC</w:t>
            </w:r>
          </w:p>
        </w:tc>
        <w:tc>
          <w:tcPr>
            <w:tcW w:w="1165" w:type="dxa"/>
            <w:vAlign w:val="center"/>
          </w:tcPr>
          <w:p w14:paraId="285B8C34" w14:textId="3C0AA47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B1E5F16" w14:textId="6AE666F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FOCUS_PGC_NUHEI_1Y_ISG</w:t>
            </w:r>
          </w:p>
        </w:tc>
        <w:tc>
          <w:tcPr>
            <w:tcW w:w="4395" w:type="dxa"/>
            <w:vAlign w:val="center"/>
          </w:tcPr>
          <w:p w14:paraId="3732B1AC" w14:textId="2409030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non-university higher education institutes (NUHEIs) by demographic and contextual </w:t>
            </w:r>
            <w:r w:rsidRPr="00217865" w:rsidDel="004C3788">
              <w:rPr>
                <w:rFonts w:cs="Arial"/>
                <w:color w:val="000000" w:themeColor="text1"/>
                <w:sz w:val="18"/>
                <w:szCs w:val="18"/>
              </w:rPr>
              <w:t>group</w:t>
            </w:r>
          </w:p>
        </w:tc>
      </w:tr>
      <w:tr w:rsidR="00217865" w:rsidRPr="00217865" w14:paraId="672C2745" w14:textId="77777777" w:rsidTr="0006511F">
        <w:tc>
          <w:tcPr>
            <w:tcW w:w="957" w:type="dxa"/>
            <w:vAlign w:val="center"/>
          </w:tcPr>
          <w:p w14:paraId="07A02C37" w14:textId="08C5C93C"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26CCE7B0" w14:textId="04F8EAA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5</w:t>
            </w:r>
          </w:p>
        </w:tc>
        <w:tc>
          <w:tcPr>
            <w:tcW w:w="3362" w:type="dxa"/>
            <w:vAlign w:val="center"/>
          </w:tcPr>
          <w:p w14:paraId="1DE11D23" w14:textId="26C5C44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FOCUS_UG_ALL_17-YY_AREA</w:t>
            </w:r>
          </w:p>
        </w:tc>
        <w:tc>
          <w:tcPr>
            <w:tcW w:w="4395" w:type="dxa"/>
            <w:vAlign w:val="center"/>
          </w:tcPr>
          <w:p w14:paraId="60278528" w14:textId="0C07F4EC"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undergraduates from all provider types by 21 study areas</w:t>
            </w:r>
          </w:p>
        </w:tc>
      </w:tr>
      <w:tr w:rsidR="00217865" w:rsidRPr="00217865" w14:paraId="2202B493" w14:textId="77777777" w:rsidTr="0006511F">
        <w:tc>
          <w:tcPr>
            <w:tcW w:w="957" w:type="dxa"/>
            <w:vAlign w:val="center"/>
          </w:tcPr>
          <w:p w14:paraId="23EB76CF" w14:textId="284BB16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1B399687" w14:textId="60811695"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0B507CC8" w14:textId="7AE110E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FOCUS_UG_UNI_1Y_AREA</w:t>
            </w:r>
          </w:p>
        </w:tc>
        <w:tc>
          <w:tcPr>
            <w:tcW w:w="4395" w:type="dxa"/>
            <w:vAlign w:val="center"/>
          </w:tcPr>
          <w:p w14:paraId="29CFBFED" w14:textId="275199DA"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undergraduates from universities by 21 study areas</w:t>
            </w:r>
          </w:p>
        </w:tc>
      </w:tr>
      <w:tr w:rsidR="00217865" w:rsidRPr="00217865" w14:paraId="48CFB3A1" w14:textId="77777777" w:rsidTr="0006511F">
        <w:tc>
          <w:tcPr>
            <w:tcW w:w="957" w:type="dxa"/>
            <w:vAlign w:val="center"/>
          </w:tcPr>
          <w:p w14:paraId="5CD63E32" w14:textId="0087FB78"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UG</w:t>
            </w:r>
          </w:p>
        </w:tc>
        <w:tc>
          <w:tcPr>
            <w:tcW w:w="1165" w:type="dxa"/>
            <w:vAlign w:val="center"/>
          </w:tcPr>
          <w:p w14:paraId="221CF95B" w14:textId="534C2BA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4C96CED5" w14:textId="7BC6D1B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FOCUS_UG_NUHEI_1Y_</w:t>
            </w:r>
            <w:r w:rsidRPr="00217865" w:rsidDel="004C3788">
              <w:rPr>
                <w:rFonts w:cs="Arial"/>
                <w:color w:val="000000" w:themeColor="text1"/>
                <w:sz w:val="18"/>
                <w:szCs w:val="18"/>
              </w:rPr>
              <w:t>AREA</w:t>
            </w:r>
          </w:p>
        </w:tc>
        <w:tc>
          <w:tcPr>
            <w:tcW w:w="4395" w:type="dxa"/>
            <w:vAlign w:val="center"/>
          </w:tcPr>
          <w:p w14:paraId="508992C0" w14:textId="1567DF8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undergraduates from non-university higher education institutes (NUHEIs) by 21 study </w:t>
            </w:r>
            <w:r w:rsidRPr="00217865" w:rsidDel="004C3788">
              <w:rPr>
                <w:rFonts w:cs="Arial"/>
                <w:color w:val="000000" w:themeColor="text1"/>
                <w:sz w:val="18"/>
                <w:szCs w:val="18"/>
              </w:rPr>
              <w:t>areas</w:t>
            </w:r>
          </w:p>
        </w:tc>
      </w:tr>
      <w:tr w:rsidR="00217865" w:rsidRPr="00217865" w14:paraId="474FDF43" w14:textId="77777777" w:rsidTr="0006511F">
        <w:tc>
          <w:tcPr>
            <w:tcW w:w="957" w:type="dxa"/>
            <w:vAlign w:val="center"/>
          </w:tcPr>
          <w:p w14:paraId="632B0632" w14:textId="4CF7FEA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04999CC9" w14:textId="60F17C73"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6</w:t>
            </w:r>
          </w:p>
        </w:tc>
        <w:tc>
          <w:tcPr>
            <w:tcW w:w="3362" w:type="dxa"/>
            <w:vAlign w:val="center"/>
          </w:tcPr>
          <w:p w14:paraId="14207EB9" w14:textId="2B402690"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FOCUS_PGC_ALL_17-YY_</w:t>
            </w:r>
            <w:r w:rsidRPr="00217865" w:rsidDel="004C3788">
              <w:rPr>
                <w:rFonts w:cs="Arial"/>
                <w:color w:val="000000" w:themeColor="text1"/>
                <w:sz w:val="18"/>
                <w:szCs w:val="18"/>
              </w:rPr>
              <w:t>AREA</w:t>
            </w:r>
          </w:p>
        </w:tc>
        <w:tc>
          <w:tcPr>
            <w:tcW w:w="4395" w:type="dxa"/>
            <w:vAlign w:val="center"/>
          </w:tcPr>
          <w:p w14:paraId="3DAA3F6C" w14:textId="5714338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2017-2023) among postgraduate coursework students from all provider types </w:t>
            </w:r>
            <w:proofErr w:type="gramStart"/>
            <w:r w:rsidRPr="00217865">
              <w:rPr>
                <w:rFonts w:cs="Arial"/>
                <w:color w:val="000000" w:themeColor="text1"/>
                <w:sz w:val="18"/>
                <w:szCs w:val="18"/>
              </w:rPr>
              <w:t>by 21</w:t>
            </w:r>
            <w:proofErr w:type="gramEnd"/>
            <w:r w:rsidRPr="00217865">
              <w:rPr>
                <w:rFonts w:cs="Arial"/>
                <w:color w:val="000000" w:themeColor="text1"/>
                <w:sz w:val="18"/>
                <w:szCs w:val="18"/>
              </w:rPr>
              <w:t xml:space="preserve"> study </w:t>
            </w:r>
            <w:r w:rsidRPr="00217865" w:rsidDel="004C3788">
              <w:rPr>
                <w:rFonts w:cs="Arial"/>
                <w:color w:val="000000" w:themeColor="text1"/>
                <w:sz w:val="18"/>
                <w:szCs w:val="18"/>
              </w:rPr>
              <w:t>areas</w:t>
            </w:r>
          </w:p>
        </w:tc>
      </w:tr>
      <w:tr w:rsidR="00217865" w:rsidRPr="00217865" w14:paraId="7F52C597" w14:textId="77777777" w:rsidTr="0006511F">
        <w:tc>
          <w:tcPr>
            <w:tcW w:w="957" w:type="dxa"/>
            <w:vAlign w:val="center"/>
          </w:tcPr>
          <w:p w14:paraId="5E34DCB0" w14:textId="3D09E4B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2D03337D" w14:textId="17AE2BEA"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6EDB1D4C" w14:textId="3F98011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FOCUS_PGC_UNI_1Y_</w:t>
            </w:r>
            <w:r w:rsidRPr="00217865" w:rsidDel="004C3788">
              <w:rPr>
                <w:rFonts w:cs="Arial"/>
                <w:color w:val="000000" w:themeColor="text1"/>
                <w:sz w:val="18"/>
                <w:szCs w:val="18"/>
              </w:rPr>
              <w:t>AREA</w:t>
            </w:r>
          </w:p>
        </w:tc>
        <w:tc>
          <w:tcPr>
            <w:tcW w:w="4395" w:type="dxa"/>
            <w:vAlign w:val="center"/>
          </w:tcPr>
          <w:p w14:paraId="66FFD31C" w14:textId="456DD90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universities by 21 study </w:t>
            </w:r>
            <w:r w:rsidRPr="00217865" w:rsidDel="004C3788">
              <w:rPr>
                <w:rFonts w:cs="Arial"/>
                <w:color w:val="000000" w:themeColor="text1"/>
                <w:sz w:val="18"/>
                <w:szCs w:val="18"/>
              </w:rPr>
              <w:t>areas</w:t>
            </w:r>
          </w:p>
        </w:tc>
      </w:tr>
      <w:tr w:rsidR="00217865" w:rsidRPr="00217865" w14:paraId="111553FD" w14:textId="77777777" w:rsidTr="0006511F">
        <w:tc>
          <w:tcPr>
            <w:tcW w:w="957" w:type="dxa"/>
            <w:vAlign w:val="center"/>
          </w:tcPr>
          <w:p w14:paraId="25732BB1" w14:textId="222C5C1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4E5FE643" w14:textId="0FD761B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01184AF" w14:textId="1AD63AD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FOCUS_PGC_NUHEI_1Y_</w:t>
            </w:r>
            <w:r w:rsidRPr="00217865" w:rsidDel="004C3788">
              <w:rPr>
                <w:rFonts w:cs="Arial"/>
                <w:color w:val="000000" w:themeColor="text1"/>
                <w:sz w:val="18"/>
                <w:szCs w:val="18"/>
              </w:rPr>
              <w:t>AREA</w:t>
            </w:r>
          </w:p>
        </w:tc>
        <w:tc>
          <w:tcPr>
            <w:tcW w:w="4395" w:type="dxa"/>
            <w:vAlign w:val="center"/>
          </w:tcPr>
          <w:p w14:paraId="4B1C2070" w14:textId="279D464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non-university higher education institutes (NUHEIs) by 21 study </w:t>
            </w:r>
            <w:r w:rsidRPr="00217865" w:rsidDel="004C3788">
              <w:rPr>
                <w:rFonts w:cs="Arial"/>
                <w:color w:val="000000" w:themeColor="text1"/>
                <w:sz w:val="18"/>
                <w:szCs w:val="18"/>
              </w:rPr>
              <w:t>areas</w:t>
            </w:r>
          </w:p>
        </w:tc>
      </w:tr>
      <w:tr w:rsidR="00217865" w:rsidRPr="00217865" w14:paraId="0B47691F" w14:textId="77777777" w:rsidTr="0006511F">
        <w:tc>
          <w:tcPr>
            <w:tcW w:w="957" w:type="dxa"/>
            <w:vAlign w:val="center"/>
          </w:tcPr>
          <w:p w14:paraId="7A43C894" w14:textId="579E777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1572D466" w14:textId="54CB60D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714AFFA1" w14:textId="75594633"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FOCUS_UG_ALL_1Y_AREA45</w:t>
            </w:r>
          </w:p>
        </w:tc>
        <w:tc>
          <w:tcPr>
            <w:tcW w:w="4395" w:type="dxa"/>
            <w:vAlign w:val="center"/>
          </w:tcPr>
          <w:p w14:paraId="653DB4A1" w14:textId="7CE7010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undergraduates from all provider types </w:t>
            </w:r>
            <w:proofErr w:type="gramStart"/>
            <w:r w:rsidRPr="00217865">
              <w:rPr>
                <w:rFonts w:cs="Arial"/>
                <w:color w:val="000000" w:themeColor="text1"/>
                <w:sz w:val="18"/>
                <w:szCs w:val="18"/>
              </w:rPr>
              <w:t>by 45</w:t>
            </w:r>
            <w:proofErr w:type="gramEnd"/>
            <w:r w:rsidRPr="00217865">
              <w:rPr>
                <w:rFonts w:cs="Arial"/>
                <w:color w:val="000000" w:themeColor="text1"/>
                <w:sz w:val="18"/>
                <w:szCs w:val="18"/>
              </w:rPr>
              <w:t xml:space="preserve"> study </w:t>
            </w:r>
            <w:r w:rsidRPr="00217865" w:rsidDel="004C3788">
              <w:rPr>
                <w:rFonts w:cs="Arial"/>
                <w:color w:val="000000" w:themeColor="text1"/>
                <w:sz w:val="18"/>
                <w:szCs w:val="18"/>
              </w:rPr>
              <w:t>areas</w:t>
            </w:r>
          </w:p>
        </w:tc>
      </w:tr>
      <w:tr w:rsidR="00217865" w:rsidRPr="00217865" w14:paraId="62519B4C" w14:textId="77777777" w:rsidTr="0006511F">
        <w:tc>
          <w:tcPr>
            <w:tcW w:w="957" w:type="dxa"/>
            <w:vAlign w:val="center"/>
          </w:tcPr>
          <w:p w14:paraId="4D987B90" w14:textId="45200034"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PGC</w:t>
            </w:r>
          </w:p>
        </w:tc>
        <w:tc>
          <w:tcPr>
            <w:tcW w:w="1165" w:type="dxa"/>
            <w:vAlign w:val="center"/>
          </w:tcPr>
          <w:p w14:paraId="6DC93114" w14:textId="194E47D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A6CD070" w14:textId="77B4927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FOCUS_PGC_ALL_1Y_AREA45</w:t>
            </w:r>
          </w:p>
        </w:tc>
        <w:tc>
          <w:tcPr>
            <w:tcW w:w="4395" w:type="dxa"/>
            <w:vAlign w:val="center"/>
          </w:tcPr>
          <w:p w14:paraId="1B85426A" w14:textId="65630B29"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among postgraduate coursework students from all provider types </w:t>
            </w:r>
            <w:proofErr w:type="gramStart"/>
            <w:r w:rsidRPr="00217865">
              <w:rPr>
                <w:rFonts w:cs="Arial"/>
                <w:color w:val="000000" w:themeColor="text1"/>
                <w:sz w:val="18"/>
                <w:szCs w:val="18"/>
              </w:rPr>
              <w:t>by 45</w:t>
            </w:r>
            <w:proofErr w:type="gramEnd"/>
            <w:r w:rsidRPr="00217865">
              <w:rPr>
                <w:rFonts w:cs="Arial"/>
                <w:color w:val="000000" w:themeColor="text1"/>
                <w:sz w:val="18"/>
                <w:szCs w:val="18"/>
              </w:rPr>
              <w:t xml:space="preserve"> study </w:t>
            </w:r>
            <w:r w:rsidRPr="00217865" w:rsidDel="004C3788">
              <w:rPr>
                <w:rFonts w:cs="Arial"/>
                <w:color w:val="000000" w:themeColor="text1"/>
                <w:sz w:val="18"/>
                <w:szCs w:val="18"/>
              </w:rPr>
              <w:t>areas</w:t>
            </w:r>
          </w:p>
        </w:tc>
      </w:tr>
      <w:tr w:rsidR="00217865" w:rsidRPr="00217865" w14:paraId="5634C82C" w14:textId="77777777" w:rsidTr="0006511F">
        <w:tc>
          <w:tcPr>
            <w:tcW w:w="957" w:type="dxa"/>
            <w:vAlign w:val="center"/>
          </w:tcPr>
          <w:p w14:paraId="6FBF94B0" w14:textId="23B0058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lastRenderedPageBreak/>
              <w:t>UG</w:t>
            </w:r>
          </w:p>
        </w:tc>
        <w:tc>
          <w:tcPr>
            <w:tcW w:w="1165" w:type="dxa"/>
            <w:vAlign w:val="center"/>
          </w:tcPr>
          <w:p w14:paraId="23B81B3A" w14:textId="44154F2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68F93A23" w14:textId="32D0D985"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FOCUS_UG_ALL_17-YY_HEPTYPE</w:t>
            </w:r>
          </w:p>
        </w:tc>
        <w:tc>
          <w:tcPr>
            <w:tcW w:w="4395" w:type="dxa"/>
            <w:vAlign w:val="center"/>
          </w:tcPr>
          <w:p w14:paraId="3C384827" w14:textId="1135961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undergraduates from all provider types by type of institution</w:t>
            </w:r>
          </w:p>
        </w:tc>
      </w:tr>
      <w:tr w:rsidR="00217865" w:rsidRPr="00217865" w14:paraId="5CAD0D1F" w14:textId="77777777" w:rsidTr="0006511F">
        <w:tc>
          <w:tcPr>
            <w:tcW w:w="957" w:type="dxa"/>
            <w:vAlign w:val="center"/>
          </w:tcPr>
          <w:p w14:paraId="41F02F2E" w14:textId="4FCCA55C" w:rsidR="0006511F" w:rsidRPr="00217865" w:rsidRDefault="0006511F" w:rsidP="0006511F">
            <w:pPr>
              <w:pStyle w:val="Body"/>
              <w:rPr>
                <w:rFonts w:cs="Arial"/>
                <w:color w:val="000000" w:themeColor="text1"/>
                <w:sz w:val="18"/>
                <w:szCs w:val="18"/>
                <w:highlight w:val="yellow"/>
              </w:rPr>
            </w:pPr>
            <w:r w:rsidRPr="00217865" w:rsidDel="004C3788">
              <w:rPr>
                <w:rFonts w:cs="Arial"/>
                <w:color w:val="000000" w:themeColor="text1"/>
                <w:sz w:val="18"/>
                <w:szCs w:val="18"/>
              </w:rPr>
              <w:t>PGC</w:t>
            </w:r>
          </w:p>
        </w:tc>
        <w:tc>
          <w:tcPr>
            <w:tcW w:w="1165" w:type="dxa"/>
            <w:vAlign w:val="center"/>
          </w:tcPr>
          <w:p w14:paraId="364EC078" w14:textId="0089F60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063A7D62" w14:textId="78F0978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FOCUS_PGC_ALL_1Y_HEPTYPE</w:t>
            </w:r>
          </w:p>
        </w:tc>
        <w:tc>
          <w:tcPr>
            <w:tcW w:w="4395" w:type="dxa"/>
            <w:vAlign w:val="center"/>
          </w:tcPr>
          <w:p w14:paraId="0CE8DE83" w14:textId="40F31A5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postgraduate coursework students from all provider types by type of institution</w:t>
            </w:r>
          </w:p>
        </w:tc>
      </w:tr>
      <w:tr w:rsidR="00217865" w:rsidRPr="00217865" w14:paraId="2D40AFFA" w14:textId="77777777" w:rsidTr="0006511F">
        <w:tc>
          <w:tcPr>
            <w:tcW w:w="957" w:type="dxa"/>
            <w:vAlign w:val="center"/>
          </w:tcPr>
          <w:p w14:paraId="75DD4DAD" w14:textId="49459FD1"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45F9E9DF" w14:textId="47B0AEE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1F8DEBF3" w14:textId="0F110193"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FOCUS_PG_ALL_17-YY_HEPTYPE</w:t>
            </w:r>
          </w:p>
        </w:tc>
        <w:tc>
          <w:tcPr>
            <w:tcW w:w="4395" w:type="dxa"/>
            <w:vAlign w:val="center"/>
          </w:tcPr>
          <w:p w14:paraId="22A19E40" w14:textId="1A76266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postgraduate coursework students from all provider types by type of institution</w:t>
            </w:r>
          </w:p>
        </w:tc>
      </w:tr>
      <w:tr w:rsidR="00217865" w:rsidRPr="00217865" w14:paraId="48758C23" w14:textId="77777777" w:rsidTr="0006511F">
        <w:tc>
          <w:tcPr>
            <w:tcW w:w="957" w:type="dxa"/>
            <w:vAlign w:val="center"/>
          </w:tcPr>
          <w:p w14:paraId="25ABE28A" w14:textId="41AC8B52"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4E1E7E01" w14:textId="485F781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3</w:t>
            </w:r>
          </w:p>
        </w:tc>
        <w:tc>
          <w:tcPr>
            <w:tcW w:w="3362" w:type="dxa"/>
            <w:vAlign w:val="center"/>
          </w:tcPr>
          <w:p w14:paraId="02D4DD36" w14:textId="1369A853"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FOCUS_UG_ALL_17-YY_E346</w:t>
            </w:r>
          </w:p>
        </w:tc>
        <w:tc>
          <w:tcPr>
            <w:tcW w:w="4395" w:type="dxa"/>
            <w:vAlign w:val="center"/>
          </w:tcPr>
          <w:p w14:paraId="3B3702DC" w14:textId="576B425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undergraduates from all provider types by country of birth</w:t>
            </w:r>
          </w:p>
        </w:tc>
      </w:tr>
      <w:tr w:rsidR="00217865" w:rsidRPr="00217865" w14:paraId="233D2159" w14:textId="77777777" w:rsidTr="0006511F">
        <w:tc>
          <w:tcPr>
            <w:tcW w:w="957" w:type="dxa"/>
            <w:vAlign w:val="center"/>
          </w:tcPr>
          <w:p w14:paraId="608DFFDE" w14:textId="48DC89F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429DC9BB" w14:textId="4FA60027"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Table 4 </w:t>
            </w:r>
          </w:p>
        </w:tc>
        <w:tc>
          <w:tcPr>
            <w:tcW w:w="3362" w:type="dxa"/>
            <w:vAlign w:val="center"/>
          </w:tcPr>
          <w:p w14:paraId="3A50DBDB" w14:textId="2E60CB2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FOCUS_PG_ALL_17-YY_E346</w:t>
            </w:r>
          </w:p>
        </w:tc>
        <w:tc>
          <w:tcPr>
            <w:tcW w:w="4395" w:type="dxa"/>
            <w:vAlign w:val="center"/>
          </w:tcPr>
          <w:p w14:paraId="4B0F40FE" w14:textId="525F9CF2"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postgraduate coursework students from all provider types by country of birth</w:t>
            </w:r>
          </w:p>
        </w:tc>
      </w:tr>
      <w:tr w:rsidR="00217865" w:rsidRPr="00217865" w14:paraId="4DE2A9CC" w14:textId="77777777" w:rsidTr="0006511F">
        <w:tc>
          <w:tcPr>
            <w:tcW w:w="957" w:type="dxa"/>
            <w:vAlign w:val="center"/>
          </w:tcPr>
          <w:p w14:paraId="7B351B56" w14:textId="3914C5B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3F66A170" w14:textId="048C709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Figure 3</w:t>
            </w:r>
          </w:p>
        </w:tc>
        <w:tc>
          <w:tcPr>
            <w:tcW w:w="3362" w:type="dxa"/>
            <w:vAlign w:val="center"/>
          </w:tcPr>
          <w:p w14:paraId="5F4C0E71" w14:textId="6CF189C4"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FOCUS_UG_ALL_17-YY_E942</w:t>
            </w:r>
          </w:p>
        </w:tc>
        <w:tc>
          <w:tcPr>
            <w:tcW w:w="4395" w:type="dxa"/>
            <w:vAlign w:val="center"/>
          </w:tcPr>
          <w:p w14:paraId="03D2ED35" w14:textId="093F1C51"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2017-2023) among undergraduates from all provider types by citizenship status</w:t>
            </w:r>
          </w:p>
        </w:tc>
      </w:tr>
      <w:tr w:rsidR="00217865" w:rsidRPr="00217865" w14:paraId="31738104" w14:textId="77777777" w:rsidTr="0006511F">
        <w:tc>
          <w:tcPr>
            <w:tcW w:w="957" w:type="dxa"/>
            <w:vAlign w:val="center"/>
          </w:tcPr>
          <w:p w14:paraId="0B98E302" w14:textId="552E097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03498CC9" w14:textId="04E29E39"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Figure 4</w:t>
            </w:r>
          </w:p>
        </w:tc>
        <w:tc>
          <w:tcPr>
            <w:tcW w:w="3362" w:type="dxa"/>
            <w:vAlign w:val="center"/>
          </w:tcPr>
          <w:p w14:paraId="37AAB251" w14:textId="622F1E3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FOCUS_PGC_ALL_17-YY_</w:t>
            </w:r>
            <w:r w:rsidRPr="00217865" w:rsidDel="004C3788">
              <w:rPr>
                <w:rFonts w:cs="Arial"/>
                <w:color w:val="000000" w:themeColor="text1"/>
                <w:sz w:val="18"/>
                <w:szCs w:val="18"/>
              </w:rPr>
              <w:t>E942</w:t>
            </w:r>
          </w:p>
        </w:tc>
        <w:tc>
          <w:tcPr>
            <w:tcW w:w="4395" w:type="dxa"/>
            <w:vAlign w:val="center"/>
          </w:tcPr>
          <w:p w14:paraId="2A87A938" w14:textId="44A6C5A0"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2017-2023) among postgraduate coursework students from all provider types by citizenship </w:t>
            </w:r>
            <w:r w:rsidRPr="00217865" w:rsidDel="004C3788">
              <w:rPr>
                <w:rFonts w:cs="Arial"/>
                <w:color w:val="000000" w:themeColor="text1"/>
                <w:sz w:val="18"/>
                <w:szCs w:val="18"/>
              </w:rPr>
              <w:t>status</w:t>
            </w:r>
          </w:p>
        </w:tc>
      </w:tr>
      <w:tr w:rsidR="00217865" w:rsidRPr="00217865" w14:paraId="740B5E40" w14:textId="77777777" w:rsidTr="0006511F">
        <w:tc>
          <w:tcPr>
            <w:tcW w:w="957" w:type="dxa"/>
            <w:vAlign w:val="center"/>
          </w:tcPr>
          <w:p w14:paraId="37294EB8" w14:textId="4CF853F4"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46BDC1A2" w14:textId="71DAF012"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78BA470E" w14:textId="6DB9A6C2"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FOCUS_UG_ALL_1Y_CURCOUNTRY</w:t>
            </w:r>
          </w:p>
        </w:tc>
        <w:tc>
          <w:tcPr>
            <w:tcW w:w="4395" w:type="dxa"/>
            <w:vAlign w:val="center"/>
          </w:tcPr>
          <w:p w14:paraId="1D44D0CF" w14:textId="063F48A1"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undergraduates from all provider types by country of residence</w:t>
            </w:r>
          </w:p>
        </w:tc>
      </w:tr>
      <w:tr w:rsidR="00217865" w:rsidRPr="00217865" w14:paraId="4FB07863" w14:textId="77777777" w:rsidTr="0006511F">
        <w:tc>
          <w:tcPr>
            <w:tcW w:w="957" w:type="dxa"/>
            <w:vAlign w:val="center"/>
          </w:tcPr>
          <w:p w14:paraId="732BC145" w14:textId="44D20E8C" w:rsidR="007E7942" w:rsidRPr="00217865" w:rsidRDefault="007E7942" w:rsidP="0006511F">
            <w:pPr>
              <w:pStyle w:val="Body"/>
              <w:rPr>
                <w:rFonts w:cs="Arial"/>
                <w:color w:val="000000" w:themeColor="text1"/>
                <w:sz w:val="18"/>
                <w:szCs w:val="18"/>
                <w:highlight w:val="yellow"/>
              </w:rPr>
            </w:pPr>
            <w:r w:rsidRPr="00217865" w:rsidDel="004C3788">
              <w:rPr>
                <w:rFonts w:cs="Arial"/>
                <w:color w:val="000000" w:themeColor="text1"/>
                <w:sz w:val="18"/>
                <w:szCs w:val="18"/>
              </w:rPr>
              <w:t>UG</w:t>
            </w:r>
          </w:p>
        </w:tc>
        <w:tc>
          <w:tcPr>
            <w:tcW w:w="1165" w:type="dxa"/>
            <w:vAlign w:val="center"/>
          </w:tcPr>
          <w:p w14:paraId="70A2765D" w14:textId="678AD6E4"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1</w:t>
            </w:r>
          </w:p>
        </w:tc>
        <w:tc>
          <w:tcPr>
            <w:tcW w:w="3362" w:type="dxa"/>
            <w:vAlign w:val="center"/>
          </w:tcPr>
          <w:p w14:paraId="23A3C932" w14:textId="4984E454"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FOCUS_UG_ALL_3Y_CURCOUNTRY</w:t>
            </w:r>
          </w:p>
        </w:tc>
        <w:tc>
          <w:tcPr>
            <w:tcW w:w="4395" w:type="dxa"/>
            <w:vAlign w:val="center"/>
          </w:tcPr>
          <w:p w14:paraId="5D6A3CEF" w14:textId="0A3851B2"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2021-2023) among undergraduates from all provider types by country of residence</w:t>
            </w:r>
          </w:p>
        </w:tc>
      </w:tr>
      <w:tr w:rsidR="00217865" w:rsidRPr="00217865" w14:paraId="0D9D8B1C" w14:textId="77777777" w:rsidTr="0006511F">
        <w:tc>
          <w:tcPr>
            <w:tcW w:w="957" w:type="dxa"/>
            <w:vAlign w:val="center"/>
          </w:tcPr>
          <w:p w14:paraId="40074675" w14:textId="2DA2D1B6"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7226BDD5" w14:textId="22C16F63"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34D9195" w14:textId="5A5407DC"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FOCUS_PGC_ALL_1Y_CURCOUNTRY</w:t>
            </w:r>
          </w:p>
        </w:tc>
        <w:tc>
          <w:tcPr>
            <w:tcW w:w="4395" w:type="dxa"/>
            <w:vAlign w:val="center"/>
          </w:tcPr>
          <w:p w14:paraId="61D6EF0C" w14:textId="64BE6D78"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postgraduate coursework students from all provider types by country of residence</w:t>
            </w:r>
          </w:p>
        </w:tc>
      </w:tr>
      <w:tr w:rsidR="00217865" w:rsidRPr="00217865" w14:paraId="08491403" w14:textId="77777777" w:rsidTr="0006511F">
        <w:tc>
          <w:tcPr>
            <w:tcW w:w="957" w:type="dxa"/>
            <w:vAlign w:val="center"/>
          </w:tcPr>
          <w:p w14:paraId="6FEE6C4A" w14:textId="787A79AB"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28BD38C9" w14:textId="0D9A969A"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2</w:t>
            </w:r>
          </w:p>
        </w:tc>
        <w:tc>
          <w:tcPr>
            <w:tcW w:w="3362" w:type="dxa"/>
            <w:vAlign w:val="center"/>
          </w:tcPr>
          <w:p w14:paraId="7E38520E" w14:textId="7E90409F"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FOCUS_PGC_ALL_3Y_CURCOUNTRY</w:t>
            </w:r>
          </w:p>
        </w:tc>
        <w:tc>
          <w:tcPr>
            <w:tcW w:w="4395" w:type="dxa"/>
            <w:vAlign w:val="center"/>
          </w:tcPr>
          <w:p w14:paraId="51B0D786" w14:textId="7F0C1A2E"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2021-2023) among postgraduate coursework students from all provider types by country of residence</w:t>
            </w:r>
          </w:p>
        </w:tc>
      </w:tr>
      <w:tr w:rsidR="00217865" w:rsidRPr="00217865" w14:paraId="6F9071EC" w14:textId="77777777" w:rsidTr="0006511F">
        <w:tc>
          <w:tcPr>
            <w:tcW w:w="957" w:type="dxa"/>
            <w:vAlign w:val="center"/>
          </w:tcPr>
          <w:p w14:paraId="769172E1" w14:textId="0E5551D2" w:rsidR="007E7942" w:rsidRPr="00217865" w:rsidRDefault="007E7942" w:rsidP="0006511F">
            <w:pPr>
              <w:pStyle w:val="Body"/>
              <w:rPr>
                <w:rFonts w:cs="Arial"/>
                <w:color w:val="000000" w:themeColor="text1"/>
                <w:sz w:val="18"/>
                <w:szCs w:val="18"/>
                <w:highlight w:val="yellow"/>
              </w:rPr>
            </w:pPr>
            <w:r w:rsidRPr="00217865" w:rsidDel="004C3788">
              <w:rPr>
                <w:rFonts w:cs="Arial"/>
                <w:color w:val="000000" w:themeColor="text1"/>
                <w:sz w:val="18"/>
                <w:szCs w:val="18"/>
              </w:rPr>
              <w:t>UG</w:t>
            </w:r>
          </w:p>
        </w:tc>
        <w:tc>
          <w:tcPr>
            <w:tcW w:w="1165" w:type="dxa"/>
            <w:vAlign w:val="center"/>
          </w:tcPr>
          <w:p w14:paraId="44F11FFE" w14:textId="3ADF475C"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71652FA8" w14:textId="7A30A98C"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FOCUS_UG_ALL_1Y_SECTOR</w:t>
            </w:r>
          </w:p>
        </w:tc>
        <w:tc>
          <w:tcPr>
            <w:tcW w:w="4395" w:type="dxa"/>
            <w:vAlign w:val="center"/>
          </w:tcPr>
          <w:p w14:paraId="51E23ECF" w14:textId="37E54BE8"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2023) among undergraduates from all provider types by sector</w:t>
            </w:r>
          </w:p>
        </w:tc>
      </w:tr>
      <w:tr w:rsidR="00217865" w:rsidRPr="00217865" w14:paraId="12566B94" w14:textId="77777777" w:rsidTr="0006511F">
        <w:tc>
          <w:tcPr>
            <w:tcW w:w="957" w:type="dxa"/>
            <w:vAlign w:val="center"/>
          </w:tcPr>
          <w:p w14:paraId="136F6C10" w14:textId="729DDA6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lastRenderedPageBreak/>
              <w:t>UG</w:t>
            </w:r>
          </w:p>
        </w:tc>
        <w:tc>
          <w:tcPr>
            <w:tcW w:w="1165" w:type="dxa"/>
            <w:vAlign w:val="center"/>
          </w:tcPr>
          <w:p w14:paraId="34916912" w14:textId="2CB0652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4978A76A" w14:textId="2CD1449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FOCUS_UG_UNI_1Y_INST_</w:t>
            </w:r>
            <w:r w:rsidRPr="00217865" w:rsidDel="004C3788">
              <w:rPr>
                <w:rFonts w:cs="Arial"/>
                <w:color w:val="000000" w:themeColor="text1"/>
                <w:sz w:val="18"/>
                <w:szCs w:val="18"/>
              </w:rPr>
              <w:t>CI</w:t>
            </w:r>
          </w:p>
        </w:tc>
        <w:tc>
          <w:tcPr>
            <w:tcW w:w="4395" w:type="dxa"/>
            <w:vAlign w:val="center"/>
          </w:tcPr>
          <w:p w14:paraId="34BB591D" w14:textId="7341294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with 90% confidence intervals) among undergraduates from universities by </w:t>
            </w:r>
            <w:r w:rsidRPr="00217865" w:rsidDel="004C3788">
              <w:rPr>
                <w:rFonts w:cs="Arial"/>
                <w:color w:val="000000" w:themeColor="text1"/>
                <w:sz w:val="18"/>
                <w:szCs w:val="18"/>
              </w:rPr>
              <w:t>institution</w:t>
            </w:r>
          </w:p>
        </w:tc>
      </w:tr>
      <w:tr w:rsidR="00217865" w:rsidRPr="00217865" w14:paraId="59EED297" w14:textId="77777777" w:rsidTr="0006511F">
        <w:tc>
          <w:tcPr>
            <w:tcW w:w="957" w:type="dxa"/>
            <w:vAlign w:val="center"/>
          </w:tcPr>
          <w:p w14:paraId="1869CF88" w14:textId="25DA3DA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2E4B41D0" w14:textId="0624550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1828A540" w14:textId="407BD8A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FOCUS_UG_UNI_1YP_INST_</w:t>
            </w:r>
            <w:r w:rsidRPr="00217865" w:rsidDel="004C3788">
              <w:rPr>
                <w:rFonts w:cs="Arial"/>
                <w:color w:val="000000" w:themeColor="text1"/>
                <w:sz w:val="18"/>
                <w:szCs w:val="18"/>
              </w:rPr>
              <w:t>CI</w:t>
            </w:r>
          </w:p>
        </w:tc>
        <w:tc>
          <w:tcPr>
            <w:tcW w:w="4395" w:type="dxa"/>
            <w:vAlign w:val="center"/>
          </w:tcPr>
          <w:p w14:paraId="6A58562C" w14:textId="6A336637"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pooled 2022 and 2023, with 90% confidence intervals) among undergraduates from universities by </w:t>
            </w:r>
            <w:r w:rsidRPr="00217865" w:rsidDel="004C3788">
              <w:rPr>
                <w:rFonts w:cs="Arial"/>
                <w:color w:val="000000" w:themeColor="text1"/>
                <w:sz w:val="18"/>
                <w:szCs w:val="18"/>
              </w:rPr>
              <w:t>institution</w:t>
            </w:r>
          </w:p>
        </w:tc>
      </w:tr>
      <w:tr w:rsidR="00217865" w:rsidRPr="00217865" w14:paraId="3636F3EF" w14:textId="77777777" w:rsidTr="0006511F">
        <w:tc>
          <w:tcPr>
            <w:tcW w:w="957" w:type="dxa"/>
            <w:vAlign w:val="center"/>
          </w:tcPr>
          <w:p w14:paraId="3A11C751" w14:textId="50E54D3B"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57184DCF" w14:textId="2210E1FD"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7</w:t>
            </w:r>
          </w:p>
        </w:tc>
        <w:tc>
          <w:tcPr>
            <w:tcW w:w="3362" w:type="dxa"/>
            <w:vAlign w:val="center"/>
          </w:tcPr>
          <w:p w14:paraId="5A6DE0CE" w14:textId="07D0B6F0"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FOCUS_UG_UNI_17-YY_INST_</w:t>
            </w:r>
            <w:r w:rsidRPr="00217865" w:rsidDel="004C3788">
              <w:rPr>
                <w:rFonts w:cs="Arial"/>
                <w:color w:val="000000" w:themeColor="text1"/>
                <w:sz w:val="18"/>
                <w:szCs w:val="18"/>
              </w:rPr>
              <w:t>CI</w:t>
            </w:r>
          </w:p>
        </w:tc>
        <w:tc>
          <w:tcPr>
            <w:tcW w:w="4395" w:type="dxa"/>
            <w:vAlign w:val="center"/>
          </w:tcPr>
          <w:p w14:paraId="44561A2C" w14:textId="6D06DB3E"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2017-2023, with 90% confidence intervals) among undergraduates from universities by </w:t>
            </w:r>
            <w:r w:rsidRPr="00217865" w:rsidDel="004C3788">
              <w:rPr>
                <w:rFonts w:cs="Arial"/>
                <w:color w:val="000000" w:themeColor="text1"/>
                <w:sz w:val="18"/>
                <w:szCs w:val="18"/>
              </w:rPr>
              <w:t>institution</w:t>
            </w:r>
          </w:p>
        </w:tc>
      </w:tr>
      <w:tr w:rsidR="00217865" w:rsidRPr="00217865" w14:paraId="17C8043B" w14:textId="77777777" w:rsidTr="0006511F">
        <w:tc>
          <w:tcPr>
            <w:tcW w:w="957" w:type="dxa"/>
            <w:vAlign w:val="center"/>
          </w:tcPr>
          <w:p w14:paraId="7538EB84" w14:textId="3B15D35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23B02309" w14:textId="0856AB3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373CE251" w14:textId="4F5A316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FOCUS_UG_UNI_2YD_INST_</w:t>
            </w:r>
            <w:r w:rsidRPr="00217865" w:rsidDel="004C3788">
              <w:rPr>
                <w:rFonts w:cs="Arial"/>
                <w:color w:val="000000" w:themeColor="text1"/>
                <w:sz w:val="18"/>
                <w:szCs w:val="18"/>
              </w:rPr>
              <w:t>CI</w:t>
            </w:r>
          </w:p>
        </w:tc>
        <w:tc>
          <w:tcPr>
            <w:tcW w:w="4395" w:type="dxa"/>
            <w:vAlign w:val="center"/>
          </w:tcPr>
          <w:p w14:paraId="35C3134B" w14:textId="522568F2"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w:t>
            </w:r>
            <w:proofErr w:type="gramStart"/>
            <w:r w:rsidRPr="00217865">
              <w:rPr>
                <w:rFonts w:cs="Arial"/>
                <w:color w:val="000000" w:themeColor="text1"/>
                <w:sz w:val="18"/>
                <w:szCs w:val="18"/>
              </w:rPr>
              <w:t>rating,  pooled</w:t>
            </w:r>
            <w:proofErr w:type="gramEnd"/>
            <w:r w:rsidRPr="00217865">
              <w:rPr>
                <w:rFonts w:cs="Arial"/>
                <w:color w:val="000000" w:themeColor="text1"/>
                <w:sz w:val="18"/>
                <w:szCs w:val="18"/>
              </w:rPr>
              <w:t xml:space="preserve"> 2020-2021 and 2022-2023, with 90% confidence intervals) among undergraduates from universities by </w:t>
            </w:r>
            <w:r w:rsidRPr="00217865" w:rsidDel="004C3788">
              <w:rPr>
                <w:rFonts w:cs="Arial"/>
                <w:color w:val="000000" w:themeColor="text1"/>
                <w:sz w:val="18"/>
                <w:szCs w:val="18"/>
              </w:rPr>
              <w:t>institution</w:t>
            </w:r>
          </w:p>
        </w:tc>
      </w:tr>
      <w:tr w:rsidR="00217865" w:rsidRPr="00217865" w14:paraId="28190F77" w14:textId="77777777" w:rsidTr="0006511F">
        <w:tc>
          <w:tcPr>
            <w:tcW w:w="957" w:type="dxa"/>
            <w:vAlign w:val="center"/>
          </w:tcPr>
          <w:p w14:paraId="6F57190F" w14:textId="0037FEC9"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7B69352E" w14:textId="7FF253E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0E2A12BC" w14:textId="7F36039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FOCUS_PGC_UNI_1Y_INST_</w:t>
            </w:r>
            <w:r w:rsidRPr="00217865" w:rsidDel="004C3788">
              <w:rPr>
                <w:rFonts w:cs="Arial"/>
                <w:color w:val="000000" w:themeColor="text1"/>
                <w:sz w:val="18"/>
                <w:szCs w:val="18"/>
              </w:rPr>
              <w:t>CI</w:t>
            </w:r>
          </w:p>
        </w:tc>
        <w:tc>
          <w:tcPr>
            <w:tcW w:w="4395" w:type="dxa"/>
            <w:vAlign w:val="center"/>
          </w:tcPr>
          <w:p w14:paraId="7F1D74DC" w14:textId="563495E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with 90% confidence intervals) among postgraduate coursework students from universities by </w:t>
            </w:r>
            <w:r w:rsidRPr="00217865" w:rsidDel="004C3788">
              <w:rPr>
                <w:rFonts w:cs="Arial"/>
                <w:color w:val="000000" w:themeColor="text1"/>
                <w:sz w:val="18"/>
                <w:szCs w:val="18"/>
              </w:rPr>
              <w:t>institution</w:t>
            </w:r>
          </w:p>
        </w:tc>
      </w:tr>
      <w:tr w:rsidR="00217865" w:rsidRPr="00217865" w14:paraId="6CC2022D" w14:textId="77777777" w:rsidTr="0006511F">
        <w:tc>
          <w:tcPr>
            <w:tcW w:w="957" w:type="dxa"/>
            <w:vAlign w:val="center"/>
          </w:tcPr>
          <w:p w14:paraId="6472FF4D" w14:textId="3A67328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2AB91A38" w14:textId="0E8AEF9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1A2FA9BE" w14:textId="240B4C8D"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FOCUS_PGC_UNI_1YP_INST_</w:t>
            </w:r>
            <w:r w:rsidRPr="00217865" w:rsidDel="004C3788">
              <w:rPr>
                <w:rFonts w:cs="Arial"/>
                <w:color w:val="000000" w:themeColor="text1"/>
                <w:sz w:val="18"/>
                <w:szCs w:val="18"/>
              </w:rPr>
              <w:t>CI</w:t>
            </w:r>
          </w:p>
        </w:tc>
        <w:tc>
          <w:tcPr>
            <w:tcW w:w="4395" w:type="dxa"/>
            <w:vAlign w:val="center"/>
          </w:tcPr>
          <w:p w14:paraId="318F97DF" w14:textId="6084845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Student experience (% positive rating, pooled 2022 and 2023, with 90% confidence intervals) among postgraduate coursework students from universities by institution</w:t>
            </w:r>
          </w:p>
        </w:tc>
      </w:tr>
      <w:tr w:rsidR="00217865" w:rsidRPr="00217865" w14:paraId="25126B19" w14:textId="77777777" w:rsidTr="0006511F">
        <w:tc>
          <w:tcPr>
            <w:tcW w:w="957" w:type="dxa"/>
            <w:vAlign w:val="center"/>
          </w:tcPr>
          <w:p w14:paraId="69DA7314" w14:textId="56D572D1"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7C7DB47B" w14:textId="51A3F94B"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7D81DA4D" w14:textId="58725C38"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FOCUS_PGC_UNI_17-YY_INST_</w:t>
            </w:r>
            <w:r w:rsidRPr="00217865" w:rsidDel="004C3788">
              <w:rPr>
                <w:rFonts w:cs="Arial"/>
                <w:color w:val="000000" w:themeColor="text1"/>
                <w:sz w:val="18"/>
                <w:szCs w:val="18"/>
              </w:rPr>
              <w:t>CI</w:t>
            </w:r>
          </w:p>
        </w:tc>
        <w:tc>
          <w:tcPr>
            <w:tcW w:w="4395" w:type="dxa"/>
            <w:vAlign w:val="center"/>
          </w:tcPr>
          <w:p w14:paraId="79A0B37B" w14:textId="3648C083"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2017-2023, with 90% confidence intervals) among postgraduate coursework students from universities by </w:t>
            </w:r>
            <w:r w:rsidRPr="00217865" w:rsidDel="004C3788">
              <w:rPr>
                <w:rFonts w:cs="Arial"/>
                <w:color w:val="000000" w:themeColor="text1"/>
                <w:sz w:val="18"/>
                <w:szCs w:val="18"/>
              </w:rPr>
              <w:t>institution</w:t>
            </w:r>
          </w:p>
        </w:tc>
      </w:tr>
      <w:tr w:rsidR="00217865" w:rsidRPr="00217865" w14:paraId="4E6DE0DE" w14:textId="77777777" w:rsidTr="0006511F">
        <w:tc>
          <w:tcPr>
            <w:tcW w:w="957" w:type="dxa"/>
            <w:vAlign w:val="center"/>
          </w:tcPr>
          <w:p w14:paraId="4EA369D5" w14:textId="200E383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PGC</w:t>
            </w:r>
          </w:p>
        </w:tc>
        <w:tc>
          <w:tcPr>
            <w:tcW w:w="1165" w:type="dxa"/>
            <w:vAlign w:val="center"/>
          </w:tcPr>
          <w:p w14:paraId="6E2002B8" w14:textId="1A9F8C1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5D152DB9" w14:textId="5C8F2231"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FOCUS_PGC_UNI_2YD_INST_</w:t>
            </w:r>
            <w:r w:rsidRPr="00217865" w:rsidDel="004C3788">
              <w:rPr>
                <w:rFonts w:cs="Arial"/>
                <w:color w:val="000000" w:themeColor="text1"/>
                <w:sz w:val="18"/>
                <w:szCs w:val="18"/>
              </w:rPr>
              <w:t>CI</w:t>
            </w:r>
          </w:p>
        </w:tc>
        <w:tc>
          <w:tcPr>
            <w:tcW w:w="4395" w:type="dxa"/>
            <w:vAlign w:val="center"/>
          </w:tcPr>
          <w:p w14:paraId="10880D2B" w14:textId="7A1FA2F0"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w:t>
            </w:r>
            <w:proofErr w:type="gramStart"/>
            <w:r w:rsidRPr="00217865">
              <w:rPr>
                <w:rFonts w:cs="Arial"/>
                <w:color w:val="000000" w:themeColor="text1"/>
                <w:sz w:val="18"/>
                <w:szCs w:val="18"/>
              </w:rPr>
              <w:t>rating,  pooled</w:t>
            </w:r>
            <w:proofErr w:type="gramEnd"/>
            <w:r w:rsidRPr="00217865">
              <w:rPr>
                <w:rFonts w:cs="Arial"/>
                <w:color w:val="000000" w:themeColor="text1"/>
                <w:sz w:val="18"/>
                <w:szCs w:val="18"/>
              </w:rPr>
              <w:t xml:space="preserve"> 2020-2021 and 2022-2023, with 90% confidence intervals) among postgraduate coursework students from universities by institution</w:t>
            </w:r>
          </w:p>
        </w:tc>
      </w:tr>
      <w:tr w:rsidR="00217865" w:rsidRPr="00217865" w14:paraId="6CF299AF" w14:textId="77777777" w:rsidTr="0006511F">
        <w:tc>
          <w:tcPr>
            <w:tcW w:w="957" w:type="dxa"/>
            <w:vAlign w:val="center"/>
          </w:tcPr>
          <w:p w14:paraId="685891F7" w14:textId="2ABADC08"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28E4B176" w14:textId="75CDF9A9"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6878B197" w14:textId="5D97E8B6"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FOCUS_UG_NUHEI_1Y_INST_</w:t>
            </w:r>
            <w:r w:rsidRPr="00217865" w:rsidDel="004C3788">
              <w:rPr>
                <w:rFonts w:cs="Arial"/>
                <w:color w:val="000000" w:themeColor="text1"/>
                <w:sz w:val="18"/>
                <w:szCs w:val="18"/>
              </w:rPr>
              <w:t>CI</w:t>
            </w:r>
          </w:p>
        </w:tc>
        <w:tc>
          <w:tcPr>
            <w:tcW w:w="4395" w:type="dxa"/>
            <w:vAlign w:val="center"/>
          </w:tcPr>
          <w:p w14:paraId="7941D0C2" w14:textId="27C764B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2023, with 90% confidence intervals) among undergraduates from non-university higher education institutes (NUHEIs) by </w:t>
            </w:r>
            <w:r w:rsidRPr="00217865" w:rsidDel="004C3788">
              <w:rPr>
                <w:rFonts w:cs="Arial"/>
                <w:color w:val="000000" w:themeColor="text1"/>
                <w:sz w:val="18"/>
                <w:szCs w:val="18"/>
              </w:rPr>
              <w:t>institution</w:t>
            </w:r>
          </w:p>
        </w:tc>
      </w:tr>
      <w:tr w:rsidR="00217865" w:rsidRPr="00217865" w14:paraId="43B622E4" w14:textId="77777777" w:rsidTr="0006511F">
        <w:tc>
          <w:tcPr>
            <w:tcW w:w="957" w:type="dxa"/>
            <w:vAlign w:val="center"/>
          </w:tcPr>
          <w:p w14:paraId="31FECE7A" w14:textId="2770593D"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1743FA8F" w14:textId="7C6A8960"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8</w:t>
            </w:r>
          </w:p>
        </w:tc>
        <w:tc>
          <w:tcPr>
            <w:tcW w:w="3362" w:type="dxa"/>
            <w:vAlign w:val="center"/>
          </w:tcPr>
          <w:p w14:paraId="25F00A6E" w14:textId="1C1C43F1"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FOCUS_UG_NUHEI_2YP_INST_</w:t>
            </w:r>
            <w:r w:rsidRPr="00217865" w:rsidDel="004C3788">
              <w:rPr>
                <w:rFonts w:cs="Arial"/>
                <w:color w:val="000000" w:themeColor="text1"/>
                <w:sz w:val="18"/>
                <w:szCs w:val="18"/>
              </w:rPr>
              <w:t>CI</w:t>
            </w:r>
          </w:p>
        </w:tc>
        <w:tc>
          <w:tcPr>
            <w:tcW w:w="4395" w:type="dxa"/>
            <w:vAlign w:val="center"/>
          </w:tcPr>
          <w:p w14:paraId="04CCE692" w14:textId="036732AC"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w:t>
            </w:r>
            <w:proofErr w:type="gramStart"/>
            <w:r w:rsidRPr="00217865">
              <w:rPr>
                <w:rFonts w:cs="Arial"/>
                <w:color w:val="000000" w:themeColor="text1"/>
                <w:sz w:val="18"/>
                <w:szCs w:val="18"/>
              </w:rPr>
              <w:t>rating,  pooled</w:t>
            </w:r>
            <w:proofErr w:type="gramEnd"/>
            <w:r w:rsidRPr="00217865">
              <w:rPr>
                <w:rFonts w:cs="Arial"/>
                <w:color w:val="000000" w:themeColor="text1"/>
                <w:sz w:val="18"/>
                <w:szCs w:val="18"/>
              </w:rPr>
              <w:t xml:space="preserve"> 2021-2022 and 2022-2023, with 90% confidence intervals) among undergraduates from non-university higher education institutes (NUHEIs) by </w:t>
            </w:r>
            <w:r w:rsidRPr="00217865" w:rsidDel="004C3788">
              <w:rPr>
                <w:rFonts w:cs="Arial"/>
                <w:color w:val="000000" w:themeColor="text1"/>
                <w:sz w:val="18"/>
                <w:szCs w:val="18"/>
              </w:rPr>
              <w:t>institution</w:t>
            </w:r>
          </w:p>
        </w:tc>
      </w:tr>
      <w:tr w:rsidR="00217865" w:rsidRPr="00217865" w14:paraId="320D079D" w14:textId="77777777" w:rsidTr="0006511F">
        <w:tc>
          <w:tcPr>
            <w:tcW w:w="957" w:type="dxa"/>
            <w:vAlign w:val="center"/>
          </w:tcPr>
          <w:p w14:paraId="3D6552FB" w14:textId="290F93DA"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UG</w:t>
            </w:r>
          </w:p>
        </w:tc>
        <w:tc>
          <w:tcPr>
            <w:tcW w:w="1165" w:type="dxa"/>
            <w:vAlign w:val="center"/>
          </w:tcPr>
          <w:p w14:paraId="732D2BF7" w14:textId="7561FA81" w:rsidR="007E7942"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26FC9932" w14:textId="55A7E1D8"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FOCUS_UG_NUHEI_17-YY_INST_</w:t>
            </w:r>
            <w:r w:rsidRPr="00217865" w:rsidDel="004C3788">
              <w:rPr>
                <w:rFonts w:cs="Arial"/>
                <w:color w:val="000000" w:themeColor="text1"/>
                <w:sz w:val="18"/>
                <w:szCs w:val="18"/>
              </w:rPr>
              <w:t>CI</w:t>
            </w:r>
          </w:p>
        </w:tc>
        <w:tc>
          <w:tcPr>
            <w:tcW w:w="4395" w:type="dxa"/>
            <w:vAlign w:val="center"/>
          </w:tcPr>
          <w:p w14:paraId="438DCD62" w14:textId="248FF888"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rating, 2017-2023, with 90% confidence intervals) among </w:t>
            </w:r>
            <w:r w:rsidRPr="00217865">
              <w:rPr>
                <w:rFonts w:cs="Arial"/>
                <w:color w:val="000000" w:themeColor="text1"/>
                <w:sz w:val="18"/>
                <w:szCs w:val="18"/>
              </w:rPr>
              <w:lastRenderedPageBreak/>
              <w:t xml:space="preserve">undergraduates from non-university higher education institutes (NUHEIs) by </w:t>
            </w:r>
            <w:r w:rsidRPr="00217865" w:rsidDel="004C3788">
              <w:rPr>
                <w:rFonts w:cs="Arial"/>
                <w:color w:val="000000" w:themeColor="text1"/>
                <w:sz w:val="18"/>
                <w:szCs w:val="18"/>
              </w:rPr>
              <w:t>institution</w:t>
            </w:r>
          </w:p>
        </w:tc>
      </w:tr>
      <w:tr w:rsidR="00217865" w:rsidRPr="00217865" w14:paraId="1E931C09" w14:textId="77777777" w:rsidTr="0006511F">
        <w:tc>
          <w:tcPr>
            <w:tcW w:w="957" w:type="dxa"/>
            <w:vAlign w:val="center"/>
          </w:tcPr>
          <w:p w14:paraId="38E9D1CD" w14:textId="423E43CF"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lastRenderedPageBreak/>
              <w:t>UG</w:t>
            </w:r>
          </w:p>
        </w:tc>
        <w:tc>
          <w:tcPr>
            <w:tcW w:w="1165" w:type="dxa"/>
            <w:vAlign w:val="center"/>
          </w:tcPr>
          <w:p w14:paraId="7D226F0D" w14:textId="1817232E"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2D0B2DCD" w14:textId="69BC4433"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FOCUS_UG_NUHEI_2YD_INST_</w:t>
            </w:r>
            <w:r w:rsidRPr="00217865" w:rsidDel="004C3788">
              <w:rPr>
                <w:rFonts w:cs="Arial"/>
                <w:color w:val="000000" w:themeColor="text1"/>
                <w:sz w:val="18"/>
                <w:szCs w:val="18"/>
              </w:rPr>
              <w:t>CI</w:t>
            </w:r>
          </w:p>
        </w:tc>
        <w:tc>
          <w:tcPr>
            <w:tcW w:w="4395" w:type="dxa"/>
            <w:vAlign w:val="center"/>
          </w:tcPr>
          <w:p w14:paraId="20E8D07D" w14:textId="769136DC"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szCs w:val="18"/>
              </w:rPr>
              <w:t xml:space="preserve">Student experience (% positive </w:t>
            </w:r>
            <w:proofErr w:type="gramStart"/>
            <w:r w:rsidRPr="00217865">
              <w:rPr>
                <w:rFonts w:cs="Arial"/>
                <w:color w:val="000000" w:themeColor="text1"/>
                <w:sz w:val="18"/>
                <w:szCs w:val="18"/>
              </w:rPr>
              <w:t>rating,  pooled</w:t>
            </w:r>
            <w:proofErr w:type="gramEnd"/>
            <w:r w:rsidRPr="00217865">
              <w:rPr>
                <w:rFonts w:cs="Arial"/>
                <w:color w:val="000000" w:themeColor="text1"/>
                <w:sz w:val="18"/>
                <w:szCs w:val="18"/>
              </w:rPr>
              <w:t xml:space="preserve"> 2020-2021 and 2022-2023, with 90% confidence intervals) among undergraduates from non-university higher education institutes (NUHEIs) by </w:t>
            </w:r>
            <w:r w:rsidRPr="00217865" w:rsidDel="004C3788">
              <w:rPr>
                <w:rFonts w:cs="Arial"/>
                <w:color w:val="000000" w:themeColor="text1"/>
                <w:sz w:val="18"/>
                <w:szCs w:val="18"/>
              </w:rPr>
              <w:t>institution</w:t>
            </w:r>
          </w:p>
        </w:tc>
      </w:tr>
      <w:tr w:rsidR="00217865" w:rsidRPr="00217865" w14:paraId="6E30BBDB" w14:textId="77777777" w:rsidTr="0006511F">
        <w:tc>
          <w:tcPr>
            <w:tcW w:w="957" w:type="dxa"/>
            <w:vAlign w:val="center"/>
          </w:tcPr>
          <w:p w14:paraId="45BE4112" w14:textId="3BAF95C6"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PGC</w:t>
            </w:r>
          </w:p>
        </w:tc>
        <w:tc>
          <w:tcPr>
            <w:tcW w:w="1165" w:type="dxa"/>
            <w:vAlign w:val="center"/>
          </w:tcPr>
          <w:p w14:paraId="2ED320FD" w14:textId="4AAD4CA4" w:rsidR="0006511F" w:rsidRPr="00217865" w:rsidRDefault="0006511F" w:rsidP="0006511F">
            <w:pPr>
              <w:pStyle w:val="Body"/>
              <w:rPr>
                <w:rFonts w:cs="Arial"/>
                <w:color w:val="000000" w:themeColor="text1"/>
                <w:sz w:val="18"/>
                <w:szCs w:val="18"/>
                <w:highlight w:val="yellow"/>
              </w:rPr>
            </w:pPr>
            <w:r w:rsidRPr="00217865">
              <w:rPr>
                <w:rFonts w:cs="Arial"/>
                <w:color w:val="000000" w:themeColor="text1"/>
                <w:sz w:val="18"/>
              </w:rPr>
              <w:t>-</w:t>
            </w:r>
          </w:p>
        </w:tc>
        <w:tc>
          <w:tcPr>
            <w:tcW w:w="3362" w:type="dxa"/>
            <w:vAlign w:val="center"/>
          </w:tcPr>
          <w:p w14:paraId="74A54E64" w14:textId="59E40A7C"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FOCUS_PGC_NUHEI_1Y_INST_CI</w:t>
            </w:r>
          </w:p>
        </w:tc>
        <w:tc>
          <w:tcPr>
            <w:tcW w:w="4395" w:type="dxa"/>
            <w:vAlign w:val="center"/>
          </w:tcPr>
          <w:p w14:paraId="04BD5349" w14:textId="075B4F1F"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Student experience (% positive rating, 2023, with 90% confidence intervals) among postgraduate coursework students from non-university higher education institutes (NUHEIs) by institution</w:t>
            </w:r>
          </w:p>
        </w:tc>
      </w:tr>
      <w:tr w:rsidR="00217865" w:rsidRPr="00217865" w14:paraId="45CAAEB9" w14:textId="77777777" w:rsidTr="0006511F">
        <w:tc>
          <w:tcPr>
            <w:tcW w:w="957" w:type="dxa"/>
            <w:vAlign w:val="center"/>
          </w:tcPr>
          <w:p w14:paraId="247898A1" w14:textId="23C6AC21" w:rsidR="007E7942" w:rsidRPr="00217865" w:rsidRDefault="007E7942" w:rsidP="0006511F">
            <w:pPr>
              <w:pStyle w:val="Body"/>
              <w:rPr>
                <w:rFonts w:cs="Arial"/>
                <w:color w:val="000000" w:themeColor="text1"/>
                <w:sz w:val="18"/>
                <w:szCs w:val="18"/>
              </w:rPr>
            </w:pPr>
            <w:r w:rsidRPr="00217865">
              <w:rPr>
                <w:rFonts w:cs="Arial"/>
                <w:color w:val="000000" w:themeColor="text1"/>
                <w:sz w:val="18"/>
                <w:szCs w:val="18"/>
              </w:rPr>
              <w:t>PGC</w:t>
            </w:r>
          </w:p>
        </w:tc>
        <w:tc>
          <w:tcPr>
            <w:tcW w:w="1165" w:type="dxa"/>
            <w:vAlign w:val="center"/>
          </w:tcPr>
          <w:p w14:paraId="41842F2E" w14:textId="17C62CB5" w:rsidR="007E7942" w:rsidRPr="00217865" w:rsidRDefault="007E7942" w:rsidP="0006511F">
            <w:pPr>
              <w:pStyle w:val="Body"/>
              <w:rPr>
                <w:rFonts w:cs="Arial"/>
                <w:color w:val="000000" w:themeColor="text1"/>
                <w:sz w:val="18"/>
                <w:szCs w:val="18"/>
                <w:highlight w:val="yellow"/>
              </w:rPr>
            </w:pPr>
            <w:r w:rsidRPr="00217865">
              <w:rPr>
                <w:rFonts w:cs="Arial"/>
                <w:color w:val="000000" w:themeColor="text1"/>
                <w:sz w:val="18"/>
                <w:szCs w:val="18"/>
              </w:rPr>
              <w:t>Table 9</w:t>
            </w:r>
          </w:p>
        </w:tc>
        <w:tc>
          <w:tcPr>
            <w:tcW w:w="3362" w:type="dxa"/>
            <w:vAlign w:val="center"/>
          </w:tcPr>
          <w:p w14:paraId="0712D79F" w14:textId="2F24B9E9" w:rsidR="007E7942" w:rsidRPr="00217865" w:rsidRDefault="007E7942" w:rsidP="0006511F">
            <w:pPr>
              <w:pStyle w:val="Body"/>
              <w:rPr>
                <w:rFonts w:cs="Arial"/>
                <w:color w:val="000000" w:themeColor="text1"/>
                <w:sz w:val="18"/>
                <w:szCs w:val="18"/>
              </w:rPr>
            </w:pPr>
            <w:r w:rsidRPr="00217865">
              <w:rPr>
                <w:rFonts w:cs="Arial"/>
                <w:color w:val="000000" w:themeColor="text1"/>
                <w:sz w:val="18"/>
                <w:szCs w:val="18"/>
              </w:rPr>
              <w:t>FOCUS_PGC_NUHEI_2YP_INST_CI</w:t>
            </w:r>
          </w:p>
        </w:tc>
        <w:tc>
          <w:tcPr>
            <w:tcW w:w="4395" w:type="dxa"/>
            <w:vAlign w:val="center"/>
          </w:tcPr>
          <w:p w14:paraId="78E6B56A" w14:textId="352AB333" w:rsidR="007E7942" w:rsidRPr="00217865" w:rsidRDefault="007E7942" w:rsidP="0006511F">
            <w:pPr>
              <w:pStyle w:val="Body"/>
              <w:rPr>
                <w:rFonts w:cs="Arial"/>
                <w:color w:val="000000" w:themeColor="text1"/>
                <w:sz w:val="18"/>
                <w:szCs w:val="18"/>
              </w:rPr>
            </w:pPr>
            <w:r w:rsidRPr="00217865">
              <w:rPr>
                <w:rFonts w:cs="Arial"/>
                <w:color w:val="000000" w:themeColor="text1"/>
                <w:sz w:val="18"/>
                <w:szCs w:val="18"/>
              </w:rPr>
              <w:t xml:space="preserve">Student experience (% positive </w:t>
            </w:r>
            <w:proofErr w:type="gramStart"/>
            <w:r w:rsidRPr="00217865">
              <w:rPr>
                <w:rFonts w:cs="Arial"/>
                <w:color w:val="000000" w:themeColor="text1"/>
                <w:sz w:val="18"/>
                <w:szCs w:val="18"/>
              </w:rPr>
              <w:t>rating,  pooled</w:t>
            </w:r>
            <w:proofErr w:type="gramEnd"/>
            <w:r w:rsidRPr="00217865">
              <w:rPr>
                <w:rFonts w:cs="Arial"/>
                <w:color w:val="000000" w:themeColor="text1"/>
                <w:sz w:val="18"/>
                <w:szCs w:val="18"/>
              </w:rPr>
              <w:t xml:space="preserve"> 2021-2022 and 2022-2023, with 90% confidence intervals) among postgraduate coursework students from non-university higher education institutes (NUHEIs) by institution</w:t>
            </w:r>
          </w:p>
        </w:tc>
      </w:tr>
      <w:tr w:rsidR="00217865" w:rsidRPr="00217865" w14:paraId="236D44BA" w14:textId="77777777" w:rsidTr="0006511F">
        <w:tc>
          <w:tcPr>
            <w:tcW w:w="957" w:type="dxa"/>
            <w:vAlign w:val="center"/>
          </w:tcPr>
          <w:p w14:paraId="2337B655" w14:textId="7E6A6E92"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PGC</w:t>
            </w:r>
          </w:p>
        </w:tc>
        <w:tc>
          <w:tcPr>
            <w:tcW w:w="1165" w:type="dxa"/>
            <w:vAlign w:val="center"/>
          </w:tcPr>
          <w:p w14:paraId="2B5A97B9" w14:textId="4D198CBE" w:rsidR="0006511F" w:rsidRPr="00217865" w:rsidRDefault="0006511F" w:rsidP="0006511F">
            <w:pPr>
              <w:pStyle w:val="Body"/>
              <w:rPr>
                <w:rFonts w:cs="Arial"/>
                <w:color w:val="000000" w:themeColor="text1"/>
                <w:sz w:val="18"/>
                <w:szCs w:val="18"/>
              </w:rPr>
            </w:pPr>
            <w:r w:rsidRPr="00217865">
              <w:rPr>
                <w:rFonts w:cs="Arial"/>
                <w:color w:val="000000" w:themeColor="text1"/>
                <w:sz w:val="18"/>
              </w:rPr>
              <w:t>-</w:t>
            </w:r>
          </w:p>
        </w:tc>
        <w:tc>
          <w:tcPr>
            <w:tcW w:w="3362" w:type="dxa"/>
            <w:vAlign w:val="center"/>
          </w:tcPr>
          <w:p w14:paraId="4D7B5A90" w14:textId="5420D943"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FOCUS_PGC_NUHEI_17-YY_INST_CI</w:t>
            </w:r>
          </w:p>
        </w:tc>
        <w:tc>
          <w:tcPr>
            <w:tcW w:w="4395" w:type="dxa"/>
            <w:vAlign w:val="center"/>
          </w:tcPr>
          <w:p w14:paraId="104E35A9" w14:textId="0B3BD3DB"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Student experience (% positive rating, 2017-2023, with 90% confidence intervals) among postgraduate coursework students from non-university higher education institutes (NUHEIs) by institution</w:t>
            </w:r>
          </w:p>
        </w:tc>
      </w:tr>
      <w:tr w:rsidR="00217865" w:rsidRPr="00217865" w14:paraId="235EC0E5" w14:textId="77777777" w:rsidTr="0006511F">
        <w:tc>
          <w:tcPr>
            <w:tcW w:w="957" w:type="dxa"/>
            <w:vAlign w:val="center"/>
          </w:tcPr>
          <w:p w14:paraId="021A4863" w14:textId="113B3D59"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PGC</w:t>
            </w:r>
          </w:p>
        </w:tc>
        <w:tc>
          <w:tcPr>
            <w:tcW w:w="1165" w:type="dxa"/>
            <w:vAlign w:val="center"/>
          </w:tcPr>
          <w:p w14:paraId="4557B689" w14:textId="68394078" w:rsidR="0006511F" w:rsidRPr="00217865" w:rsidRDefault="0006511F" w:rsidP="0006511F">
            <w:pPr>
              <w:pStyle w:val="Body"/>
              <w:rPr>
                <w:rFonts w:cs="Arial"/>
                <w:color w:val="000000" w:themeColor="text1"/>
                <w:sz w:val="18"/>
                <w:szCs w:val="18"/>
              </w:rPr>
            </w:pPr>
            <w:r w:rsidRPr="00217865">
              <w:rPr>
                <w:rFonts w:cs="Arial"/>
                <w:color w:val="000000" w:themeColor="text1"/>
                <w:sz w:val="18"/>
              </w:rPr>
              <w:t>-</w:t>
            </w:r>
          </w:p>
        </w:tc>
        <w:tc>
          <w:tcPr>
            <w:tcW w:w="3362" w:type="dxa"/>
            <w:vAlign w:val="center"/>
          </w:tcPr>
          <w:p w14:paraId="510284EE" w14:textId="28AD2912"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FOCUS_PGC_NUHEI_2YD_INST_CI</w:t>
            </w:r>
          </w:p>
        </w:tc>
        <w:tc>
          <w:tcPr>
            <w:tcW w:w="4395" w:type="dxa"/>
            <w:vAlign w:val="center"/>
          </w:tcPr>
          <w:p w14:paraId="68B2832A" w14:textId="0F79904C" w:rsidR="0006511F" w:rsidRPr="00217865" w:rsidRDefault="0006511F" w:rsidP="0006511F">
            <w:pPr>
              <w:pStyle w:val="Body"/>
              <w:rPr>
                <w:rFonts w:cs="Arial"/>
                <w:color w:val="000000" w:themeColor="text1"/>
                <w:sz w:val="18"/>
                <w:szCs w:val="18"/>
              </w:rPr>
            </w:pPr>
            <w:r w:rsidRPr="00217865">
              <w:rPr>
                <w:rFonts w:cs="Arial"/>
                <w:color w:val="000000" w:themeColor="text1"/>
                <w:sz w:val="18"/>
                <w:szCs w:val="18"/>
              </w:rPr>
              <w:t>Student experience (% positive rating, pooled 2020-2021 and 2022-2023, with 90% confidence intervals) among postgraduate coursework students from non-university higher education institutes (NUHEIs) by institution</w:t>
            </w:r>
          </w:p>
        </w:tc>
      </w:tr>
    </w:tbl>
    <w:p w14:paraId="0CA749D5" w14:textId="44DCFB89" w:rsidR="005A5905" w:rsidRPr="00217865" w:rsidRDefault="005A5905" w:rsidP="009D4378">
      <w:pPr>
        <w:pStyle w:val="Appendix3"/>
        <w:numPr>
          <w:ilvl w:val="0"/>
          <w:numId w:val="28"/>
        </w:numPr>
        <w:ind w:hanging="720"/>
        <w:rPr>
          <w:rFonts w:cs="Arial"/>
          <w:color w:val="000000" w:themeColor="text1"/>
        </w:rPr>
      </w:pPr>
      <w:bookmarkStart w:id="609" w:name="_Toc167872834"/>
      <w:bookmarkStart w:id="610" w:name="_Toc178599325"/>
      <w:r w:rsidRPr="00217865">
        <w:rPr>
          <w:rFonts w:cs="Arial"/>
          <w:color w:val="000000" w:themeColor="text1"/>
        </w:rPr>
        <w:t>Considered leaving</w:t>
      </w:r>
      <w:bookmarkEnd w:id="609"/>
      <w:bookmarkEnd w:id="610"/>
    </w:p>
    <w:p w14:paraId="08C82B93" w14:textId="77777777" w:rsidR="005A5905" w:rsidRPr="00217865" w:rsidRDefault="005A5905" w:rsidP="005A5905">
      <w:pPr>
        <w:pStyle w:val="Body"/>
        <w:rPr>
          <w:rFonts w:cs="Arial"/>
          <w:color w:val="000000" w:themeColor="text1"/>
        </w:rPr>
      </w:pPr>
      <w:r w:rsidRPr="00217865">
        <w:rPr>
          <w:rFonts w:cs="Arial"/>
          <w:color w:val="000000" w:themeColor="text1"/>
        </w:rPr>
        <w:t>One item in the Student Experience Survey asks students whether they have in that year “seriously considered leaving” their institution and if so to indicate one or more of the reasons for seriously considering leaving. The following group of tables give details of students who have indicated that they have or have not considered leaving in that year and the reasons broken down by various factors including demographic characteristics, academic grades, study area and type of institution.</w:t>
      </w:r>
    </w:p>
    <w:p w14:paraId="023C6CEA" w14:textId="77777777" w:rsidR="005A5905" w:rsidRPr="00217865" w:rsidRDefault="005A5905" w:rsidP="005A5905">
      <w:pPr>
        <w:pStyle w:val="BodyText"/>
        <w:rPr>
          <w:rFonts w:cs="Arial"/>
          <w:color w:val="000000" w:themeColor="text1"/>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310"/>
        <w:gridCol w:w="3217"/>
        <w:gridCol w:w="4394"/>
      </w:tblGrid>
      <w:tr w:rsidR="00217865" w:rsidRPr="00217865" w14:paraId="0D11DC0E" w14:textId="77777777" w:rsidTr="0006511F">
        <w:trPr>
          <w:trHeight w:val="315"/>
          <w:tblHeader/>
        </w:trPr>
        <w:tc>
          <w:tcPr>
            <w:tcW w:w="997" w:type="dxa"/>
            <w:noWrap/>
            <w:vAlign w:val="bottom"/>
          </w:tcPr>
          <w:p w14:paraId="632AFD8F"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Course level</w:t>
            </w:r>
          </w:p>
        </w:tc>
        <w:tc>
          <w:tcPr>
            <w:tcW w:w="1310" w:type="dxa"/>
            <w:noWrap/>
            <w:vAlign w:val="bottom"/>
          </w:tcPr>
          <w:p w14:paraId="034E4BC5" w14:textId="457FAAD1" w:rsidR="005A5905" w:rsidRPr="00217865" w:rsidRDefault="005A5905" w:rsidP="0006511F">
            <w:pPr>
              <w:pStyle w:val="BodyText"/>
              <w:rPr>
                <w:rFonts w:cs="Arial"/>
                <w:b/>
                <w:color w:val="000000" w:themeColor="text1"/>
                <w:sz w:val="18"/>
              </w:rPr>
            </w:pPr>
            <w:r w:rsidRPr="00217865">
              <w:rPr>
                <w:rFonts w:cs="Arial"/>
                <w:b/>
                <w:color w:val="000000" w:themeColor="text1"/>
                <w:sz w:val="18"/>
              </w:rPr>
              <w:t xml:space="preserve">Report </w:t>
            </w:r>
            <w:r w:rsidR="008279CE" w:rsidRPr="00217865">
              <w:rPr>
                <w:rFonts w:cs="Arial"/>
                <w:b/>
                <w:bCs/>
                <w:color w:val="000000" w:themeColor="text1"/>
                <w:sz w:val="18"/>
              </w:rPr>
              <w:t>reference</w:t>
            </w:r>
          </w:p>
        </w:tc>
        <w:tc>
          <w:tcPr>
            <w:tcW w:w="3217" w:type="dxa"/>
            <w:vAlign w:val="bottom"/>
          </w:tcPr>
          <w:p w14:paraId="6DBD6F7F"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Sheet name</w:t>
            </w:r>
          </w:p>
        </w:tc>
        <w:tc>
          <w:tcPr>
            <w:tcW w:w="4394" w:type="dxa"/>
            <w:noWrap/>
            <w:vAlign w:val="bottom"/>
          </w:tcPr>
          <w:p w14:paraId="176B5E6B"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Table title</w:t>
            </w:r>
          </w:p>
        </w:tc>
      </w:tr>
      <w:tr w:rsidR="00217865" w:rsidRPr="00217865" w14:paraId="4ACBB579" w14:textId="77777777" w:rsidTr="0006511F">
        <w:trPr>
          <w:trHeight w:val="300"/>
        </w:trPr>
        <w:tc>
          <w:tcPr>
            <w:tcW w:w="997" w:type="dxa"/>
            <w:noWrap/>
            <w:vAlign w:val="center"/>
            <w:hideMark/>
          </w:tcPr>
          <w:p w14:paraId="0133CCDF" w14:textId="0D218D5D" w:rsidR="002F0FC6" w:rsidRPr="00217865" w:rsidRDefault="002F0FC6"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3B473AF0" w14:textId="7B07203F" w:rsidR="002F0FC6"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36ACDE4F" w14:textId="5B38ECD2"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CONSID_UG_ALL_1Y_ISG</w:t>
            </w:r>
          </w:p>
        </w:tc>
        <w:tc>
          <w:tcPr>
            <w:tcW w:w="4394" w:type="dxa"/>
            <w:noWrap/>
            <w:vAlign w:val="center"/>
            <w:hideMark/>
          </w:tcPr>
          <w:p w14:paraId="20D948D4" w14:textId="31E20B6F"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undergraduates from all provider types by demographic and contextual </w:t>
            </w:r>
            <w:r w:rsidRPr="00217865" w:rsidDel="00E36AD6">
              <w:rPr>
                <w:rFonts w:cs="Arial"/>
                <w:color w:val="000000" w:themeColor="text1"/>
                <w:sz w:val="18"/>
              </w:rPr>
              <w:t>group</w:t>
            </w:r>
          </w:p>
        </w:tc>
      </w:tr>
      <w:tr w:rsidR="00217865" w:rsidRPr="00217865" w14:paraId="69393F74" w14:textId="77777777" w:rsidTr="0006511F">
        <w:trPr>
          <w:trHeight w:val="300"/>
        </w:trPr>
        <w:tc>
          <w:tcPr>
            <w:tcW w:w="997" w:type="dxa"/>
            <w:noWrap/>
            <w:vAlign w:val="center"/>
            <w:hideMark/>
          </w:tcPr>
          <w:p w14:paraId="03FDAF3D" w14:textId="47DD5E51" w:rsidR="002F0FC6" w:rsidRPr="00217865" w:rsidRDefault="002F0FC6" w:rsidP="0006511F">
            <w:pPr>
              <w:pStyle w:val="BodyText"/>
              <w:rPr>
                <w:rFonts w:cs="Arial"/>
                <w:color w:val="000000" w:themeColor="text1"/>
                <w:sz w:val="18"/>
                <w:highlight w:val="yellow"/>
              </w:rPr>
            </w:pPr>
            <w:r w:rsidRPr="00217865" w:rsidDel="00E36AD6">
              <w:rPr>
                <w:rFonts w:cs="Arial"/>
                <w:color w:val="000000" w:themeColor="text1"/>
                <w:sz w:val="18"/>
              </w:rPr>
              <w:lastRenderedPageBreak/>
              <w:t>UG</w:t>
            </w:r>
          </w:p>
        </w:tc>
        <w:tc>
          <w:tcPr>
            <w:tcW w:w="1310" w:type="dxa"/>
            <w:noWrap/>
            <w:vAlign w:val="center"/>
            <w:hideMark/>
          </w:tcPr>
          <w:p w14:paraId="36386731" w14:textId="61CC7090" w:rsidR="002F0FC6"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2CDB86D6" w14:textId="12781DB9"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CONSID_UG_UNI_1Y_ISG</w:t>
            </w:r>
          </w:p>
        </w:tc>
        <w:tc>
          <w:tcPr>
            <w:tcW w:w="4394" w:type="dxa"/>
            <w:noWrap/>
            <w:vAlign w:val="center"/>
            <w:hideMark/>
          </w:tcPr>
          <w:p w14:paraId="7CD096E1" w14:textId="251902F2"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undergraduates from universities by demographic and contextual </w:t>
            </w:r>
            <w:r w:rsidRPr="00217865" w:rsidDel="00E36AD6">
              <w:rPr>
                <w:rFonts w:cs="Arial"/>
                <w:color w:val="000000" w:themeColor="text1"/>
                <w:sz w:val="18"/>
              </w:rPr>
              <w:t>group</w:t>
            </w:r>
          </w:p>
        </w:tc>
      </w:tr>
      <w:tr w:rsidR="00217865" w:rsidRPr="00217865" w14:paraId="1DBAC0FA" w14:textId="77777777" w:rsidTr="0006511F">
        <w:trPr>
          <w:trHeight w:val="300"/>
        </w:trPr>
        <w:tc>
          <w:tcPr>
            <w:tcW w:w="997" w:type="dxa"/>
            <w:noWrap/>
            <w:vAlign w:val="center"/>
            <w:hideMark/>
          </w:tcPr>
          <w:p w14:paraId="54443FF2" w14:textId="4B92D55B"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59561BF3" w14:textId="577A91C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577B2ED7" w14:textId="5B0FDCE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CONSID_UG_NUHEI_1Y_ISG</w:t>
            </w:r>
          </w:p>
        </w:tc>
        <w:tc>
          <w:tcPr>
            <w:tcW w:w="4394" w:type="dxa"/>
            <w:noWrap/>
            <w:vAlign w:val="center"/>
            <w:hideMark/>
          </w:tcPr>
          <w:p w14:paraId="2BC0C7B9" w14:textId="0A9B33E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undergraduates from non-university higher education institutes (NUHEIs) by demographic and contextual </w:t>
            </w:r>
            <w:r w:rsidRPr="00217865" w:rsidDel="00E36AD6">
              <w:rPr>
                <w:rFonts w:cs="Arial"/>
                <w:color w:val="000000" w:themeColor="text1"/>
                <w:sz w:val="18"/>
              </w:rPr>
              <w:t>group</w:t>
            </w:r>
          </w:p>
        </w:tc>
      </w:tr>
      <w:tr w:rsidR="00217865" w:rsidRPr="00217865" w14:paraId="5B96EE7D" w14:textId="77777777" w:rsidTr="0006511F">
        <w:trPr>
          <w:trHeight w:val="300"/>
        </w:trPr>
        <w:tc>
          <w:tcPr>
            <w:tcW w:w="997" w:type="dxa"/>
            <w:noWrap/>
            <w:vAlign w:val="center"/>
            <w:hideMark/>
          </w:tcPr>
          <w:p w14:paraId="2089F636" w14:textId="7F2333E1"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67B742B7" w14:textId="1438499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7C876328" w14:textId="048A2E7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CONSID_PGC_ALL_1Y_ISG</w:t>
            </w:r>
          </w:p>
        </w:tc>
        <w:tc>
          <w:tcPr>
            <w:tcW w:w="4394" w:type="dxa"/>
            <w:noWrap/>
            <w:vAlign w:val="center"/>
            <w:hideMark/>
          </w:tcPr>
          <w:p w14:paraId="70F3FF52" w14:textId="442511C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postgraduate coursework students from all provider types by demographic and contextual </w:t>
            </w:r>
            <w:r w:rsidRPr="00217865" w:rsidDel="00E36AD6">
              <w:rPr>
                <w:rFonts w:cs="Arial"/>
                <w:color w:val="000000" w:themeColor="text1"/>
                <w:sz w:val="18"/>
              </w:rPr>
              <w:t>group</w:t>
            </w:r>
          </w:p>
        </w:tc>
      </w:tr>
      <w:tr w:rsidR="00217865" w:rsidRPr="00217865" w14:paraId="3F61F5A7" w14:textId="77777777" w:rsidTr="0006511F">
        <w:trPr>
          <w:trHeight w:val="300"/>
        </w:trPr>
        <w:tc>
          <w:tcPr>
            <w:tcW w:w="997" w:type="dxa"/>
            <w:noWrap/>
            <w:vAlign w:val="center"/>
            <w:hideMark/>
          </w:tcPr>
          <w:p w14:paraId="48481B6F" w14:textId="5D26C505"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11514BFE" w14:textId="4E6B800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76DCFA81" w14:textId="33613B9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CONSID_PGC_UNI_1Y_ISG</w:t>
            </w:r>
          </w:p>
        </w:tc>
        <w:tc>
          <w:tcPr>
            <w:tcW w:w="4394" w:type="dxa"/>
            <w:noWrap/>
            <w:vAlign w:val="center"/>
            <w:hideMark/>
          </w:tcPr>
          <w:p w14:paraId="16831FA7" w14:textId="3437E37A"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postgraduate coursework students from universities by demographic and contextual </w:t>
            </w:r>
            <w:r w:rsidRPr="00217865" w:rsidDel="00E36AD6">
              <w:rPr>
                <w:rFonts w:cs="Arial"/>
                <w:color w:val="000000" w:themeColor="text1"/>
                <w:sz w:val="18"/>
              </w:rPr>
              <w:t>group</w:t>
            </w:r>
          </w:p>
        </w:tc>
      </w:tr>
      <w:tr w:rsidR="00217865" w:rsidRPr="00217865" w14:paraId="2D2E599E" w14:textId="77777777" w:rsidTr="0006511F">
        <w:trPr>
          <w:trHeight w:val="300"/>
        </w:trPr>
        <w:tc>
          <w:tcPr>
            <w:tcW w:w="997" w:type="dxa"/>
            <w:noWrap/>
            <w:vAlign w:val="center"/>
            <w:hideMark/>
          </w:tcPr>
          <w:p w14:paraId="2C19D30C" w14:textId="5F1E8E12"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75C242DB" w14:textId="0D1AFDB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388BC10C" w14:textId="323D1EB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CONSID_PGC_NUHEI_1Y_ISG</w:t>
            </w:r>
          </w:p>
        </w:tc>
        <w:tc>
          <w:tcPr>
            <w:tcW w:w="4394" w:type="dxa"/>
            <w:noWrap/>
            <w:vAlign w:val="center"/>
            <w:hideMark/>
          </w:tcPr>
          <w:p w14:paraId="6479BC01" w14:textId="6DCFDB3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who considered early departure (2023) among postgraduate coursework students from non-university higher education institutes (NUHEIs) by demographic and contextual </w:t>
            </w:r>
            <w:r w:rsidRPr="00217865" w:rsidDel="00E36AD6">
              <w:rPr>
                <w:rFonts w:cs="Arial"/>
                <w:color w:val="000000" w:themeColor="text1"/>
                <w:sz w:val="18"/>
              </w:rPr>
              <w:t>group</w:t>
            </w:r>
          </w:p>
        </w:tc>
      </w:tr>
      <w:tr w:rsidR="00217865" w:rsidRPr="00217865" w14:paraId="500A5958" w14:textId="77777777" w:rsidTr="0006511F">
        <w:trPr>
          <w:trHeight w:val="300"/>
        </w:trPr>
        <w:tc>
          <w:tcPr>
            <w:tcW w:w="997" w:type="dxa"/>
            <w:noWrap/>
            <w:vAlign w:val="center"/>
            <w:hideMark/>
          </w:tcPr>
          <w:p w14:paraId="6630C169" w14:textId="5A1AE364"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7778D021" w14:textId="5F83E3F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70D56CE9" w14:textId="0CE92DD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CONSID_UG_ALL_17-YY_</w:t>
            </w:r>
            <w:r w:rsidRPr="00217865" w:rsidDel="00E36AD6">
              <w:rPr>
                <w:rFonts w:cs="Arial"/>
                <w:color w:val="000000" w:themeColor="text1"/>
                <w:sz w:val="18"/>
              </w:rPr>
              <w:t>CH</w:t>
            </w:r>
          </w:p>
        </w:tc>
        <w:tc>
          <w:tcPr>
            <w:tcW w:w="4394" w:type="dxa"/>
            <w:noWrap/>
            <w:vAlign w:val="center"/>
            <w:hideMark/>
          </w:tcPr>
          <w:p w14:paraId="46C00847" w14:textId="688F366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undergraduates from all provider types by </w:t>
            </w:r>
            <w:r w:rsidRPr="00217865" w:rsidDel="00E36AD6">
              <w:rPr>
                <w:rFonts w:cs="Arial"/>
                <w:color w:val="000000" w:themeColor="text1"/>
                <w:sz w:val="18"/>
              </w:rPr>
              <w:t>year</w:t>
            </w:r>
          </w:p>
        </w:tc>
      </w:tr>
      <w:tr w:rsidR="00217865" w:rsidRPr="00217865" w14:paraId="6E382753" w14:textId="77777777" w:rsidTr="0006511F">
        <w:trPr>
          <w:trHeight w:val="300"/>
        </w:trPr>
        <w:tc>
          <w:tcPr>
            <w:tcW w:w="997" w:type="dxa"/>
            <w:noWrap/>
            <w:vAlign w:val="center"/>
            <w:hideMark/>
          </w:tcPr>
          <w:p w14:paraId="38125EBC" w14:textId="59266C26" w:rsidR="002F0FC6" w:rsidRPr="00217865" w:rsidRDefault="002F0FC6"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33C91D00" w14:textId="7D8656C0"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Figure 11</w:t>
            </w:r>
          </w:p>
        </w:tc>
        <w:tc>
          <w:tcPr>
            <w:tcW w:w="3217" w:type="dxa"/>
            <w:vAlign w:val="center"/>
          </w:tcPr>
          <w:p w14:paraId="456A6683" w14:textId="320FD522"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CONSID_CH_UG_ALL_17-YY_</w:t>
            </w:r>
            <w:r w:rsidRPr="00217865" w:rsidDel="00E36AD6">
              <w:rPr>
                <w:rFonts w:cs="Arial"/>
                <w:color w:val="000000" w:themeColor="text1"/>
                <w:sz w:val="18"/>
              </w:rPr>
              <w:t>E942</w:t>
            </w:r>
          </w:p>
        </w:tc>
        <w:tc>
          <w:tcPr>
            <w:tcW w:w="4394" w:type="dxa"/>
            <w:noWrap/>
            <w:vAlign w:val="center"/>
            <w:hideMark/>
          </w:tcPr>
          <w:p w14:paraId="1DEB7D71" w14:textId="24703F56"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Percentage selected reasons for considered early departure among undergraduates from all provider types by citizenship status, 2017-2023</w:t>
            </w:r>
          </w:p>
        </w:tc>
      </w:tr>
      <w:tr w:rsidR="00217865" w:rsidRPr="00217865" w14:paraId="0A3D755F" w14:textId="77777777" w:rsidTr="0006511F">
        <w:trPr>
          <w:trHeight w:val="300"/>
        </w:trPr>
        <w:tc>
          <w:tcPr>
            <w:tcW w:w="997" w:type="dxa"/>
            <w:noWrap/>
            <w:vAlign w:val="center"/>
            <w:hideMark/>
          </w:tcPr>
          <w:p w14:paraId="7B497BBB" w14:textId="013A92C0"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4D1CBA61" w14:textId="6D7D223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62270868" w14:textId="3F1C6E5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CONSID_UG_UNI_17-YY_</w:t>
            </w:r>
            <w:r w:rsidRPr="00217865" w:rsidDel="00E36AD6">
              <w:rPr>
                <w:rFonts w:cs="Arial"/>
                <w:color w:val="000000" w:themeColor="text1"/>
                <w:sz w:val="18"/>
              </w:rPr>
              <w:t>CH</w:t>
            </w:r>
          </w:p>
        </w:tc>
        <w:tc>
          <w:tcPr>
            <w:tcW w:w="4394" w:type="dxa"/>
            <w:noWrap/>
            <w:vAlign w:val="center"/>
            <w:hideMark/>
          </w:tcPr>
          <w:p w14:paraId="0E7A7093" w14:textId="40C11DD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undergraduates from universities by </w:t>
            </w:r>
            <w:r w:rsidRPr="00217865" w:rsidDel="00E36AD6">
              <w:rPr>
                <w:rFonts w:cs="Arial"/>
                <w:color w:val="000000" w:themeColor="text1"/>
                <w:sz w:val="18"/>
              </w:rPr>
              <w:t>year</w:t>
            </w:r>
          </w:p>
        </w:tc>
      </w:tr>
      <w:tr w:rsidR="00217865" w:rsidRPr="00217865" w14:paraId="3ED62419" w14:textId="77777777" w:rsidTr="0006511F">
        <w:trPr>
          <w:trHeight w:val="300"/>
        </w:trPr>
        <w:tc>
          <w:tcPr>
            <w:tcW w:w="997" w:type="dxa"/>
            <w:noWrap/>
            <w:vAlign w:val="center"/>
            <w:hideMark/>
          </w:tcPr>
          <w:p w14:paraId="72CC794D" w14:textId="4BA20B62"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UG</w:t>
            </w:r>
          </w:p>
        </w:tc>
        <w:tc>
          <w:tcPr>
            <w:tcW w:w="1310" w:type="dxa"/>
            <w:noWrap/>
            <w:vAlign w:val="center"/>
            <w:hideMark/>
          </w:tcPr>
          <w:p w14:paraId="29567D3B" w14:textId="7496E66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760EF674" w14:textId="229B7F6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CONSID_UG_NUHEI_17-YY_</w:t>
            </w:r>
            <w:r w:rsidRPr="00217865" w:rsidDel="00E36AD6">
              <w:rPr>
                <w:rFonts w:cs="Arial"/>
                <w:color w:val="000000" w:themeColor="text1"/>
                <w:sz w:val="18"/>
              </w:rPr>
              <w:t>CH</w:t>
            </w:r>
          </w:p>
        </w:tc>
        <w:tc>
          <w:tcPr>
            <w:tcW w:w="4394" w:type="dxa"/>
            <w:noWrap/>
            <w:vAlign w:val="center"/>
            <w:hideMark/>
          </w:tcPr>
          <w:p w14:paraId="3711BEEC" w14:textId="4272585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undergraduates from non-university higher education institutes (NUHEIs) by </w:t>
            </w:r>
            <w:r w:rsidRPr="00217865" w:rsidDel="00E36AD6">
              <w:rPr>
                <w:rFonts w:cs="Arial"/>
                <w:color w:val="000000" w:themeColor="text1"/>
                <w:sz w:val="18"/>
              </w:rPr>
              <w:t>year</w:t>
            </w:r>
          </w:p>
        </w:tc>
      </w:tr>
      <w:tr w:rsidR="00217865" w:rsidRPr="00217865" w14:paraId="64040DE7" w14:textId="77777777" w:rsidTr="0006511F">
        <w:trPr>
          <w:trHeight w:val="300"/>
        </w:trPr>
        <w:tc>
          <w:tcPr>
            <w:tcW w:w="997" w:type="dxa"/>
            <w:noWrap/>
            <w:vAlign w:val="center"/>
            <w:hideMark/>
          </w:tcPr>
          <w:p w14:paraId="3833AE0C" w14:textId="37B50DD4"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31A8C978" w14:textId="5C120DC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3345C288" w14:textId="37E0454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CONSID_PGC_ALL_17-YY_</w:t>
            </w:r>
            <w:r w:rsidRPr="00217865" w:rsidDel="00E36AD6">
              <w:rPr>
                <w:rFonts w:cs="Arial"/>
                <w:color w:val="000000" w:themeColor="text1"/>
                <w:sz w:val="18"/>
              </w:rPr>
              <w:t>CH</w:t>
            </w:r>
          </w:p>
        </w:tc>
        <w:tc>
          <w:tcPr>
            <w:tcW w:w="4394" w:type="dxa"/>
            <w:noWrap/>
            <w:vAlign w:val="center"/>
            <w:hideMark/>
          </w:tcPr>
          <w:p w14:paraId="1644AF41" w14:textId="31CE5E4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postgraduate coursework students from all provider types by </w:t>
            </w:r>
            <w:r w:rsidRPr="00217865" w:rsidDel="00E36AD6">
              <w:rPr>
                <w:rFonts w:cs="Arial"/>
                <w:color w:val="000000" w:themeColor="text1"/>
                <w:sz w:val="18"/>
              </w:rPr>
              <w:t>year</w:t>
            </w:r>
          </w:p>
        </w:tc>
      </w:tr>
      <w:tr w:rsidR="00217865" w:rsidRPr="00217865" w14:paraId="130ADF0B" w14:textId="77777777" w:rsidTr="0006511F">
        <w:trPr>
          <w:trHeight w:val="300"/>
        </w:trPr>
        <w:tc>
          <w:tcPr>
            <w:tcW w:w="997" w:type="dxa"/>
            <w:noWrap/>
            <w:vAlign w:val="center"/>
            <w:hideMark/>
          </w:tcPr>
          <w:p w14:paraId="0A964717" w14:textId="5504A1F0" w:rsidR="002F0FC6" w:rsidRPr="00217865" w:rsidRDefault="002F0FC6"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4231ED9C" w14:textId="56086278"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Figure 12</w:t>
            </w:r>
          </w:p>
        </w:tc>
        <w:tc>
          <w:tcPr>
            <w:tcW w:w="3217" w:type="dxa"/>
            <w:vAlign w:val="center"/>
          </w:tcPr>
          <w:p w14:paraId="1075529D" w14:textId="2DC55898"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CONSID_CH_PG_ALL_17-YY_</w:t>
            </w:r>
            <w:r w:rsidRPr="00217865" w:rsidDel="00E36AD6">
              <w:rPr>
                <w:rFonts w:cs="Arial"/>
                <w:color w:val="000000" w:themeColor="text1"/>
                <w:sz w:val="18"/>
              </w:rPr>
              <w:t>E942</w:t>
            </w:r>
          </w:p>
        </w:tc>
        <w:tc>
          <w:tcPr>
            <w:tcW w:w="4394" w:type="dxa"/>
            <w:noWrap/>
            <w:vAlign w:val="center"/>
            <w:hideMark/>
          </w:tcPr>
          <w:p w14:paraId="7FEF1BCF" w14:textId="06E481FC" w:rsidR="002F0FC6" w:rsidRPr="00217865" w:rsidRDefault="002F0FC6" w:rsidP="0006511F">
            <w:pPr>
              <w:pStyle w:val="BodyText"/>
              <w:rPr>
                <w:rFonts w:cs="Arial"/>
                <w:color w:val="000000" w:themeColor="text1"/>
                <w:sz w:val="18"/>
                <w:highlight w:val="yellow"/>
              </w:rPr>
            </w:pPr>
            <w:r w:rsidRPr="00217865">
              <w:rPr>
                <w:rFonts w:cs="Arial"/>
                <w:color w:val="000000" w:themeColor="text1"/>
                <w:sz w:val="18"/>
              </w:rPr>
              <w:t>Percentage selected reasons for considered early departure among postgraduate coursework students from all provider types by citizenship status, 2017-2023</w:t>
            </w:r>
          </w:p>
        </w:tc>
      </w:tr>
      <w:tr w:rsidR="00217865" w:rsidRPr="00217865" w14:paraId="26BD1051" w14:textId="77777777" w:rsidTr="0006511F">
        <w:trPr>
          <w:trHeight w:val="300"/>
        </w:trPr>
        <w:tc>
          <w:tcPr>
            <w:tcW w:w="997" w:type="dxa"/>
            <w:noWrap/>
            <w:vAlign w:val="center"/>
            <w:hideMark/>
          </w:tcPr>
          <w:p w14:paraId="231B72CD" w14:textId="075B4DF5"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lastRenderedPageBreak/>
              <w:t>PGC</w:t>
            </w:r>
          </w:p>
        </w:tc>
        <w:tc>
          <w:tcPr>
            <w:tcW w:w="1310" w:type="dxa"/>
            <w:noWrap/>
            <w:vAlign w:val="center"/>
            <w:hideMark/>
          </w:tcPr>
          <w:p w14:paraId="6F0FF916" w14:textId="6775D17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52D3C04B" w14:textId="54CA665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CONSID_PGC_UNI_17-YY_</w:t>
            </w:r>
            <w:r w:rsidRPr="00217865" w:rsidDel="00E36AD6">
              <w:rPr>
                <w:rFonts w:cs="Arial"/>
                <w:color w:val="000000" w:themeColor="text1"/>
                <w:sz w:val="18"/>
              </w:rPr>
              <w:t>CH</w:t>
            </w:r>
          </w:p>
        </w:tc>
        <w:tc>
          <w:tcPr>
            <w:tcW w:w="4394" w:type="dxa"/>
            <w:noWrap/>
            <w:vAlign w:val="center"/>
            <w:hideMark/>
          </w:tcPr>
          <w:p w14:paraId="2084EE77" w14:textId="73C4727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postgraduate coursework students from universities by </w:t>
            </w:r>
            <w:r w:rsidRPr="00217865" w:rsidDel="00E36AD6">
              <w:rPr>
                <w:rFonts w:cs="Arial"/>
                <w:color w:val="000000" w:themeColor="text1"/>
                <w:sz w:val="18"/>
              </w:rPr>
              <w:t>year</w:t>
            </w:r>
          </w:p>
        </w:tc>
      </w:tr>
      <w:tr w:rsidR="00217865" w:rsidRPr="00217865" w14:paraId="0F461997" w14:textId="77777777" w:rsidTr="0006511F">
        <w:trPr>
          <w:trHeight w:val="300"/>
        </w:trPr>
        <w:tc>
          <w:tcPr>
            <w:tcW w:w="997" w:type="dxa"/>
            <w:noWrap/>
            <w:vAlign w:val="center"/>
            <w:hideMark/>
          </w:tcPr>
          <w:p w14:paraId="3E27B909" w14:textId="52672F4B" w:rsidR="0006511F" w:rsidRPr="00217865" w:rsidRDefault="0006511F" w:rsidP="0006511F">
            <w:pPr>
              <w:pStyle w:val="BodyText"/>
              <w:rPr>
                <w:rFonts w:cs="Arial"/>
                <w:color w:val="000000" w:themeColor="text1"/>
                <w:sz w:val="18"/>
                <w:highlight w:val="yellow"/>
              </w:rPr>
            </w:pPr>
            <w:r w:rsidRPr="00217865" w:rsidDel="00E36AD6">
              <w:rPr>
                <w:rFonts w:cs="Arial"/>
                <w:color w:val="000000" w:themeColor="text1"/>
                <w:sz w:val="18"/>
              </w:rPr>
              <w:t>PGC</w:t>
            </w:r>
          </w:p>
        </w:tc>
        <w:tc>
          <w:tcPr>
            <w:tcW w:w="1310" w:type="dxa"/>
            <w:noWrap/>
            <w:vAlign w:val="center"/>
            <w:hideMark/>
          </w:tcPr>
          <w:p w14:paraId="14F25E4C" w14:textId="2DF2E7E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17" w:type="dxa"/>
            <w:vAlign w:val="center"/>
          </w:tcPr>
          <w:p w14:paraId="31183CC9" w14:textId="5B8E2CC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CONSID_PGC_NUHEI_17-YY_</w:t>
            </w:r>
            <w:r w:rsidRPr="00217865" w:rsidDel="00E36AD6">
              <w:rPr>
                <w:rFonts w:cs="Arial"/>
                <w:color w:val="000000" w:themeColor="text1"/>
                <w:sz w:val="18"/>
              </w:rPr>
              <w:t>CH</w:t>
            </w:r>
          </w:p>
        </w:tc>
        <w:tc>
          <w:tcPr>
            <w:tcW w:w="4394" w:type="dxa"/>
            <w:noWrap/>
            <w:vAlign w:val="center"/>
            <w:hideMark/>
          </w:tcPr>
          <w:p w14:paraId="09E0C72F" w14:textId="7858DB0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selected reasons for considered early departure among postgraduate coursework students from non-university higher education institutes (NUHEIs) by </w:t>
            </w:r>
            <w:r w:rsidRPr="00217865" w:rsidDel="00E36AD6">
              <w:rPr>
                <w:rFonts w:cs="Arial"/>
                <w:color w:val="000000" w:themeColor="text1"/>
                <w:sz w:val="18"/>
              </w:rPr>
              <w:t>year</w:t>
            </w:r>
          </w:p>
        </w:tc>
      </w:tr>
    </w:tbl>
    <w:p w14:paraId="6A29D7D5" w14:textId="75E64D1E" w:rsidR="00E106AB" w:rsidRPr="00217865" w:rsidRDefault="00E106AB" w:rsidP="009D4378">
      <w:pPr>
        <w:pStyle w:val="Appendix3"/>
        <w:numPr>
          <w:ilvl w:val="0"/>
          <w:numId w:val="0"/>
        </w:numPr>
        <w:ind w:left="720" w:hanging="720"/>
        <w:rPr>
          <w:rFonts w:cs="Arial"/>
          <w:color w:val="000000" w:themeColor="text1"/>
        </w:rPr>
      </w:pPr>
      <w:bookmarkStart w:id="611" w:name="_Toc178599326"/>
      <w:bookmarkStart w:id="612" w:name="_Toc175833930"/>
      <w:bookmarkStart w:id="613" w:name="_Toc167872835"/>
      <w:r w:rsidRPr="00217865">
        <w:rPr>
          <w:rFonts w:cs="Arial"/>
          <w:color w:val="000000" w:themeColor="text1"/>
        </w:rPr>
        <w:t>A7.1.3</w:t>
      </w:r>
      <w:r w:rsidR="009D4378">
        <w:rPr>
          <w:rFonts w:cs="Arial"/>
          <w:color w:val="000000" w:themeColor="text1"/>
        </w:rPr>
        <w:tab/>
      </w:r>
      <w:r w:rsidRPr="00217865">
        <w:rPr>
          <w:rFonts w:cs="Arial"/>
          <w:color w:val="000000" w:themeColor="text1"/>
        </w:rPr>
        <w:t>Sense of belonging</w:t>
      </w:r>
      <w:bookmarkEnd w:id="611"/>
    </w:p>
    <w:bookmarkEnd w:id="612"/>
    <w:p w14:paraId="62BD062B" w14:textId="77777777" w:rsidR="00E106AB" w:rsidRPr="00217865" w:rsidRDefault="00E106AB" w:rsidP="002922E7">
      <w:pPr>
        <w:pStyle w:val="Body"/>
        <w:rPr>
          <w:rFonts w:cs="Arial"/>
          <w:color w:val="000000" w:themeColor="text1"/>
        </w:rPr>
      </w:pPr>
    </w:p>
    <w:p w14:paraId="74CB1A4D" w14:textId="0650BF06" w:rsidR="002922E7" w:rsidRPr="00217865" w:rsidRDefault="002922E7" w:rsidP="002922E7">
      <w:pPr>
        <w:pStyle w:val="Body"/>
        <w:rPr>
          <w:rFonts w:cs="Arial"/>
          <w:color w:val="000000" w:themeColor="text1"/>
          <w:highlight w:val="yellow"/>
        </w:rPr>
      </w:pPr>
      <w:r w:rsidRPr="00217865">
        <w:rPr>
          <w:rFonts w:cs="Arial"/>
          <w:color w:val="000000" w:themeColor="text1"/>
        </w:rPr>
        <w:t xml:space="preserve">The item measuring students’ sense of belonging to their institution was removed from the focus area but retained in the survey to be reported separately. This group of tables present positive ratings of ‘sense of belonging’ for undergraduate and postgraduate coursework students by </w:t>
      </w:r>
      <w:proofErr w:type="gramStart"/>
      <w:r w:rsidRPr="00217865">
        <w:rPr>
          <w:rFonts w:cs="Arial"/>
          <w:color w:val="000000" w:themeColor="text1"/>
        </w:rPr>
        <w:t>a number of</w:t>
      </w:r>
      <w:proofErr w:type="gramEnd"/>
      <w:r w:rsidRPr="00217865">
        <w:rPr>
          <w:rFonts w:cs="Arial"/>
          <w:color w:val="000000" w:themeColor="text1"/>
        </w:rPr>
        <w:t xml:space="preserve"> parameters including demographic characteristics, study area and institution type.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1043"/>
        <w:gridCol w:w="3480"/>
        <w:gridCol w:w="4110"/>
      </w:tblGrid>
      <w:tr w:rsidR="00217865" w:rsidRPr="00217865" w14:paraId="45404467" w14:textId="77777777" w:rsidTr="0006511F">
        <w:trPr>
          <w:trHeight w:val="300"/>
          <w:tblHeader/>
        </w:trPr>
        <w:tc>
          <w:tcPr>
            <w:tcW w:w="1001" w:type="dxa"/>
            <w:noWrap/>
            <w:vAlign w:val="bottom"/>
          </w:tcPr>
          <w:p w14:paraId="2EBCFDE6" w14:textId="77777777" w:rsidR="002922E7" w:rsidRPr="00217865" w:rsidRDefault="002922E7" w:rsidP="0006511F">
            <w:pPr>
              <w:pStyle w:val="BodyText"/>
              <w:rPr>
                <w:rFonts w:cs="Arial"/>
                <w:b/>
                <w:bCs/>
                <w:color w:val="000000" w:themeColor="text1"/>
                <w:sz w:val="18"/>
                <w:szCs w:val="16"/>
              </w:rPr>
            </w:pPr>
            <w:r w:rsidRPr="00217865">
              <w:rPr>
                <w:rFonts w:cs="Arial"/>
                <w:b/>
                <w:bCs/>
                <w:color w:val="000000" w:themeColor="text1"/>
                <w:sz w:val="18"/>
                <w:szCs w:val="16"/>
              </w:rPr>
              <w:t>Course level</w:t>
            </w:r>
          </w:p>
        </w:tc>
        <w:tc>
          <w:tcPr>
            <w:tcW w:w="1043" w:type="dxa"/>
            <w:noWrap/>
            <w:vAlign w:val="bottom"/>
          </w:tcPr>
          <w:p w14:paraId="23653932" w14:textId="77777777" w:rsidR="002922E7" w:rsidRPr="00217865" w:rsidRDefault="002922E7" w:rsidP="0006511F">
            <w:pPr>
              <w:pStyle w:val="BodyText"/>
              <w:rPr>
                <w:rFonts w:cs="Arial"/>
                <w:b/>
                <w:bCs/>
                <w:color w:val="000000" w:themeColor="text1"/>
                <w:sz w:val="18"/>
                <w:szCs w:val="16"/>
              </w:rPr>
            </w:pPr>
            <w:r w:rsidRPr="00217865">
              <w:rPr>
                <w:rFonts w:cs="Arial"/>
                <w:b/>
                <w:bCs/>
                <w:color w:val="000000" w:themeColor="text1"/>
                <w:sz w:val="18"/>
                <w:szCs w:val="16"/>
              </w:rPr>
              <w:t>Report reference</w:t>
            </w:r>
          </w:p>
        </w:tc>
        <w:tc>
          <w:tcPr>
            <w:tcW w:w="3480" w:type="dxa"/>
            <w:vAlign w:val="bottom"/>
          </w:tcPr>
          <w:p w14:paraId="7D50086E" w14:textId="77777777" w:rsidR="002922E7" w:rsidRPr="00217865" w:rsidRDefault="002922E7" w:rsidP="0006511F">
            <w:pPr>
              <w:pStyle w:val="BodyText"/>
              <w:rPr>
                <w:rFonts w:cs="Arial"/>
                <w:b/>
                <w:bCs/>
                <w:color w:val="000000" w:themeColor="text1"/>
                <w:sz w:val="18"/>
                <w:szCs w:val="16"/>
              </w:rPr>
            </w:pPr>
            <w:r w:rsidRPr="00217865">
              <w:rPr>
                <w:rFonts w:cs="Arial"/>
                <w:b/>
                <w:bCs/>
                <w:color w:val="000000" w:themeColor="text1"/>
                <w:sz w:val="18"/>
                <w:szCs w:val="16"/>
              </w:rPr>
              <w:t>Sheet name</w:t>
            </w:r>
          </w:p>
        </w:tc>
        <w:tc>
          <w:tcPr>
            <w:tcW w:w="4110" w:type="dxa"/>
            <w:noWrap/>
            <w:vAlign w:val="bottom"/>
          </w:tcPr>
          <w:p w14:paraId="026058EE" w14:textId="77777777" w:rsidR="002922E7" w:rsidRPr="00217865" w:rsidRDefault="002922E7" w:rsidP="0006511F">
            <w:pPr>
              <w:pStyle w:val="BodyText"/>
              <w:rPr>
                <w:rFonts w:cs="Arial"/>
                <w:b/>
                <w:bCs/>
                <w:color w:val="000000" w:themeColor="text1"/>
                <w:sz w:val="18"/>
                <w:szCs w:val="16"/>
              </w:rPr>
            </w:pPr>
            <w:r w:rsidRPr="00217865">
              <w:rPr>
                <w:rFonts w:cs="Arial"/>
                <w:b/>
                <w:bCs/>
                <w:color w:val="000000" w:themeColor="text1"/>
                <w:sz w:val="18"/>
                <w:szCs w:val="16"/>
              </w:rPr>
              <w:t>Table title</w:t>
            </w:r>
          </w:p>
        </w:tc>
      </w:tr>
      <w:tr w:rsidR="00217865" w:rsidRPr="00217865" w14:paraId="5932CA55" w14:textId="77777777" w:rsidTr="0006511F">
        <w:trPr>
          <w:trHeight w:val="300"/>
        </w:trPr>
        <w:tc>
          <w:tcPr>
            <w:tcW w:w="1001" w:type="dxa"/>
            <w:noWrap/>
            <w:vAlign w:val="center"/>
            <w:hideMark/>
          </w:tcPr>
          <w:p w14:paraId="4D8D0820" w14:textId="2D9306FB"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UG</w:t>
            </w:r>
          </w:p>
        </w:tc>
        <w:tc>
          <w:tcPr>
            <w:tcW w:w="1043" w:type="dxa"/>
            <w:noWrap/>
            <w:vAlign w:val="center"/>
          </w:tcPr>
          <w:p w14:paraId="367D82E6" w14:textId="62645AEC"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480" w:type="dxa"/>
            <w:vAlign w:val="center"/>
          </w:tcPr>
          <w:p w14:paraId="08139224" w14:textId="2C34288D"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BELONGSAT_UG_ALL_17-YY_AREA</w:t>
            </w:r>
          </w:p>
        </w:tc>
        <w:tc>
          <w:tcPr>
            <w:tcW w:w="4110" w:type="dxa"/>
            <w:noWrap/>
            <w:vAlign w:val="center"/>
            <w:hideMark/>
          </w:tcPr>
          <w:p w14:paraId="71DA27B9" w14:textId="4279FB38"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Student sense of belonging (% positive rating, 2017 - 2023) among undergraduates from all provider types by 21 study areas</w:t>
            </w:r>
          </w:p>
        </w:tc>
      </w:tr>
      <w:tr w:rsidR="00217865" w:rsidRPr="00217865" w14:paraId="553275AD" w14:textId="77777777" w:rsidTr="0006511F">
        <w:trPr>
          <w:trHeight w:val="300"/>
        </w:trPr>
        <w:tc>
          <w:tcPr>
            <w:tcW w:w="1001" w:type="dxa"/>
            <w:noWrap/>
            <w:vAlign w:val="center"/>
            <w:hideMark/>
          </w:tcPr>
          <w:p w14:paraId="0C890EE6" w14:textId="1E64F221"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PGC</w:t>
            </w:r>
          </w:p>
        </w:tc>
        <w:tc>
          <w:tcPr>
            <w:tcW w:w="1043" w:type="dxa"/>
            <w:noWrap/>
            <w:vAlign w:val="center"/>
          </w:tcPr>
          <w:p w14:paraId="010D563D" w14:textId="3F0106DF"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480" w:type="dxa"/>
            <w:vAlign w:val="center"/>
          </w:tcPr>
          <w:p w14:paraId="77B21CFA" w14:textId="00D4DB33"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BELONGSAT_PGC_ALL_17-YY_AREA</w:t>
            </w:r>
          </w:p>
        </w:tc>
        <w:tc>
          <w:tcPr>
            <w:tcW w:w="4110" w:type="dxa"/>
            <w:noWrap/>
            <w:vAlign w:val="center"/>
            <w:hideMark/>
          </w:tcPr>
          <w:p w14:paraId="070E9338" w14:textId="6492F1A8"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Student sense of belonging (% positive rating, 2017 - 2023) among postgraduate coursework students from all provider types by 21 study areas</w:t>
            </w:r>
          </w:p>
        </w:tc>
      </w:tr>
      <w:tr w:rsidR="00217865" w:rsidRPr="00217865" w14:paraId="563DB2D5" w14:textId="77777777" w:rsidTr="0006511F">
        <w:trPr>
          <w:trHeight w:val="300"/>
        </w:trPr>
        <w:tc>
          <w:tcPr>
            <w:tcW w:w="1001" w:type="dxa"/>
            <w:noWrap/>
            <w:vAlign w:val="center"/>
            <w:hideMark/>
          </w:tcPr>
          <w:p w14:paraId="0BD95FBE" w14:textId="63BC3F47"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UG</w:t>
            </w:r>
          </w:p>
        </w:tc>
        <w:tc>
          <w:tcPr>
            <w:tcW w:w="1043" w:type="dxa"/>
            <w:noWrap/>
            <w:vAlign w:val="center"/>
          </w:tcPr>
          <w:p w14:paraId="2D3AB319" w14:textId="25716B82"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480" w:type="dxa"/>
            <w:vAlign w:val="center"/>
          </w:tcPr>
          <w:p w14:paraId="3FF58CF7" w14:textId="3C8E55DD"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BELONGSAT_UG_ALL_17-YY_HEPTYPE</w:t>
            </w:r>
          </w:p>
        </w:tc>
        <w:tc>
          <w:tcPr>
            <w:tcW w:w="4110" w:type="dxa"/>
            <w:noWrap/>
            <w:vAlign w:val="center"/>
            <w:hideMark/>
          </w:tcPr>
          <w:p w14:paraId="4A2DB320" w14:textId="5A3BA51B"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Student sense of belonging (% positive rating, 2017 - 2023) among undergraduates from all provider types by type of institution</w:t>
            </w:r>
          </w:p>
        </w:tc>
      </w:tr>
      <w:tr w:rsidR="0006511F" w:rsidRPr="00217865" w14:paraId="44248F72" w14:textId="77777777" w:rsidTr="0006511F">
        <w:trPr>
          <w:trHeight w:val="300"/>
        </w:trPr>
        <w:tc>
          <w:tcPr>
            <w:tcW w:w="1001" w:type="dxa"/>
            <w:noWrap/>
            <w:vAlign w:val="center"/>
          </w:tcPr>
          <w:p w14:paraId="1D54432F" w14:textId="3D39D7D9" w:rsidR="0006511F" w:rsidRPr="00217865" w:rsidRDefault="0006511F" w:rsidP="0006511F">
            <w:pPr>
              <w:pStyle w:val="BodyText"/>
              <w:rPr>
                <w:rFonts w:cs="Arial"/>
                <w:color w:val="000000" w:themeColor="text1"/>
                <w:sz w:val="18"/>
                <w:szCs w:val="16"/>
              </w:rPr>
            </w:pPr>
            <w:r w:rsidRPr="00217865">
              <w:rPr>
                <w:rFonts w:cs="Arial"/>
                <w:color w:val="000000" w:themeColor="text1"/>
                <w:sz w:val="18"/>
                <w:szCs w:val="16"/>
              </w:rPr>
              <w:t>PGC</w:t>
            </w:r>
          </w:p>
        </w:tc>
        <w:tc>
          <w:tcPr>
            <w:tcW w:w="1043" w:type="dxa"/>
            <w:noWrap/>
            <w:vAlign w:val="center"/>
          </w:tcPr>
          <w:p w14:paraId="44A23326" w14:textId="0B36338B"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480" w:type="dxa"/>
            <w:vAlign w:val="center"/>
          </w:tcPr>
          <w:p w14:paraId="1D9100D0" w14:textId="6F1A6DE8" w:rsidR="0006511F" w:rsidRPr="00217865" w:rsidRDefault="0006511F" w:rsidP="0006511F">
            <w:pPr>
              <w:pStyle w:val="BodyText"/>
              <w:rPr>
                <w:rFonts w:cs="Arial"/>
                <w:color w:val="000000" w:themeColor="text1"/>
                <w:sz w:val="18"/>
                <w:szCs w:val="16"/>
              </w:rPr>
            </w:pPr>
            <w:r w:rsidRPr="00217865">
              <w:rPr>
                <w:rFonts w:cs="Arial"/>
                <w:color w:val="000000" w:themeColor="text1"/>
                <w:sz w:val="18"/>
                <w:szCs w:val="16"/>
              </w:rPr>
              <w:t>BELONGSAT_PG_ALL_17-YY_HEPTYPE</w:t>
            </w:r>
          </w:p>
        </w:tc>
        <w:tc>
          <w:tcPr>
            <w:tcW w:w="4110" w:type="dxa"/>
            <w:noWrap/>
            <w:vAlign w:val="center"/>
          </w:tcPr>
          <w:p w14:paraId="5ED8F464" w14:textId="63F74175" w:rsidR="0006511F" w:rsidRPr="00217865" w:rsidRDefault="0006511F" w:rsidP="0006511F">
            <w:pPr>
              <w:pStyle w:val="BodyText"/>
              <w:rPr>
                <w:rFonts w:cs="Arial"/>
                <w:color w:val="000000" w:themeColor="text1"/>
                <w:sz w:val="18"/>
                <w:szCs w:val="16"/>
              </w:rPr>
            </w:pPr>
            <w:r w:rsidRPr="00217865">
              <w:rPr>
                <w:rFonts w:cs="Arial"/>
                <w:color w:val="000000" w:themeColor="text1"/>
                <w:sz w:val="18"/>
                <w:szCs w:val="16"/>
              </w:rPr>
              <w:t>Student sense of belonging (% positive rating, 2017 - 2023) among postgraduate coursework students from all provider types by type of institution</w:t>
            </w:r>
          </w:p>
        </w:tc>
      </w:tr>
    </w:tbl>
    <w:p w14:paraId="17100A26" w14:textId="77777777" w:rsidR="002922E7" w:rsidRPr="00217865" w:rsidRDefault="002922E7" w:rsidP="002922E7">
      <w:pPr>
        <w:pStyle w:val="Body"/>
        <w:rPr>
          <w:rFonts w:cs="Arial"/>
          <w:color w:val="000000" w:themeColor="text1"/>
          <w:highlight w:val="yellow"/>
        </w:rPr>
      </w:pPr>
    </w:p>
    <w:p w14:paraId="0260BDB1" w14:textId="09AC329D" w:rsidR="005A5905" w:rsidRPr="00217865" w:rsidRDefault="008A3CEA" w:rsidP="009D4378">
      <w:pPr>
        <w:pStyle w:val="Appendix3"/>
        <w:numPr>
          <w:ilvl w:val="0"/>
          <w:numId w:val="0"/>
        </w:numPr>
        <w:ind w:left="720" w:hanging="720"/>
        <w:rPr>
          <w:rFonts w:cs="Arial"/>
          <w:color w:val="000000" w:themeColor="text1"/>
        </w:rPr>
      </w:pPr>
      <w:bookmarkStart w:id="614" w:name="_Toc178599327"/>
      <w:r w:rsidRPr="00217865">
        <w:rPr>
          <w:rFonts w:cs="Arial"/>
          <w:color w:val="000000" w:themeColor="text1"/>
        </w:rPr>
        <w:t>A7.1.4</w:t>
      </w:r>
      <w:r w:rsidR="009D4378">
        <w:rPr>
          <w:rFonts w:cs="Arial"/>
          <w:color w:val="000000" w:themeColor="text1"/>
        </w:rPr>
        <w:tab/>
      </w:r>
      <w:r w:rsidR="005A5905" w:rsidRPr="00217865">
        <w:rPr>
          <w:rFonts w:cs="Arial"/>
          <w:color w:val="000000" w:themeColor="text1"/>
        </w:rPr>
        <w:t>Negative effects on study</w:t>
      </w:r>
      <w:bookmarkEnd w:id="613"/>
      <w:bookmarkEnd w:id="614"/>
    </w:p>
    <w:p w14:paraId="5459E3F9" w14:textId="77777777" w:rsidR="005A5905" w:rsidRPr="00217865" w:rsidRDefault="005A5905" w:rsidP="005A5905">
      <w:pPr>
        <w:pStyle w:val="Body"/>
        <w:rPr>
          <w:rFonts w:cs="Arial"/>
          <w:color w:val="000000" w:themeColor="text1"/>
        </w:rPr>
      </w:pPr>
      <w:r w:rsidRPr="00217865">
        <w:rPr>
          <w:rFonts w:cs="Arial"/>
          <w:color w:val="000000" w:themeColor="text1"/>
        </w:rPr>
        <w:t>Students are also asked whether their current living arrangements, financial circumstances and paid work commitments have negatively affected their study. The following tables give a breakdown of responses to these items by course level.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245"/>
        <w:gridCol w:w="3298"/>
        <w:gridCol w:w="4394"/>
      </w:tblGrid>
      <w:tr w:rsidR="00217865" w:rsidRPr="00217865" w14:paraId="1C4767FD" w14:textId="77777777" w:rsidTr="0006511F">
        <w:trPr>
          <w:trHeight w:val="300"/>
          <w:tblHeader/>
        </w:trPr>
        <w:tc>
          <w:tcPr>
            <w:tcW w:w="981" w:type="dxa"/>
            <w:noWrap/>
            <w:vAlign w:val="bottom"/>
          </w:tcPr>
          <w:p w14:paraId="178BBBE7" w14:textId="77777777"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lastRenderedPageBreak/>
              <w:t>Course level</w:t>
            </w:r>
          </w:p>
        </w:tc>
        <w:tc>
          <w:tcPr>
            <w:tcW w:w="1245" w:type="dxa"/>
            <w:noWrap/>
            <w:vAlign w:val="bottom"/>
          </w:tcPr>
          <w:p w14:paraId="66B43B5F" w14:textId="05B8550C"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 xml:space="preserve">Report </w:t>
            </w:r>
            <w:r w:rsidR="008279CE" w:rsidRPr="00217865">
              <w:rPr>
                <w:rFonts w:cs="Arial"/>
                <w:b/>
                <w:bCs/>
                <w:color w:val="000000" w:themeColor="text1"/>
                <w:sz w:val="18"/>
                <w:szCs w:val="16"/>
              </w:rPr>
              <w:t>reference</w:t>
            </w:r>
          </w:p>
        </w:tc>
        <w:tc>
          <w:tcPr>
            <w:tcW w:w="3298" w:type="dxa"/>
            <w:vAlign w:val="bottom"/>
          </w:tcPr>
          <w:p w14:paraId="2B569D08" w14:textId="77777777"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Sheet name</w:t>
            </w:r>
          </w:p>
        </w:tc>
        <w:tc>
          <w:tcPr>
            <w:tcW w:w="4394" w:type="dxa"/>
            <w:noWrap/>
            <w:vAlign w:val="bottom"/>
          </w:tcPr>
          <w:p w14:paraId="34D2F680" w14:textId="77777777"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Table title</w:t>
            </w:r>
          </w:p>
        </w:tc>
      </w:tr>
      <w:tr w:rsidR="00217865" w:rsidRPr="00217865" w14:paraId="47CFC161" w14:textId="77777777" w:rsidTr="0006511F">
        <w:trPr>
          <w:trHeight w:val="300"/>
        </w:trPr>
        <w:tc>
          <w:tcPr>
            <w:tcW w:w="981" w:type="dxa"/>
            <w:noWrap/>
            <w:vAlign w:val="center"/>
            <w:hideMark/>
          </w:tcPr>
          <w:p w14:paraId="7A6D266E" w14:textId="5A1B3689" w:rsidR="0006511F" w:rsidRPr="00217865" w:rsidRDefault="0006511F" w:rsidP="0006511F">
            <w:pPr>
              <w:pStyle w:val="BodyText"/>
              <w:rPr>
                <w:rFonts w:cs="Arial"/>
                <w:color w:val="000000" w:themeColor="text1"/>
                <w:sz w:val="18"/>
                <w:szCs w:val="16"/>
                <w:highlight w:val="yellow"/>
              </w:rPr>
            </w:pPr>
            <w:r w:rsidRPr="00217865" w:rsidDel="00C06DD9">
              <w:rPr>
                <w:rFonts w:cs="Arial"/>
                <w:color w:val="000000" w:themeColor="text1"/>
                <w:sz w:val="18"/>
                <w:szCs w:val="16"/>
              </w:rPr>
              <w:t>UG</w:t>
            </w:r>
          </w:p>
        </w:tc>
        <w:tc>
          <w:tcPr>
            <w:tcW w:w="1245" w:type="dxa"/>
            <w:noWrap/>
            <w:vAlign w:val="center"/>
          </w:tcPr>
          <w:p w14:paraId="48683BC7" w14:textId="1AF5009F"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298" w:type="dxa"/>
            <w:vAlign w:val="center"/>
          </w:tcPr>
          <w:p w14:paraId="61CA17D5" w14:textId="6108065A" w:rsidR="0006511F" w:rsidRPr="00217865" w:rsidRDefault="0006511F" w:rsidP="0006511F">
            <w:pPr>
              <w:pStyle w:val="BodyText"/>
              <w:rPr>
                <w:rFonts w:cs="Arial"/>
                <w:color w:val="000000" w:themeColor="text1"/>
                <w:sz w:val="18"/>
                <w:szCs w:val="16"/>
                <w:highlight w:val="yellow"/>
              </w:rPr>
            </w:pPr>
            <w:r w:rsidRPr="00217865" w:rsidDel="00C06DD9">
              <w:rPr>
                <w:rFonts w:cs="Arial"/>
                <w:color w:val="000000" w:themeColor="text1"/>
                <w:sz w:val="18"/>
                <w:szCs w:val="16"/>
              </w:rPr>
              <w:t>ASTD_UG_ALL_6Y_E942</w:t>
            </w:r>
          </w:p>
        </w:tc>
        <w:tc>
          <w:tcPr>
            <w:tcW w:w="4394" w:type="dxa"/>
            <w:noWrap/>
            <w:vAlign w:val="center"/>
            <w:hideMark/>
          </w:tcPr>
          <w:p w14:paraId="21013EB7" w14:textId="0BE889B5"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Negative effects on study (% negatively affected) among undergraduates from all provider types by citizenship status, 2018-2023</w:t>
            </w:r>
          </w:p>
        </w:tc>
      </w:tr>
      <w:tr w:rsidR="00217865" w:rsidRPr="00217865" w14:paraId="5A322CA7" w14:textId="77777777" w:rsidTr="0006511F">
        <w:trPr>
          <w:trHeight w:val="300"/>
        </w:trPr>
        <w:tc>
          <w:tcPr>
            <w:tcW w:w="981" w:type="dxa"/>
            <w:noWrap/>
            <w:vAlign w:val="center"/>
            <w:hideMark/>
          </w:tcPr>
          <w:p w14:paraId="083A8A59" w14:textId="72F7A484" w:rsidR="0006511F" w:rsidRPr="00217865" w:rsidRDefault="0006511F" w:rsidP="0006511F">
            <w:pPr>
              <w:pStyle w:val="BodyText"/>
              <w:rPr>
                <w:rFonts w:cs="Arial"/>
                <w:color w:val="000000" w:themeColor="text1"/>
                <w:sz w:val="18"/>
                <w:szCs w:val="16"/>
                <w:highlight w:val="yellow"/>
              </w:rPr>
            </w:pPr>
            <w:r w:rsidRPr="00217865" w:rsidDel="00C06DD9">
              <w:rPr>
                <w:rFonts w:cs="Arial"/>
                <w:color w:val="000000" w:themeColor="text1"/>
                <w:sz w:val="18"/>
                <w:szCs w:val="16"/>
              </w:rPr>
              <w:t>PGC</w:t>
            </w:r>
          </w:p>
        </w:tc>
        <w:tc>
          <w:tcPr>
            <w:tcW w:w="1245" w:type="dxa"/>
            <w:noWrap/>
            <w:vAlign w:val="center"/>
          </w:tcPr>
          <w:p w14:paraId="48DA1F38" w14:textId="4425A4E9"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3298" w:type="dxa"/>
            <w:vAlign w:val="center"/>
          </w:tcPr>
          <w:p w14:paraId="72EC8B98" w14:textId="216F4BE6" w:rsidR="0006511F" w:rsidRPr="00217865" w:rsidRDefault="0006511F" w:rsidP="0006511F">
            <w:pPr>
              <w:pStyle w:val="BodyText"/>
              <w:rPr>
                <w:rFonts w:cs="Arial"/>
                <w:color w:val="000000" w:themeColor="text1"/>
                <w:sz w:val="18"/>
                <w:szCs w:val="16"/>
                <w:highlight w:val="yellow"/>
              </w:rPr>
            </w:pPr>
            <w:r w:rsidRPr="00217865" w:rsidDel="00C06DD9">
              <w:rPr>
                <w:rFonts w:cs="Arial"/>
                <w:color w:val="000000" w:themeColor="text1"/>
                <w:sz w:val="18"/>
                <w:szCs w:val="16"/>
              </w:rPr>
              <w:t>ASTD_PGC_ALL_6Y_E942</w:t>
            </w:r>
          </w:p>
        </w:tc>
        <w:tc>
          <w:tcPr>
            <w:tcW w:w="4394" w:type="dxa"/>
            <w:noWrap/>
            <w:vAlign w:val="center"/>
            <w:hideMark/>
          </w:tcPr>
          <w:p w14:paraId="77B447C4" w14:textId="45BF786B" w:rsidR="0006511F"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szCs w:val="16"/>
              </w:rPr>
              <w:t>Negative effects on study (% negatively affected) among postgraduate coursework students from all provider types by citizenship status, 2018-2023</w:t>
            </w:r>
          </w:p>
        </w:tc>
      </w:tr>
    </w:tbl>
    <w:p w14:paraId="51E7E5A6" w14:textId="5FDB98D7" w:rsidR="005A5905" w:rsidRPr="00217865" w:rsidRDefault="008A3CEA" w:rsidP="009D4378">
      <w:pPr>
        <w:pStyle w:val="Appendix3"/>
        <w:numPr>
          <w:ilvl w:val="0"/>
          <w:numId w:val="0"/>
        </w:numPr>
        <w:ind w:left="720" w:hanging="720"/>
        <w:rPr>
          <w:rFonts w:cs="Arial"/>
          <w:color w:val="000000" w:themeColor="text1"/>
        </w:rPr>
      </w:pPr>
      <w:bookmarkStart w:id="615" w:name="_Ref58493947"/>
      <w:bookmarkStart w:id="616" w:name="_Toc167872836"/>
      <w:bookmarkStart w:id="617" w:name="_Toc178599328"/>
      <w:r w:rsidRPr="00217865">
        <w:rPr>
          <w:rFonts w:cs="Arial"/>
          <w:color w:val="000000" w:themeColor="text1"/>
        </w:rPr>
        <w:t>A7.1.5</w:t>
      </w:r>
      <w:r w:rsidR="009D4378">
        <w:rPr>
          <w:rFonts w:cs="Arial"/>
          <w:color w:val="000000" w:themeColor="text1"/>
        </w:rPr>
        <w:tab/>
      </w:r>
      <w:r w:rsidR="005A5905" w:rsidRPr="00217865">
        <w:rPr>
          <w:rFonts w:cs="Arial"/>
          <w:color w:val="000000" w:themeColor="text1"/>
        </w:rPr>
        <w:t>Detailed focus area items</w:t>
      </w:r>
      <w:bookmarkEnd w:id="615"/>
      <w:bookmarkEnd w:id="616"/>
      <w:bookmarkEnd w:id="617"/>
    </w:p>
    <w:p w14:paraId="4861E91F" w14:textId="67912C85" w:rsidR="005A5905" w:rsidRPr="00217865" w:rsidRDefault="005A5905" w:rsidP="005A5905">
      <w:pPr>
        <w:pStyle w:val="Body"/>
        <w:rPr>
          <w:rFonts w:cs="Arial"/>
          <w:color w:val="000000" w:themeColor="text1"/>
        </w:rPr>
      </w:pPr>
      <w:r w:rsidRPr="00217865">
        <w:rPr>
          <w:rFonts w:cs="Arial"/>
          <w:color w:val="000000" w:themeColor="text1"/>
        </w:rPr>
        <w:t xml:space="preserve">The following tables give the breakdown of items within the Skills Development, </w:t>
      </w:r>
      <w:r w:rsidR="00F45110" w:rsidRPr="00217865">
        <w:rPr>
          <w:rFonts w:cs="Arial"/>
          <w:color w:val="000000" w:themeColor="text1"/>
        </w:rPr>
        <w:t xml:space="preserve">Peer </w:t>
      </w:r>
      <w:r w:rsidRPr="00217865">
        <w:rPr>
          <w:rFonts w:cs="Arial"/>
          <w:color w:val="000000" w:themeColor="text1"/>
        </w:rPr>
        <w:t>Engagement, Teaching Quality</w:t>
      </w:r>
      <w:r w:rsidR="008C30EB" w:rsidRPr="00217865">
        <w:rPr>
          <w:rFonts w:cs="Arial"/>
          <w:color w:val="000000" w:themeColor="text1"/>
        </w:rPr>
        <w:t xml:space="preserve"> and Engagement</w:t>
      </w:r>
      <w:r w:rsidRPr="00217865">
        <w:rPr>
          <w:rFonts w:cs="Arial"/>
          <w:color w:val="000000" w:themeColor="text1"/>
        </w:rPr>
        <w:t xml:space="preserve">, Student Support </w:t>
      </w:r>
      <w:r w:rsidR="00F45110" w:rsidRPr="00217865">
        <w:rPr>
          <w:rFonts w:cs="Arial"/>
          <w:color w:val="000000" w:themeColor="text1"/>
        </w:rPr>
        <w:t xml:space="preserve">and Services </w:t>
      </w:r>
      <w:r w:rsidRPr="00217865">
        <w:rPr>
          <w:rFonts w:cs="Arial"/>
          <w:color w:val="000000" w:themeColor="text1"/>
        </w:rPr>
        <w:t>and Learning Resources focus areas. Please note that the Quality of Entire Educational Experience is a single item and is grouped within the Teaching Quality focus area.</w:t>
      </w:r>
    </w:p>
    <w:p w14:paraId="7D7E52E0" w14:textId="0683502B" w:rsidR="005A5905" w:rsidRPr="009D4378" w:rsidRDefault="005A5905" w:rsidP="009D4378">
      <w:pPr>
        <w:pStyle w:val="Body"/>
        <w:rPr>
          <w:rFonts w:cs="Arial"/>
          <w:color w:val="000000" w:themeColor="text1"/>
        </w:rPr>
      </w:pPr>
      <w:r w:rsidRPr="00217865">
        <w:rPr>
          <w:rFonts w:cs="Arial"/>
          <w:color w:val="000000" w:themeColor="text1"/>
        </w:rPr>
        <w:t>Appendix 3 gives examples of how these item scores are calculated.</w:t>
      </w:r>
    </w:p>
    <w:tbl>
      <w:tblPr>
        <w:tblpPr w:leftFromText="180" w:rightFromText="180" w:vertAnchor="text" w:tblpXSpec="righ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43"/>
        <w:gridCol w:w="3261"/>
        <w:gridCol w:w="4394"/>
      </w:tblGrid>
      <w:tr w:rsidR="00217865" w:rsidRPr="00217865" w14:paraId="15360E5A" w14:textId="77777777" w:rsidTr="0006511F">
        <w:trPr>
          <w:trHeight w:val="315"/>
          <w:tblHeader/>
        </w:trPr>
        <w:tc>
          <w:tcPr>
            <w:tcW w:w="1083" w:type="dxa"/>
            <w:noWrap/>
            <w:vAlign w:val="bottom"/>
          </w:tcPr>
          <w:p w14:paraId="723E45FF"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Course level</w:t>
            </w:r>
          </w:p>
        </w:tc>
        <w:tc>
          <w:tcPr>
            <w:tcW w:w="1043" w:type="dxa"/>
            <w:noWrap/>
            <w:vAlign w:val="bottom"/>
          </w:tcPr>
          <w:p w14:paraId="5A1033C2" w14:textId="12474E01" w:rsidR="005A5905" w:rsidRPr="00217865" w:rsidRDefault="005A5905" w:rsidP="0006511F">
            <w:pPr>
              <w:pStyle w:val="BodyText"/>
              <w:rPr>
                <w:rFonts w:cs="Arial"/>
                <w:b/>
                <w:color w:val="000000" w:themeColor="text1"/>
                <w:sz w:val="18"/>
              </w:rPr>
            </w:pPr>
            <w:r w:rsidRPr="00217865">
              <w:rPr>
                <w:rFonts w:cs="Arial"/>
                <w:b/>
                <w:color w:val="000000" w:themeColor="text1"/>
                <w:sz w:val="18"/>
              </w:rPr>
              <w:t xml:space="preserve">Report </w:t>
            </w:r>
            <w:r w:rsidR="008279CE" w:rsidRPr="00217865">
              <w:rPr>
                <w:rFonts w:cs="Arial"/>
                <w:b/>
                <w:bCs/>
                <w:color w:val="000000" w:themeColor="text1"/>
                <w:sz w:val="18"/>
              </w:rPr>
              <w:t>reference</w:t>
            </w:r>
          </w:p>
        </w:tc>
        <w:tc>
          <w:tcPr>
            <w:tcW w:w="3261" w:type="dxa"/>
            <w:vAlign w:val="bottom"/>
          </w:tcPr>
          <w:p w14:paraId="3A9E7783"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Sheet name</w:t>
            </w:r>
          </w:p>
        </w:tc>
        <w:tc>
          <w:tcPr>
            <w:tcW w:w="4394" w:type="dxa"/>
            <w:noWrap/>
            <w:vAlign w:val="bottom"/>
          </w:tcPr>
          <w:p w14:paraId="6C5BB4DA"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Table title</w:t>
            </w:r>
          </w:p>
        </w:tc>
      </w:tr>
      <w:tr w:rsidR="00217865" w:rsidRPr="00217865" w14:paraId="22144D1E" w14:textId="77777777" w:rsidTr="0006511F">
        <w:trPr>
          <w:trHeight w:val="300"/>
        </w:trPr>
        <w:tc>
          <w:tcPr>
            <w:tcW w:w="1083" w:type="dxa"/>
            <w:noWrap/>
            <w:vAlign w:val="center"/>
            <w:hideMark/>
          </w:tcPr>
          <w:p w14:paraId="55D14F9C" w14:textId="4765E08E"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59E8075C" w14:textId="35D59D6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356F3FA5" w14:textId="6AA3DCD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DEVEL_UG_ALL_17-YY_</w:t>
            </w:r>
            <w:r w:rsidRPr="00217865" w:rsidDel="00E41132">
              <w:rPr>
                <w:rFonts w:cs="Arial"/>
                <w:color w:val="000000" w:themeColor="text1"/>
                <w:sz w:val="18"/>
              </w:rPr>
              <w:t>STAGE</w:t>
            </w:r>
          </w:p>
        </w:tc>
        <w:tc>
          <w:tcPr>
            <w:tcW w:w="4394" w:type="dxa"/>
            <w:noWrap/>
            <w:vAlign w:val="center"/>
            <w:hideMark/>
          </w:tcPr>
          <w:p w14:paraId="07E97403" w14:textId="2B5C0D3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undergraduates from all provider types by stage of study, 2017-2023</w:t>
            </w:r>
          </w:p>
        </w:tc>
      </w:tr>
      <w:tr w:rsidR="00217865" w:rsidRPr="00217865" w14:paraId="5C50C5F3" w14:textId="77777777" w:rsidTr="0006511F">
        <w:trPr>
          <w:trHeight w:val="300"/>
        </w:trPr>
        <w:tc>
          <w:tcPr>
            <w:tcW w:w="1083" w:type="dxa"/>
            <w:noWrap/>
            <w:vAlign w:val="center"/>
            <w:hideMark/>
          </w:tcPr>
          <w:p w14:paraId="7FDF29F2" w14:textId="05746435"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2F593601" w14:textId="5F0501E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C799F68" w14:textId="5D34FB9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DEVEL_UG_UNI_17-YY_</w:t>
            </w:r>
            <w:r w:rsidRPr="00217865" w:rsidDel="00E41132">
              <w:rPr>
                <w:rFonts w:cs="Arial"/>
                <w:color w:val="000000" w:themeColor="text1"/>
                <w:sz w:val="18"/>
              </w:rPr>
              <w:t>STAGE</w:t>
            </w:r>
          </w:p>
        </w:tc>
        <w:tc>
          <w:tcPr>
            <w:tcW w:w="4394" w:type="dxa"/>
            <w:noWrap/>
            <w:vAlign w:val="center"/>
            <w:hideMark/>
          </w:tcPr>
          <w:p w14:paraId="30E5007F" w14:textId="54A42AB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undergraduates from universities by stage of study, 2017-2023</w:t>
            </w:r>
          </w:p>
        </w:tc>
      </w:tr>
      <w:tr w:rsidR="00217865" w:rsidRPr="00217865" w14:paraId="06B70285" w14:textId="77777777" w:rsidTr="0006511F">
        <w:trPr>
          <w:trHeight w:val="300"/>
        </w:trPr>
        <w:tc>
          <w:tcPr>
            <w:tcW w:w="1083" w:type="dxa"/>
            <w:noWrap/>
            <w:vAlign w:val="center"/>
            <w:hideMark/>
          </w:tcPr>
          <w:p w14:paraId="21C6F5DD" w14:textId="39069E8B"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68D2D90D" w14:textId="5E26508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7BDDC9A5" w14:textId="4DFD16F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DEVEL_UG_NUHEI_17-YY_</w:t>
            </w:r>
            <w:r w:rsidRPr="00217865" w:rsidDel="00E41132">
              <w:rPr>
                <w:rFonts w:cs="Arial"/>
                <w:color w:val="000000" w:themeColor="text1"/>
                <w:sz w:val="18"/>
              </w:rPr>
              <w:t>STAGE</w:t>
            </w:r>
          </w:p>
        </w:tc>
        <w:tc>
          <w:tcPr>
            <w:tcW w:w="4394" w:type="dxa"/>
            <w:noWrap/>
            <w:vAlign w:val="center"/>
            <w:hideMark/>
          </w:tcPr>
          <w:p w14:paraId="068DBDCD" w14:textId="0166946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undergraduates from non-university higher education institutes (NUHEIs) by stage of study, 2017-2023</w:t>
            </w:r>
          </w:p>
        </w:tc>
      </w:tr>
      <w:tr w:rsidR="00217865" w:rsidRPr="00217865" w14:paraId="6622830F" w14:textId="77777777" w:rsidTr="0006511F">
        <w:trPr>
          <w:trHeight w:val="300"/>
        </w:trPr>
        <w:tc>
          <w:tcPr>
            <w:tcW w:w="1083" w:type="dxa"/>
            <w:noWrap/>
            <w:vAlign w:val="center"/>
            <w:hideMark/>
          </w:tcPr>
          <w:p w14:paraId="35E85FC4" w14:textId="57577C9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2EAEA591" w14:textId="7EEB6C6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7D126A76" w14:textId="4CDE004A"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DEVEL_PGC_ALL_17-YY_</w:t>
            </w:r>
            <w:r w:rsidRPr="00217865" w:rsidDel="00E41132">
              <w:rPr>
                <w:rFonts w:cs="Arial"/>
                <w:color w:val="000000" w:themeColor="text1"/>
                <w:sz w:val="18"/>
              </w:rPr>
              <w:t>STAGE</w:t>
            </w:r>
          </w:p>
        </w:tc>
        <w:tc>
          <w:tcPr>
            <w:tcW w:w="4394" w:type="dxa"/>
            <w:noWrap/>
            <w:vAlign w:val="center"/>
            <w:hideMark/>
          </w:tcPr>
          <w:p w14:paraId="468B3950" w14:textId="7BBDE28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postgraduate coursework students from all provider types by stage of study, 2017-2023</w:t>
            </w:r>
          </w:p>
        </w:tc>
      </w:tr>
      <w:tr w:rsidR="00217865" w:rsidRPr="00217865" w14:paraId="28F446FA" w14:textId="77777777" w:rsidTr="0006511F">
        <w:trPr>
          <w:trHeight w:val="300"/>
        </w:trPr>
        <w:tc>
          <w:tcPr>
            <w:tcW w:w="1083" w:type="dxa"/>
            <w:noWrap/>
            <w:vAlign w:val="center"/>
            <w:hideMark/>
          </w:tcPr>
          <w:p w14:paraId="550ABDD9" w14:textId="3EA9735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18222126" w14:textId="28AAC22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705E772F" w14:textId="05B9F5D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DEVEL_PGC_UNI_17-YY_</w:t>
            </w:r>
            <w:r w:rsidRPr="00217865" w:rsidDel="00E41132">
              <w:rPr>
                <w:rFonts w:cs="Arial"/>
                <w:color w:val="000000" w:themeColor="text1"/>
                <w:sz w:val="18"/>
              </w:rPr>
              <w:t>STAGE</w:t>
            </w:r>
          </w:p>
        </w:tc>
        <w:tc>
          <w:tcPr>
            <w:tcW w:w="4394" w:type="dxa"/>
            <w:noWrap/>
            <w:vAlign w:val="center"/>
            <w:hideMark/>
          </w:tcPr>
          <w:p w14:paraId="730F31BE" w14:textId="4A1A20C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postgraduate coursework students from universities by stage of study, 2017-2023</w:t>
            </w:r>
          </w:p>
        </w:tc>
      </w:tr>
      <w:tr w:rsidR="00217865" w:rsidRPr="00217865" w14:paraId="7B1F0521" w14:textId="77777777" w:rsidTr="0006511F">
        <w:trPr>
          <w:trHeight w:val="300"/>
        </w:trPr>
        <w:tc>
          <w:tcPr>
            <w:tcW w:w="1083" w:type="dxa"/>
            <w:noWrap/>
            <w:vAlign w:val="center"/>
            <w:hideMark/>
          </w:tcPr>
          <w:p w14:paraId="3E53AF86" w14:textId="6767ADE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2B818531" w14:textId="39E7FD8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22DF76A7" w14:textId="0F86972A"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DEVEL_PGC_NUHEI_17-YY_</w:t>
            </w:r>
            <w:r w:rsidRPr="00217865" w:rsidDel="00E41132">
              <w:rPr>
                <w:rFonts w:cs="Arial"/>
                <w:color w:val="000000" w:themeColor="text1"/>
                <w:sz w:val="18"/>
              </w:rPr>
              <w:t>STAGE</w:t>
            </w:r>
          </w:p>
        </w:tc>
        <w:tc>
          <w:tcPr>
            <w:tcW w:w="4394" w:type="dxa"/>
            <w:noWrap/>
            <w:vAlign w:val="center"/>
            <w:hideMark/>
          </w:tcPr>
          <w:p w14:paraId="71D7B3F0" w14:textId="3961D47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Skills Development items among postgraduate coursework students from non-university higher education institutes (NUHEIs) by stage of study, 2017-2023</w:t>
            </w:r>
          </w:p>
        </w:tc>
      </w:tr>
      <w:tr w:rsidR="00217865" w:rsidRPr="00217865" w14:paraId="53FDFEA0" w14:textId="77777777" w:rsidTr="0006511F">
        <w:trPr>
          <w:trHeight w:val="300"/>
        </w:trPr>
        <w:tc>
          <w:tcPr>
            <w:tcW w:w="1083" w:type="dxa"/>
            <w:noWrap/>
            <w:vAlign w:val="center"/>
            <w:hideMark/>
          </w:tcPr>
          <w:p w14:paraId="7014C86F" w14:textId="79219C05"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685A377E" w14:textId="13F530C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680FCFA3" w14:textId="46476E2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ENGAG_UG_ALL_17-YY_</w:t>
            </w:r>
            <w:r w:rsidRPr="00217865" w:rsidDel="00E41132">
              <w:rPr>
                <w:rFonts w:cs="Arial"/>
                <w:color w:val="000000" w:themeColor="text1"/>
                <w:sz w:val="18"/>
              </w:rPr>
              <w:t>STAGE</w:t>
            </w:r>
          </w:p>
        </w:tc>
        <w:tc>
          <w:tcPr>
            <w:tcW w:w="4394" w:type="dxa"/>
            <w:noWrap/>
            <w:vAlign w:val="center"/>
            <w:hideMark/>
          </w:tcPr>
          <w:p w14:paraId="419D8B83" w14:textId="3D59B13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undergraduates from all provider types by stage of study, 2017-2023</w:t>
            </w:r>
          </w:p>
        </w:tc>
      </w:tr>
      <w:tr w:rsidR="00217865" w:rsidRPr="00217865" w14:paraId="1E88379B" w14:textId="77777777" w:rsidTr="0006511F">
        <w:trPr>
          <w:trHeight w:val="300"/>
        </w:trPr>
        <w:tc>
          <w:tcPr>
            <w:tcW w:w="1083" w:type="dxa"/>
            <w:noWrap/>
            <w:vAlign w:val="center"/>
            <w:hideMark/>
          </w:tcPr>
          <w:p w14:paraId="521E1864" w14:textId="34F0B67E" w:rsidR="00564476" w:rsidRPr="00217865" w:rsidRDefault="00564476" w:rsidP="0006511F">
            <w:pPr>
              <w:pStyle w:val="BodyText"/>
              <w:rPr>
                <w:rFonts w:cs="Arial"/>
                <w:color w:val="000000" w:themeColor="text1"/>
                <w:sz w:val="18"/>
                <w:highlight w:val="yellow"/>
              </w:rPr>
            </w:pPr>
            <w:r w:rsidRPr="00217865" w:rsidDel="00E41132">
              <w:rPr>
                <w:rFonts w:cs="Arial"/>
                <w:color w:val="000000" w:themeColor="text1"/>
                <w:sz w:val="18"/>
              </w:rPr>
              <w:lastRenderedPageBreak/>
              <w:t>UG</w:t>
            </w:r>
          </w:p>
        </w:tc>
        <w:tc>
          <w:tcPr>
            <w:tcW w:w="1043" w:type="dxa"/>
            <w:noWrap/>
            <w:vAlign w:val="center"/>
            <w:hideMark/>
          </w:tcPr>
          <w:p w14:paraId="679A8D1E" w14:textId="3A382289" w:rsidR="00564476"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2F249B1B" w14:textId="1195D100" w:rsidR="00564476" w:rsidRPr="00217865" w:rsidRDefault="00564476" w:rsidP="0006511F">
            <w:pPr>
              <w:pStyle w:val="BodyText"/>
              <w:rPr>
                <w:rFonts w:cs="Arial"/>
                <w:color w:val="000000" w:themeColor="text1"/>
                <w:sz w:val="18"/>
                <w:highlight w:val="yellow"/>
              </w:rPr>
            </w:pPr>
            <w:r w:rsidRPr="00217865">
              <w:rPr>
                <w:rFonts w:cs="Arial"/>
                <w:color w:val="000000" w:themeColor="text1"/>
                <w:sz w:val="18"/>
              </w:rPr>
              <w:t>ENGAG_UG_UNI_17-YY_</w:t>
            </w:r>
            <w:r w:rsidRPr="00217865" w:rsidDel="00E41132">
              <w:rPr>
                <w:rFonts w:cs="Arial"/>
                <w:color w:val="000000" w:themeColor="text1"/>
                <w:sz w:val="18"/>
              </w:rPr>
              <w:t>STAGE</w:t>
            </w:r>
          </w:p>
        </w:tc>
        <w:tc>
          <w:tcPr>
            <w:tcW w:w="4394" w:type="dxa"/>
            <w:noWrap/>
            <w:vAlign w:val="center"/>
            <w:hideMark/>
          </w:tcPr>
          <w:p w14:paraId="2A5F212B" w14:textId="3B7F9C94" w:rsidR="00564476" w:rsidRPr="00217865" w:rsidRDefault="00564476"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undergraduates from universities by stage of study, 2017-2023</w:t>
            </w:r>
          </w:p>
        </w:tc>
      </w:tr>
      <w:tr w:rsidR="00217865" w:rsidRPr="00217865" w14:paraId="4B10E44C" w14:textId="77777777" w:rsidTr="0006511F">
        <w:trPr>
          <w:trHeight w:val="300"/>
        </w:trPr>
        <w:tc>
          <w:tcPr>
            <w:tcW w:w="1083" w:type="dxa"/>
            <w:noWrap/>
            <w:vAlign w:val="center"/>
            <w:hideMark/>
          </w:tcPr>
          <w:p w14:paraId="6AC9E5A3" w14:textId="29A6C0B8"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5E7B7E1F" w14:textId="002F2E6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42A25848" w14:textId="7D3C1C5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ENGAG_UG_NUHEI_17-YY_</w:t>
            </w:r>
            <w:r w:rsidRPr="00217865" w:rsidDel="00E41132">
              <w:rPr>
                <w:rFonts w:cs="Arial"/>
                <w:color w:val="000000" w:themeColor="text1"/>
                <w:sz w:val="18"/>
              </w:rPr>
              <w:t>STAGE</w:t>
            </w:r>
          </w:p>
        </w:tc>
        <w:tc>
          <w:tcPr>
            <w:tcW w:w="4394" w:type="dxa"/>
            <w:noWrap/>
            <w:vAlign w:val="center"/>
            <w:hideMark/>
          </w:tcPr>
          <w:p w14:paraId="6921A702" w14:textId="0618637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undergraduates from non-university higher education institutes (NUHEIs) by stage of study, 2017-2023</w:t>
            </w:r>
          </w:p>
        </w:tc>
      </w:tr>
      <w:tr w:rsidR="00217865" w:rsidRPr="00217865" w14:paraId="2B3FCADB" w14:textId="77777777" w:rsidTr="0006511F">
        <w:trPr>
          <w:trHeight w:val="300"/>
        </w:trPr>
        <w:tc>
          <w:tcPr>
            <w:tcW w:w="1083" w:type="dxa"/>
            <w:noWrap/>
            <w:vAlign w:val="center"/>
            <w:hideMark/>
          </w:tcPr>
          <w:p w14:paraId="62131904" w14:textId="70ABA91C"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11B38D64" w14:textId="2D13B38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3043EE20" w14:textId="44D7CC4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ENGAG_PGC_ALL_17-YY_</w:t>
            </w:r>
            <w:r w:rsidRPr="00217865" w:rsidDel="00E41132">
              <w:rPr>
                <w:rFonts w:cs="Arial"/>
                <w:color w:val="000000" w:themeColor="text1"/>
                <w:sz w:val="18"/>
              </w:rPr>
              <w:t>STAGE</w:t>
            </w:r>
          </w:p>
        </w:tc>
        <w:tc>
          <w:tcPr>
            <w:tcW w:w="4394" w:type="dxa"/>
            <w:noWrap/>
            <w:vAlign w:val="center"/>
            <w:hideMark/>
          </w:tcPr>
          <w:p w14:paraId="39130F54" w14:textId="25C49D2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postgraduate coursework students from all provider types by stage of study, 2017-2023</w:t>
            </w:r>
          </w:p>
        </w:tc>
      </w:tr>
      <w:tr w:rsidR="00217865" w:rsidRPr="00217865" w14:paraId="7AB2E4D6" w14:textId="77777777" w:rsidTr="0006511F">
        <w:trPr>
          <w:trHeight w:val="300"/>
        </w:trPr>
        <w:tc>
          <w:tcPr>
            <w:tcW w:w="1083" w:type="dxa"/>
            <w:noWrap/>
            <w:vAlign w:val="center"/>
            <w:hideMark/>
          </w:tcPr>
          <w:p w14:paraId="4955F605" w14:textId="02CDC773"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01CBFC15" w14:textId="67DA3B6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9925214" w14:textId="2B6937E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ENGAG_PGC_UNI_17-YY_</w:t>
            </w:r>
            <w:r w:rsidRPr="00217865" w:rsidDel="00E41132">
              <w:rPr>
                <w:rFonts w:cs="Arial"/>
                <w:color w:val="000000" w:themeColor="text1"/>
                <w:sz w:val="18"/>
              </w:rPr>
              <w:t>STAGE</w:t>
            </w:r>
          </w:p>
        </w:tc>
        <w:tc>
          <w:tcPr>
            <w:tcW w:w="4394" w:type="dxa"/>
            <w:noWrap/>
            <w:vAlign w:val="center"/>
            <w:hideMark/>
          </w:tcPr>
          <w:p w14:paraId="4D636F55" w14:textId="7E93854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postgraduate coursework students from universities by stage of study, 2017-2023</w:t>
            </w:r>
          </w:p>
        </w:tc>
      </w:tr>
      <w:tr w:rsidR="00217865" w:rsidRPr="00217865" w14:paraId="417DAE95" w14:textId="77777777" w:rsidTr="0006511F">
        <w:trPr>
          <w:trHeight w:val="300"/>
        </w:trPr>
        <w:tc>
          <w:tcPr>
            <w:tcW w:w="1083" w:type="dxa"/>
            <w:noWrap/>
            <w:vAlign w:val="center"/>
            <w:hideMark/>
          </w:tcPr>
          <w:p w14:paraId="3C01D5E9" w14:textId="7C6D8B4C"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2D782257" w14:textId="3A25909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74CA1D26" w14:textId="1185E8F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ENGAG_PGC_NUHEI_17-YY_</w:t>
            </w:r>
            <w:r w:rsidRPr="00217865" w:rsidDel="00E41132">
              <w:rPr>
                <w:rFonts w:cs="Arial"/>
                <w:color w:val="000000" w:themeColor="text1"/>
                <w:sz w:val="18"/>
              </w:rPr>
              <w:t>STAGE</w:t>
            </w:r>
          </w:p>
        </w:tc>
        <w:tc>
          <w:tcPr>
            <w:tcW w:w="4394" w:type="dxa"/>
            <w:noWrap/>
            <w:vAlign w:val="center"/>
            <w:hideMark/>
          </w:tcPr>
          <w:p w14:paraId="08CD27D4" w14:textId="5946CCB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Peer Engagement items among postgraduate coursework students from non-university higher education institutes (NUHEIs) by stage of study, 2017-2023</w:t>
            </w:r>
          </w:p>
        </w:tc>
      </w:tr>
      <w:tr w:rsidR="00217865" w:rsidRPr="00217865" w14:paraId="3B7F86CF" w14:textId="77777777" w:rsidTr="0006511F">
        <w:trPr>
          <w:trHeight w:val="300"/>
        </w:trPr>
        <w:tc>
          <w:tcPr>
            <w:tcW w:w="1083" w:type="dxa"/>
            <w:noWrap/>
            <w:vAlign w:val="center"/>
            <w:hideMark/>
          </w:tcPr>
          <w:p w14:paraId="0D9F574F" w14:textId="0C27FD18"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34E5289F" w14:textId="4E29F21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56543B12" w14:textId="31B576F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TEACH_UG_ALL_17-YY_</w:t>
            </w:r>
            <w:r w:rsidRPr="00217865" w:rsidDel="00E41132">
              <w:rPr>
                <w:rFonts w:cs="Arial"/>
                <w:color w:val="000000" w:themeColor="text1"/>
                <w:sz w:val="18"/>
              </w:rPr>
              <w:t>STAGE</w:t>
            </w:r>
          </w:p>
        </w:tc>
        <w:tc>
          <w:tcPr>
            <w:tcW w:w="4394" w:type="dxa"/>
            <w:noWrap/>
            <w:vAlign w:val="center"/>
            <w:hideMark/>
          </w:tcPr>
          <w:p w14:paraId="786AFD2C" w14:textId="19A1F56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undergraduates from all provider types by stage of study, 2017-2023</w:t>
            </w:r>
          </w:p>
        </w:tc>
      </w:tr>
      <w:tr w:rsidR="00217865" w:rsidRPr="00217865" w14:paraId="571D1729" w14:textId="77777777" w:rsidTr="0006511F">
        <w:trPr>
          <w:trHeight w:val="300"/>
        </w:trPr>
        <w:tc>
          <w:tcPr>
            <w:tcW w:w="1083" w:type="dxa"/>
            <w:noWrap/>
            <w:vAlign w:val="center"/>
            <w:hideMark/>
          </w:tcPr>
          <w:p w14:paraId="26637690" w14:textId="7550BDDE"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50C8311A" w14:textId="34B8DAF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2B109487" w14:textId="3590F01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TEACH_UG_UNI_17-YY_</w:t>
            </w:r>
            <w:r w:rsidRPr="00217865" w:rsidDel="00E41132">
              <w:rPr>
                <w:rFonts w:cs="Arial"/>
                <w:color w:val="000000" w:themeColor="text1"/>
                <w:sz w:val="18"/>
              </w:rPr>
              <w:t>STAGE</w:t>
            </w:r>
          </w:p>
        </w:tc>
        <w:tc>
          <w:tcPr>
            <w:tcW w:w="4394" w:type="dxa"/>
            <w:noWrap/>
            <w:vAlign w:val="center"/>
            <w:hideMark/>
          </w:tcPr>
          <w:p w14:paraId="361ECFF7" w14:textId="1457D21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undergraduates from universities by stage of study, 2017-2023</w:t>
            </w:r>
          </w:p>
        </w:tc>
      </w:tr>
      <w:tr w:rsidR="00217865" w:rsidRPr="00217865" w14:paraId="13D283F0" w14:textId="77777777" w:rsidTr="0006511F">
        <w:trPr>
          <w:trHeight w:val="300"/>
        </w:trPr>
        <w:tc>
          <w:tcPr>
            <w:tcW w:w="1083" w:type="dxa"/>
            <w:noWrap/>
            <w:vAlign w:val="center"/>
            <w:hideMark/>
          </w:tcPr>
          <w:p w14:paraId="120E7755" w14:textId="082287A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5004BFE2" w14:textId="32B4C02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6142304B" w14:textId="2FBA00D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TEACH_UG_NUHEI_17-YY_</w:t>
            </w:r>
            <w:r w:rsidRPr="00217865" w:rsidDel="00E41132">
              <w:rPr>
                <w:rFonts w:cs="Arial"/>
                <w:color w:val="000000" w:themeColor="text1"/>
                <w:sz w:val="18"/>
              </w:rPr>
              <w:t>STAGE</w:t>
            </w:r>
          </w:p>
        </w:tc>
        <w:tc>
          <w:tcPr>
            <w:tcW w:w="4394" w:type="dxa"/>
            <w:noWrap/>
            <w:vAlign w:val="center"/>
            <w:hideMark/>
          </w:tcPr>
          <w:p w14:paraId="43439C5D" w14:textId="0DBEC0F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undergraduates from non-university higher education institutes (NUHEIs) by stage of study, 2017-2023</w:t>
            </w:r>
          </w:p>
        </w:tc>
      </w:tr>
      <w:tr w:rsidR="00217865" w:rsidRPr="00217865" w14:paraId="5CA32521" w14:textId="77777777" w:rsidTr="0006511F">
        <w:trPr>
          <w:trHeight w:val="300"/>
        </w:trPr>
        <w:tc>
          <w:tcPr>
            <w:tcW w:w="1083" w:type="dxa"/>
            <w:noWrap/>
            <w:vAlign w:val="center"/>
            <w:hideMark/>
          </w:tcPr>
          <w:p w14:paraId="0E1C5419" w14:textId="69FCEE63"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6FD3089D" w14:textId="5B3C2EC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DFE5E75" w14:textId="1624FA2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TEACH_PGC_ALL_17-YY_</w:t>
            </w:r>
            <w:r w:rsidRPr="00217865" w:rsidDel="00E41132">
              <w:rPr>
                <w:rFonts w:cs="Arial"/>
                <w:color w:val="000000" w:themeColor="text1"/>
                <w:sz w:val="18"/>
              </w:rPr>
              <w:t>STAGE</w:t>
            </w:r>
          </w:p>
        </w:tc>
        <w:tc>
          <w:tcPr>
            <w:tcW w:w="4394" w:type="dxa"/>
            <w:noWrap/>
            <w:vAlign w:val="center"/>
            <w:hideMark/>
          </w:tcPr>
          <w:p w14:paraId="727A65E0" w14:textId="239CE56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postgraduate coursework students from all provider types by stage of study, 2017-2023</w:t>
            </w:r>
          </w:p>
        </w:tc>
      </w:tr>
      <w:tr w:rsidR="00217865" w:rsidRPr="00217865" w14:paraId="1ECF1450" w14:textId="77777777" w:rsidTr="0006511F">
        <w:trPr>
          <w:trHeight w:val="300"/>
        </w:trPr>
        <w:tc>
          <w:tcPr>
            <w:tcW w:w="1083" w:type="dxa"/>
            <w:noWrap/>
            <w:vAlign w:val="center"/>
            <w:hideMark/>
          </w:tcPr>
          <w:p w14:paraId="79D44C69" w14:textId="5518C42E"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608447C9" w14:textId="2EDC1C6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4DC2DCBC" w14:textId="322B01E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TEACH_PGC_UNI_17-YY_</w:t>
            </w:r>
            <w:r w:rsidRPr="00217865" w:rsidDel="00E41132">
              <w:rPr>
                <w:rFonts w:cs="Arial"/>
                <w:color w:val="000000" w:themeColor="text1"/>
                <w:sz w:val="18"/>
              </w:rPr>
              <w:t>STAGE</w:t>
            </w:r>
          </w:p>
        </w:tc>
        <w:tc>
          <w:tcPr>
            <w:tcW w:w="4394" w:type="dxa"/>
            <w:noWrap/>
            <w:vAlign w:val="center"/>
            <w:hideMark/>
          </w:tcPr>
          <w:p w14:paraId="479AF5A8" w14:textId="36F5226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postgraduate coursework students from universities by stage of study, 2017-2023</w:t>
            </w:r>
          </w:p>
        </w:tc>
      </w:tr>
      <w:tr w:rsidR="00217865" w:rsidRPr="00217865" w14:paraId="57AF64EC" w14:textId="77777777" w:rsidTr="0006511F">
        <w:trPr>
          <w:trHeight w:val="300"/>
        </w:trPr>
        <w:tc>
          <w:tcPr>
            <w:tcW w:w="1083" w:type="dxa"/>
            <w:noWrap/>
            <w:vAlign w:val="center"/>
            <w:hideMark/>
          </w:tcPr>
          <w:p w14:paraId="094AF238" w14:textId="7534E22A"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1B3B07D1" w14:textId="4D3A828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42A79C9D" w14:textId="08D559E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TEACH_PGC_NUHEI_17-YY_</w:t>
            </w:r>
            <w:r w:rsidRPr="00217865" w:rsidDel="00E41132">
              <w:rPr>
                <w:rFonts w:cs="Arial"/>
                <w:color w:val="000000" w:themeColor="text1"/>
                <w:sz w:val="18"/>
              </w:rPr>
              <w:t>STAGE</w:t>
            </w:r>
          </w:p>
        </w:tc>
        <w:tc>
          <w:tcPr>
            <w:tcW w:w="4394" w:type="dxa"/>
            <w:noWrap/>
            <w:vAlign w:val="center"/>
            <w:hideMark/>
          </w:tcPr>
          <w:p w14:paraId="33301C03" w14:textId="7BE7858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Teaching Quality and Engagement items among postgraduate coursework students from non-university higher education institutes (NUHEIs) by stage of study, 2017-2023</w:t>
            </w:r>
          </w:p>
        </w:tc>
      </w:tr>
      <w:tr w:rsidR="00217865" w:rsidRPr="00217865" w14:paraId="6146BD1A" w14:textId="77777777" w:rsidTr="0006511F">
        <w:trPr>
          <w:trHeight w:val="300"/>
        </w:trPr>
        <w:tc>
          <w:tcPr>
            <w:tcW w:w="1083" w:type="dxa"/>
            <w:noWrap/>
            <w:vAlign w:val="center"/>
            <w:hideMark/>
          </w:tcPr>
          <w:p w14:paraId="7EBF96A9" w14:textId="7BFA813A"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lastRenderedPageBreak/>
              <w:t>UG</w:t>
            </w:r>
          </w:p>
        </w:tc>
        <w:tc>
          <w:tcPr>
            <w:tcW w:w="1043" w:type="dxa"/>
            <w:noWrap/>
            <w:vAlign w:val="center"/>
            <w:hideMark/>
          </w:tcPr>
          <w:p w14:paraId="1703C4F0" w14:textId="0B1BD5C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6A6E243" w14:textId="32A95F7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SUPP_UG_ALL_17-YY_</w:t>
            </w:r>
            <w:r w:rsidRPr="00217865" w:rsidDel="00E41132">
              <w:rPr>
                <w:rFonts w:cs="Arial"/>
                <w:color w:val="000000" w:themeColor="text1"/>
                <w:sz w:val="18"/>
              </w:rPr>
              <w:t>STAGE</w:t>
            </w:r>
          </w:p>
        </w:tc>
        <w:tc>
          <w:tcPr>
            <w:tcW w:w="4394" w:type="dxa"/>
            <w:noWrap/>
            <w:vAlign w:val="center"/>
            <w:hideMark/>
          </w:tcPr>
          <w:p w14:paraId="4B42EB39" w14:textId="26C102E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undergraduates from all provider types by stage of study, 2017-2023</w:t>
            </w:r>
          </w:p>
        </w:tc>
      </w:tr>
      <w:tr w:rsidR="00217865" w:rsidRPr="00217865" w14:paraId="748DBD8C" w14:textId="77777777" w:rsidTr="0006511F">
        <w:trPr>
          <w:trHeight w:val="300"/>
        </w:trPr>
        <w:tc>
          <w:tcPr>
            <w:tcW w:w="1083" w:type="dxa"/>
            <w:noWrap/>
            <w:vAlign w:val="center"/>
            <w:hideMark/>
          </w:tcPr>
          <w:p w14:paraId="71D16EA7" w14:textId="5598E5C7"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0A8EDF34" w14:textId="45E4552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26157BF9" w14:textId="65B3F44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SUPP_UG_UNI_17-YY_</w:t>
            </w:r>
            <w:r w:rsidRPr="00217865" w:rsidDel="00E41132">
              <w:rPr>
                <w:rFonts w:cs="Arial"/>
                <w:color w:val="000000" w:themeColor="text1"/>
                <w:sz w:val="18"/>
              </w:rPr>
              <w:t>STAGE</w:t>
            </w:r>
          </w:p>
        </w:tc>
        <w:tc>
          <w:tcPr>
            <w:tcW w:w="4394" w:type="dxa"/>
            <w:noWrap/>
            <w:vAlign w:val="center"/>
            <w:hideMark/>
          </w:tcPr>
          <w:p w14:paraId="2141CE22" w14:textId="43AF6B1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undergraduates from universities by stage of study, 2017-2023</w:t>
            </w:r>
          </w:p>
        </w:tc>
      </w:tr>
      <w:tr w:rsidR="00217865" w:rsidRPr="00217865" w14:paraId="2B7D938C" w14:textId="77777777" w:rsidTr="0006511F">
        <w:trPr>
          <w:trHeight w:val="300"/>
        </w:trPr>
        <w:tc>
          <w:tcPr>
            <w:tcW w:w="1083" w:type="dxa"/>
            <w:noWrap/>
            <w:vAlign w:val="center"/>
            <w:hideMark/>
          </w:tcPr>
          <w:p w14:paraId="7CADA3D5" w14:textId="3BAB16C9"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2C732BE0" w14:textId="63A4C08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5966EFD7" w14:textId="2D95EBE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SUPP_UG_NUHEI_17-YY_</w:t>
            </w:r>
            <w:r w:rsidRPr="00217865" w:rsidDel="00E41132">
              <w:rPr>
                <w:rFonts w:cs="Arial"/>
                <w:color w:val="000000" w:themeColor="text1"/>
                <w:sz w:val="18"/>
              </w:rPr>
              <w:t>STAGE</w:t>
            </w:r>
          </w:p>
        </w:tc>
        <w:tc>
          <w:tcPr>
            <w:tcW w:w="4394" w:type="dxa"/>
            <w:noWrap/>
            <w:vAlign w:val="center"/>
            <w:hideMark/>
          </w:tcPr>
          <w:p w14:paraId="5D0BDF2C" w14:textId="6B887A7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undergraduates from non-university higher education institutes (NUHEIs) by stage of study, 2017-2023</w:t>
            </w:r>
          </w:p>
        </w:tc>
      </w:tr>
      <w:tr w:rsidR="00217865" w:rsidRPr="00217865" w14:paraId="3082F7BA" w14:textId="77777777" w:rsidTr="0006511F">
        <w:trPr>
          <w:trHeight w:val="300"/>
        </w:trPr>
        <w:tc>
          <w:tcPr>
            <w:tcW w:w="1083" w:type="dxa"/>
            <w:noWrap/>
            <w:vAlign w:val="center"/>
            <w:hideMark/>
          </w:tcPr>
          <w:p w14:paraId="0B921F4E" w14:textId="6DCF679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7FC7A4B6" w14:textId="427A7CF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2906CEDB" w14:textId="4FDD686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SUPP_PGC_ALL_17-YY_</w:t>
            </w:r>
            <w:r w:rsidRPr="00217865" w:rsidDel="00E41132">
              <w:rPr>
                <w:rFonts w:cs="Arial"/>
                <w:color w:val="000000" w:themeColor="text1"/>
                <w:sz w:val="18"/>
              </w:rPr>
              <w:t>STAGE</w:t>
            </w:r>
          </w:p>
        </w:tc>
        <w:tc>
          <w:tcPr>
            <w:tcW w:w="4394" w:type="dxa"/>
            <w:noWrap/>
            <w:vAlign w:val="center"/>
            <w:hideMark/>
          </w:tcPr>
          <w:p w14:paraId="053A8167" w14:textId="7BFA301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postgraduate coursework students from all provider types by stage of study, 2017-2023</w:t>
            </w:r>
          </w:p>
        </w:tc>
      </w:tr>
      <w:tr w:rsidR="00217865" w:rsidRPr="00217865" w14:paraId="39AA8B35" w14:textId="77777777" w:rsidTr="0006511F">
        <w:trPr>
          <w:trHeight w:val="300"/>
        </w:trPr>
        <w:tc>
          <w:tcPr>
            <w:tcW w:w="1083" w:type="dxa"/>
            <w:noWrap/>
            <w:vAlign w:val="center"/>
            <w:hideMark/>
          </w:tcPr>
          <w:p w14:paraId="2B6673F6" w14:textId="48140746"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147B7298" w14:textId="7019EB7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5EE7FCF8" w14:textId="4367DA5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SUPP_PGC_UNI_17-YY_</w:t>
            </w:r>
            <w:r w:rsidRPr="00217865" w:rsidDel="00E41132">
              <w:rPr>
                <w:rFonts w:cs="Arial"/>
                <w:color w:val="000000" w:themeColor="text1"/>
                <w:sz w:val="18"/>
              </w:rPr>
              <w:t>STAGE</w:t>
            </w:r>
          </w:p>
        </w:tc>
        <w:tc>
          <w:tcPr>
            <w:tcW w:w="4394" w:type="dxa"/>
            <w:noWrap/>
            <w:vAlign w:val="center"/>
            <w:hideMark/>
          </w:tcPr>
          <w:p w14:paraId="04E0A870" w14:textId="022F907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postgraduate coursework students from universities by stage of study, 2017-2023</w:t>
            </w:r>
          </w:p>
        </w:tc>
      </w:tr>
      <w:tr w:rsidR="00217865" w:rsidRPr="00217865" w14:paraId="0D6578D6" w14:textId="77777777" w:rsidTr="0006511F">
        <w:trPr>
          <w:trHeight w:val="300"/>
        </w:trPr>
        <w:tc>
          <w:tcPr>
            <w:tcW w:w="1083" w:type="dxa"/>
            <w:noWrap/>
            <w:vAlign w:val="center"/>
            <w:hideMark/>
          </w:tcPr>
          <w:p w14:paraId="5EAB44C5" w14:textId="75C54DA3"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6B7A3592" w14:textId="2D6B5A9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4A66137B" w14:textId="2D40597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SUPP_PGC_NUHEI_17-YY_</w:t>
            </w:r>
            <w:r w:rsidRPr="00217865" w:rsidDel="00E41132">
              <w:rPr>
                <w:rFonts w:cs="Arial"/>
                <w:color w:val="000000" w:themeColor="text1"/>
                <w:sz w:val="18"/>
              </w:rPr>
              <w:t>STAGE</w:t>
            </w:r>
          </w:p>
        </w:tc>
        <w:tc>
          <w:tcPr>
            <w:tcW w:w="4394" w:type="dxa"/>
            <w:noWrap/>
            <w:vAlign w:val="center"/>
            <w:hideMark/>
          </w:tcPr>
          <w:p w14:paraId="49062FD2" w14:textId="18B4B5F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Student Support and Services items among postgraduate coursework students from non-university higher education institutes (NUHEIs) by stage of study, 2017-2023</w:t>
            </w:r>
          </w:p>
        </w:tc>
      </w:tr>
      <w:tr w:rsidR="00217865" w:rsidRPr="00217865" w14:paraId="38FB8CF3" w14:textId="77777777" w:rsidTr="0006511F">
        <w:trPr>
          <w:trHeight w:val="300"/>
        </w:trPr>
        <w:tc>
          <w:tcPr>
            <w:tcW w:w="1083" w:type="dxa"/>
            <w:noWrap/>
            <w:vAlign w:val="center"/>
            <w:hideMark/>
          </w:tcPr>
          <w:p w14:paraId="08D972A7" w14:textId="67B6BEF7"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19101A08" w14:textId="48C6F14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19C36293" w14:textId="031BECA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RESR_UG_ALL_17-YY_</w:t>
            </w:r>
            <w:r w:rsidRPr="00217865" w:rsidDel="00E41132">
              <w:rPr>
                <w:rFonts w:cs="Arial"/>
                <w:color w:val="000000" w:themeColor="text1"/>
                <w:sz w:val="18"/>
              </w:rPr>
              <w:t>STAGE</w:t>
            </w:r>
          </w:p>
        </w:tc>
        <w:tc>
          <w:tcPr>
            <w:tcW w:w="4394" w:type="dxa"/>
            <w:noWrap/>
            <w:vAlign w:val="center"/>
            <w:hideMark/>
          </w:tcPr>
          <w:p w14:paraId="77A967AF" w14:textId="615340E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Learning Resources items among undergraduates from all provider types by stage of study, 2017-2023</w:t>
            </w:r>
          </w:p>
        </w:tc>
      </w:tr>
      <w:tr w:rsidR="00217865" w:rsidRPr="00217865" w14:paraId="0931605C" w14:textId="77777777" w:rsidTr="0006511F">
        <w:trPr>
          <w:trHeight w:val="300"/>
        </w:trPr>
        <w:tc>
          <w:tcPr>
            <w:tcW w:w="1083" w:type="dxa"/>
            <w:noWrap/>
            <w:vAlign w:val="center"/>
            <w:hideMark/>
          </w:tcPr>
          <w:p w14:paraId="255B212B" w14:textId="51ED9D29"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34142EC3" w14:textId="1324338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552B4E7" w14:textId="23B3041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RESR_UG_UNI_17-YY_</w:t>
            </w:r>
            <w:r w:rsidRPr="00217865" w:rsidDel="00E41132">
              <w:rPr>
                <w:rFonts w:cs="Arial"/>
                <w:color w:val="000000" w:themeColor="text1"/>
                <w:sz w:val="18"/>
              </w:rPr>
              <w:t>STAGE</w:t>
            </w:r>
          </w:p>
        </w:tc>
        <w:tc>
          <w:tcPr>
            <w:tcW w:w="4394" w:type="dxa"/>
            <w:noWrap/>
            <w:vAlign w:val="center"/>
            <w:hideMark/>
          </w:tcPr>
          <w:p w14:paraId="50F2AF06" w14:textId="25AFAF4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Learning Resources items among undergraduates from universities by stage of study, 2017-2023</w:t>
            </w:r>
          </w:p>
        </w:tc>
      </w:tr>
      <w:tr w:rsidR="00217865" w:rsidRPr="00217865" w14:paraId="227E01FC" w14:textId="77777777" w:rsidTr="0006511F">
        <w:trPr>
          <w:trHeight w:val="300"/>
        </w:trPr>
        <w:tc>
          <w:tcPr>
            <w:tcW w:w="1083" w:type="dxa"/>
            <w:noWrap/>
            <w:vAlign w:val="center"/>
            <w:hideMark/>
          </w:tcPr>
          <w:p w14:paraId="464A6178" w14:textId="5FE526D7"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UG</w:t>
            </w:r>
          </w:p>
        </w:tc>
        <w:tc>
          <w:tcPr>
            <w:tcW w:w="1043" w:type="dxa"/>
            <w:noWrap/>
            <w:vAlign w:val="center"/>
            <w:hideMark/>
          </w:tcPr>
          <w:p w14:paraId="2E8A0D57" w14:textId="6ED8912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012E86CB" w14:textId="750FE85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RESR_UG_NUHEI_17-YY_</w:t>
            </w:r>
            <w:r w:rsidRPr="00217865" w:rsidDel="00E41132">
              <w:rPr>
                <w:rFonts w:cs="Arial"/>
                <w:color w:val="000000" w:themeColor="text1"/>
                <w:sz w:val="18"/>
              </w:rPr>
              <w:t>STAGE</w:t>
            </w:r>
          </w:p>
        </w:tc>
        <w:tc>
          <w:tcPr>
            <w:tcW w:w="4394" w:type="dxa"/>
            <w:noWrap/>
            <w:vAlign w:val="center"/>
            <w:hideMark/>
          </w:tcPr>
          <w:p w14:paraId="70F5D875" w14:textId="7E510A1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Learning Resources items among undergraduates from non-university higher education institutes (NUHEIs) by stage of study, 2017-2023</w:t>
            </w:r>
          </w:p>
        </w:tc>
      </w:tr>
      <w:tr w:rsidR="00217865" w:rsidRPr="00217865" w14:paraId="101988CF" w14:textId="77777777" w:rsidTr="0006511F">
        <w:trPr>
          <w:trHeight w:val="300"/>
        </w:trPr>
        <w:tc>
          <w:tcPr>
            <w:tcW w:w="1083" w:type="dxa"/>
            <w:noWrap/>
            <w:vAlign w:val="center"/>
            <w:hideMark/>
          </w:tcPr>
          <w:p w14:paraId="571EDAC4" w14:textId="05FD5FCA"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55BB7036" w14:textId="0544CB2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12CCADBF" w14:textId="7F926E3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RESR_PGC_ALL_17-YY_</w:t>
            </w:r>
            <w:r w:rsidRPr="00217865" w:rsidDel="00E41132">
              <w:rPr>
                <w:rFonts w:cs="Arial"/>
                <w:color w:val="000000" w:themeColor="text1"/>
                <w:sz w:val="18"/>
              </w:rPr>
              <w:t>STAGE</w:t>
            </w:r>
          </w:p>
        </w:tc>
        <w:tc>
          <w:tcPr>
            <w:tcW w:w="4394" w:type="dxa"/>
            <w:noWrap/>
            <w:vAlign w:val="center"/>
            <w:hideMark/>
          </w:tcPr>
          <w:p w14:paraId="513241F7" w14:textId="2F9C4FD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Learning Resources items among postgraduate coursework students from all provider types by stage of study, 2017-2023</w:t>
            </w:r>
          </w:p>
        </w:tc>
      </w:tr>
      <w:tr w:rsidR="00217865" w:rsidRPr="00217865" w14:paraId="181D0E23" w14:textId="77777777" w:rsidTr="0006511F">
        <w:trPr>
          <w:trHeight w:val="300"/>
        </w:trPr>
        <w:tc>
          <w:tcPr>
            <w:tcW w:w="1083" w:type="dxa"/>
            <w:noWrap/>
            <w:vAlign w:val="center"/>
            <w:hideMark/>
          </w:tcPr>
          <w:p w14:paraId="3EA22C24" w14:textId="1AB09732"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6E842ABB" w14:textId="3B3340B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5F6836FA" w14:textId="03A51EB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RESR_PGC_UNI_17-YY_</w:t>
            </w:r>
            <w:r w:rsidRPr="00217865" w:rsidDel="00E41132">
              <w:rPr>
                <w:rFonts w:cs="Arial"/>
                <w:color w:val="000000" w:themeColor="text1"/>
                <w:sz w:val="18"/>
              </w:rPr>
              <w:t>STAGE</w:t>
            </w:r>
          </w:p>
        </w:tc>
        <w:tc>
          <w:tcPr>
            <w:tcW w:w="4394" w:type="dxa"/>
            <w:noWrap/>
            <w:vAlign w:val="center"/>
            <w:hideMark/>
          </w:tcPr>
          <w:p w14:paraId="3C11F627" w14:textId="7097821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Percentage positive scores for Learning Resources items among postgraduate coursework students from universities by stage of study, 2017-2023</w:t>
            </w:r>
          </w:p>
        </w:tc>
      </w:tr>
      <w:tr w:rsidR="00217865" w:rsidRPr="00217865" w14:paraId="59679624" w14:textId="77777777" w:rsidTr="0006511F">
        <w:trPr>
          <w:trHeight w:val="300"/>
        </w:trPr>
        <w:tc>
          <w:tcPr>
            <w:tcW w:w="1083" w:type="dxa"/>
            <w:noWrap/>
            <w:vAlign w:val="center"/>
            <w:hideMark/>
          </w:tcPr>
          <w:p w14:paraId="2DB411A2" w14:textId="7F663D49" w:rsidR="0006511F" w:rsidRPr="00217865" w:rsidRDefault="0006511F" w:rsidP="0006511F">
            <w:pPr>
              <w:pStyle w:val="BodyText"/>
              <w:rPr>
                <w:rFonts w:cs="Arial"/>
                <w:color w:val="000000" w:themeColor="text1"/>
                <w:sz w:val="18"/>
                <w:highlight w:val="yellow"/>
              </w:rPr>
            </w:pPr>
            <w:r w:rsidRPr="00217865" w:rsidDel="00E41132">
              <w:rPr>
                <w:rFonts w:cs="Arial"/>
                <w:color w:val="000000" w:themeColor="text1"/>
                <w:sz w:val="18"/>
              </w:rPr>
              <w:t>PGC</w:t>
            </w:r>
          </w:p>
        </w:tc>
        <w:tc>
          <w:tcPr>
            <w:tcW w:w="1043" w:type="dxa"/>
            <w:noWrap/>
            <w:vAlign w:val="center"/>
            <w:hideMark/>
          </w:tcPr>
          <w:p w14:paraId="7015412D" w14:textId="384644E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61" w:type="dxa"/>
            <w:vAlign w:val="center"/>
          </w:tcPr>
          <w:p w14:paraId="7A724691" w14:textId="104A1BD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RESR_PGC_NUHEI_17-YY_</w:t>
            </w:r>
            <w:r w:rsidRPr="00217865" w:rsidDel="00E41132">
              <w:rPr>
                <w:rFonts w:cs="Arial"/>
                <w:color w:val="000000" w:themeColor="text1"/>
                <w:sz w:val="18"/>
              </w:rPr>
              <w:t>STAGE</w:t>
            </w:r>
          </w:p>
        </w:tc>
        <w:tc>
          <w:tcPr>
            <w:tcW w:w="4394" w:type="dxa"/>
            <w:noWrap/>
            <w:vAlign w:val="center"/>
            <w:hideMark/>
          </w:tcPr>
          <w:p w14:paraId="0D0A262F" w14:textId="061A1C5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Percentage positive scores for Learning Resources items among postgraduate coursework students </w:t>
            </w:r>
            <w:r w:rsidRPr="00217865">
              <w:rPr>
                <w:rFonts w:cs="Arial"/>
                <w:color w:val="000000" w:themeColor="text1"/>
                <w:sz w:val="18"/>
              </w:rPr>
              <w:lastRenderedPageBreak/>
              <w:t>from non-university higher education institutes (NUHEIs) by stage of study, 2017-2023</w:t>
            </w:r>
          </w:p>
        </w:tc>
      </w:tr>
    </w:tbl>
    <w:p w14:paraId="75F7BE56" w14:textId="450E9D57" w:rsidR="005A5905" w:rsidRPr="00217865" w:rsidRDefault="008A3CEA" w:rsidP="009D4378">
      <w:pPr>
        <w:pStyle w:val="Appendix3"/>
        <w:numPr>
          <w:ilvl w:val="0"/>
          <w:numId w:val="0"/>
        </w:numPr>
        <w:ind w:left="720" w:hanging="720"/>
        <w:rPr>
          <w:rFonts w:cs="Arial"/>
          <w:color w:val="000000" w:themeColor="text1"/>
        </w:rPr>
      </w:pPr>
      <w:bookmarkStart w:id="618" w:name="_Toc167872837"/>
      <w:bookmarkStart w:id="619" w:name="_Toc178599329"/>
      <w:r w:rsidRPr="00217865">
        <w:rPr>
          <w:rFonts w:cs="Arial"/>
          <w:color w:val="000000" w:themeColor="text1"/>
        </w:rPr>
        <w:lastRenderedPageBreak/>
        <w:t>A7.1.6</w:t>
      </w:r>
      <w:r w:rsidR="009D4378">
        <w:rPr>
          <w:rFonts w:cs="Arial"/>
          <w:color w:val="000000" w:themeColor="text1"/>
        </w:rPr>
        <w:tab/>
      </w:r>
      <w:r w:rsidR="005A5905" w:rsidRPr="00217865">
        <w:rPr>
          <w:rFonts w:cs="Arial"/>
          <w:color w:val="000000" w:themeColor="text1"/>
        </w:rPr>
        <w:t>Freedom of expression</w:t>
      </w:r>
      <w:bookmarkEnd w:id="618"/>
      <w:bookmarkEnd w:id="619"/>
    </w:p>
    <w:p w14:paraId="3C4DF296" w14:textId="7FBE228A" w:rsidR="005A5905" w:rsidRPr="00217865" w:rsidRDefault="005A5905" w:rsidP="005A5905">
      <w:pPr>
        <w:pStyle w:val="Body"/>
        <w:rPr>
          <w:rFonts w:cs="Arial"/>
          <w:color w:val="000000" w:themeColor="text1"/>
        </w:rPr>
      </w:pPr>
      <w:r w:rsidRPr="00217865">
        <w:rPr>
          <w:rFonts w:cs="Arial"/>
          <w:color w:val="000000" w:themeColor="text1"/>
        </w:rPr>
        <w:t xml:space="preserve">A new set of items related to students’ perceptions of freedom of expression on campus was included </w:t>
      </w:r>
      <w:r w:rsidR="00F45110" w:rsidRPr="00217865">
        <w:rPr>
          <w:rFonts w:cs="Arial"/>
          <w:color w:val="000000" w:themeColor="text1"/>
        </w:rPr>
        <w:t xml:space="preserve">since </w:t>
      </w:r>
      <w:r w:rsidRPr="00217865">
        <w:rPr>
          <w:rFonts w:cs="Arial"/>
          <w:color w:val="000000" w:themeColor="text1"/>
        </w:rPr>
        <w:t xml:space="preserve">the 2021 SES. The following group of tables provides a breakdown of responses by course level, institution type and key demographics and sub-groups.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4"/>
        <w:gridCol w:w="2567"/>
        <w:gridCol w:w="4921"/>
      </w:tblGrid>
      <w:tr w:rsidR="00217865" w:rsidRPr="00217865" w14:paraId="0DC58580" w14:textId="77777777" w:rsidTr="0006511F">
        <w:trPr>
          <w:trHeight w:val="300"/>
          <w:tblHeader/>
        </w:trPr>
        <w:tc>
          <w:tcPr>
            <w:tcW w:w="1124" w:type="dxa"/>
            <w:noWrap/>
            <w:vAlign w:val="bottom"/>
          </w:tcPr>
          <w:p w14:paraId="15603C63"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Course level</w:t>
            </w:r>
          </w:p>
        </w:tc>
        <w:tc>
          <w:tcPr>
            <w:tcW w:w="1124" w:type="dxa"/>
            <w:noWrap/>
            <w:vAlign w:val="bottom"/>
          </w:tcPr>
          <w:p w14:paraId="27F957EA" w14:textId="705B1AA6" w:rsidR="005A5905" w:rsidRPr="00217865" w:rsidRDefault="005A5905" w:rsidP="0006511F">
            <w:pPr>
              <w:pStyle w:val="BodyText"/>
              <w:rPr>
                <w:rFonts w:cs="Arial"/>
                <w:b/>
                <w:color w:val="000000" w:themeColor="text1"/>
                <w:sz w:val="18"/>
              </w:rPr>
            </w:pPr>
            <w:r w:rsidRPr="00217865">
              <w:rPr>
                <w:rFonts w:cs="Arial"/>
                <w:b/>
                <w:color w:val="000000" w:themeColor="text1"/>
                <w:sz w:val="18"/>
              </w:rPr>
              <w:t xml:space="preserve">Report </w:t>
            </w:r>
            <w:r w:rsidR="008279CE" w:rsidRPr="00217865">
              <w:rPr>
                <w:rFonts w:cs="Arial"/>
                <w:b/>
                <w:bCs/>
                <w:color w:val="000000" w:themeColor="text1"/>
                <w:sz w:val="18"/>
              </w:rPr>
              <w:t>reference</w:t>
            </w:r>
          </w:p>
        </w:tc>
        <w:tc>
          <w:tcPr>
            <w:tcW w:w="2567" w:type="dxa"/>
            <w:vAlign w:val="bottom"/>
          </w:tcPr>
          <w:p w14:paraId="23AE7D75"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Sheet name</w:t>
            </w:r>
          </w:p>
        </w:tc>
        <w:tc>
          <w:tcPr>
            <w:tcW w:w="4921" w:type="dxa"/>
            <w:noWrap/>
            <w:vAlign w:val="bottom"/>
          </w:tcPr>
          <w:p w14:paraId="780FB5FC"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Table title</w:t>
            </w:r>
          </w:p>
        </w:tc>
      </w:tr>
      <w:tr w:rsidR="00217865" w:rsidRPr="00217865" w14:paraId="7FD44F2F" w14:textId="77777777" w:rsidTr="0006511F">
        <w:trPr>
          <w:trHeight w:val="300"/>
        </w:trPr>
        <w:tc>
          <w:tcPr>
            <w:tcW w:w="1124" w:type="dxa"/>
            <w:noWrap/>
            <w:vAlign w:val="center"/>
            <w:hideMark/>
          </w:tcPr>
          <w:p w14:paraId="6D9F4A33" w14:textId="3C400A95" w:rsidR="00246E4C" w:rsidRPr="00217865" w:rsidRDefault="00246E4C" w:rsidP="0006511F">
            <w:pPr>
              <w:pStyle w:val="BodyText"/>
              <w:rPr>
                <w:rFonts w:cs="Arial"/>
                <w:color w:val="000000" w:themeColor="text1"/>
                <w:sz w:val="18"/>
              </w:rPr>
            </w:pPr>
            <w:r w:rsidRPr="00217865" w:rsidDel="00990CF7">
              <w:rPr>
                <w:rFonts w:cs="Arial"/>
                <w:color w:val="000000" w:themeColor="text1"/>
                <w:sz w:val="18"/>
              </w:rPr>
              <w:t>ALL</w:t>
            </w:r>
          </w:p>
        </w:tc>
        <w:tc>
          <w:tcPr>
            <w:tcW w:w="1124" w:type="dxa"/>
            <w:noWrap/>
            <w:vAlign w:val="center"/>
          </w:tcPr>
          <w:p w14:paraId="12EE8A67" w14:textId="5BF77E27" w:rsidR="00246E4C" w:rsidRPr="00217865" w:rsidRDefault="0006511F" w:rsidP="0006511F">
            <w:pPr>
              <w:pStyle w:val="BodyText"/>
              <w:rPr>
                <w:rFonts w:cs="Arial"/>
                <w:color w:val="000000" w:themeColor="text1"/>
                <w:sz w:val="18"/>
              </w:rPr>
            </w:pPr>
            <w:r w:rsidRPr="00217865">
              <w:rPr>
                <w:rFonts w:cs="Arial"/>
                <w:color w:val="000000" w:themeColor="text1"/>
                <w:sz w:val="18"/>
              </w:rPr>
              <w:t>-</w:t>
            </w:r>
          </w:p>
        </w:tc>
        <w:tc>
          <w:tcPr>
            <w:tcW w:w="2567" w:type="dxa"/>
            <w:vAlign w:val="center"/>
          </w:tcPr>
          <w:p w14:paraId="64405F44" w14:textId="3CAFDEFD" w:rsidR="00246E4C" w:rsidRPr="00217865" w:rsidRDefault="00246E4C" w:rsidP="0006511F">
            <w:pPr>
              <w:pStyle w:val="BodyText"/>
              <w:rPr>
                <w:rFonts w:cs="Arial"/>
                <w:color w:val="000000" w:themeColor="text1"/>
                <w:sz w:val="18"/>
              </w:rPr>
            </w:pPr>
            <w:r w:rsidRPr="00217865" w:rsidDel="00990CF7">
              <w:rPr>
                <w:rFonts w:cs="Arial"/>
                <w:color w:val="000000" w:themeColor="text1"/>
                <w:sz w:val="18"/>
              </w:rPr>
              <w:t>FOEX_ALL_ALL_1Y</w:t>
            </w:r>
          </w:p>
        </w:tc>
        <w:tc>
          <w:tcPr>
            <w:tcW w:w="4921" w:type="dxa"/>
            <w:noWrap/>
            <w:vAlign w:val="center"/>
            <w:hideMark/>
          </w:tcPr>
          <w:p w14:paraId="1493A958" w14:textId="2DD3832F" w:rsidR="00246E4C" w:rsidRPr="00217865" w:rsidRDefault="00246E4C" w:rsidP="0006511F">
            <w:pPr>
              <w:pStyle w:val="BodyText"/>
              <w:rPr>
                <w:rFonts w:cs="Arial"/>
                <w:color w:val="000000" w:themeColor="text1"/>
                <w:sz w:val="18"/>
              </w:rPr>
            </w:pPr>
            <w:r w:rsidRPr="00217865">
              <w:rPr>
                <w:rFonts w:cs="Arial"/>
                <w:color w:val="000000" w:themeColor="text1"/>
                <w:sz w:val="18"/>
              </w:rPr>
              <w:t xml:space="preserve">Freedom of expression (% positive rating, 2023) among all course levels from all provider types by level and stage of </w:t>
            </w:r>
            <w:r w:rsidRPr="00217865" w:rsidDel="00990CF7">
              <w:rPr>
                <w:rFonts w:cs="Arial"/>
                <w:color w:val="000000" w:themeColor="text1"/>
                <w:sz w:val="18"/>
              </w:rPr>
              <w:t>study</w:t>
            </w:r>
          </w:p>
        </w:tc>
      </w:tr>
    </w:tbl>
    <w:p w14:paraId="5DA1C6B4" w14:textId="0483CCE6" w:rsidR="0020797D" w:rsidRPr="00217865" w:rsidRDefault="00DA29C1" w:rsidP="00E06AED">
      <w:pPr>
        <w:pStyle w:val="Heading2"/>
        <w:numPr>
          <w:ilvl w:val="0"/>
          <w:numId w:val="0"/>
        </w:numPr>
      </w:pPr>
      <w:bookmarkStart w:id="620" w:name="_Toc178599330"/>
      <w:r w:rsidRPr="00217865">
        <w:t>A</w:t>
      </w:r>
      <w:r w:rsidR="0020797D" w:rsidRPr="00217865">
        <w:t>7.2</w:t>
      </w:r>
      <w:r w:rsidR="009D4378">
        <w:tab/>
      </w:r>
      <w:r w:rsidR="009D4378">
        <w:tab/>
      </w:r>
      <w:r w:rsidR="0020797D" w:rsidRPr="00217865">
        <w:t>International Student Experience</w:t>
      </w:r>
      <w:bookmarkEnd w:id="620"/>
    </w:p>
    <w:p w14:paraId="2250D58A" w14:textId="77777777" w:rsidR="0020797D" w:rsidRPr="00217865" w:rsidRDefault="0020797D" w:rsidP="0020797D">
      <w:pPr>
        <w:rPr>
          <w:rFonts w:cs="Arial"/>
          <w:color w:val="000000" w:themeColor="text1"/>
          <w:szCs w:val="20"/>
          <w:lang w:val="en-GB"/>
        </w:rPr>
      </w:pPr>
      <w:r w:rsidRPr="00217865">
        <w:rPr>
          <w:rFonts w:cs="Arial"/>
          <w:color w:val="000000" w:themeColor="text1"/>
          <w:szCs w:val="20"/>
          <w:lang w:val="en-GB"/>
        </w:rPr>
        <w:t xml:space="preserve">A new set of items specifically designed to understand international students’ reasons for choosing to study in Australia and measure their international student living experience was included in the SES for the first time in 2020. The tables below provide a breakdown of reasons that international students chose to study in Australia and at their current institution, what types of accommodation they are living in, their satisfaction with various aspects of living in Australia, as well as the type of visa they are studying on and whether they used an agent to assist with enrolment. </w:t>
      </w:r>
    </w:p>
    <w:p w14:paraId="121CC310" w14:textId="76C0BDCC" w:rsidR="0020797D" w:rsidRPr="00217865" w:rsidRDefault="00DA29C1" w:rsidP="009D4378">
      <w:pPr>
        <w:pStyle w:val="Heading3"/>
        <w:numPr>
          <w:ilvl w:val="0"/>
          <w:numId w:val="0"/>
        </w:numPr>
        <w:ind w:left="709" w:hanging="709"/>
        <w:rPr>
          <w:color w:val="000000" w:themeColor="text1"/>
        </w:rPr>
      </w:pPr>
      <w:bookmarkStart w:id="621" w:name="_Toc178599331"/>
      <w:r w:rsidRPr="00217865">
        <w:rPr>
          <w:color w:val="000000" w:themeColor="text1"/>
        </w:rPr>
        <w:t>A</w:t>
      </w:r>
      <w:r w:rsidR="0020797D" w:rsidRPr="00217865">
        <w:rPr>
          <w:color w:val="000000" w:themeColor="text1"/>
        </w:rPr>
        <w:t>7.2.1</w:t>
      </w:r>
      <w:r w:rsidR="009D4378">
        <w:rPr>
          <w:color w:val="000000" w:themeColor="text1"/>
        </w:rPr>
        <w:tab/>
      </w:r>
      <w:r w:rsidR="0020797D" w:rsidRPr="00217865">
        <w:rPr>
          <w:color w:val="000000" w:themeColor="text1"/>
        </w:rPr>
        <w:t>Reason for choosing where to study</w:t>
      </w:r>
      <w:bookmarkEnd w:id="621"/>
    </w:p>
    <w:tbl>
      <w:tblPr>
        <w:tblStyle w:val="TableGrid"/>
        <w:tblW w:w="9918" w:type="dxa"/>
        <w:tblLayout w:type="fixed"/>
        <w:tblLook w:val="04A0" w:firstRow="1" w:lastRow="0" w:firstColumn="1" w:lastColumn="0" w:noHBand="0" w:noVBand="1"/>
      </w:tblPr>
      <w:tblGrid>
        <w:gridCol w:w="988"/>
        <w:gridCol w:w="1134"/>
        <w:gridCol w:w="2835"/>
        <w:gridCol w:w="4961"/>
      </w:tblGrid>
      <w:tr w:rsidR="00217865" w:rsidRPr="00217865" w14:paraId="0678C247" w14:textId="77777777" w:rsidTr="0006511F">
        <w:trPr>
          <w:cnfStyle w:val="100000000000" w:firstRow="1" w:lastRow="0" w:firstColumn="0" w:lastColumn="0" w:oddVBand="0" w:evenVBand="0" w:oddHBand="0" w:evenHBand="0" w:firstRowFirstColumn="0" w:firstRowLastColumn="0" w:lastRowFirstColumn="0" w:lastRowLastColumn="0"/>
        </w:trPr>
        <w:tc>
          <w:tcPr>
            <w:tcW w:w="988" w:type="dxa"/>
          </w:tcPr>
          <w:p w14:paraId="1E2100B4" w14:textId="77777777" w:rsidR="0020797D" w:rsidRPr="00217865" w:rsidRDefault="0020797D" w:rsidP="0006511F">
            <w:pPr>
              <w:pStyle w:val="BodyText"/>
              <w:rPr>
                <w:rFonts w:cs="Arial"/>
                <w:sz w:val="18"/>
              </w:rPr>
            </w:pPr>
            <w:r w:rsidRPr="00217865">
              <w:rPr>
                <w:rFonts w:cs="Arial"/>
                <w:sz w:val="18"/>
              </w:rPr>
              <w:t>Course level</w:t>
            </w:r>
          </w:p>
        </w:tc>
        <w:tc>
          <w:tcPr>
            <w:tcW w:w="1134" w:type="dxa"/>
          </w:tcPr>
          <w:p w14:paraId="7324C9F0" w14:textId="4A0FC5EB" w:rsidR="0020797D" w:rsidRPr="00217865" w:rsidRDefault="0020797D" w:rsidP="0006511F">
            <w:pPr>
              <w:pStyle w:val="BodyText"/>
              <w:rPr>
                <w:rFonts w:cs="Arial"/>
                <w:sz w:val="18"/>
              </w:rPr>
            </w:pPr>
            <w:r w:rsidRPr="00217865">
              <w:rPr>
                <w:rFonts w:cs="Arial"/>
                <w:sz w:val="18"/>
              </w:rPr>
              <w:t xml:space="preserve">Report </w:t>
            </w:r>
            <w:r w:rsidR="00765181" w:rsidRPr="00217865">
              <w:rPr>
                <w:rFonts w:cs="Arial"/>
                <w:sz w:val="18"/>
              </w:rPr>
              <w:t>reference</w:t>
            </w:r>
          </w:p>
        </w:tc>
        <w:tc>
          <w:tcPr>
            <w:tcW w:w="2835" w:type="dxa"/>
          </w:tcPr>
          <w:p w14:paraId="6563E024" w14:textId="77777777" w:rsidR="0020797D" w:rsidRPr="00217865" w:rsidRDefault="0020797D" w:rsidP="0006511F">
            <w:pPr>
              <w:pStyle w:val="BodyText"/>
              <w:rPr>
                <w:rFonts w:cs="Arial"/>
                <w:sz w:val="18"/>
              </w:rPr>
            </w:pPr>
            <w:r w:rsidRPr="00217865">
              <w:rPr>
                <w:rFonts w:cs="Arial"/>
                <w:sz w:val="18"/>
              </w:rPr>
              <w:t>Sheet name</w:t>
            </w:r>
          </w:p>
        </w:tc>
        <w:tc>
          <w:tcPr>
            <w:tcW w:w="4961" w:type="dxa"/>
          </w:tcPr>
          <w:p w14:paraId="439AAAE8" w14:textId="77777777" w:rsidR="0020797D" w:rsidRPr="00217865" w:rsidRDefault="0020797D" w:rsidP="0006511F">
            <w:pPr>
              <w:pStyle w:val="BodyText"/>
              <w:rPr>
                <w:rFonts w:cs="Arial"/>
                <w:sz w:val="18"/>
              </w:rPr>
            </w:pPr>
            <w:r w:rsidRPr="00217865">
              <w:rPr>
                <w:rFonts w:cs="Arial"/>
                <w:sz w:val="18"/>
              </w:rPr>
              <w:t>Table title</w:t>
            </w:r>
          </w:p>
        </w:tc>
      </w:tr>
      <w:tr w:rsidR="00217865" w:rsidRPr="00217865" w14:paraId="281A95E9" w14:textId="77777777" w:rsidTr="0006511F">
        <w:tc>
          <w:tcPr>
            <w:tcW w:w="988" w:type="dxa"/>
            <w:vAlign w:val="center"/>
          </w:tcPr>
          <w:p w14:paraId="25E600E5" w14:textId="4E664B49"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ALL</w:t>
            </w:r>
          </w:p>
        </w:tc>
        <w:tc>
          <w:tcPr>
            <w:tcW w:w="1134" w:type="dxa"/>
            <w:vAlign w:val="center"/>
          </w:tcPr>
          <w:p w14:paraId="03BD0EA3" w14:textId="4563029D"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Figure 19</w:t>
            </w:r>
          </w:p>
        </w:tc>
        <w:tc>
          <w:tcPr>
            <w:tcW w:w="2835" w:type="dxa"/>
            <w:vAlign w:val="center"/>
          </w:tcPr>
          <w:p w14:paraId="06E73499" w14:textId="716297F2"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INTAUS_ALL_ALL_1Y</w:t>
            </w:r>
          </w:p>
        </w:tc>
        <w:tc>
          <w:tcPr>
            <w:tcW w:w="4961" w:type="dxa"/>
            <w:vAlign w:val="center"/>
          </w:tcPr>
          <w:p w14:paraId="6ED97997" w14:textId="43E756AD"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2023) among all course levels from all provider types by level and stage of study</w:t>
            </w:r>
          </w:p>
        </w:tc>
      </w:tr>
      <w:tr w:rsidR="00217865" w:rsidRPr="00217865" w14:paraId="47323673" w14:textId="77777777" w:rsidTr="0006511F">
        <w:tc>
          <w:tcPr>
            <w:tcW w:w="988" w:type="dxa"/>
            <w:vAlign w:val="center"/>
          </w:tcPr>
          <w:p w14:paraId="1EF5CF75" w14:textId="7E546A85"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UG</w:t>
            </w:r>
          </w:p>
        </w:tc>
        <w:tc>
          <w:tcPr>
            <w:tcW w:w="1134" w:type="dxa"/>
            <w:vAlign w:val="center"/>
          </w:tcPr>
          <w:p w14:paraId="57247DBD" w14:textId="32ADAED0"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2DF8AB61" w14:textId="2A5B078A"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INTAUS_UG_ALL_20-YY_YEAR</w:t>
            </w:r>
          </w:p>
        </w:tc>
        <w:tc>
          <w:tcPr>
            <w:tcW w:w="4961" w:type="dxa"/>
            <w:vAlign w:val="center"/>
          </w:tcPr>
          <w:p w14:paraId="37D37B69" w14:textId="1D55DFEB"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among undergraduates from all provider types by year</w:t>
            </w:r>
          </w:p>
        </w:tc>
      </w:tr>
      <w:tr w:rsidR="00217865" w:rsidRPr="00217865" w14:paraId="219E9858" w14:textId="77777777" w:rsidTr="0006511F">
        <w:tc>
          <w:tcPr>
            <w:tcW w:w="988" w:type="dxa"/>
            <w:vAlign w:val="center"/>
          </w:tcPr>
          <w:p w14:paraId="6C5FA24E" w14:textId="69D03EF0"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UG</w:t>
            </w:r>
          </w:p>
        </w:tc>
        <w:tc>
          <w:tcPr>
            <w:tcW w:w="1134" w:type="dxa"/>
            <w:vAlign w:val="center"/>
          </w:tcPr>
          <w:p w14:paraId="2BE283F2" w14:textId="54EE7B28"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2BECAD43" w14:textId="552DFA05"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INTAUS_UG_ALL_1Y_AREA</w:t>
            </w:r>
          </w:p>
        </w:tc>
        <w:tc>
          <w:tcPr>
            <w:tcW w:w="4961" w:type="dxa"/>
            <w:vAlign w:val="center"/>
          </w:tcPr>
          <w:p w14:paraId="31BFAEB8" w14:textId="4EB10419"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2023) among undergraduates from all provider types by 21 study areas</w:t>
            </w:r>
          </w:p>
        </w:tc>
      </w:tr>
      <w:tr w:rsidR="00217865" w:rsidRPr="00217865" w14:paraId="77830400" w14:textId="77777777" w:rsidTr="0006511F">
        <w:tc>
          <w:tcPr>
            <w:tcW w:w="988" w:type="dxa"/>
            <w:vAlign w:val="center"/>
          </w:tcPr>
          <w:p w14:paraId="5C473717" w14:textId="5A199E07"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UG</w:t>
            </w:r>
          </w:p>
        </w:tc>
        <w:tc>
          <w:tcPr>
            <w:tcW w:w="1134" w:type="dxa"/>
            <w:vAlign w:val="center"/>
          </w:tcPr>
          <w:p w14:paraId="3319665E" w14:textId="4CCC7E04"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Figure 20</w:t>
            </w:r>
          </w:p>
        </w:tc>
        <w:tc>
          <w:tcPr>
            <w:tcW w:w="2835" w:type="dxa"/>
            <w:vAlign w:val="center"/>
          </w:tcPr>
          <w:p w14:paraId="7078E509" w14:textId="35A4A3CA"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INTAUS_UG_ALL_1Y_E346</w:t>
            </w:r>
          </w:p>
        </w:tc>
        <w:tc>
          <w:tcPr>
            <w:tcW w:w="4961" w:type="dxa"/>
            <w:vAlign w:val="center"/>
          </w:tcPr>
          <w:p w14:paraId="68F76FA5" w14:textId="27454245"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2023) among undergraduates from all provider types by country of birth</w:t>
            </w:r>
          </w:p>
        </w:tc>
      </w:tr>
      <w:tr w:rsidR="00217865" w:rsidRPr="00217865" w14:paraId="0106D391" w14:textId="77777777" w:rsidTr="0006511F">
        <w:tc>
          <w:tcPr>
            <w:tcW w:w="988" w:type="dxa"/>
            <w:vAlign w:val="center"/>
          </w:tcPr>
          <w:p w14:paraId="783D65E3" w14:textId="16335659"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PGC</w:t>
            </w:r>
          </w:p>
        </w:tc>
        <w:tc>
          <w:tcPr>
            <w:tcW w:w="1134" w:type="dxa"/>
            <w:vAlign w:val="center"/>
          </w:tcPr>
          <w:p w14:paraId="667AB943" w14:textId="6ECF707E" w:rsidR="005109E2"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0D222CAA" w14:textId="5119B27B"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INTAUS_PG_ALL_1Y_E346</w:t>
            </w:r>
          </w:p>
        </w:tc>
        <w:tc>
          <w:tcPr>
            <w:tcW w:w="4961" w:type="dxa"/>
            <w:vAlign w:val="center"/>
          </w:tcPr>
          <w:p w14:paraId="731829C1" w14:textId="0EF2A2C7"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2023) among postgraduate coursework students from all provider types by country of birth</w:t>
            </w:r>
          </w:p>
        </w:tc>
      </w:tr>
      <w:tr w:rsidR="00217865" w:rsidRPr="00217865" w14:paraId="01699AB9" w14:textId="77777777" w:rsidTr="0006511F">
        <w:tc>
          <w:tcPr>
            <w:tcW w:w="988" w:type="dxa"/>
            <w:vAlign w:val="center"/>
          </w:tcPr>
          <w:p w14:paraId="7DEF1E4A" w14:textId="03C98D83"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lastRenderedPageBreak/>
              <w:t>UG</w:t>
            </w:r>
          </w:p>
        </w:tc>
        <w:tc>
          <w:tcPr>
            <w:tcW w:w="1134" w:type="dxa"/>
            <w:vAlign w:val="center"/>
          </w:tcPr>
          <w:p w14:paraId="5969FB10" w14:textId="1AD4BFD1" w:rsidR="005109E2"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51D175B2" w14:textId="3BBC543C"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INTAUS_UG_ALL_1Y_SECTOR</w:t>
            </w:r>
          </w:p>
        </w:tc>
        <w:tc>
          <w:tcPr>
            <w:tcW w:w="4961" w:type="dxa"/>
            <w:vAlign w:val="center"/>
          </w:tcPr>
          <w:p w14:paraId="6B9D022E" w14:textId="4EA95953"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to study in Australia (% importance rating, 2023) among undergraduates from all provider types by sector</w:t>
            </w:r>
          </w:p>
        </w:tc>
      </w:tr>
      <w:tr w:rsidR="00217865" w:rsidRPr="00217865" w14:paraId="42412942" w14:textId="77777777" w:rsidTr="0006511F">
        <w:tc>
          <w:tcPr>
            <w:tcW w:w="988" w:type="dxa"/>
            <w:vAlign w:val="center"/>
          </w:tcPr>
          <w:p w14:paraId="4B614FFF" w14:textId="645D2E06"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ALL</w:t>
            </w:r>
          </w:p>
        </w:tc>
        <w:tc>
          <w:tcPr>
            <w:tcW w:w="1134" w:type="dxa"/>
            <w:vAlign w:val="center"/>
          </w:tcPr>
          <w:p w14:paraId="6F46CA98" w14:textId="721AC3B8"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Figure 21</w:t>
            </w:r>
          </w:p>
        </w:tc>
        <w:tc>
          <w:tcPr>
            <w:tcW w:w="2835" w:type="dxa"/>
            <w:vAlign w:val="center"/>
          </w:tcPr>
          <w:p w14:paraId="09D7102D" w14:textId="53EBA7DD"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INTINST_ALL_ALL_1Y</w:t>
            </w:r>
          </w:p>
        </w:tc>
        <w:tc>
          <w:tcPr>
            <w:tcW w:w="4961" w:type="dxa"/>
            <w:vAlign w:val="center"/>
          </w:tcPr>
          <w:p w14:paraId="1A9431A4" w14:textId="486F4B8F" w:rsidR="005109E2" w:rsidRPr="00217865" w:rsidRDefault="005109E2"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institution (% importance rating, 2023) among all course levels from all provider types by level and stage of study</w:t>
            </w:r>
          </w:p>
        </w:tc>
      </w:tr>
      <w:tr w:rsidR="00217865" w:rsidRPr="00217865" w14:paraId="36E5C47D" w14:textId="77777777" w:rsidTr="0006511F">
        <w:tc>
          <w:tcPr>
            <w:tcW w:w="988" w:type="dxa"/>
            <w:vAlign w:val="center"/>
          </w:tcPr>
          <w:p w14:paraId="58D8AA28" w14:textId="0CC71B1A"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UG</w:t>
            </w:r>
          </w:p>
        </w:tc>
        <w:tc>
          <w:tcPr>
            <w:tcW w:w="1134" w:type="dxa"/>
            <w:vAlign w:val="center"/>
          </w:tcPr>
          <w:p w14:paraId="0B04B0ED" w14:textId="506A3D04"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4E043942" w14:textId="116CAD08"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INTINST_UG_ALL_20-YY_YEAR</w:t>
            </w:r>
          </w:p>
        </w:tc>
        <w:tc>
          <w:tcPr>
            <w:tcW w:w="4961" w:type="dxa"/>
            <w:vAlign w:val="center"/>
          </w:tcPr>
          <w:p w14:paraId="1315658E" w14:textId="7EF98602"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International student reasons for choosing institution (% importance rating) among undergraduates from all provider types by year</w:t>
            </w:r>
          </w:p>
        </w:tc>
      </w:tr>
      <w:tr w:rsidR="00217865" w:rsidRPr="00217865" w14:paraId="25D13854" w14:textId="77777777" w:rsidTr="0006511F">
        <w:tc>
          <w:tcPr>
            <w:tcW w:w="988" w:type="dxa"/>
            <w:vAlign w:val="center"/>
          </w:tcPr>
          <w:p w14:paraId="2D642CCF" w14:textId="4602D988" w:rsidR="0006511F" w:rsidRPr="00217865" w:rsidRDefault="0006511F" w:rsidP="0006511F">
            <w:pPr>
              <w:pStyle w:val="BodyText"/>
              <w:rPr>
                <w:rFonts w:cs="Arial"/>
                <w:color w:val="000000" w:themeColor="text1"/>
                <w:sz w:val="18"/>
              </w:rPr>
            </w:pPr>
            <w:r w:rsidRPr="00217865">
              <w:rPr>
                <w:rFonts w:cs="Arial"/>
                <w:color w:val="000000" w:themeColor="text1"/>
                <w:sz w:val="18"/>
              </w:rPr>
              <w:t>UG</w:t>
            </w:r>
          </w:p>
        </w:tc>
        <w:tc>
          <w:tcPr>
            <w:tcW w:w="1134" w:type="dxa"/>
            <w:vAlign w:val="center"/>
          </w:tcPr>
          <w:p w14:paraId="7717D737" w14:textId="16B3A7E9"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68A846E6" w14:textId="76601E67" w:rsidR="0006511F" w:rsidRPr="00217865" w:rsidRDefault="0006511F" w:rsidP="0006511F">
            <w:pPr>
              <w:pStyle w:val="BodyText"/>
              <w:rPr>
                <w:rFonts w:cs="Arial"/>
                <w:color w:val="000000" w:themeColor="text1"/>
                <w:sz w:val="18"/>
              </w:rPr>
            </w:pPr>
            <w:r w:rsidRPr="00217865">
              <w:rPr>
                <w:rFonts w:cs="Arial"/>
                <w:color w:val="000000" w:themeColor="text1"/>
                <w:sz w:val="18"/>
              </w:rPr>
              <w:t>INTINST_UG_ALL_20-YY_YEAR</w:t>
            </w:r>
          </w:p>
        </w:tc>
        <w:tc>
          <w:tcPr>
            <w:tcW w:w="4961" w:type="dxa"/>
            <w:vAlign w:val="center"/>
          </w:tcPr>
          <w:p w14:paraId="1AB4D161" w14:textId="607B5A1D" w:rsidR="0006511F" w:rsidRPr="00217865" w:rsidRDefault="0006511F" w:rsidP="0006511F">
            <w:pPr>
              <w:pStyle w:val="BodyText"/>
              <w:rPr>
                <w:rFonts w:cs="Arial"/>
                <w:color w:val="000000" w:themeColor="text1"/>
                <w:sz w:val="18"/>
              </w:rPr>
            </w:pPr>
            <w:r w:rsidRPr="00217865">
              <w:rPr>
                <w:rFonts w:cs="Arial"/>
                <w:color w:val="000000" w:themeColor="text1"/>
                <w:sz w:val="18"/>
              </w:rPr>
              <w:t>International student reasons for choosing institution (% importance rating) among undergraduates from all provider types by year</w:t>
            </w:r>
          </w:p>
        </w:tc>
      </w:tr>
      <w:tr w:rsidR="00217865" w:rsidRPr="00217865" w14:paraId="4F72D508" w14:textId="77777777" w:rsidTr="0006511F">
        <w:tc>
          <w:tcPr>
            <w:tcW w:w="988" w:type="dxa"/>
            <w:vAlign w:val="center"/>
          </w:tcPr>
          <w:p w14:paraId="72FEBE99" w14:textId="773CFEBF" w:rsidR="0006511F" w:rsidRPr="00217865" w:rsidRDefault="0006511F" w:rsidP="0006511F">
            <w:pPr>
              <w:pStyle w:val="BodyText"/>
              <w:rPr>
                <w:rFonts w:cs="Arial"/>
                <w:color w:val="000000" w:themeColor="text1"/>
                <w:sz w:val="18"/>
              </w:rPr>
            </w:pPr>
            <w:r w:rsidRPr="00217865">
              <w:rPr>
                <w:rFonts w:cs="Arial"/>
                <w:color w:val="000000" w:themeColor="text1"/>
                <w:sz w:val="18"/>
              </w:rPr>
              <w:t>UG</w:t>
            </w:r>
          </w:p>
        </w:tc>
        <w:tc>
          <w:tcPr>
            <w:tcW w:w="1134" w:type="dxa"/>
            <w:vAlign w:val="center"/>
          </w:tcPr>
          <w:p w14:paraId="31E2DB95" w14:textId="053D46E0"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670EC176" w14:textId="7A05DB05" w:rsidR="0006511F" w:rsidRPr="00217865" w:rsidRDefault="0006511F" w:rsidP="0006511F">
            <w:pPr>
              <w:pStyle w:val="BodyText"/>
              <w:rPr>
                <w:rFonts w:cs="Arial"/>
                <w:color w:val="000000" w:themeColor="text1"/>
                <w:sz w:val="18"/>
              </w:rPr>
            </w:pPr>
            <w:r w:rsidRPr="00217865">
              <w:rPr>
                <w:rFonts w:cs="Arial"/>
                <w:color w:val="000000" w:themeColor="text1"/>
                <w:sz w:val="18"/>
              </w:rPr>
              <w:t>INTINST_UG_ALL_1Y_AREA</w:t>
            </w:r>
          </w:p>
        </w:tc>
        <w:tc>
          <w:tcPr>
            <w:tcW w:w="4961" w:type="dxa"/>
            <w:vAlign w:val="center"/>
          </w:tcPr>
          <w:p w14:paraId="3C20C002" w14:textId="4DB055E9" w:rsidR="0006511F" w:rsidRPr="00217865" w:rsidRDefault="0006511F" w:rsidP="0006511F">
            <w:pPr>
              <w:pStyle w:val="BodyText"/>
              <w:rPr>
                <w:rFonts w:cs="Arial"/>
                <w:color w:val="000000" w:themeColor="text1"/>
                <w:sz w:val="18"/>
              </w:rPr>
            </w:pPr>
            <w:r w:rsidRPr="00217865">
              <w:rPr>
                <w:rFonts w:cs="Arial"/>
                <w:color w:val="000000" w:themeColor="text1"/>
                <w:sz w:val="18"/>
              </w:rPr>
              <w:t>International student reasons for choosing institution (% importance rating, 2023) among undergraduates from all provider types by 21 study areas</w:t>
            </w:r>
          </w:p>
        </w:tc>
      </w:tr>
      <w:tr w:rsidR="00217865" w:rsidRPr="00217865" w14:paraId="6D07DE02" w14:textId="77777777" w:rsidTr="0006511F">
        <w:tc>
          <w:tcPr>
            <w:tcW w:w="988" w:type="dxa"/>
            <w:vAlign w:val="center"/>
          </w:tcPr>
          <w:p w14:paraId="4CA9A4A5" w14:textId="00DCB8AB" w:rsidR="009E7C3B" w:rsidRPr="00217865" w:rsidRDefault="009E7C3B" w:rsidP="0006511F">
            <w:pPr>
              <w:pStyle w:val="BodyText"/>
              <w:rPr>
                <w:rFonts w:cs="Arial"/>
                <w:color w:val="000000" w:themeColor="text1"/>
                <w:sz w:val="18"/>
              </w:rPr>
            </w:pPr>
            <w:r w:rsidRPr="00217865">
              <w:rPr>
                <w:rFonts w:cs="Arial"/>
                <w:color w:val="000000" w:themeColor="text1"/>
                <w:sz w:val="18"/>
              </w:rPr>
              <w:t>UG</w:t>
            </w:r>
          </w:p>
        </w:tc>
        <w:tc>
          <w:tcPr>
            <w:tcW w:w="1134" w:type="dxa"/>
            <w:vAlign w:val="center"/>
          </w:tcPr>
          <w:p w14:paraId="231E1A4C" w14:textId="2EA5369D" w:rsidR="009E7C3B" w:rsidRPr="00217865" w:rsidRDefault="009E7C3B" w:rsidP="0006511F">
            <w:pPr>
              <w:pStyle w:val="BodyText"/>
              <w:rPr>
                <w:rFonts w:cs="Arial"/>
                <w:b/>
                <w:bCs/>
                <w:color w:val="000000" w:themeColor="text1"/>
                <w:sz w:val="18"/>
                <w:highlight w:val="yellow"/>
              </w:rPr>
            </w:pPr>
            <w:r w:rsidRPr="00217865">
              <w:rPr>
                <w:rFonts w:cs="Arial"/>
                <w:color w:val="000000" w:themeColor="text1"/>
                <w:sz w:val="18"/>
              </w:rPr>
              <w:t>Figure 22</w:t>
            </w:r>
          </w:p>
        </w:tc>
        <w:tc>
          <w:tcPr>
            <w:tcW w:w="2835" w:type="dxa"/>
            <w:vAlign w:val="center"/>
          </w:tcPr>
          <w:p w14:paraId="54E38C9B" w14:textId="132CEB3F" w:rsidR="009E7C3B" w:rsidRPr="00217865" w:rsidRDefault="009E7C3B" w:rsidP="0006511F">
            <w:pPr>
              <w:pStyle w:val="BodyText"/>
              <w:rPr>
                <w:rFonts w:cs="Arial"/>
                <w:color w:val="000000" w:themeColor="text1"/>
                <w:sz w:val="18"/>
              </w:rPr>
            </w:pPr>
            <w:r w:rsidRPr="00217865">
              <w:rPr>
                <w:rFonts w:cs="Arial"/>
                <w:color w:val="000000" w:themeColor="text1"/>
                <w:sz w:val="18"/>
              </w:rPr>
              <w:t>INTINST_UG_ALL_1Y_E346</w:t>
            </w:r>
          </w:p>
        </w:tc>
        <w:tc>
          <w:tcPr>
            <w:tcW w:w="4961" w:type="dxa"/>
            <w:vAlign w:val="center"/>
          </w:tcPr>
          <w:p w14:paraId="3895FC96" w14:textId="3D49966F" w:rsidR="009E7C3B" w:rsidRPr="00217865" w:rsidRDefault="009E7C3B" w:rsidP="0006511F">
            <w:pPr>
              <w:pStyle w:val="BodyText"/>
              <w:rPr>
                <w:rFonts w:cs="Arial"/>
                <w:color w:val="000000" w:themeColor="text1"/>
                <w:sz w:val="18"/>
              </w:rPr>
            </w:pPr>
            <w:r w:rsidRPr="00217865">
              <w:rPr>
                <w:rFonts w:cs="Arial"/>
                <w:color w:val="000000" w:themeColor="text1"/>
                <w:sz w:val="18"/>
              </w:rPr>
              <w:t>International student reasons for choosing institution (% importance rating, 2023) among undergraduates from all provider types by country of birth</w:t>
            </w:r>
          </w:p>
        </w:tc>
      </w:tr>
      <w:tr w:rsidR="00217865" w:rsidRPr="00217865" w14:paraId="0691D36F" w14:textId="77777777" w:rsidTr="0006511F">
        <w:tc>
          <w:tcPr>
            <w:tcW w:w="988" w:type="dxa"/>
            <w:vAlign w:val="center"/>
          </w:tcPr>
          <w:p w14:paraId="1C1E37C9" w14:textId="4B1CE78B" w:rsidR="0006511F" w:rsidRPr="00217865" w:rsidRDefault="0006511F" w:rsidP="0006511F">
            <w:pPr>
              <w:pStyle w:val="BodyText"/>
              <w:rPr>
                <w:rFonts w:cs="Arial"/>
                <w:color w:val="000000" w:themeColor="text1"/>
                <w:sz w:val="18"/>
              </w:rPr>
            </w:pPr>
            <w:r w:rsidRPr="00217865">
              <w:rPr>
                <w:rFonts w:cs="Arial"/>
                <w:color w:val="000000" w:themeColor="text1"/>
                <w:sz w:val="18"/>
              </w:rPr>
              <w:t>PGC</w:t>
            </w:r>
          </w:p>
        </w:tc>
        <w:tc>
          <w:tcPr>
            <w:tcW w:w="1134" w:type="dxa"/>
            <w:vAlign w:val="center"/>
          </w:tcPr>
          <w:p w14:paraId="4E4ECC25" w14:textId="09C57B47"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3FFA9523" w14:textId="2EEB9F1B" w:rsidR="0006511F" w:rsidRPr="00217865" w:rsidRDefault="0006511F" w:rsidP="0006511F">
            <w:pPr>
              <w:pStyle w:val="BodyText"/>
              <w:rPr>
                <w:rFonts w:cs="Arial"/>
                <w:color w:val="000000" w:themeColor="text1"/>
                <w:sz w:val="18"/>
              </w:rPr>
            </w:pPr>
            <w:r w:rsidRPr="00217865">
              <w:rPr>
                <w:rFonts w:cs="Arial"/>
                <w:color w:val="000000" w:themeColor="text1"/>
                <w:sz w:val="18"/>
              </w:rPr>
              <w:t>INTINST_PG_ALL_1Y_E346</w:t>
            </w:r>
          </w:p>
        </w:tc>
        <w:tc>
          <w:tcPr>
            <w:tcW w:w="4961" w:type="dxa"/>
            <w:vAlign w:val="center"/>
          </w:tcPr>
          <w:p w14:paraId="0B38368F" w14:textId="20439FF5" w:rsidR="0006511F" w:rsidRPr="00217865" w:rsidRDefault="0006511F" w:rsidP="0006511F">
            <w:pPr>
              <w:pStyle w:val="BodyText"/>
              <w:rPr>
                <w:rFonts w:cs="Arial"/>
                <w:color w:val="000000" w:themeColor="text1"/>
                <w:sz w:val="18"/>
              </w:rPr>
            </w:pPr>
            <w:r w:rsidRPr="00217865">
              <w:rPr>
                <w:rFonts w:cs="Arial"/>
                <w:color w:val="000000" w:themeColor="text1"/>
                <w:sz w:val="18"/>
              </w:rPr>
              <w:t>International student reasons for choosing institution (% importance rating, 2023) among postgraduate coursework students from all provider types by country of birth</w:t>
            </w:r>
          </w:p>
        </w:tc>
      </w:tr>
      <w:tr w:rsidR="00217865" w:rsidRPr="00217865" w14:paraId="17FD9611" w14:textId="77777777" w:rsidTr="0006511F">
        <w:tc>
          <w:tcPr>
            <w:tcW w:w="988" w:type="dxa"/>
            <w:vAlign w:val="center"/>
          </w:tcPr>
          <w:p w14:paraId="0710FD22" w14:textId="5D5C48FA" w:rsidR="0006511F" w:rsidRPr="00217865" w:rsidRDefault="0006511F" w:rsidP="0006511F">
            <w:pPr>
              <w:pStyle w:val="BodyText"/>
              <w:rPr>
                <w:rFonts w:cs="Arial"/>
                <w:color w:val="000000" w:themeColor="text1"/>
                <w:sz w:val="18"/>
              </w:rPr>
            </w:pPr>
            <w:r w:rsidRPr="00217865">
              <w:rPr>
                <w:rFonts w:cs="Arial"/>
                <w:color w:val="000000" w:themeColor="text1"/>
                <w:sz w:val="18"/>
              </w:rPr>
              <w:t>UG</w:t>
            </w:r>
          </w:p>
        </w:tc>
        <w:tc>
          <w:tcPr>
            <w:tcW w:w="1134" w:type="dxa"/>
            <w:vAlign w:val="center"/>
          </w:tcPr>
          <w:p w14:paraId="31CBBB92" w14:textId="78170FDB" w:rsidR="0006511F" w:rsidRPr="00217865" w:rsidRDefault="0006511F" w:rsidP="0006511F">
            <w:pPr>
              <w:pStyle w:val="BodyText"/>
              <w:rPr>
                <w:rFonts w:cs="Arial"/>
                <w:b/>
                <w:bCs/>
                <w:color w:val="000000" w:themeColor="text1"/>
                <w:sz w:val="18"/>
                <w:highlight w:val="yellow"/>
              </w:rPr>
            </w:pPr>
            <w:r w:rsidRPr="00217865">
              <w:rPr>
                <w:rFonts w:cs="Arial"/>
                <w:color w:val="000000" w:themeColor="text1"/>
                <w:sz w:val="18"/>
              </w:rPr>
              <w:t>-</w:t>
            </w:r>
          </w:p>
        </w:tc>
        <w:tc>
          <w:tcPr>
            <w:tcW w:w="2835" w:type="dxa"/>
            <w:vAlign w:val="center"/>
          </w:tcPr>
          <w:p w14:paraId="6FE7AF0C" w14:textId="386889E5" w:rsidR="0006511F" w:rsidRPr="00217865" w:rsidRDefault="0006511F" w:rsidP="0006511F">
            <w:pPr>
              <w:pStyle w:val="BodyText"/>
              <w:rPr>
                <w:rFonts w:cs="Arial"/>
                <w:color w:val="000000" w:themeColor="text1"/>
                <w:sz w:val="18"/>
              </w:rPr>
            </w:pPr>
            <w:r w:rsidRPr="00217865">
              <w:rPr>
                <w:rFonts w:cs="Arial"/>
                <w:color w:val="000000" w:themeColor="text1"/>
                <w:sz w:val="18"/>
              </w:rPr>
              <w:t>INTINST_UG_ALL_1Y_SECTOR</w:t>
            </w:r>
          </w:p>
        </w:tc>
        <w:tc>
          <w:tcPr>
            <w:tcW w:w="4961" w:type="dxa"/>
            <w:vAlign w:val="center"/>
          </w:tcPr>
          <w:p w14:paraId="2633457D" w14:textId="1D7EDF53" w:rsidR="0006511F" w:rsidRPr="00217865" w:rsidRDefault="0006511F" w:rsidP="0006511F">
            <w:pPr>
              <w:pStyle w:val="BodyText"/>
              <w:rPr>
                <w:rFonts w:cs="Arial"/>
                <w:color w:val="000000" w:themeColor="text1"/>
                <w:sz w:val="18"/>
              </w:rPr>
            </w:pPr>
            <w:r w:rsidRPr="00217865">
              <w:rPr>
                <w:rFonts w:cs="Arial"/>
                <w:color w:val="000000" w:themeColor="text1"/>
                <w:sz w:val="18"/>
              </w:rPr>
              <w:t>International student reasons for choosing institution (% importance rating, 2023) among all course levels from all provider types by sector</w:t>
            </w:r>
          </w:p>
        </w:tc>
      </w:tr>
    </w:tbl>
    <w:p w14:paraId="27AFC953" w14:textId="77777777" w:rsidR="0020797D" w:rsidRPr="00217865" w:rsidRDefault="0020797D" w:rsidP="0020797D">
      <w:pPr>
        <w:rPr>
          <w:rFonts w:cs="Arial"/>
          <w:color w:val="000000" w:themeColor="text1"/>
          <w:highlight w:val="yellow"/>
          <w:lang w:val="en-GB"/>
        </w:rPr>
      </w:pPr>
    </w:p>
    <w:p w14:paraId="1DCB4DCC" w14:textId="1E1671A1" w:rsidR="0020797D" w:rsidRPr="00217865" w:rsidRDefault="00DA29C1" w:rsidP="009D4378">
      <w:pPr>
        <w:pStyle w:val="Heading3"/>
        <w:numPr>
          <w:ilvl w:val="0"/>
          <w:numId w:val="0"/>
        </w:numPr>
        <w:ind w:left="709" w:hanging="709"/>
        <w:rPr>
          <w:color w:val="000000" w:themeColor="text1"/>
        </w:rPr>
      </w:pPr>
      <w:bookmarkStart w:id="622" w:name="_Toc178599332"/>
      <w:r w:rsidRPr="00217865">
        <w:rPr>
          <w:color w:val="000000" w:themeColor="text1"/>
        </w:rPr>
        <w:t>A</w:t>
      </w:r>
      <w:r w:rsidR="0020797D" w:rsidRPr="00217865">
        <w:rPr>
          <w:color w:val="000000" w:themeColor="text1"/>
        </w:rPr>
        <w:t>7.2.2</w:t>
      </w:r>
      <w:r w:rsidR="009D4378">
        <w:rPr>
          <w:color w:val="000000" w:themeColor="text1"/>
        </w:rPr>
        <w:tab/>
      </w:r>
      <w:r w:rsidR="0020797D" w:rsidRPr="00217865">
        <w:rPr>
          <w:color w:val="000000" w:themeColor="text1"/>
        </w:rPr>
        <w:t>International student living experience</w:t>
      </w:r>
      <w:bookmarkEnd w:id="622"/>
    </w:p>
    <w:p w14:paraId="1B743A04" w14:textId="77777777" w:rsidR="0020797D" w:rsidRPr="00217865" w:rsidRDefault="0020797D" w:rsidP="0020797D">
      <w:pPr>
        <w:rPr>
          <w:rFonts w:cs="Arial"/>
          <w:color w:val="000000" w:themeColor="text1"/>
          <w:szCs w:val="20"/>
          <w:lang w:val="en-GB"/>
        </w:rPr>
      </w:pPr>
    </w:p>
    <w:tbl>
      <w:tblPr>
        <w:tblStyle w:val="TableGrid"/>
        <w:tblW w:w="9918" w:type="dxa"/>
        <w:tblLayout w:type="fixed"/>
        <w:tblLook w:val="04A0" w:firstRow="1" w:lastRow="0" w:firstColumn="1" w:lastColumn="0" w:noHBand="0" w:noVBand="1"/>
      </w:tblPr>
      <w:tblGrid>
        <w:gridCol w:w="988"/>
        <w:gridCol w:w="1134"/>
        <w:gridCol w:w="2835"/>
        <w:gridCol w:w="4961"/>
      </w:tblGrid>
      <w:tr w:rsidR="00217865" w:rsidRPr="00217865" w14:paraId="05861C95" w14:textId="77777777" w:rsidTr="00765181">
        <w:trPr>
          <w:cnfStyle w:val="100000000000" w:firstRow="1" w:lastRow="0" w:firstColumn="0" w:lastColumn="0" w:oddVBand="0" w:evenVBand="0" w:oddHBand="0" w:evenHBand="0" w:firstRowFirstColumn="0" w:firstRowLastColumn="0" w:lastRowFirstColumn="0" w:lastRowLastColumn="0"/>
          <w:tblHeader/>
        </w:trPr>
        <w:tc>
          <w:tcPr>
            <w:tcW w:w="988" w:type="dxa"/>
            <w:vAlign w:val="center"/>
          </w:tcPr>
          <w:p w14:paraId="54E27A0D" w14:textId="77777777" w:rsidR="0020797D" w:rsidRPr="00217865" w:rsidRDefault="0020797D">
            <w:pPr>
              <w:pStyle w:val="BodyText"/>
              <w:rPr>
                <w:rFonts w:cs="Arial"/>
                <w:sz w:val="18"/>
              </w:rPr>
            </w:pPr>
            <w:r w:rsidRPr="00217865">
              <w:rPr>
                <w:rFonts w:cs="Arial"/>
                <w:sz w:val="18"/>
              </w:rPr>
              <w:t>Course level</w:t>
            </w:r>
          </w:p>
        </w:tc>
        <w:tc>
          <w:tcPr>
            <w:tcW w:w="1134" w:type="dxa"/>
            <w:vAlign w:val="center"/>
          </w:tcPr>
          <w:p w14:paraId="0F713352" w14:textId="58C9D650" w:rsidR="0020797D" w:rsidRPr="00217865" w:rsidRDefault="0020797D">
            <w:pPr>
              <w:pStyle w:val="BodyText"/>
              <w:rPr>
                <w:rFonts w:cs="Arial"/>
                <w:sz w:val="18"/>
              </w:rPr>
            </w:pPr>
            <w:r w:rsidRPr="00217865">
              <w:rPr>
                <w:rFonts w:cs="Arial"/>
                <w:sz w:val="18"/>
              </w:rPr>
              <w:t xml:space="preserve">Report </w:t>
            </w:r>
            <w:r w:rsidR="00E0025E" w:rsidRPr="00217865">
              <w:rPr>
                <w:rFonts w:cs="Arial"/>
                <w:sz w:val="18"/>
              </w:rPr>
              <w:t>reference</w:t>
            </w:r>
          </w:p>
        </w:tc>
        <w:tc>
          <w:tcPr>
            <w:tcW w:w="2835" w:type="dxa"/>
            <w:vAlign w:val="center"/>
          </w:tcPr>
          <w:p w14:paraId="04CA882A" w14:textId="77777777" w:rsidR="0020797D" w:rsidRPr="00217865" w:rsidRDefault="0020797D" w:rsidP="00765181">
            <w:pPr>
              <w:pStyle w:val="BodyText"/>
              <w:ind w:right="745"/>
              <w:rPr>
                <w:rFonts w:cs="Arial"/>
                <w:sz w:val="18"/>
              </w:rPr>
            </w:pPr>
            <w:r w:rsidRPr="00217865">
              <w:rPr>
                <w:rFonts w:cs="Arial"/>
                <w:sz w:val="18"/>
              </w:rPr>
              <w:t>Sheet name</w:t>
            </w:r>
          </w:p>
        </w:tc>
        <w:tc>
          <w:tcPr>
            <w:tcW w:w="4961" w:type="dxa"/>
            <w:vAlign w:val="center"/>
          </w:tcPr>
          <w:p w14:paraId="68D66FA6" w14:textId="77777777" w:rsidR="0020797D" w:rsidRPr="00217865" w:rsidRDefault="0020797D">
            <w:pPr>
              <w:pStyle w:val="BodyText"/>
              <w:rPr>
                <w:rFonts w:cs="Arial"/>
                <w:sz w:val="18"/>
              </w:rPr>
            </w:pPr>
            <w:r w:rsidRPr="00217865">
              <w:rPr>
                <w:rFonts w:cs="Arial"/>
                <w:sz w:val="18"/>
              </w:rPr>
              <w:t>Table title</w:t>
            </w:r>
          </w:p>
        </w:tc>
      </w:tr>
      <w:tr w:rsidR="00217865" w:rsidRPr="00217865" w14:paraId="028D22FD" w14:textId="77777777" w:rsidTr="00765181">
        <w:tc>
          <w:tcPr>
            <w:tcW w:w="988" w:type="dxa"/>
          </w:tcPr>
          <w:p w14:paraId="05033B7A" w14:textId="01B88C86"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680D6566" w14:textId="4CD945EE"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Figures 17, 18</w:t>
            </w:r>
          </w:p>
        </w:tc>
        <w:tc>
          <w:tcPr>
            <w:tcW w:w="2835" w:type="dxa"/>
          </w:tcPr>
          <w:p w14:paraId="64F7EF17" w14:textId="69EF5019"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INTAGENT_UG_ALL_1Y_E346</w:t>
            </w:r>
          </w:p>
        </w:tc>
        <w:tc>
          <w:tcPr>
            <w:tcW w:w="4961" w:type="dxa"/>
          </w:tcPr>
          <w:p w14:paraId="169C3AEC" w14:textId="7501B1C5"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Use of agents to help with visa application or enrolment (2023) among undergraduates from all provider types by country of birth</w:t>
            </w:r>
          </w:p>
        </w:tc>
      </w:tr>
      <w:tr w:rsidR="00217865" w:rsidRPr="00217865" w14:paraId="5819D39A" w14:textId="77777777" w:rsidTr="00765181">
        <w:tc>
          <w:tcPr>
            <w:tcW w:w="988" w:type="dxa"/>
          </w:tcPr>
          <w:p w14:paraId="7B8400AC" w14:textId="74CC1336"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PGC</w:t>
            </w:r>
          </w:p>
        </w:tc>
        <w:tc>
          <w:tcPr>
            <w:tcW w:w="1134" w:type="dxa"/>
          </w:tcPr>
          <w:p w14:paraId="121AD29B" w14:textId="7FDFBC62" w:rsidR="00BB3723" w:rsidRPr="00217865" w:rsidRDefault="0006511F" w:rsidP="00BB3723">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2A0E4220" w14:textId="7B5C0CFD"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INTAGENT_PG_ALL_1Y_E346</w:t>
            </w:r>
          </w:p>
        </w:tc>
        <w:tc>
          <w:tcPr>
            <w:tcW w:w="4961" w:type="dxa"/>
          </w:tcPr>
          <w:p w14:paraId="000B99D9" w14:textId="500BB13E"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Use of agents to help with visa application or enrolment (2023) among postgraduate coursework students from all provider types by country of birth</w:t>
            </w:r>
          </w:p>
        </w:tc>
      </w:tr>
      <w:tr w:rsidR="00217865" w:rsidRPr="00217865" w14:paraId="02CF4DF4" w14:textId="77777777" w:rsidTr="00765181">
        <w:tc>
          <w:tcPr>
            <w:tcW w:w="988" w:type="dxa"/>
          </w:tcPr>
          <w:p w14:paraId="71D79682" w14:textId="47E5511A"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76B5DF5A" w14:textId="43651D26"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Table 11, Figure 16</w:t>
            </w:r>
          </w:p>
        </w:tc>
        <w:tc>
          <w:tcPr>
            <w:tcW w:w="2835" w:type="dxa"/>
          </w:tcPr>
          <w:p w14:paraId="3A466FB7" w14:textId="65DDA946"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INTLIVE_UG_ALL_1Y_E346</w:t>
            </w:r>
          </w:p>
        </w:tc>
        <w:tc>
          <w:tcPr>
            <w:tcW w:w="4961" w:type="dxa"/>
          </w:tcPr>
          <w:p w14:paraId="3B38883D" w14:textId="1078C57D"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International undergraduate student accommodation arrangements (2023) among undergraduates from all provider types by country of birth</w:t>
            </w:r>
          </w:p>
        </w:tc>
      </w:tr>
      <w:tr w:rsidR="00217865" w:rsidRPr="00217865" w14:paraId="10823A37" w14:textId="77777777" w:rsidTr="00765181">
        <w:tc>
          <w:tcPr>
            <w:tcW w:w="988" w:type="dxa"/>
          </w:tcPr>
          <w:p w14:paraId="65EE292F" w14:textId="3508E3EE"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lastRenderedPageBreak/>
              <w:t>PGC</w:t>
            </w:r>
          </w:p>
        </w:tc>
        <w:tc>
          <w:tcPr>
            <w:tcW w:w="1134" w:type="dxa"/>
          </w:tcPr>
          <w:p w14:paraId="7CAEDBF8" w14:textId="12FC72E2"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5B39BF84" w14:textId="3C43F44A"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INTLIVE_PG_ALL_1Y_E346</w:t>
            </w:r>
          </w:p>
        </w:tc>
        <w:tc>
          <w:tcPr>
            <w:tcW w:w="4961" w:type="dxa"/>
          </w:tcPr>
          <w:p w14:paraId="5174FFB2" w14:textId="068C6AD1"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International undergraduate student accommodation arrangements (2023) among postgraduate coursework students from all provider types by country of birth</w:t>
            </w:r>
          </w:p>
        </w:tc>
      </w:tr>
      <w:tr w:rsidR="00217865" w:rsidRPr="00217865" w14:paraId="441C4583" w14:textId="77777777" w:rsidTr="00765181">
        <w:tc>
          <w:tcPr>
            <w:tcW w:w="988" w:type="dxa"/>
          </w:tcPr>
          <w:p w14:paraId="6F000EB1" w14:textId="6872FF6A"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70409DC6" w14:textId="79D00FF4"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79F1B055" w14:textId="64A60C7B"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INTLIVE_UG_ALL_1Y_SECTOR</w:t>
            </w:r>
          </w:p>
        </w:tc>
        <w:tc>
          <w:tcPr>
            <w:tcW w:w="4961" w:type="dxa"/>
          </w:tcPr>
          <w:p w14:paraId="4806B360" w14:textId="2F129031"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International undergraduate student accommodation arrangements (2023) among undergraduates from all provider types by sector</w:t>
            </w:r>
          </w:p>
        </w:tc>
      </w:tr>
      <w:tr w:rsidR="00217865" w:rsidRPr="00217865" w14:paraId="74394F40" w14:textId="77777777" w:rsidTr="00765181">
        <w:tc>
          <w:tcPr>
            <w:tcW w:w="988" w:type="dxa"/>
          </w:tcPr>
          <w:p w14:paraId="0BA3920D" w14:textId="0A764453"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1D26BFF0" w14:textId="3E010B43"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729E0B0A" w14:textId="23049B8E"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INTLIVE_UG_ALL_2Y</w:t>
            </w:r>
          </w:p>
        </w:tc>
        <w:tc>
          <w:tcPr>
            <w:tcW w:w="4961" w:type="dxa"/>
          </w:tcPr>
          <w:p w14:paraId="341A68F5" w14:textId="501DCF0D"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Student accommodation arrangements among undergraduates from all provider types by year</w:t>
            </w:r>
          </w:p>
        </w:tc>
      </w:tr>
      <w:tr w:rsidR="00217865" w:rsidRPr="00217865" w14:paraId="21F9015B" w14:textId="77777777" w:rsidTr="00765181">
        <w:tc>
          <w:tcPr>
            <w:tcW w:w="988" w:type="dxa"/>
          </w:tcPr>
          <w:p w14:paraId="55A238B1" w14:textId="7D4F3E19"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PGC</w:t>
            </w:r>
          </w:p>
        </w:tc>
        <w:tc>
          <w:tcPr>
            <w:tcW w:w="1134" w:type="dxa"/>
          </w:tcPr>
          <w:p w14:paraId="4B65D49D" w14:textId="4919DA7D"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1C9A5D9C" w14:textId="101ACF00"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INTLIVE_PG_ALL_2Y</w:t>
            </w:r>
          </w:p>
        </w:tc>
        <w:tc>
          <w:tcPr>
            <w:tcW w:w="4961" w:type="dxa"/>
          </w:tcPr>
          <w:p w14:paraId="6905E397" w14:textId="32A9426F"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Student accommodation arrangements among postgraduate coursework students from all provider types by year</w:t>
            </w:r>
          </w:p>
        </w:tc>
      </w:tr>
      <w:tr w:rsidR="00217865" w:rsidRPr="00217865" w14:paraId="36CB0E3E" w14:textId="77777777" w:rsidTr="00765181">
        <w:tc>
          <w:tcPr>
            <w:tcW w:w="988" w:type="dxa"/>
          </w:tcPr>
          <w:p w14:paraId="68B5D04E" w14:textId="4C326492"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22052EC8" w14:textId="538F009C"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Table 11</w:t>
            </w:r>
          </w:p>
        </w:tc>
        <w:tc>
          <w:tcPr>
            <w:tcW w:w="2835" w:type="dxa"/>
          </w:tcPr>
          <w:p w14:paraId="3BE07E75" w14:textId="09EF79F1"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INTLIVSAT_UG_ALL_2Y_INTLIVE</w:t>
            </w:r>
          </w:p>
        </w:tc>
        <w:tc>
          <w:tcPr>
            <w:tcW w:w="4961" w:type="dxa"/>
          </w:tcPr>
          <w:p w14:paraId="2E601324" w14:textId="1B2DAC17"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International student overall accommodation experience (% positive rating, 2022 and 2023) among undergraduates from all provider types by student accommodation arrangements</w:t>
            </w:r>
          </w:p>
        </w:tc>
      </w:tr>
      <w:tr w:rsidR="00217865" w:rsidRPr="00217865" w14:paraId="59C60D20" w14:textId="77777777" w:rsidTr="00765181">
        <w:tc>
          <w:tcPr>
            <w:tcW w:w="988" w:type="dxa"/>
          </w:tcPr>
          <w:p w14:paraId="26EE22E9" w14:textId="37B0E1F1"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PGC</w:t>
            </w:r>
          </w:p>
        </w:tc>
        <w:tc>
          <w:tcPr>
            <w:tcW w:w="1134" w:type="dxa"/>
          </w:tcPr>
          <w:p w14:paraId="18BE1BF0" w14:textId="5CE1FD8B" w:rsidR="00BB3723" w:rsidRPr="00217865" w:rsidRDefault="0006511F" w:rsidP="00BB3723">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5042911D" w14:textId="71B5420D"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INTLIVSAT_PG_ALL_2Y_INTLIVE</w:t>
            </w:r>
          </w:p>
        </w:tc>
        <w:tc>
          <w:tcPr>
            <w:tcW w:w="4961" w:type="dxa"/>
          </w:tcPr>
          <w:p w14:paraId="24C5F7F4" w14:textId="7C19CE7F"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International student overall accommodation experience (% positive rating, 2022 and 2023) among postgraduate coursework students from all provider types by student accommodation arrangements</w:t>
            </w:r>
          </w:p>
        </w:tc>
      </w:tr>
      <w:tr w:rsidR="00217865" w:rsidRPr="00217865" w14:paraId="481CEB27" w14:textId="77777777" w:rsidTr="00765181">
        <w:tc>
          <w:tcPr>
            <w:tcW w:w="988" w:type="dxa"/>
          </w:tcPr>
          <w:p w14:paraId="1DF27B64" w14:textId="66CC9B59"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ALL</w:t>
            </w:r>
          </w:p>
        </w:tc>
        <w:tc>
          <w:tcPr>
            <w:tcW w:w="1134" w:type="dxa"/>
          </w:tcPr>
          <w:p w14:paraId="7A745AFB" w14:textId="2081FF7A"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Figure 13, 14</w:t>
            </w:r>
          </w:p>
        </w:tc>
        <w:tc>
          <w:tcPr>
            <w:tcW w:w="2835" w:type="dxa"/>
          </w:tcPr>
          <w:p w14:paraId="5CD33D1A" w14:textId="50393BD0"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INTSAT_ALL_ALL_1Y</w:t>
            </w:r>
          </w:p>
        </w:tc>
        <w:tc>
          <w:tcPr>
            <w:tcW w:w="4961" w:type="dxa"/>
          </w:tcPr>
          <w:p w14:paraId="2EDBFA45" w14:textId="68E6E318"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International student living experience (% positive rating, 2023) among all course levels from all provider types by level and stage of study</w:t>
            </w:r>
          </w:p>
        </w:tc>
      </w:tr>
      <w:tr w:rsidR="00217865" w:rsidRPr="00217865" w14:paraId="29692C72" w14:textId="77777777" w:rsidTr="00765181">
        <w:tc>
          <w:tcPr>
            <w:tcW w:w="988" w:type="dxa"/>
          </w:tcPr>
          <w:p w14:paraId="187618F4" w14:textId="14875ADA"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05A7FDB2" w14:textId="27B51BE9"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Table 10</w:t>
            </w:r>
          </w:p>
        </w:tc>
        <w:tc>
          <w:tcPr>
            <w:tcW w:w="2835" w:type="dxa"/>
          </w:tcPr>
          <w:p w14:paraId="18BC39DB" w14:textId="19E3AB86"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INTSAT_UG_ALL_1Y_E346</w:t>
            </w:r>
          </w:p>
        </w:tc>
        <w:tc>
          <w:tcPr>
            <w:tcW w:w="4961" w:type="dxa"/>
          </w:tcPr>
          <w:p w14:paraId="08045623" w14:textId="529A5078" w:rsidR="00BB3723" w:rsidRPr="00217865" w:rsidRDefault="00BB3723" w:rsidP="00BB3723">
            <w:pPr>
              <w:pStyle w:val="BodyText"/>
              <w:rPr>
                <w:rFonts w:cs="Arial"/>
                <w:b/>
                <w:color w:val="000000" w:themeColor="text1"/>
                <w:sz w:val="18"/>
                <w:highlight w:val="yellow"/>
              </w:rPr>
            </w:pPr>
            <w:r w:rsidRPr="00217865">
              <w:rPr>
                <w:rFonts w:cs="Arial"/>
                <w:color w:val="000000" w:themeColor="text1"/>
                <w:sz w:val="18"/>
              </w:rPr>
              <w:t>International student living experience (% positive rating, 2023) among undergraduates from all provider types by country of birth</w:t>
            </w:r>
          </w:p>
        </w:tc>
      </w:tr>
      <w:tr w:rsidR="00217865" w:rsidRPr="00217865" w14:paraId="01767D0D" w14:textId="77777777" w:rsidTr="00765181">
        <w:tc>
          <w:tcPr>
            <w:tcW w:w="988" w:type="dxa"/>
          </w:tcPr>
          <w:p w14:paraId="42DADFF0" w14:textId="01920037"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PGC</w:t>
            </w:r>
          </w:p>
        </w:tc>
        <w:tc>
          <w:tcPr>
            <w:tcW w:w="1134" w:type="dxa"/>
          </w:tcPr>
          <w:p w14:paraId="61CDE1D0" w14:textId="53B63BA6"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325CCA6C" w14:textId="13360646"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INTSAT_PG_ALL_1Y_E346</w:t>
            </w:r>
          </w:p>
        </w:tc>
        <w:tc>
          <w:tcPr>
            <w:tcW w:w="4961" w:type="dxa"/>
          </w:tcPr>
          <w:p w14:paraId="2CCE4D41" w14:textId="58A85884"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International student living experience (% positive rating, 2023) among postgraduate coursework students from all provider types by country of birth</w:t>
            </w:r>
          </w:p>
        </w:tc>
      </w:tr>
      <w:tr w:rsidR="00217865" w:rsidRPr="00217865" w14:paraId="15B238A5" w14:textId="77777777" w:rsidTr="00765181">
        <w:tc>
          <w:tcPr>
            <w:tcW w:w="988" w:type="dxa"/>
          </w:tcPr>
          <w:p w14:paraId="39A8054F" w14:textId="5E412DB0"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7DE07A45" w14:textId="111B3F67"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27BF94D1" w14:textId="0008CE28"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INTSAT_UG_ALL_1Y_SECTOR</w:t>
            </w:r>
          </w:p>
        </w:tc>
        <w:tc>
          <w:tcPr>
            <w:tcW w:w="4961" w:type="dxa"/>
          </w:tcPr>
          <w:p w14:paraId="7BBCD131" w14:textId="6DBFA35E"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International student living experience (% positive rating, 2023) among undergraduates from all provider types by sector</w:t>
            </w:r>
          </w:p>
        </w:tc>
      </w:tr>
      <w:tr w:rsidR="00217865" w:rsidRPr="00217865" w14:paraId="45A5F5E3" w14:textId="77777777" w:rsidTr="00765181">
        <w:tc>
          <w:tcPr>
            <w:tcW w:w="988" w:type="dxa"/>
          </w:tcPr>
          <w:p w14:paraId="7133BE85" w14:textId="399F2E80"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UG</w:t>
            </w:r>
          </w:p>
        </w:tc>
        <w:tc>
          <w:tcPr>
            <w:tcW w:w="1134" w:type="dxa"/>
          </w:tcPr>
          <w:p w14:paraId="6920F770" w14:textId="5D5BFBB4"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30C17F18" w14:textId="49A4BAE2"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INTSAT_UG_UNI_1Y_INST_CI</w:t>
            </w:r>
          </w:p>
        </w:tc>
        <w:tc>
          <w:tcPr>
            <w:tcW w:w="4961" w:type="dxa"/>
          </w:tcPr>
          <w:p w14:paraId="0A359BC8" w14:textId="2176E327"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International student living experience (% positive rating, 2023, with 90% confidence intervals) among undergraduates from universities by institution</w:t>
            </w:r>
          </w:p>
        </w:tc>
      </w:tr>
      <w:tr w:rsidR="00217865" w:rsidRPr="00217865" w14:paraId="47DD2ABA" w14:textId="77777777" w:rsidTr="00765181">
        <w:tc>
          <w:tcPr>
            <w:tcW w:w="988" w:type="dxa"/>
          </w:tcPr>
          <w:p w14:paraId="73778F5A" w14:textId="50A2104E" w:rsidR="0006511F" w:rsidRPr="00217865" w:rsidRDefault="0006511F" w:rsidP="0006511F">
            <w:pPr>
              <w:pStyle w:val="BodyText"/>
              <w:rPr>
                <w:rFonts w:cs="Arial"/>
                <w:color w:val="000000" w:themeColor="text1"/>
                <w:sz w:val="18"/>
              </w:rPr>
            </w:pPr>
            <w:r w:rsidRPr="00217865">
              <w:rPr>
                <w:rFonts w:cs="Arial"/>
                <w:color w:val="000000" w:themeColor="text1"/>
                <w:sz w:val="18"/>
              </w:rPr>
              <w:t>UG</w:t>
            </w:r>
          </w:p>
        </w:tc>
        <w:tc>
          <w:tcPr>
            <w:tcW w:w="1134" w:type="dxa"/>
          </w:tcPr>
          <w:p w14:paraId="4CC36D6D" w14:textId="2CD40574" w:rsidR="0006511F" w:rsidRPr="00217865" w:rsidRDefault="0006511F" w:rsidP="0006511F">
            <w:pPr>
              <w:pStyle w:val="BodyText"/>
              <w:rPr>
                <w:rFonts w:cs="Arial"/>
                <w:b/>
                <w:color w:val="000000" w:themeColor="text1"/>
                <w:sz w:val="18"/>
                <w:highlight w:val="yellow"/>
              </w:rPr>
            </w:pPr>
            <w:r w:rsidRPr="00217865">
              <w:rPr>
                <w:rFonts w:cs="Arial"/>
                <w:color w:val="000000" w:themeColor="text1"/>
                <w:sz w:val="18"/>
              </w:rPr>
              <w:t>-</w:t>
            </w:r>
          </w:p>
        </w:tc>
        <w:tc>
          <w:tcPr>
            <w:tcW w:w="2835" w:type="dxa"/>
          </w:tcPr>
          <w:p w14:paraId="0049D794" w14:textId="74585590" w:rsidR="0006511F" w:rsidRPr="00217865" w:rsidRDefault="0006511F" w:rsidP="0006511F">
            <w:pPr>
              <w:pStyle w:val="BodyText"/>
              <w:rPr>
                <w:rFonts w:cs="Arial"/>
                <w:color w:val="000000" w:themeColor="text1"/>
                <w:sz w:val="18"/>
              </w:rPr>
            </w:pPr>
            <w:r w:rsidRPr="00217865">
              <w:rPr>
                <w:rFonts w:cs="Arial"/>
                <w:color w:val="000000" w:themeColor="text1"/>
                <w:sz w:val="18"/>
              </w:rPr>
              <w:t>INTSAT_UG_NUHEI_1Y_INST_CI</w:t>
            </w:r>
          </w:p>
        </w:tc>
        <w:tc>
          <w:tcPr>
            <w:tcW w:w="4961" w:type="dxa"/>
          </w:tcPr>
          <w:p w14:paraId="2BDFE83D" w14:textId="7BD779EF" w:rsidR="0006511F" w:rsidRPr="00217865" w:rsidRDefault="0006511F" w:rsidP="0006511F">
            <w:pPr>
              <w:pStyle w:val="BodyText"/>
              <w:rPr>
                <w:rFonts w:cs="Arial"/>
                <w:color w:val="000000" w:themeColor="text1"/>
                <w:sz w:val="18"/>
              </w:rPr>
            </w:pPr>
            <w:r w:rsidRPr="00217865">
              <w:rPr>
                <w:rFonts w:cs="Arial"/>
                <w:color w:val="000000" w:themeColor="text1"/>
                <w:sz w:val="18"/>
              </w:rPr>
              <w:t>International student living experience (% positive rating, 2023, with 90% confidence intervals) among undergraduates from non-university higher education institutes (NUHEIs) by institution</w:t>
            </w:r>
          </w:p>
        </w:tc>
      </w:tr>
    </w:tbl>
    <w:p w14:paraId="0AD6E214" w14:textId="77777777" w:rsidR="0020797D" w:rsidRPr="00217865" w:rsidRDefault="0020797D" w:rsidP="0020797D">
      <w:pPr>
        <w:rPr>
          <w:rFonts w:cs="Arial"/>
          <w:color w:val="000000" w:themeColor="text1"/>
          <w:szCs w:val="20"/>
          <w:highlight w:val="yellow"/>
          <w:lang w:val="en-GB"/>
        </w:rPr>
      </w:pPr>
    </w:p>
    <w:p w14:paraId="1B8427E0" w14:textId="43A4F3F6" w:rsidR="005A5905" w:rsidRPr="00217865" w:rsidRDefault="00DA29C1" w:rsidP="00E06AED">
      <w:pPr>
        <w:pStyle w:val="Appendix2"/>
        <w:numPr>
          <w:ilvl w:val="0"/>
          <w:numId w:val="0"/>
        </w:numPr>
      </w:pPr>
      <w:bookmarkStart w:id="623" w:name="_Toc167872838"/>
      <w:bookmarkStart w:id="624" w:name="_Toc178599333"/>
      <w:r w:rsidRPr="00217865">
        <w:lastRenderedPageBreak/>
        <w:t>A7.3</w:t>
      </w:r>
      <w:r w:rsidR="009D4378">
        <w:tab/>
      </w:r>
      <w:r w:rsidR="009D4378">
        <w:tab/>
      </w:r>
      <w:r w:rsidR="005A5905" w:rsidRPr="00217865">
        <w:t>Methodological tables</w:t>
      </w:r>
      <w:bookmarkEnd w:id="623"/>
      <w:bookmarkEnd w:id="624"/>
    </w:p>
    <w:p w14:paraId="37FA84C2" w14:textId="7BAFF0CC" w:rsidR="005A5905" w:rsidRPr="00217865" w:rsidRDefault="00DA29C1" w:rsidP="009D4378">
      <w:pPr>
        <w:pStyle w:val="Appendix3"/>
        <w:numPr>
          <w:ilvl w:val="0"/>
          <w:numId w:val="0"/>
        </w:numPr>
        <w:ind w:left="360" w:hanging="360"/>
        <w:rPr>
          <w:rFonts w:cs="Arial"/>
          <w:color w:val="000000" w:themeColor="text1"/>
        </w:rPr>
      </w:pPr>
      <w:bookmarkStart w:id="625" w:name="_Toc167872839"/>
      <w:bookmarkStart w:id="626" w:name="_Toc178599334"/>
      <w:r w:rsidRPr="00217865">
        <w:rPr>
          <w:rFonts w:cs="Arial"/>
          <w:color w:val="000000" w:themeColor="text1"/>
        </w:rPr>
        <w:t>A7.3.1</w:t>
      </w:r>
      <w:r w:rsidR="009D4378">
        <w:rPr>
          <w:rFonts w:cs="Arial"/>
          <w:color w:val="000000" w:themeColor="text1"/>
        </w:rPr>
        <w:tab/>
      </w:r>
      <w:r w:rsidR="005A5905" w:rsidRPr="00217865">
        <w:rPr>
          <w:rFonts w:cs="Arial"/>
          <w:color w:val="000000" w:themeColor="text1"/>
        </w:rPr>
        <w:t>Overview and response rates</w:t>
      </w:r>
      <w:bookmarkEnd w:id="625"/>
      <w:bookmarkEnd w:id="626"/>
    </w:p>
    <w:p w14:paraId="20C3CBCA" w14:textId="77777777" w:rsidR="005A5905" w:rsidRPr="00217865" w:rsidRDefault="005A5905" w:rsidP="005A5905">
      <w:pPr>
        <w:pStyle w:val="Body"/>
        <w:rPr>
          <w:rFonts w:cs="Arial"/>
          <w:color w:val="000000" w:themeColor="text1"/>
        </w:rPr>
      </w:pPr>
      <w:r w:rsidRPr="00217865">
        <w:rPr>
          <w:rFonts w:cs="Arial"/>
          <w:color w:val="000000" w:themeColor="text1"/>
        </w:rPr>
        <w:t>This group of tables relate to the operational and methodological aspects of the SES including response rates, response characteristics such as student demographics and study area, as well as representativeness of the respondents as compared to the sample population.</w:t>
      </w:r>
    </w:p>
    <w:p w14:paraId="164D236F" w14:textId="2A300C99" w:rsidR="005A5905" w:rsidRPr="009D4378" w:rsidRDefault="005A5905" w:rsidP="009D4378">
      <w:pPr>
        <w:pStyle w:val="Body"/>
        <w:rPr>
          <w:rFonts w:cs="Arial"/>
          <w:color w:val="000000" w:themeColor="text1"/>
        </w:rPr>
      </w:pPr>
      <w:r w:rsidRPr="00217865">
        <w:rPr>
          <w:rFonts w:cs="Arial"/>
          <w:color w:val="000000" w:themeColor="text1"/>
        </w:rPr>
        <w:t>For more detailed discussion and analysis of methodology including the sampling design and approach, data collection and processing, data quality, response characteristics, approach to weighting and precision please refer to the 2022 SES Methodological Report, which is available on the QILT website.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132"/>
        <w:gridCol w:w="3052"/>
        <w:gridCol w:w="4678"/>
      </w:tblGrid>
      <w:tr w:rsidR="00217865" w:rsidRPr="00217865" w14:paraId="46F37E1F" w14:textId="77777777" w:rsidTr="0006511F">
        <w:trPr>
          <w:trHeight w:val="300"/>
        </w:trPr>
        <w:tc>
          <w:tcPr>
            <w:tcW w:w="914" w:type="dxa"/>
            <w:noWrap/>
            <w:vAlign w:val="bottom"/>
          </w:tcPr>
          <w:p w14:paraId="28550DA0" w14:textId="77777777" w:rsidR="005A5905" w:rsidRPr="00217865" w:rsidRDefault="005A5905" w:rsidP="0006511F">
            <w:pPr>
              <w:pStyle w:val="BodyText"/>
              <w:rPr>
                <w:rFonts w:cs="Arial"/>
                <w:b/>
                <w:color w:val="000000" w:themeColor="text1"/>
                <w:sz w:val="18"/>
                <w:szCs w:val="16"/>
              </w:rPr>
            </w:pPr>
            <w:bookmarkStart w:id="627" w:name="_Hlk27144515"/>
            <w:r w:rsidRPr="00217865">
              <w:rPr>
                <w:rFonts w:cs="Arial"/>
                <w:b/>
                <w:color w:val="000000" w:themeColor="text1"/>
                <w:sz w:val="18"/>
                <w:szCs w:val="16"/>
              </w:rPr>
              <w:t>Course level</w:t>
            </w:r>
          </w:p>
        </w:tc>
        <w:tc>
          <w:tcPr>
            <w:tcW w:w="1132" w:type="dxa"/>
            <w:noWrap/>
            <w:vAlign w:val="bottom"/>
          </w:tcPr>
          <w:p w14:paraId="61F884B8" w14:textId="091F8613"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 xml:space="preserve">Report </w:t>
            </w:r>
            <w:r w:rsidR="008279CE" w:rsidRPr="00217865">
              <w:rPr>
                <w:rFonts w:cs="Arial"/>
                <w:b/>
                <w:bCs/>
                <w:color w:val="000000" w:themeColor="text1"/>
                <w:sz w:val="18"/>
                <w:szCs w:val="16"/>
              </w:rPr>
              <w:t>reference</w:t>
            </w:r>
          </w:p>
        </w:tc>
        <w:tc>
          <w:tcPr>
            <w:tcW w:w="3052" w:type="dxa"/>
            <w:vAlign w:val="bottom"/>
          </w:tcPr>
          <w:p w14:paraId="16087FA2" w14:textId="77777777"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Sheet name</w:t>
            </w:r>
          </w:p>
        </w:tc>
        <w:tc>
          <w:tcPr>
            <w:tcW w:w="4678" w:type="dxa"/>
            <w:noWrap/>
            <w:vAlign w:val="bottom"/>
          </w:tcPr>
          <w:p w14:paraId="5F1515D5" w14:textId="77777777" w:rsidR="005A5905" w:rsidRPr="00217865" w:rsidRDefault="005A5905" w:rsidP="0006511F">
            <w:pPr>
              <w:pStyle w:val="BodyText"/>
              <w:rPr>
                <w:rFonts w:cs="Arial"/>
                <w:b/>
                <w:color w:val="000000" w:themeColor="text1"/>
                <w:sz w:val="18"/>
                <w:szCs w:val="16"/>
              </w:rPr>
            </w:pPr>
            <w:r w:rsidRPr="00217865">
              <w:rPr>
                <w:rFonts w:cs="Arial"/>
                <w:b/>
                <w:color w:val="000000" w:themeColor="text1"/>
                <w:sz w:val="18"/>
                <w:szCs w:val="16"/>
              </w:rPr>
              <w:t>Table title</w:t>
            </w:r>
          </w:p>
        </w:tc>
      </w:tr>
      <w:bookmarkEnd w:id="627"/>
      <w:tr w:rsidR="00217865" w:rsidRPr="00217865" w14:paraId="35402D02" w14:textId="77777777" w:rsidTr="0006511F">
        <w:trPr>
          <w:trHeight w:val="300"/>
        </w:trPr>
        <w:tc>
          <w:tcPr>
            <w:tcW w:w="914" w:type="dxa"/>
            <w:noWrap/>
            <w:vAlign w:val="center"/>
            <w:hideMark/>
          </w:tcPr>
          <w:p w14:paraId="063A3AC4" w14:textId="1B24D9A0" w:rsidR="005F1218" w:rsidRPr="00217865" w:rsidRDefault="005F1218" w:rsidP="0006511F">
            <w:pPr>
              <w:pStyle w:val="BodyText"/>
              <w:rPr>
                <w:rFonts w:cs="Arial"/>
                <w:color w:val="000000" w:themeColor="text1"/>
                <w:sz w:val="18"/>
                <w:szCs w:val="16"/>
              </w:rPr>
            </w:pPr>
            <w:r w:rsidRPr="00217865" w:rsidDel="00015605">
              <w:rPr>
                <w:rFonts w:cs="Arial"/>
                <w:color w:val="000000" w:themeColor="text1"/>
                <w:sz w:val="18"/>
                <w:szCs w:val="16"/>
              </w:rPr>
              <w:t>ALL</w:t>
            </w:r>
          </w:p>
        </w:tc>
        <w:tc>
          <w:tcPr>
            <w:tcW w:w="1132" w:type="dxa"/>
            <w:noWrap/>
            <w:vAlign w:val="center"/>
          </w:tcPr>
          <w:p w14:paraId="02ED19F8" w14:textId="6FBD8FEF" w:rsidR="005F1218" w:rsidRPr="00217865" w:rsidRDefault="005F1218" w:rsidP="0006511F">
            <w:pPr>
              <w:pStyle w:val="BodyText"/>
              <w:rPr>
                <w:rFonts w:cs="Arial"/>
                <w:color w:val="000000" w:themeColor="text1"/>
                <w:sz w:val="18"/>
                <w:szCs w:val="16"/>
              </w:rPr>
            </w:pPr>
            <w:r w:rsidRPr="00217865">
              <w:rPr>
                <w:rFonts w:cs="Arial"/>
                <w:color w:val="000000" w:themeColor="text1"/>
                <w:sz w:val="18"/>
                <w:szCs w:val="16"/>
              </w:rPr>
              <w:t>Table 12</w:t>
            </w:r>
          </w:p>
        </w:tc>
        <w:tc>
          <w:tcPr>
            <w:tcW w:w="3052" w:type="dxa"/>
            <w:vAlign w:val="center"/>
          </w:tcPr>
          <w:p w14:paraId="5D09EB60" w14:textId="5647C899" w:rsidR="005F1218" w:rsidRPr="00217865" w:rsidRDefault="005F1218" w:rsidP="0006511F">
            <w:pPr>
              <w:pStyle w:val="BodyText"/>
              <w:rPr>
                <w:rFonts w:cs="Arial"/>
                <w:color w:val="000000" w:themeColor="text1"/>
                <w:sz w:val="18"/>
                <w:szCs w:val="16"/>
              </w:rPr>
            </w:pPr>
            <w:r w:rsidRPr="00217865">
              <w:rPr>
                <w:rFonts w:cs="Arial"/>
                <w:color w:val="000000" w:themeColor="text1"/>
                <w:sz w:val="18"/>
                <w:szCs w:val="16"/>
              </w:rPr>
              <w:t>OV_ALL_ALL_13-YY</w:t>
            </w:r>
          </w:p>
        </w:tc>
        <w:tc>
          <w:tcPr>
            <w:tcW w:w="4678" w:type="dxa"/>
            <w:noWrap/>
            <w:vAlign w:val="center"/>
            <w:hideMark/>
          </w:tcPr>
          <w:p w14:paraId="6097A920" w14:textId="1AE76A54" w:rsidR="005F1218" w:rsidRPr="00217865" w:rsidRDefault="005F1218" w:rsidP="0006511F">
            <w:pPr>
              <w:pStyle w:val="BodyText"/>
              <w:rPr>
                <w:rFonts w:cs="Arial"/>
                <w:color w:val="000000" w:themeColor="text1"/>
                <w:sz w:val="18"/>
                <w:szCs w:val="16"/>
              </w:rPr>
            </w:pPr>
            <w:r w:rsidRPr="00217865">
              <w:rPr>
                <w:rFonts w:cs="Arial"/>
                <w:color w:val="000000" w:themeColor="text1"/>
                <w:sz w:val="18"/>
                <w:szCs w:val="16"/>
              </w:rPr>
              <w:t>Operational overview among all course levels from all provider types by year</w:t>
            </w:r>
          </w:p>
        </w:tc>
      </w:tr>
    </w:tbl>
    <w:p w14:paraId="693056FA" w14:textId="3BC8B6A8" w:rsidR="005A5905" w:rsidRPr="009D4378" w:rsidRDefault="00DA29C1" w:rsidP="009D4378">
      <w:pPr>
        <w:pStyle w:val="Appendix3"/>
        <w:numPr>
          <w:ilvl w:val="0"/>
          <w:numId w:val="0"/>
        </w:numPr>
        <w:ind w:left="360" w:hanging="360"/>
        <w:rPr>
          <w:rFonts w:cs="Arial"/>
          <w:color w:val="000000" w:themeColor="text1"/>
        </w:rPr>
      </w:pPr>
      <w:bookmarkStart w:id="628" w:name="_Toc167872840"/>
      <w:bookmarkStart w:id="629" w:name="_Toc178599335"/>
      <w:r w:rsidRPr="00217865">
        <w:rPr>
          <w:rFonts w:cs="Arial"/>
          <w:color w:val="000000" w:themeColor="text1"/>
        </w:rPr>
        <w:t>A7.3.2</w:t>
      </w:r>
      <w:r w:rsidR="009D4378">
        <w:rPr>
          <w:rFonts w:cs="Arial"/>
          <w:color w:val="000000" w:themeColor="text1"/>
        </w:rPr>
        <w:tab/>
      </w:r>
      <w:r w:rsidR="005A5905" w:rsidRPr="00217865">
        <w:rPr>
          <w:rFonts w:cs="Arial"/>
          <w:color w:val="000000" w:themeColor="text1"/>
        </w:rPr>
        <w:t>Response characteristics and representativeness</w:t>
      </w:r>
      <w:bookmarkEnd w:id="628"/>
      <w:bookmarkEnd w:id="62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125"/>
        <w:gridCol w:w="2976"/>
        <w:gridCol w:w="4678"/>
      </w:tblGrid>
      <w:tr w:rsidR="00217865" w:rsidRPr="00217865" w14:paraId="0D26313F" w14:textId="77777777" w:rsidTr="0006511F">
        <w:trPr>
          <w:trHeight w:val="300"/>
          <w:tblHeader/>
        </w:trPr>
        <w:tc>
          <w:tcPr>
            <w:tcW w:w="997" w:type="dxa"/>
            <w:noWrap/>
            <w:vAlign w:val="bottom"/>
          </w:tcPr>
          <w:p w14:paraId="7E85AA3B"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Course Level</w:t>
            </w:r>
          </w:p>
        </w:tc>
        <w:tc>
          <w:tcPr>
            <w:tcW w:w="1125" w:type="dxa"/>
            <w:noWrap/>
            <w:vAlign w:val="bottom"/>
          </w:tcPr>
          <w:p w14:paraId="68E08B79" w14:textId="70912CD0" w:rsidR="005A5905" w:rsidRPr="00217865" w:rsidRDefault="005A5905" w:rsidP="0006511F">
            <w:pPr>
              <w:pStyle w:val="BodyText"/>
              <w:rPr>
                <w:rFonts w:cs="Arial"/>
                <w:b/>
                <w:color w:val="000000" w:themeColor="text1"/>
                <w:sz w:val="18"/>
              </w:rPr>
            </w:pPr>
            <w:r w:rsidRPr="00217865">
              <w:rPr>
                <w:rFonts w:cs="Arial"/>
                <w:b/>
                <w:color w:val="000000" w:themeColor="text1"/>
                <w:sz w:val="18"/>
              </w:rPr>
              <w:t xml:space="preserve">Report </w:t>
            </w:r>
            <w:r w:rsidR="008279CE" w:rsidRPr="00217865">
              <w:rPr>
                <w:rFonts w:cs="Arial"/>
                <w:b/>
                <w:bCs/>
                <w:color w:val="000000" w:themeColor="text1"/>
                <w:sz w:val="18"/>
              </w:rPr>
              <w:t>reference</w:t>
            </w:r>
          </w:p>
        </w:tc>
        <w:tc>
          <w:tcPr>
            <w:tcW w:w="2976" w:type="dxa"/>
            <w:vAlign w:val="bottom"/>
          </w:tcPr>
          <w:p w14:paraId="09538C7C"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Sheet name</w:t>
            </w:r>
          </w:p>
        </w:tc>
        <w:tc>
          <w:tcPr>
            <w:tcW w:w="4678" w:type="dxa"/>
            <w:noWrap/>
            <w:vAlign w:val="bottom"/>
          </w:tcPr>
          <w:p w14:paraId="65411742"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Table Title</w:t>
            </w:r>
          </w:p>
        </w:tc>
      </w:tr>
      <w:tr w:rsidR="00217865" w:rsidRPr="00217865" w14:paraId="25219DFF" w14:textId="77777777" w:rsidTr="0006511F">
        <w:trPr>
          <w:trHeight w:val="300"/>
        </w:trPr>
        <w:tc>
          <w:tcPr>
            <w:tcW w:w="997" w:type="dxa"/>
            <w:noWrap/>
            <w:vAlign w:val="center"/>
            <w:hideMark/>
          </w:tcPr>
          <w:p w14:paraId="0D3BF171" w14:textId="000B203A"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hideMark/>
          </w:tcPr>
          <w:p w14:paraId="4FAA2E54" w14:textId="45DFF1AA"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Table 14</w:t>
            </w:r>
          </w:p>
        </w:tc>
        <w:tc>
          <w:tcPr>
            <w:tcW w:w="2976" w:type="dxa"/>
            <w:vAlign w:val="center"/>
          </w:tcPr>
          <w:p w14:paraId="4EC021C9" w14:textId="3B46E120"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CHAR_UG_ALL_1Y_ISG</w:t>
            </w:r>
          </w:p>
        </w:tc>
        <w:tc>
          <w:tcPr>
            <w:tcW w:w="4678" w:type="dxa"/>
            <w:noWrap/>
            <w:vAlign w:val="center"/>
            <w:hideMark/>
          </w:tcPr>
          <w:p w14:paraId="3BDCEA9F" w14:textId="29374BFD"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all provider types by demographic and contextual </w:t>
            </w:r>
            <w:r w:rsidRPr="00217865" w:rsidDel="00FE14C1">
              <w:rPr>
                <w:rFonts w:cs="Arial"/>
                <w:color w:val="000000" w:themeColor="text1"/>
                <w:sz w:val="18"/>
              </w:rPr>
              <w:t>group</w:t>
            </w:r>
          </w:p>
        </w:tc>
      </w:tr>
      <w:tr w:rsidR="00217865" w:rsidRPr="00217865" w14:paraId="794D338F" w14:textId="77777777" w:rsidTr="0006511F">
        <w:trPr>
          <w:trHeight w:val="300"/>
        </w:trPr>
        <w:tc>
          <w:tcPr>
            <w:tcW w:w="997" w:type="dxa"/>
            <w:noWrap/>
            <w:vAlign w:val="center"/>
            <w:hideMark/>
          </w:tcPr>
          <w:p w14:paraId="15B6F703" w14:textId="496AE7B3"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hideMark/>
          </w:tcPr>
          <w:p w14:paraId="272EEA7C" w14:textId="6B9ABAEA"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4DE659F5" w14:textId="2547A01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CHAR_UG_UNI_1Y_ISG</w:t>
            </w:r>
          </w:p>
        </w:tc>
        <w:tc>
          <w:tcPr>
            <w:tcW w:w="4678" w:type="dxa"/>
            <w:noWrap/>
            <w:vAlign w:val="center"/>
            <w:hideMark/>
          </w:tcPr>
          <w:p w14:paraId="1915EDB7" w14:textId="47D6231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universities by demographic and contextual </w:t>
            </w:r>
            <w:r w:rsidRPr="00217865" w:rsidDel="00FE14C1">
              <w:rPr>
                <w:rFonts w:cs="Arial"/>
                <w:color w:val="000000" w:themeColor="text1"/>
                <w:sz w:val="18"/>
              </w:rPr>
              <w:t>group</w:t>
            </w:r>
          </w:p>
        </w:tc>
      </w:tr>
      <w:tr w:rsidR="00217865" w:rsidRPr="00217865" w14:paraId="75096AF6" w14:textId="77777777" w:rsidTr="0006511F">
        <w:trPr>
          <w:trHeight w:val="300"/>
        </w:trPr>
        <w:tc>
          <w:tcPr>
            <w:tcW w:w="997" w:type="dxa"/>
            <w:noWrap/>
            <w:vAlign w:val="center"/>
            <w:hideMark/>
          </w:tcPr>
          <w:p w14:paraId="21BFE9FD" w14:textId="7D0D3026"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hideMark/>
          </w:tcPr>
          <w:p w14:paraId="5A805E42" w14:textId="2A018F9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09ACF188" w14:textId="7DFD193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CHAR_UG_NUHEI_1Y_ISG</w:t>
            </w:r>
          </w:p>
        </w:tc>
        <w:tc>
          <w:tcPr>
            <w:tcW w:w="4678" w:type="dxa"/>
            <w:noWrap/>
            <w:vAlign w:val="center"/>
            <w:hideMark/>
          </w:tcPr>
          <w:p w14:paraId="4ABAA2EE" w14:textId="71BE27A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non-university higher education institutes (NUHEIs) by demographic and contextual </w:t>
            </w:r>
            <w:r w:rsidRPr="00217865" w:rsidDel="00FE14C1">
              <w:rPr>
                <w:rFonts w:cs="Arial"/>
                <w:color w:val="000000" w:themeColor="text1"/>
                <w:sz w:val="18"/>
              </w:rPr>
              <w:t>group</w:t>
            </w:r>
          </w:p>
        </w:tc>
      </w:tr>
      <w:tr w:rsidR="00217865" w:rsidRPr="00217865" w14:paraId="0C6D49C2" w14:textId="77777777" w:rsidTr="0006511F">
        <w:trPr>
          <w:trHeight w:val="300"/>
        </w:trPr>
        <w:tc>
          <w:tcPr>
            <w:tcW w:w="997" w:type="dxa"/>
            <w:noWrap/>
            <w:vAlign w:val="center"/>
            <w:hideMark/>
          </w:tcPr>
          <w:p w14:paraId="05594BCB" w14:textId="2705150E"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4DBD57ED" w14:textId="18EE024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73E30D3D" w14:textId="334B5C5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CHAR_PGC_ALL_1Y_ISG</w:t>
            </w:r>
          </w:p>
        </w:tc>
        <w:tc>
          <w:tcPr>
            <w:tcW w:w="4678" w:type="dxa"/>
            <w:noWrap/>
            <w:vAlign w:val="center"/>
            <w:hideMark/>
          </w:tcPr>
          <w:p w14:paraId="687FDDCF" w14:textId="6D21BDA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all provider types by demographic and contextual </w:t>
            </w:r>
            <w:r w:rsidRPr="00217865" w:rsidDel="00FE14C1">
              <w:rPr>
                <w:rFonts w:cs="Arial"/>
                <w:color w:val="000000" w:themeColor="text1"/>
                <w:sz w:val="18"/>
              </w:rPr>
              <w:t>group</w:t>
            </w:r>
          </w:p>
        </w:tc>
      </w:tr>
      <w:tr w:rsidR="00217865" w:rsidRPr="00217865" w14:paraId="0C5EFA2A" w14:textId="77777777" w:rsidTr="0006511F">
        <w:trPr>
          <w:trHeight w:val="300"/>
        </w:trPr>
        <w:tc>
          <w:tcPr>
            <w:tcW w:w="997" w:type="dxa"/>
            <w:noWrap/>
            <w:vAlign w:val="center"/>
            <w:hideMark/>
          </w:tcPr>
          <w:p w14:paraId="57B35F1B" w14:textId="4274D5C1"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17548187" w14:textId="7DD910C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1FF9CF0B" w14:textId="1739282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CHAR_PGC_UNI_1Y_ISG</w:t>
            </w:r>
          </w:p>
        </w:tc>
        <w:tc>
          <w:tcPr>
            <w:tcW w:w="4678" w:type="dxa"/>
            <w:noWrap/>
            <w:vAlign w:val="center"/>
            <w:hideMark/>
          </w:tcPr>
          <w:p w14:paraId="4D8898E9" w14:textId="06C62E3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universities by demographic and contextual </w:t>
            </w:r>
            <w:r w:rsidRPr="00217865" w:rsidDel="00FE14C1">
              <w:rPr>
                <w:rFonts w:cs="Arial"/>
                <w:color w:val="000000" w:themeColor="text1"/>
                <w:sz w:val="18"/>
              </w:rPr>
              <w:t>group</w:t>
            </w:r>
          </w:p>
        </w:tc>
      </w:tr>
      <w:tr w:rsidR="00217865" w:rsidRPr="00217865" w14:paraId="669CA9B3" w14:textId="77777777" w:rsidTr="0006511F">
        <w:trPr>
          <w:trHeight w:val="300"/>
        </w:trPr>
        <w:tc>
          <w:tcPr>
            <w:tcW w:w="997" w:type="dxa"/>
            <w:noWrap/>
            <w:vAlign w:val="center"/>
            <w:hideMark/>
          </w:tcPr>
          <w:p w14:paraId="32AFD6BB" w14:textId="7BE8E4B3"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1ECD83A0" w14:textId="0B65F06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4D3F53BC" w14:textId="309AA19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CHAR_PGC_NUHEI_1Y_ISG</w:t>
            </w:r>
          </w:p>
        </w:tc>
        <w:tc>
          <w:tcPr>
            <w:tcW w:w="4678" w:type="dxa"/>
            <w:noWrap/>
            <w:vAlign w:val="center"/>
            <w:hideMark/>
          </w:tcPr>
          <w:p w14:paraId="117C3F7F" w14:textId="3736BDC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non-university higher education institutes (NUHEIs) by demographic and contextual </w:t>
            </w:r>
            <w:r w:rsidRPr="00217865" w:rsidDel="00FE14C1">
              <w:rPr>
                <w:rFonts w:cs="Arial"/>
                <w:color w:val="000000" w:themeColor="text1"/>
                <w:sz w:val="18"/>
              </w:rPr>
              <w:t>group</w:t>
            </w:r>
          </w:p>
        </w:tc>
      </w:tr>
      <w:tr w:rsidR="00217865" w:rsidRPr="00217865" w14:paraId="67AAC681" w14:textId="77777777" w:rsidTr="0006511F">
        <w:trPr>
          <w:trHeight w:val="300"/>
        </w:trPr>
        <w:tc>
          <w:tcPr>
            <w:tcW w:w="997" w:type="dxa"/>
            <w:noWrap/>
            <w:vAlign w:val="center"/>
            <w:hideMark/>
          </w:tcPr>
          <w:p w14:paraId="23272B92" w14:textId="4A1C6366"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hideMark/>
          </w:tcPr>
          <w:p w14:paraId="30BF36F6" w14:textId="3E1E188C"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Table 15</w:t>
            </w:r>
          </w:p>
        </w:tc>
        <w:tc>
          <w:tcPr>
            <w:tcW w:w="2976" w:type="dxa"/>
            <w:vAlign w:val="center"/>
          </w:tcPr>
          <w:p w14:paraId="32AC5AAD" w14:textId="23A07A31"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CHAR_UG_ALL_1Y_AREA</w:t>
            </w:r>
          </w:p>
        </w:tc>
        <w:tc>
          <w:tcPr>
            <w:tcW w:w="4678" w:type="dxa"/>
            <w:noWrap/>
            <w:vAlign w:val="center"/>
            <w:hideMark/>
          </w:tcPr>
          <w:p w14:paraId="191F7A7D" w14:textId="5E7C80A4"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all provider types by 21 study </w:t>
            </w:r>
            <w:r w:rsidRPr="00217865" w:rsidDel="00FE14C1">
              <w:rPr>
                <w:rFonts w:cs="Arial"/>
                <w:color w:val="000000" w:themeColor="text1"/>
                <w:sz w:val="18"/>
              </w:rPr>
              <w:t>areas</w:t>
            </w:r>
          </w:p>
        </w:tc>
      </w:tr>
      <w:tr w:rsidR="00217865" w:rsidRPr="00217865" w14:paraId="2F59B503" w14:textId="77777777" w:rsidTr="0006511F">
        <w:trPr>
          <w:trHeight w:val="300"/>
        </w:trPr>
        <w:tc>
          <w:tcPr>
            <w:tcW w:w="997" w:type="dxa"/>
            <w:noWrap/>
            <w:vAlign w:val="center"/>
            <w:hideMark/>
          </w:tcPr>
          <w:p w14:paraId="1D8E2C71" w14:textId="6960016C"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lastRenderedPageBreak/>
              <w:t>UG</w:t>
            </w:r>
          </w:p>
        </w:tc>
        <w:tc>
          <w:tcPr>
            <w:tcW w:w="1125" w:type="dxa"/>
            <w:noWrap/>
            <w:vAlign w:val="center"/>
            <w:hideMark/>
          </w:tcPr>
          <w:p w14:paraId="724B9BE7" w14:textId="4F1895DF"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59A8D73D" w14:textId="23237104"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CHAR_UG_UNI_1Y_AREA</w:t>
            </w:r>
          </w:p>
        </w:tc>
        <w:tc>
          <w:tcPr>
            <w:tcW w:w="4678" w:type="dxa"/>
            <w:noWrap/>
            <w:vAlign w:val="center"/>
            <w:hideMark/>
          </w:tcPr>
          <w:p w14:paraId="3D5635C6" w14:textId="21B365B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universities by 21 study </w:t>
            </w:r>
            <w:r w:rsidRPr="00217865" w:rsidDel="00FE14C1">
              <w:rPr>
                <w:rFonts w:cs="Arial"/>
                <w:color w:val="000000" w:themeColor="text1"/>
                <w:sz w:val="18"/>
              </w:rPr>
              <w:t>areas</w:t>
            </w:r>
          </w:p>
        </w:tc>
      </w:tr>
      <w:tr w:rsidR="00217865" w:rsidRPr="00217865" w14:paraId="39ABB48F" w14:textId="77777777" w:rsidTr="0006511F">
        <w:trPr>
          <w:trHeight w:val="300"/>
        </w:trPr>
        <w:tc>
          <w:tcPr>
            <w:tcW w:w="997" w:type="dxa"/>
            <w:noWrap/>
            <w:vAlign w:val="center"/>
            <w:hideMark/>
          </w:tcPr>
          <w:p w14:paraId="1F8203E4" w14:textId="7A511CD3"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hideMark/>
          </w:tcPr>
          <w:p w14:paraId="59DC0676" w14:textId="7D3A6F2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68F0C564" w14:textId="14CBCF94"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CHAR_UG_NUHEI_1Y_AREA</w:t>
            </w:r>
          </w:p>
        </w:tc>
        <w:tc>
          <w:tcPr>
            <w:tcW w:w="4678" w:type="dxa"/>
            <w:noWrap/>
            <w:vAlign w:val="center"/>
            <w:hideMark/>
          </w:tcPr>
          <w:p w14:paraId="77D17613" w14:textId="69E71D3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undergraduates from non-university higher education institutes (NUHEIs) by 21 study </w:t>
            </w:r>
            <w:r w:rsidRPr="00217865" w:rsidDel="00FE14C1">
              <w:rPr>
                <w:rFonts w:cs="Arial"/>
                <w:color w:val="000000" w:themeColor="text1"/>
                <w:sz w:val="18"/>
              </w:rPr>
              <w:t>areas</w:t>
            </w:r>
          </w:p>
        </w:tc>
      </w:tr>
      <w:tr w:rsidR="00217865" w:rsidRPr="00217865" w14:paraId="1432418E" w14:textId="77777777" w:rsidTr="0006511F">
        <w:trPr>
          <w:trHeight w:val="300"/>
        </w:trPr>
        <w:tc>
          <w:tcPr>
            <w:tcW w:w="997" w:type="dxa"/>
            <w:noWrap/>
            <w:vAlign w:val="center"/>
            <w:hideMark/>
          </w:tcPr>
          <w:p w14:paraId="0B3A9CF5" w14:textId="625950AD"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62A40FA9" w14:textId="45C69DD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4AF9AA20" w14:textId="1260A925"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CHAR_PGC_ALL_1Y_AREA</w:t>
            </w:r>
          </w:p>
        </w:tc>
        <w:tc>
          <w:tcPr>
            <w:tcW w:w="4678" w:type="dxa"/>
            <w:noWrap/>
            <w:vAlign w:val="center"/>
            <w:hideMark/>
          </w:tcPr>
          <w:p w14:paraId="67005E65" w14:textId="2145BB9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all provider types by 21 study </w:t>
            </w:r>
            <w:r w:rsidRPr="00217865" w:rsidDel="00FE14C1">
              <w:rPr>
                <w:rFonts w:cs="Arial"/>
                <w:color w:val="000000" w:themeColor="text1"/>
                <w:sz w:val="18"/>
              </w:rPr>
              <w:t>areas</w:t>
            </w:r>
          </w:p>
        </w:tc>
      </w:tr>
      <w:tr w:rsidR="00217865" w:rsidRPr="00217865" w14:paraId="76F7BFEA" w14:textId="77777777" w:rsidTr="0006511F">
        <w:trPr>
          <w:trHeight w:val="300"/>
        </w:trPr>
        <w:tc>
          <w:tcPr>
            <w:tcW w:w="997" w:type="dxa"/>
            <w:noWrap/>
            <w:vAlign w:val="center"/>
            <w:hideMark/>
          </w:tcPr>
          <w:p w14:paraId="67099789" w14:textId="0B3A972E"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76075063" w14:textId="6FA1C1A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11A3DC34" w14:textId="61C674D5"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CHAR_PGC_UNI_1Y_AREA</w:t>
            </w:r>
          </w:p>
        </w:tc>
        <w:tc>
          <w:tcPr>
            <w:tcW w:w="4678" w:type="dxa"/>
            <w:noWrap/>
            <w:vAlign w:val="center"/>
            <w:hideMark/>
          </w:tcPr>
          <w:p w14:paraId="564382A4" w14:textId="157D074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universities by 21 study </w:t>
            </w:r>
            <w:r w:rsidRPr="00217865" w:rsidDel="00FE14C1">
              <w:rPr>
                <w:rFonts w:cs="Arial"/>
                <w:color w:val="000000" w:themeColor="text1"/>
                <w:sz w:val="18"/>
              </w:rPr>
              <w:t>areas</w:t>
            </w:r>
          </w:p>
        </w:tc>
      </w:tr>
      <w:tr w:rsidR="00217865" w:rsidRPr="00217865" w14:paraId="533A4DAC" w14:textId="77777777" w:rsidTr="0006511F">
        <w:trPr>
          <w:trHeight w:val="300"/>
        </w:trPr>
        <w:tc>
          <w:tcPr>
            <w:tcW w:w="997" w:type="dxa"/>
            <w:noWrap/>
            <w:vAlign w:val="center"/>
            <w:hideMark/>
          </w:tcPr>
          <w:p w14:paraId="198A7B42" w14:textId="788C8727"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hideMark/>
          </w:tcPr>
          <w:p w14:paraId="70A74134" w14:textId="2B8E21B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5B7D6ADD" w14:textId="4229E000"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CHAR_PGC_NUHEI_1Y_AREA</w:t>
            </w:r>
          </w:p>
        </w:tc>
        <w:tc>
          <w:tcPr>
            <w:tcW w:w="4678" w:type="dxa"/>
            <w:noWrap/>
            <w:vAlign w:val="center"/>
            <w:hideMark/>
          </w:tcPr>
          <w:p w14:paraId="75798D9A" w14:textId="5B832B2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among postgraduate coursework students from non-university higher education institutes (NUHEIs) by 21 study </w:t>
            </w:r>
            <w:r w:rsidRPr="00217865" w:rsidDel="00FE14C1">
              <w:rPr>
                <w:rFonts w:cs="Arial"/>
                <w:color w:val="000000" w:themeColor="text1"/>
                <w:sz w:val="18"/>
              </w:rPr>
              <w:t>areas</w:t>
            </w:r>
          </w:p>
        </w:tc>
      </w:tr>
      <w:tr w:rsidR="00217865" w:rsidRPr="00217865" w14:paraId="356BA00D" w14:textId="77777777" w:rsidTr="0006511F">
        <w:trPr>
          <w:trHeight w:val="300"/>
        </w:trPr>
        <w:tc>
          <w:tcPr>
            <w:tcW w:w="997" w:type="dxa"/>
            <w:noWrap/>
            <w:vAlign w:val="center"/>
          </w:tcPr>
          <w:p w14:paraId="7EC29BB8" w14:textId="521B5820"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tcPr>
          <w:p w14:paraId="0ADCD2B0" w14:textId="29DCF6EB"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Table 16</w:t>
            </w:r>
          </w:p>
        </w:tc>
        <w:tc>
          <w:tcPr>
            <w:tcW w:w="2976" w:type="dxa"/>
            <w:vAlign w:val="center"/>
          </w:tcPr>
          <w:p w14:paraId="548B72B1" w14:textId="7E109F1C"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CHAR_UG_UNI_1Y_INST</w:t>
            </w:r>
          </w:p>
        </w:tc>
        <w:tc>
          <w:tcPr>
            <w:tcW w:w="4678" w:type="dxa"/>
            <w:noWrap/>
            <w:vAlign w:val="center"/>
          </w:tcPr>
          <w:p w14:paraId="04BBD874" w14:textId="5EB4ED0E"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among undergraduates from universities by institution</w:t>
            </w:r>
          </w:p>
        </w:tc>
      </w:tr>
      <w:tr w:rsidR="00217865" w:rsidRPr="00217865" w14:paraId="2DDCCD28" w14:textId="77777777" w:rsidTr="0006511F">
        <w:trPr>
          <w:trHeight w:val="300"/>
        </w:trPr>
        <w:tc>
          <w:tcPr>
            <w:tcW w:w="997" w:type="dxa"/>
            <w:noWrap/>
            <w:vAlign w:val="center"/>
          </w:tcPr>
          <w:p w14:paraId="7CE7D841" w14:textId="5DF723E7"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PGC</w:t>
            </w:r>
          </w:p>
        </w:tc>
        <w:tc>
          <w:tcPr>
            <w:tcW w:w="1125" w:type="dxa"/>
            <w:noWrap/>
            <w:vAlign w:val="center"/>
          </w:tcPr>
          <w:p w14:paraId="65602508" w14:textId="184FFD99" w:rsidR="00EA72EE"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347981A4" w14:textId="6D292B62"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CHAR_PGC_UNI_1Y_INST</w:t>
            </w:r>
          </w:p>
        </w:tc>
        <w:tc>
          <w:tcPr>
            <w:tcW w:w="4678" w:type="dxa"/>
            <w:noWrap/>
            <w:vAlign w:val="center"/>
          </w:tcPr>
          <w:p w14:paraId="346F5356" w14:textId="5F723FF7"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among postgraduate coursework students from universities by institution</w:t>
            </w:r>
          </w:p>
        </w:tc>
      </w:tr>
      <w:tr w:rsidR="00217865" w:rsidRPr="00217865" w14:paraId="5B648F13" w14:textId="77777777" w:rsidTr="0006511F">
        <w:trPr>
          <w:trHeight w:val="300"/>
        </w:trPr>
        <w:tc>
          <w:tcPr>
            <w:tcW w:w="997" w:type="dxa"/>
            <w:noWrap/>
            <w:vAlign w:val="center"/>
          </w:tcPr>
          <w:p w14:paraId="0AB732E1" w14:textId="3D0CE031"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tcPr>
          <w:p w14:paraId="31278FD2" w14:textId="60D9A7F9"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Table 17</w:t>
            </w:r>
          </w:p>
        </w:tc>
        <w:tc>
          <w:tcPr>
            <w:tcW w:w="2976" w:type="dxa"/>
            <w:vAlign w:val="center"/>
          </w:tcPr>
          <w:p w14:paraId="55C539F6" w14:textId="32017C23"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CHAR_UG_NUHEI_1Y_INST</w:t>
            </w:r>
          </w:p>
        </w:tc>
        <w:tc>
          <w:tcPr>
            <w:tcW w:w="4678" w:type="dxa"/>
            <w:noWrap/>
            <w:vAlign w:val="center"/>
          </w:tcPr>
          <w:p w14:paraId="0A4D87EF" w14:textId="7E04175D"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among undergraduates from non-university higher education institutes (NUHEIs) by institution</w:t>
            </w:r>
          </w:p>
        </w:tc>
      </w:tr>
      <w:tr w:rsidR="00217865" w:rsidRPr="00217865" w14:paraId="6CD74270" w14:textId="77777777" w:rsidTr="0006511F">
        <w:trPr>
          <w:trHeight w:val="300"/>
        </w:trPr>
        <w:tc>
          <w:tcPr>
            <w:tcW w:w="997" w:type="dxa"/>
            <w:noWrap/>
            <w:vAlign w:val="center"/>
          </w:tcPr>
          <w:p w14:paraId="3BD1AF08" w14:textId="7E014404"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tcPr>
          <w:p w14:paraId="7634ABA8" w14:textId="00619F5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5DAA3F7F" w14:textId="119B49C3"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CHAR_PGC_NUHEI_1Y_INST</w:t>
            </w:r>
          </w:p>
        </w:tc>
        <w:tc>
          <w:tcPr>
            <w:tcW w:w="4678" w:type="dxa"/>
            <w:noWrap/>
            <w:vAlign w:val="center"/>
          </w:tcPr>
          <w:p w14:paraId="6752C187" w14:textId="0D697E82"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Response characteristics (2023) among postgraduate coursework students from non-university higher education institutes (NUHEIs) by institution</w:t>
            </w:r>
          </w:p>
        </w:tc>
      </w:tr>
      <w:tr w:rsidR="00217865" w:rsidRPr="00217865" w14:paraId="766CED7F" w14:textId="77777777" w:rsidTr="0006511F">
        <w:trPr>
          <w:trHeight w:val="300"/>
        </w:trPr>
        <w:tc>
          <w:tcPr>
            <w:tcW w:w="997" w:type="dxa"/>
            <w:noWrap/>
            <w:vAlign w:val="center"/>
          </w:tcPr>
          <w:p w14:paraId="191CC032" w14:textId="2326EB5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UG</w:t>
            </w:r>
          </w:p>
        </w:tc>
        <w:tc>
          <w:tcPr>
            <w:tcW w:w="1125" w:type="dxa"/>
            <w:noWrap/>
            <w:vAlign w:val="center"/>
          </w:tcPr>
          <w:p w14:paraId="7F05FB3A" w14:textId="3C2ABC1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2383E1B3" w14:textId="271F1F3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CHARINT_UG_ALL_1Y_</w:t>
            </w:r>
            <w:r w:rsidRPr="00217865" w:rsidDel="00FE14C1">
              <w:rPr>
                <w:rFonts w:cs="Arial"/>
                <w:color w:val="000000" w:themeColor="text1"/>
                <w:sz w:val="18"/>
              </w:rPr>
              <w:t>AREA</w:t>
            </w:r>
          </w:p>
        </w:tc>
        <w:tc>
          <w:tcPr>
            <w:tcW w:w="4678" w:type="dxa"/>
            <w:noWrap/>
            <w:vAlign w:val="center"/>
          </w:tcPr>
          <w:p w14:paraId="15764CCC" w14:textId="6FFDDDD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broken down by citizenship status, among undergraduates from all provider types by 21 study </w:t>
            </w:r>
            <w:r w:rsidRPr="00217865" w:rsidDel="00FE14C1">
              <w:rPr>
                <w:rFonts w:cs="Arial"/>
                <w:color w:val="000000" w:themeColor="text1"/>
                <w:sz w:val="18"/>
              </w:rPr>
              <w:t>areas</w:t>
            </w:r>
          </w:p>
        </w:tc>
      </w:tr>
      <w:tr w:rsidR="00217865" w:rsidRPr="00217865" w14:paraId="5A96D333" w14:textId="77777777" w:rsidTr="0006511F">
        <w:trPr>
          <w:trHeight w:val="300"/>
        </w:trPr>
        <w:tc>
          <w:tcPr>
            <w:tcW w:w="997" w:type="dxa"/>
            <w:noWrap/>
            <w:vAlign w:val="center"/>
          </w:tcPr>
          <w:p w14:paraId="4BE0149A" w14:textId="793579C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UG</w:t>
            </w:r>
          </w:p>
        </w:tc>
        <w:tc>
          <w:tcPr>
            <w:tcW w:w="1125" w:type="dxa"/>
            <w:noWrap/>
            <w:vAlign w:val="center"/>
          </w:tcPr>
          <w:p w14:paraId="6E832E56" w14:textId="4E7EEFB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399583A4" w14:textId="138D589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CHARINT_UG_UNI_1Y_</w:t>
            </w:r>
            <w:r w:rsidRPr="00217865" w:rsidDel="00FE14C1">
              <w:rPr>
                <w:rFonts w:cs="Arial"/>
                <w:color w:val="000000" w:themeColor="text1"/>
                <w:sz w:val="18"/>
              </w:rPr>
              <w:t>AREA</w:t>
            </w:r>
          </w:p>
        </w:tc>
        <w:tc>
          <w:tcPr>
            <w:tcW w:w="4678" w:type="dxa"/>
            <w:noWrap/>
            <w:vAlign w:val="center"/>
          </w:tcPr>
          <w:p w14:paraId="37E801B8" w14:textId="308CE44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Response characteristics (2023), broken down by citizenship status, among undergraduates from universities by 21 study </w:t>
            </w:r>
            <w:r w:rsidRPr="00217865" w:rsidDel="00FE14C1">
              <w:rPr>
                <w:rFonts w:cs="Arial"/>
                <w:color w:val="000000" w:themeColor="text1"/>
                <w:sz w:val="18"/>
              </w:rPr>
              <w:t>areas</w:t>
            </w:r>
          </w:p>
        </w:tc>
      </w:tr>
      <w:tr w:rsidR="00217865" w:rsidRPr="00217865" w14:paraId="65BE6148" w14:textId="77777777" w:rsidTr="0006511F">
        <w:trPr>
          <w:trHeight w:val="300"/>
        </w:trPr>
        <w:tc>
          <w:tcPr>
            <w:tcW w:w="997" w:type="dxa"/>
            <w:noWrap/>
            <w:vAlign w:val="center"/>
          </w:tcPr>
          <w:p w14:paraId="67311FD2" w14:textId="281EA448" w:rsidR="0006511F" w:rsidRPr="00217865" w:rsidRDefault="0006511F" w:rsidP="0006511F">
            <w:pPr>
              <w:pStyle w:val="BodyText"/>
              <w:rPr>
                <w:rFonts w:cs="Arial"/>
                <w:color w:val="000000" w:themeColor="text1"/>
                <w:sz w:val="18"/>
                <w:highlight w:val="yellow"/>
              </w:rPr>
            </w:pPr>
            <w:r w:rsidRPr="00217865" w:rsidDel="00FE14C1">
              <w:rPr>
                <w:rFonts w:cs="Arial"/>
                <w:color w:val="000000" w:themeColor="text1"/>
                <w:sz w:val="18"/>
              </w:rPr>
              <w:t>UG</w:t>
            </w:r>
          </w:p>
        </w:tc>
        <w:tc>
          <w:tcPr>
            <w:tcW w:w="1125" w:type="dxa"/>
            <w:noWrap/>
            <w:vAlign w:val="center"/>
          </w:tcPr>
          <w:p w14:paraId="629EA263" w14:textId="76BEFF2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7AC8ADC4" w14:textId="3A9116E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CHARINT_UG_NUHEI_1Y_AREA</w:t>
            </w:r>
          </w:p>
        </w:tc>
        <w:tc>
          <w:tcPr>
            <w:tcW w:w="4678" w:type="dxa"/>
            <w:noWrap/>
            <w:vAlign w:val="center"/>
          </w:tcPr>
          <w:p w14:paraId="7FBF376E" w14:textId="6B277C7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Response characteristics (2023), broken down by citizenship status, among undergraduates from non-university higher education institutes (NUHEIs) by 21 study areas</w:t>
            </w:r>
          </w:p>
        </w:tc>
      </w:tr>
      <w:tr w:rsidR="00217865" w:rsidRPr="00217865" w14:paraId="08BBA594" w14:textId="77777777" w:rsidTr="0006511F">
        <w:trPr>
          <w:trHeight w:val="300"/>
        </w:trPr>
        <w:tc>
          <w:tcPr>
            <w:tcW w:w="997" w:type="dxa"/>
            <w:noWrap/>
            <w:vAlign w:val="center"/>
          </w:tcPr>
          <w:p w14:paraId="53A6FDC4" w14:textId="64DEF36A"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tcPr>
          <w:p w14:paraId="486236A6" w14:textId="39C1185A" w:rsidR="00EA72EE"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7AD74E1A" w14:textId="582D1208"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CHARINT_PGC_ALL_1Y_AREA</w:t>
            </w:r>
          </w:p>
        </w:tc>
        <w:tc>
          <w:tcPr>
            <w:tcW w:w="4678" w:type="dxa"/>
            <w:noWrap/>
            <w:vAlign w:val="center"/>
          </w:tcPr>
          <w:p w14:paraId="30DC2672" w14:textId="5419A5A8"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broken down by citizenship status, among postgraduate coursework students from all provider types by 21 study areas</w:t>
            </w:r>
          </w:p>
        </w:tc>
      </w:tr>
      <w:tr w:rsidR="00217865" w:rsidRPr="00217865" w14:paraId="17194FBF" w14:textId="77777777" w:rsidTr="0006511F">
        <w:trPr>
          <w:trHeight w:val="300"/>
        </w:trPr>
        <w:tc>
          <w:tcPr>
            <w:tcW w:w="997" w:type="dxa"/>
            <w:noWrap/>
            <w:vAlign w:val="center"/>
          </w:tcPr>
          <w:p w14:paraId="21CBE127" w14:textId="76F4F552"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lastRenderedPageBreak/>
              <w:t>PGC</w:t>
            </w:r>
          </w:p>
        </w:tc>
        <w:tc>
          <w:tcPr>
            <w:tcW w:w="1125" w:type="dxa"/>
            <w:noWrap/>
            <w:vAlign w:val="center"/>
          </w:tcPr>
          <w:p w14:paraId="25896C76" w14:textId="760F085F" w:rsidR="00EA72EE"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2412B5CC" w14:textId="2E743C15"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CHARINT_PGC_UNI_1Y_AREA</w:t>
            </w:r>
          </w:p>
        </w:tc>
        <w:tc>
          <w:tcPr>
            <w:tcW w:w="4678" w:type="dxa"/>
            <w:noWrap/>
            <w:vAlign w:val="center"/>
          </w:tcPr>
          <w:p w14:paraId="7CD51F29" w14:textId="3C31BDAF"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broken down by citizenship status, among postgraduate coursework students from universities by 21 study areas</w:t>
            </w:r>
          </w:p>
        </w:tc>
      </w:tr>
      <w:tr w:rsidR="00217865" w:rsidRPr="00217865" w14:paraId="25C06E4C" w14:textId="77777777" w:rsidTr="0006511F">
        <w:trPr>
          <w:trHeight w:val="300"/>
        </w:trPr>
        <w:tc>
          <w:tcPr>
            <w:tcW w:w="997" w:type="dxa"/>
            <w:noWrap/>
            <w:vAlign w:val="center"/>
          </w:tcPr>
          <w:p w14:paraId="411522EF" w14:textId="5B46A40F" w:rsidR="00EA72EE" w:rsidRPr="00217865" w:rsidRDefault="00EA72EE" w:rsidP="0006511F">
            <w:pPr>
              <w:pStyle w:val="BodyText"/>
              <w:rPr>
                <w:rFonts w:cs="Arial"/>
                <w:color w:val="000000" w:themeColor="text1"/>
                <w:sz w:val="18"/>
                <w:highlight w:val="yellow"/>
              </w:rPr>
            </w:pPr>
            <w:r w:rsidRPr="00217865" w:rsidDel="00FE14C1">
              <w:rPr>
                <w:rFonts w:cs="Arial"/>
                <w:color w:val="000000" w:themeColor="text1"/>
                <w:sz w:val="18"/>
              </w:rPr>
              <w:t>PGC</w:t>
            </w:r>
          </w:p>
        </w:tc>
        <w:tc>
          <w:tcPr>
            <w:tcW w:w="1125" w:type="dxa"/>
            <w:noWrap/>
            <w:vAlign w:val="center"/>
          </w:tcPr>
          <w:p w14:paraId="62EA0EC7" w14:textId="1B7F19D7" w:rsidR="00EA72EE"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2976" w:type="dxa"/>
            <w:vAlign w:val="center"/>
          </w:tcPr>
          <w:p w14:paraId="4845CDF8" w14:textId="4010CA36"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CHARINT_PGC_NUHEI_1Y_AREA</w:t>
            </w:r>
          </w:p>
        </w:tc>
        <w:tc>
          <w:tcPr>
            <w:tcW w:w="4678" w:type="dxa"/>
            <w:noWrap/>
            <w:vAlign w:val="center"/>
          </w:tcPr>
          <w:p w14:paraId="38FB8F97" w14:textId="5F2A4FA2" w:rsidR="00EA72EE" w:rsidRPr="00217865" w:rsidRDefault="00EA72EE" w:rsidP="0006511F">
            <w:pPr>
              <w:pStyle w:val="BodyText"/>
              <w:rPr>
                <w:rFonts w:cs="Arial"/>
                <w:color w:val="000000" w:themeColor="text1"/>
                <w:sz w:val="18"/>
                <w:highlight w:val="yellow"/>
              </w:rPr>
            </w:pPr>
            <w:r w:rsidRPr="00217865">
              <w:rPr>
                <w:rFonts w:cs="Arial"/>
                <w:color w:val="000000" w:themeColor="text1"/>
                <w:sz w:val="18"/>
              </w:rPr>
              <w:t>Response characteristics (2023), broken down by citizenship status, among postgraduate coursework students from non-university higher education institutes (NUHEIs) by 21 study areas</w:t>
            </w:r>
          </w:p>
        </w:tc>
      </w:tr>
      <w:tr w:rsidR="00217865" w:rsidRPr="00217865" w14:paraId="1E5BEC9B" w14:textId="77777777" w:rsidTr="0006511F">
        <w:trPr>
          <w:trHeight w:val="300"/>
        </w:trPr>
        <w:tc>
          <w:tcPr>
            <w:tcW w:w="997" w:type="dxa"/>
            <w:noWrap/>
            <w:vAlign w:val="center"/>
          </w:tcPr>
          <w:p w14:paraId="008BAC9F" w14:textId="294B238C"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UG</w:t>
            </w:r>
          </w:p>
        </w:tc>
        <w:tc>
          <w:tcPr>
            <w:tcW w:w="1125" w:type="dxa"/>
            <w:noWrap/>
            <w:vAlign w:val="center"/>
          </w:tcPr>
          <w:p w14:paraId="0969F049" w14:textId="429F7AEA" w:rsidR="00C7189B" w:rsidRPr="00217865" w:rsidRDefault="00C7189B" w:rsidP="0006511F">
            <w:pPr>
              <w:pStyle w:val="BodyText"/>
              <w:rPr>
                <w:rFonts w:cs="Arial"/>
                <w:color w:val="000000" w:themeColor="text1"/>
                <w:sz w:val="18"/>
                <w:szCs w:val="16"/>
                <w:highlight w:val="yellow"/>
              </w:rPr>
            </w:pPr>
            <w:r w:rsidRPr="00217865">
              <w:rPr>
                <w:rFonts w:cs="Arial"/>
                <w:color w:val="000000" w:themeColor="text1"/>
                <w:sz w:val="18"/>
                <w:szCs w:val="16"/>
              </w:rPr>
              <w:t>Table 18</w:t>
            </w:r>
          </w:p>
        </w:tc>
        <w:tc>
          <w:tcPr>
            <w:tcW w:w="2976" w:type="dxa"/>
            <w:vAlign w:val="center"/>
          </w:tcPr>
          <w:p w14:paraId="4033CD8E" w14:textId="7B3B40AA"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CHARINT_UG_UNI_1Y_INST</w:t>
            </w:r>
          </w:p>
        </w:tc>
        <w:tc>
          <w:tcPr>
            <w:tcW w:w="4678" w:type="dxa"/>
            <w:noWrap/>
            <w:vAlign w:val="center"/>
          </w:tcPr>
          <w:p w14:paraId="1E6185EF" w14:textId="2B2CBBE9"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Response characteristics (2023), broken down by citizenship status, among undergraduates from universities by institution</w:t>
            </w:r>
          </w:p>
        </w:tc>
      </w:tr>
      <w:tr w:rsidR="00217865" w:rsidRPr="00217865" w14:paraId="63FBEB54" w14:textId="77777777" w:rsidTr="0006511F">
        <w:trPr>
          <w:trHeight w:val="300"/>
        </w:trPr>
        <w:tc>
          <w:tcPr>
            <w:tcW w:w="997" w:type="dxa"/>
            <w:noWrap/>
            <w:vAlign w:val="center"/>
          </w:tcPr>
          <w:p w14:paraId="64964131" w14:textId="6E31A0C0"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PGC</w:t>
            </w:r>
          </w:p>
        </w:tc>
        <w:tc>
          <w:tcPr>
            <w:tcW w:w="1125" w:type="dxa"/>
            <w:noWrap/>
            <w:vAlign w:val="center"/>
          </w:tcPr>
          <w:p w14:paraId="734FDCE0" w14:textId="3C9AD8E2" w:rsidR="00C7189B"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2976" w:type="dxa"/>
            <w:vAlign w:val="center"/>
          </w:tcPr>
          <w:p w14:paraId="59D962AD" w14:textId="00F0CE0E"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CHARINT_PGC_UNI_1Y_INST</w:t>
            </w:r>
          </w:p>
        </w:tc>
        <w:tc>
          <w:tcPr>
            <w:tcW w:w="4678" w:type="dxa"/>
            <w:noWrap/>
            <w:vAlign w:val="center"/>
          </w:tcPr>
          <w:p w14:paraId="03AB76DF" w14:textId="311D9C92"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Response characteristics (2023), broken down by citizenship status, among postgraduate coursework students from universities by institution</w:t>
            </w:r>
          </w:p>
        </w:tc>
      </w:tr>
      <w:tr w:rsidR="00217865" w:rsidRPr="00217865" w14:paraId="1693ECFF" w14:textId="77777777" w:rsidTr="0006511F">
        <w:trPr>
          <w:trHeight w:val="300"/>
        </w:trPr>
        <w:tc>
          <w:tcPr>
            <w:tcW w:w="997" w:type="dxa"/>
            <w:noWrap/>
            <w:vAlign w:val="center"/>
          </w:tcPr>
          <w:p w14:paraId="118CA728" w14:textId="580C4A55"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UG</w:t>
            </w:r>
          </w:p>
        </w:tc>
        <w:tc>
          <w:tcPr>
            <w:tcW w:w="1125" w:type="dxa"/>
            <w:noWrap/>
            <w:vAlign w:val="center"/>
          </w:tcPr>
          <w:p w14:paraId="5BF55D15" w14:textId="6A8C742F" w:rsidR="00C7189B" w:rsidRPr="00217865" w:rsidRDefault="00C7189B" w:rsidP="0006511F">
            <w:pPr>
              <w:pStyle w:val="BodyText"/>
              <w:rPr>
                <w:rFonts w:cs="Arial"/>
                <w:color w:val="000000" w:themeColor="text1"/>
                <w:sz w:val="18"/>
                <w:szCs w:val="16"/>
                <w:highlight w:val="yellow"/>
              </w:rPr>
            </w:pPr>
            <w:r w:rsidRPr="00217865">
              <w:rPr>
                <w:rFonts w:cs="Arial"/>
                <w:color w:val="000000" w:themeColor="text1"/>
                <w:sz w:val="18"/>
                <w:szCs w:val="16"/>
              </w:rPr>
              <w:t>Table 19</w:t>
            </w:r>
          </w:p>
        </w:tc>
        <w:tc>
          <w:tcPr>
            <w:tcW w:w="2976" w:type="dxa"/>
            <w:vAlign w:val="center"/>
          </w:tcPr>
          <w:p w14:paraId="6F00C744" w14:textId="29521461"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CHARINT_UG_NUHEI_1Y_INST</w:t>
            </w:r>
          </w:p>
        </w:tc>
        <w:tc>
          <w:tcPr>
            <w:tcW w:w="4678" w:type="dxa"/>
            <w:noWrap/>
            <w:vAlign w:val="center"/>
          </w:tcPr>
          <w:p w14:paraId="0BE97757" w14:textId="4CE496E4"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Response characteristics (2023), broken down by citizenship status, among undergraduates from non-university higher education institutes (NUHEIs) by institution</w:t>
            </w:r>
          </w:p>
        </w:tc>
      </w:tr>
      <w:tr w:rsidR="00FF15D1" w:rsidRPr="00217865" w14:paraId="066F23AB" w14:textId="77777777" w:rsidTr="0006511F">
        <w:trPr>
          <w:trHeight w:val="300"/>
        </w:trPr>
        <w:tc>
          <w:tcPr>
            <w:tcW w:w="997" w:type="dxa"/>
            <w:noWrap/>
            <w:vAlign w:val="center"/>
          </w:tcPr>
          <w:p w14:paraId="3004E5CD" w14:textId="787D97DE"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PGC</w:t>
            </w:r>
          </w:p>
        </w:tc>
        <w:tc>
          <w:tcPr>
            <w:tcW w:w="1125" w:type="dxa"/>
            <w:noWrap/>
            <w:vAlign w:val="center"/>
          </w:tcPr>
          <w:p w14:paraId="46F0C615" w14:textId="5F4386E5" w:rsidR="00C7189B" w:rsidRPr="00217865" w:rsidRDefault="0006511F" w:rsidP="0006511F">
            <w:pPr>
              <w:pStyle w:val="BodyText"/>
              <w:rPr>
                <w:rFonts w:cs="Arial"/>
                <w:color w:val="000000" w:themeColor="text1"/>
                <w:sz w:val="18"/>
                <w:szCs w:val="16"/>
                <w:highlight w:val="yellow"/>
              </w:rPr>
            </w:pPr>
            <w:r w:rsidRPr="00217865">
              <w:rPr>
                <w:rFonts w:cs="Arial"/>
                <w:color w:val="000000" w:themeColor="text1"/>
                <w:sz w:val="18"/>
              </w:rPr>
              <w:t>-</w:t>
            </w:r>
          </w:p>
        </w:tc>
        <w:tc>
          <w:tcPr>
            <w:tcW w:w="2976" w:type="dxa"/>
            <w:vAlign w:val="center"/>
          </w:tcPr>
          <w:p w14:paraId="1DEC00F4" w14:textId="05382733"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CHARINT_PGC_NUHEI_1Y_INST</w:t>
            </w:r>
          </w:p>
        </w:tc>
        <w:tc>
          <w:tcPr>
            <w:tcW w:w="4678" w:type="dxa"/>
            <w:noWrap/>
            <w:vAlign w:val="center"/>
          </w:tcPr>
          <w:p w14:paraId="01ED44A5" w14:textId="56447344" w:rsidR="00C7189B" w:rsidRPr="00217865" w:rsidRDefault="00C7189B" w:rsidP="0006511F">
            <w:pPr>
              <w:pStyle w:val="BodyText"/>
              <w:rPr>
                <w:rFonts w:cs="Arial"/>
                <w:color w:val="000000" w:themeColor="text1"/>
                <w:sz w:val="18"/>
                <w:szCs w:val="16"/>
              </w:rPr>
            </w:pPr>
            <w:r w:rsidRPr="00217865">
              <w:rPr>
                <w:rFonts w:cs="Arial"/>
                <w:color w:val="000000" w:themeColor="text1"/>
                <w:sz w:val="18"/>
                <w:szCs w:val="16"/>
              </w:rPr>
              <w:t>Response characteristics (2023), broken down by citizenship status, among postgraduate coursework students from non-university higher education institutes (NUHEIs) by institution</w:t>
            </w:r>
          </w:p>
        </w:tc>
      </w:tr>
    </w:tbl>
    <w:p w14:paraId="6254164D" w14:textId="77777777" w:rsidR="005A5905" w:rsidRPr="00217865" w:rsidRDefault="005A5905" w:rsidP="005A5905">
      <w:pPr>
        <w:pStyle w:val="BodyText"/>
        <w:rPr>
          <w:rFonts w:cs="Arial"/>
          <w:color w:val="000000" w:themeColor="text1"/>
          <w:highlight w:val="yellow"/>
        </w:rPr>
      </w:pPr>
    </w:p>
    <w:p w14:paraId="44BAF1B3" w14:textId="7C06CC84" w:rsidR="005A5905" w:rsidRPr="009D4378" w:rsidRDefault="00DA29C1" w:rsidP="009D4378">
      <w:pPr>
        <w:pStyle w:val="Appendix3"/>
        <w:numPr>
          <w:ilvl w:val="0"/>
          <w:numId w:val="0"/>
        </w:numPr>
        <w:ind w:left="360" w:hanging="360"/>
        <w:rPr>
          <w:rFonts w:cs="Arial"/>
          <w:color w:val="000000" w:themeColor="text1"/>
        </w:rPr>
      </w:pPr>
      <w:bookmarkStart w:id="630" w:name="_Toc167872841"/>
      <w:bookmarkStart w:id="631" w:name="_Toc178599336"/>
      <w:r w:rsidRPr="00217865">
        <w:rPr>
          <w:rFonts w:cs="Arial"/>
          <w:color w:val="000000" w:themeColor="text1"/>
        </w:rPr>
        <w:t>A7.3.3</w:t>
      </w:r>
      <w:r w:rsidR="009D4378">
        <w:rPr>
          <w:rFonts w:cs="Arial"/>
          <w:color w:val="000000" w:themeColor="text1"/>
        </w:rPr>
        <w:tab/>
      </w:r>
      <w:r w:rsidR="005A5905" w:rsidRPr="00217865">
        <w:rPr>
          <w:rFonts w:cs="Arial"/>
          <w:color w:val="000000" w:themeColor="text1"/>
        </w:rPr>
        <w:t>Confidence intervals and weighting</w:t>
      </w:r>
      <w:bookmarkEnd w:id="630"/>
      <w:bookmarkEnd w:id="631"/>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3279"/>
        <w:gridCol w:w="4536"/>
      </w:tblGrid>
      <w:tr w:rsidR="00217865" w:rsidRPr="00217865" w14:paraId="7C671FC0" w14:textId="77777777" w:rsidTr="0006511F">
        <w:trPr>
          <w:trHeight w:val="300"/>
          <w:tblHeader/>
        </w:trPr>
        <w:tc>
          <w:tcPr>
            <w:tcW w:w="988" w:type="dxa"/>
            <w:noWrap/>
            <w:vAlign w:val="bottom"/>
          </w:tcPr>
          <w:p w14:paraId="52D735F8"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Course Level</w:t>
            </w:r>
          </w:p>
        </w:tc>
        <w:tc>
          <w:tcPr>
            <w:tcW w:w="1134" w:type="dxa"/>
            <w:noWrap/>
            <w:vAlign w:val="bottom"/>
          </w:tcPr>
          <w:p w14:paraId="253E520C" w14:textId="376C58CD" w:rsidR="005A5905" w:rsidRPr="00217865" w:rsidRDefault="005A5905" w:rsidP="0006511F">
            <w:pPr>
              <w:pStyle w:val="BodyText"/>
              <w:rPr>
                <w:rFonts w:cs="Arial"/>
                <w:b/>
                <w:color w:val="000000" w:themeColor="text1"/>
                <w:sz w:val="18"/>
              </w:rPr>
            </w:pPr>
            <w:r w:rsidRPr="00217865">
              <w:rPr>
                <w:rFonts w:cs="Arial"/>
                <w:b/>
                <w:color w:val="000000" w:themeColor="text1"/>
                <w:sz w:val="18"/>
              </w:rPr>
              <w:t xml:space="preserve">Report </w:t>
            </w:r>
            <w:r w:rsidR="008279CE" w:rsidRPr="00217865">
              <w:rPr>
                <w:rFonts w:cs="Arial"/>
                <w:b/>
                <w:bCs/>
                <w:color w:val="000000" w:themeColor="text1"/>
                <w:sz w:val="18"/>
              </w:rPr>
              <w:t>reference</w:t>
            </w:r>
          </w:p>
        </w:tc>
        <w:tc>
          <w:tcPr>
            <w:tcW w:w="3279" w:type="dxa"/>
            <w:vAlign w:val="bottom"/>
          </w:tcPr>
          <w:p w14:paraId="62DE5FDD"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Sheet name</w:t>
            </w:r>
          </w:p>
        </w:tc>
        <w:tc>
          <w:tcPr>
            <w:tcW w:w="4536" w:type="dxa"/>
            <w:noWrap/>
            <w:vAlign w:val="bottom"/>
          </w:tcPr>
          <w:p w14:paraId="08108265" w14:textId="77777777" w:rsidR="005A5905" w:rsidRPr="00217865" w:rsidRDefault="005A5905" w:rsidP="0006511F">
            <w:pPr>
              <w:pStyle w:val="BodyText"/>
              <w:rPr>
                <w:rFonts w:cs="Arial"/>
                <w:b/>
                <w:color w:val="000000" w:themeColor="text1"/>
                <w:sz w:val="18"/>
              </w:rPr>
            </w:pPr>
            <w:r w:rsidRPr="00217865">
              <w:rPr>
                <w:rFonts w:cs="Arial"/>
                <w:b/>
                <w:color w:val="000000" w:themeColor="text1"/>
                <w:sz w:val="18"/>
              </w:rPr>
              <w:t>Table Title</w:t>
            </w:r>
          </w:p>
        </w:tc>
      </w:tr>
      <w:tr w:rsidR="00217865" w:rsidRPr="00217865" w14:paraId="7A8E7DC1" w14:textId="77777777" w:rsidTr="0006511F">
        <w:trPr>
          <w:trHeight w:val="300"/>
        </w:trPr>
        <w:tc>
          <w:tcPr>
            <w:tcW w:w="988" w:type="dxa"/>
            <w:noWrap/>
            <w:vAlign w:val="center"/>
            <w:hideMark/>
          </w:tcPr>
          <w:p w14:paraId="1B39F865" w14:textId="753DE7C5"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19FB070C" w14:textId="62F15C50"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Figure 5</w:t>
            </w:r>
          </w:p>
        </w:tc>
        <w:tc>
          <w:tcPr>
            <w:tcW w:w="3279" w:type="dxa"/>
            <w:vAlign w:val="center"/>
          </w:tcPr>
          <w:p w14:paraId="4E4A0E5B" w14:textId="606F4AB1" w:rsidR="00012B09" w:rsidRPr="00217865" w:rsidRDefault="00012B09" w:rsidP="0006511F">
            <w:pPr>
              <w:pStyle w:val="BodyText"/>
              <w:ind w:right="-281"/>
              <w:rPr>
                <w:rFonts w:cs="Arial"/>
                <w:color w:val="000000" w:themeColor="text1"/>
                <w:sz w:val="18"/>
                <w:highlight w:val="yellow"/>
              </w:rPr>
            </w:pPr>
            <w:r w:rsidRPr="00217865" w:rsidDel="00DF73BD">
              <w:rPr>
                <w:rFonts w:cs="Arial"/>
                <w:color w:val="000000" w:themeColor="text1"/>
                <w:sz w:val="18"/>
              </w:rPr>
              <w:t>QOE_UG_UNI_1Y_INST_FIG</w:t>
            </w:r>
          </w:p>
        </w:tc>
        <w:tc>
          <w:tcPr>
            <w:tcW w:w="4536" w:type="dxa"/>
            <w:noWrap/>
            <w:vAlign w:val="center"/>
            <w:hideMark/>
          </w:tcPr>
          <w:p w14:paraId="0A159F57" w14:textId="28915C24"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(2023, with 90% confidence intervals) among undergraduates from universities by </w:t>
            </w:r>
            <w:r w:rsidRPr="00217865" w:rsidDel="00DF73BD">
              <w:rPr>
                <w:rFonts w:cs="Arial"/>
                <w:color w:val="000000" w:themeColor="text1"/>
                <w:sz w:val="18"/>
              </w:rPr>
              <w:t>institution</w:t>
            </w:r>
          </w:p>
        </w:tc>
      </w:tr>
      <w:tr w:rsidR="00217865" w:rsidRPr="00217865" w14:paraId="1B882A8D" w14:textId="77777777" w:rsidTr="0006511F">
        <w:trPr>
          <w:trHeight w:val="300"/>
        </w:trPr>
        <w:tc>
          <w:tcPr>
            <w:tcW w:w="988" w:type="dxa"/>
            <w:noWrap/>
            <w:vAlign w:val="center"/>
            <w:hideMark/>
          </w:tcPr>
          <w:p w14:paraId="477B5B4F" w14:textId="6B88A3DF"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626ACBD3" w14:textId="518E6849"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361A4D99" w14:textId="74039732"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QOE_UG_UNI_1YP_INST_FIG</w:t>
            </w:r>
          </w:p>
        </w:tc>
        <w:tc>
          <w:tcPr>
            <w:tcW w:w="4536" w:type="dxa"/>
            <w:noWrap/>
            <w:vAlign w:val="center"/>
            <w:hideMark/>
          </w:tcPr>
          <w:p w14:paraId="2A1FA84C" w14:textId="48CC5CAA"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(pooled 2022 and 2023, with 90% confidence intervals) among undergraduates from universities by </w:t>
            </w:r>
            <w:r w:rsidRPr="00217865" w:rsidDel="00DF73BD">
              <w:rPr>
                <w:rFonts w:cs="Arial"/>
                <w:color w:val="000000" w:themeColor="text1"/>
                <w:sz w:val="18"/>
              </w:rPr>
              <w:t>institution</w:t>
            </w:r>
          </w:p>
        </w:tc>
      </w:tr>
      <w:tr w:rsidR="00217865" w:rsidRPr="00217865" w14:paraId="4D49C0ED" w14:textId="77777777" w:rsidTr="0006511F">
        <w:trPr>
          <w:trHeight w:val="300"/>
        </w:trPr>
        <w:tc>
          <w:tcPr>
            <w:tcW w:w="988" w:type="dxa"/>
            <w:noWrap/>
            <w:vAlign w:val="center"/>
            <w:hideMark/>
          </w:tcPr>
          <w:p w14:paraId="51D52CE0" w14:textId="630BB734"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7A277C6A" w14:textId="62D774CD"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57DCF60D" w14:textId="538030BD"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QOE_PGC_UNI_1Y_INST_FIG</w:t>
            </w:r>
          </w:p>
        </w:tc>
        <w:tc>
          <w:tcPr>
            <w:tcW w:w="4536" w:type="dxa"/>
            <w:noWrap/>
            <w:vAlign w:val="center"/>
            <w:hideMark/>
          </w:tcPr>
          <w:p w14:paraId="52D84130" w14:textId="77DA9D3F"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(2023, with 90% confidence intervals) among postgraduate coursework students from universities by </w:t>
            </w:r>
            <w:r w:rsidRPr="00217865" w:rsidDel="00DF73BD">
              <w:rPr>
                <w:rFonts w:cs="Arial"/>
                <w:color w:val="000000" w:themeColor="text1"/>
                <w:sz w:val="18"/>
              </w:rPr>
              <w:t>institution</w:t>
            </w:r>
          </w:p>
        </w:tc>
      </w:tr>
      <w:tr w:rsidR="00217865" w:rsidRPr="00217865" w14:paraId="74CEDEF4" w14:textId="77777777" w:rsidTr="0006511F">
        <w:trPr>
          <w:trHeight w:val="300"/>
        </w:trPr>
        <w:tc>
          <w:tcPr>
            <w:tcW w:w="988" w:type="dxa"/>
            <w:noWrap/>
            <w:vAlign w:val="center"/>
            <w:hideMark/>
          </w:tcPr>
          <w:p w14:paraId="217B32EB" w14:textId="18CF6AE2"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0E5D2DA7" w14:textId="54924D22"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Figure 6</w:t>
            </w:r>
          </w:p>
        </w:tc>
        <w:tc>
          <w:tcPr>
            <w:tcW w:w="3279" w:type="dxa"/>
            <w:vAlign w:val="center"/>
          </w:tcPr>
          <w:p w14:paraId="27AD0FB3" w14:textId="68441047"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QOE_PGC_UNI_1YP_INST_FIG</w:t>
            </w:r>
          </w:p>
        </w:tc>
        <w:tc>
          <w:tcPr>
            <w:tcW w:w="4536" w:type="dxa"/>
            <w:noWrap/>
            <w:vAlign w:val="center"/>
            <w:hideMark/>
          </w:tcPr>
          <w:p w14:paraId="35400A10" w14:textId="16316C21"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(pooled 2022 and 2023, with 90% confidence intervals) among postgraduate coursework students from universities by </w:t>
            </w:r>
            <w:r w:rsidRPr="00217865" w:rsidDel="00DF73BD">
              <w:rPr>
                <w:rFonts w:cs="Arial"/>
                <w:color w:val="000000" w:themeColor="text1"/>
                <w:sz w:val="18"/>
              </w:rPr>
              <w:t>institution</w:t>
            </w:r>
          </w:p>
        </w:tc>
      </w:tr>
      <w:tr w:rsidR="00217865" w:rsidRPr="00217865" w14:paraId="0D52B863" w14:textId="77777777" w:rsidTr="0006511F">
        <w:trPr>
          <w:trHeight w:val="300"/>
        </w:trPr>
        <w:tc>
          <w:tcPr>
            <w:tcW w:w="988" w:type="dxa"/>
            <w:noWrap/>
            <w:vAlign w:val="center"/>
            <w:hideMark/>
          </w:tcPr>
          <w:p w14:paraId="3F4C19FF" w14:textId="010DFCE4"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lastRenderedPageBreak/>
              <w:t>UG</w:t>
            </w:r>
          </w:p>
        </w:tc>
        <w:tc>
          <w:tcPr>
            <w:tcW w:w="1134" w:type="dxa"/>
            <w:noWrap/>
            <w:vAlign w:val="center"/>
            <w:hideMark/>
          </w:tcPr>
          <w:p w14:paraId="658E2014" w14:textId="3F134F56"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1871944E" w14:textId="10AB7492"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QOE_UG_NUHEI_1Y_INST_FIG</w:t>
            </w:r>
          </w:p>
        </w:tc>
        <w:tc>
          <w:tcPr>
            <w:tcW w:w="4536" w:type="dxa"/>
            <w:noWrap/>
            <w:vAlign w:val="center"/>
            <w:hideMark/>
          </w:tcPr>
          <w:p w14:paraId="58534389" w14:textId="1CA3D24B"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(2023, with 90% confidence intervals) among undergraduates from non-university higher education institutes (NUHEIs) by </w:t>
            </w:r>
            <w:r w:rsidRPr="00217865" w:rsidDel="00DF73BD">
              <w:rPr>
                <w:rFonts w:cs="Arial"/>
                <w:color w:val="000000" w:themeColor="text1"/>
                <w:sz w:val="18"/>
              </w:rPr>
              <w:t>institution</w:t>
            </w:r>
          </w:p>
        </w:tc>
      </w:tr>
      <w:tr w:rsidR="00217865" w:rsidRPr="00217865" w14:paraId="2F58A4B5" w14:textId="77777777" w:rsidTr="0006511F">
        <w:trPr>
          <w:trHeight w:val="300"/>
        </w:trPr>
        <w:tc>
          <w:tcPr>
            <w:tcW w:w="988" w:type="dxa"/>
            <w:noWrap/>
            <w:vAlign w:val="center"/>
            <w:hideMark/>
          </w:tcPr>
          <w:p w14:paraId="39786ABB" w14:textId="53C750A3"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5BA36DAF" w14:textId="206D670E"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Figure 7</w:t>
            </w:r>
          </w:p>
        </w:tc>
        <w:tc>
          <w:tcPr>
            <w:tcW w:w="3279" w:type="dxa"/>
            <w:vAlign w:val="center"/>
          </w:tcPr>
          <w:p w14:paraId="27B3C60A" w14:textId="20173A30"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QOE_UG_NUHEI_1YP_INST_FIG</w:t>
            </w:r>
          </w:p>
        </w:tc>
        <w:tc>
          <w:tcPr>
            <w:tcW w:w="4536" w:type="dxa"/>
            <w:noWrap/>
            <w:vAlign w:val="center"/>
            <w:hideMark/>
          </w:tcPr>
          <w:p w14:paraId="36C143F3" w14:textId="361FFC75"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(pooled 2022 and 2023, with 90% confidence intervals) among undergraduates from non-university higher education institutes (NUHEIs) by </w:t>
            </w:r>
            <w:r w:rsidRPr="00217865" w:rsidDel="00DF73BD">
              <w:rPr>
                <w:rFonts w:cs="Arial"/>
                <w:color w:val="000000" w:themeColor="text1"/>
                <w:sz w:val="18"/>
              </w:rPr>
              <w:t>institution</w:t>
            </w:r>
          </w:p>
        </w:tc>
      </w:tr>
      <w:tr w:rsidR="00217865" w:rsidRPr="00217865" w14:paraId="721975B1" w14:textId="77777777" w:rsidTr="0006511F">
        <w:trPr>
          <w:trHeight w:val="300"/>
        </w:trPr>
        <w:tc>
          <w:tcPr>
            <w:tcW w:w="988" w:type="dxa"/>
            <w:noWrap/>
            <w:vAlign w:val="center"/>
            <w:hideMark/>
          </w:tcPr>
          <w:p w14:paraId="76B38F03" w14:textId="0424F71D"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61826F6F" w14:textId="1F69F61C"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63F9CD37" w14:textId="1928C883"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QOE_PGC_NUHEI_1Y_INST_FIG</w:t>
            </w:r>
          </w:p>
        </w:tc>
        <w:tc>
          <w:tcPr>
            <w:tcW w:w="4536" w:type="dxa"/>
            <w:noWrap/>
            <w:vAlign w:val="center"/>
            <w:hideMark/>
          </w:tcPr>
          <w:p w14:paraId="0142934C" w14:textId="4CA10D2D"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(2023, with 90% confidence intervals) among postgraduate coursework students from non-university higher education institutes (NUHEIs) by </w:t>
            </w:r>
            <w:r w:rsidRPr="00217865" w:rsidDel="00DF73BD">
              <w:rPr>
                <w:rFonts w:cs="Arial"/>
                <w:color w:val="000000" w:themeColor="text1"/>
                <w:sz w:val="18"/>
              </w:rPr>
              <w:t>institution</w:t>
            </w:r>
          </w:p>
        </w:tc>
      </w:tr>
      <w:tr w:rsidR="00217865" w:rsidRPr="00217865" w14:paraId="4FB290E4" w14:textId="77777777" w:rsidTr="0006511F">
        <w:trPr>
          <w:trHeight w:val="300"/>
        </w:trPr>
        <w:tc>
          <w:tcPr>
            <w:tcW w:w="988" w:type="dxa"/>
            <w:noWrap/>
            <w:vAlign w:val="center"/>
            <w:hideMark/>
          </w:tcPr>
          <w:p w14:paraId="55C4F226" w14:textId="59834B0B"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7F8A81EE" w14:textId="609AC1E3"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Figure 8</w:t>
            </w:r>
          </w:p>
        </w:tc>
        <w:tc>
          <w:tcPr>
            <w:tcW w:w="3279" w:type="dxa"/>
            <w:vAlign w:val="center"/>
          </w:tcPr>
          <w:p w14:paraId="7FA77766" w14:textId="1CE2BAB7"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QOE_PGC_NUHEI_1YP_INST_FIG</w:t>
            </w:r>
          </w:p>
        </w:tc>
        <w:tc>
          <w:tcPr>
            <w:tcW w:w="4536" w:type="dxa"/>
            <w:noWrap/>
            <w:vAlign w:val="center"/>
            <w:hideMark/>
          </w:tcPr>
          <w:p w14:paraId="569C92A4" w14:textId="4121D087"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entire educational experience (pooled 2022 and 2023, with 90% confidence intervals) among postgraduate coursework students from non-university higher education institutes (NUHEIs) by </w:t>
            </w:r>
            <w:r w:rsidRPr="00217865" w:rsidDel="00DF73BD">
              <w:rPr>
                <w:rFonts w:cs="Arial"/>
                <w:color w:val="000000" w:themeColor="text1"/>
                <w:sz w:val="18"/>
              </w:rPr>
              <w:t>institution</w:t>
            </w:r>
          </w:p>
        </w:tc>
      </w:tr>
      <w:tr w:rsidR="00217865" w:rsidRPr="00217865" w14:paraId="32D1F341" w14:textId="77777777" w:rsidTr="0006511F">
        <w:trPr>
          <w:trHeight w:val="300"/>
        </w:trPr>
        <w:tc>
          <w:tcPr>
            <w:tcW w:w="988" w:type="dxa"/>
            <w:noWrap/>
            <w:vAlign w:val="center"/>
            <w:hideMark/>
          </w:tcPr>
          <w:p w14:paraId="106D6993" w14:textId="4949A0E9"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5077F1B6" w14:textId="1281A87C"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2480ADA2" w14:textId="28AEEAA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WEIGHT_UG_ALL_1Y_ISG</w:t>
            </w:r>
          </w:p>
        </w:tc>
        <w:tc>
          <w:tcPr>
            <w:tcW w:w="4536" w:type="dxa"/>
            <w:noWrap/>
            <w:vAlign w:val="center"/>
            <w:hideMark/>
          </w:tcPr>
          <w:p w14:paraId="7791E382" w14:textId="596BF01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Comparison of raw and weighted percentage positive scores (2023) among undergraduates from all provider types by demographic and contextual </w:t>
            </w:r>
            <w:r w:rsidRPr="00217865" w:rsidDel="00DF73BD">
              <w:rPr>
                <w:rFonts w:cs="Arial"/>
                <w:color w:val="000000" w:themeColor="text1"/>
                <w:sz w:val="18"/>
              </w:rPr>
              <w:t>group</w:t>
            </w:r>
          </w:p>
        </w:tc>
      </w:tr>
      <w:tr w:rsidR="00217865" w:rsidRPr="00217865" w14:paraId="762F9B6B" w14:textId="77777777" w:rsidTr="0006511F">
        <w:trPr>
          <w:trHeight w:val="300"/>
        </w:trPr>
        <w:tc>
          <w:tcPr>
            <w:tcW w:w="988" w:type="dxa"/>
            <w:noWrap/>
            <w:vAlign w:val="center"/>
            <w:hideMark/>
          </w:tcPr>
          <w:p w14:paraId="3B6DD65C" w14:textId="1CE76945"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7FC567C7" w14:textId="13294D8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532B2DC2" w14:textId="74BE42A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WEIGHT_PGC_ALL_1Y_ISG</w:t>
            </w:r>
          </w:p>
        </w:tc>
        <w:tc>
          <w:tcPr>
            <w:tcW w:w="4536" w:type="dxa"/>
            <w:noWrap/>
            <w:vAlign w:val="center"/>
            <w:hideMark/>
          </w:tcPr>
          <w:p w14:paraId="3A875E0B" w14:textId="420FB83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Comparison of raw and weighted percentage positive scores (2023) among postgraduate coursework students from all provider types by demographic and contextual </w:t>
            </w:r>
            <w:r w:rsidRPr="00217865" w:rsidDel="00DF73BD">
              <w:rPr>
                <w:rFonts w:cs="Arial"/>
                <w:color w:val="000000" w:themeColor="text1"/>
                <w:sz w:val="18"/>
              </w:rPr>
              <w:t>group</w:t>
            </w:r>
          </w:p>
        </w:tc>
      </w:tr>
      <w:tr w:rsidR="00217865" w:rsidRPr="00217865" w14:paraId="067BA055" w14:textId="77777777" w:rsidTr="0006511F">
        <w:trPr>
          <w:trHeight w:val="300"/>
        </w:trPr>
        <w:tc>
          <w:tcPr>
            <w:tcW w:w="988" w:type="dxa"/>
            <w:noWrap/>
            <w:vAlign w:val="center"/>
            <w:hideMark/>
          </w:tcPr>
          <w:p w14:paraId="1B6A4665" w14:textId="7019FA34"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571B412B" w14:textId="328FFB8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4B9FFC77" w14:textId="2FA084E4"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WEIGHT_UG_ALL_1Y_AREA</w:t>
            </w:r>
          </w:p>
        </w:tc>
        <w:tc>
          <w:tcPr>
            <w:tcW w:w="4536" w:type="dxa"/>
            <w:noWrap/>
            <w:vAlign w:val="center"/>
            <w:hideMark/>
          </w:tcPr>
          <w:p w14:paraId="53A54602" w14:textId="3C16FD2A"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Comparison of raw and weighted percentage positive scores (2023) among undergraduates from all provider types by 21 study </w:t>
            </w:r>
            <w:r w:rsidRPr="00217865" w:rsidDel="00DF73BD">
              <w:rPr>
                <w:rFonts w:cs="Arial"/>
                <w:color w:val="000000" w:themeColor="text1"/>
                <w:sz w:val="18"/>
              </w:rPr>
              <w:t>areas</w:t>
            </w:r>
          </w:p>
        </w:tc>
      </w:tr>
      <w:tr w:rsidR="00217865" w:rsidRPr="00217865" w14:paraId="5126E36D" w14:textId="77777777" w:rsidTr="0006511F">
        <w:trPr>
          <w:trHeight w:val="300"/>
        </w:trPr>
        <w:tc>
          <w:tcPr>
            <w:tcW w:w="988" w:type="dxa"/>
            <w:noWrap/>
            <w:vAlign w:val="center"/>
            <w:hideMark/>
          </w:tcPr>
          <w:p w14:paraId="4FC29C0B" w14:textId="58FB0208"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hideMark/>
          </w:tcPr>
          <w:p w14:paraId="77E9308D" w14:textId="58B12875"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47F89A44" w14:textId="3089DB94"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WEIGHT_PGC_ALL_1Y_AREA</w:t>
            </w:r>
          </w:p>
        </w:tc>
        <w:tc>
          <w:tcPr>
            <w:tcW w:w="4536" w:type="dxa"/>
            <w:noWrap/>
            <w:vAlign w:val="center"/>
            <w:hideMark/>
          </w:tcPr>
          <w:p w14:paraId="27430516" w14:textId="33B97B1B"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Comparison of raw and weighted percentage positive scores (2023) among postgraduate coursework students from all provider types by 21 study </w:t>
            </w:r>
            <w:r w:rsidRPr="00217865" w:rsidDel="00DF73BD">
              <w:rPr>
                <w:rFonts w:cs="Arial"/>
                <w:color w:val="000000" w:themeColor="text1"/>
                <w:sz w:val="18"/>
              </w:rPr>
              <w:t>areas</w:t>
            </w:r>
          </w:p>
        </w:tc>
      </w:tr>
      <w:tr w:rsidR="00217865" w:rsidRPr="00217865" w14:paraId="3603336E" w14:textId="77777777" w:rsidTr="0006511F">
        <w:trPr>
          <w:trHeight w:val="300"/>
        </w:trPr>
        <w:tc>
          <w:tcPr>
            <w:tcW w:w="988" w:type="dxa"/>
            <w:noWrap/>
            <w:vAlign w:val="center"/>
            <w:hideMark/>
          </w:tcPr>
          <w:p w14:paraId="5BEF9C8B" w14:textId="6DB49971"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hideMark/>
          </w:tcPr>
          <w:p w14:paraId="1255796F" w14:textId="446F6DB3"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Table 20</w:t>
            </w:r>
          </w:p>
        </w:tc>
        <w:tc>
          <w:tcPr>
            <w:tcW w:w="3279" w:type="dxa"/>
            <w:vAlign w:val="center"/>
          </w:tcPr>
          <w:p w14:paraId="7420513E" w14:textId="01D04A5E"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QOEQOT_UG_ALL_1Y_ISG_</w:t>
            </w:r>
            <w:r w:rsidRPr="00217865" w:rsidDel="00DF73BD">
              <w:rPr>
                <w:rFonts w:cs="Arial"/>
                <w:color w:val="000000" w:themeColor="text1"/>
                <w:sz w:val="18"/>
              </w:rPr>
              <w:t>CI</w:t>
            </w:r>
          </w:p>
        </w:tc>
        <w:tc>
          <w:tcPr>
            <w:tcW w:w="4536" w:type="dxa"/>
            <w:noWrap/>
            <w:vAlign w:val="center"/>
            <w:hideMark/>
          </w:tcPr>
          <w:p w14:paraId="16D9A106" w14:textId="2EC19F90"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overall education and quality of teaching (% positive rating, 2023, with 90% confidence intervals) among undergraduates from all provider types by demographic and contextual </w:t>
            </w:r>
            <w:r w:rsidRPr="00217865" w:rsidDel="00DF73BD">
              <w:rPr>
                <w:rFonts w:cs="Arial"/>
                <w:color w:val="000000" w:themeColor="text1"/>
                <w:sz w:val="18"/>
              </w:rPr>
              <w:t>group</w:t>
            </w:r>
          </w:p>
        </w:tc>
      </w:tr>
      <w:tr w:rsidR="00217865" w:rsidRPr="00217865" w14:paraId="4A6FAA9C" w14:textId="77777777" w:rsidTr="0006511F">
        <w:trPr>
          <w:trHeight w:val="300"/>
        </w:trPr>
        <w:tc>
          <w:tcPr>
            <w:tcW w:w="988" w:type="dxa"/>
            <w:noWrap/>
            <w:vAlign w:val="center"/>
            <w:hideMark/>
          </w:tcPr>
          <w:p w14:paraId="33D8CB0B" w14:textId="55131F9F"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PGC</w:t>
            </w:r>
          </w:p>
        </w:tc>
        <w:tc>
          <w:tcPr>
            <w:tcW w:w="1134" w:type="dxa"/>
            <w:noWrap/>
            <w:vAlign w:val="center"/>
            <w:hideMark/>
          </w:tcPr>
          <w:p w14:paraId="1EF234CC" w14:textId="2326FFB6"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4CE03ABE" w14:textId="59B0EC1B"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QOEQOT_PGC_ALL_1Y_ISG_</w:t>
            </w:r>
            <w:r w:rsidRPr="00217865" w:rsidDel="00DF73BD">
              <w:rPr>
                <w:rFonts w:cs="Arial"/>
                <w:color w:val="000000" w:themeColor="text1"/>
                <w:sz w:val="18"/>
              </w:rPr>
              <w:t>CI</w:t>
            </w:r>
          </w:p>
        </w:tc>
        <w:tc>
          <w:tcPr>
            <w:tcW w:w="4536" w:type="dxa"/>
            <w:noWrap/>
            <w:vAlign w:val="center"/>
            <w:hideMark/>
          </w:tcPr>
          <w:p w14:paraId="513A738C" w14:textId="735E9D60"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overall education and quality of teaching (% positive rating, 2023, with 90% confidence intervals) among postgraduate coursework students from all provider types by demographic and contextual </w:t>
            </w:r>
            <w:r w:rsidRPr="00217865" w:rsidDel="00DF73BD">
              <w:rPr>
                <w:rFonts w:cs="Arial"/>
                <w:color w:val="000000" w:themeColor="text1"/>
                <w:sz w:val="18"/>
              </w:rPr>
              <w:t>group</w:t>
            </w:r>
          </w:p>
        </w:tc>
      </w:tr>
      <w:tr w:rsidR="00217865" w:rsidRPr="00217865" w14:paraId="4B2E901A" w14:textId="77777777" w:rsidTr="0006511F">
        <w:trPr>
          <w:trHeight w:val="300"/>
        </w:trPr>
        <w:tc>
          <w:tcPr>
            <w:tcW w:w="988" w:type="dxa"/>
            <w:noWrap/>
            <w:vAlign w:val="center"/>
            <w:hideMark/>
          </w:tcPr>
          <w:p w14:paraId="38F0F9F7" w14:textId="0FC8565A"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PGC</w:t>
            </w:r>
          </w:p>
        </w:tc>
        <w:tc>
          <w:tcPr>
            <w:tcW w:w="1134" w:type="dxa"/>
            <w:noWrap/>
            <w:vAlign w:val="center"/>
            <w:hideMark/>
          </w:tcPr>
          <w:p w14:paraId="0FB243A9" w14:textId="0FDCC2B9"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44DA7672" w14:textId="13A57285"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QOEQOT_PGC_UNI_1Y_ISG_</w:t>
            </w:r>
            <w:r w:rsidRPr="00217865" w:rsidDel="00DF73BD">
              <w:rPr>
                <w:rFonts w:cs="Arial"/>
                <w:color w:val="000000" w:themeColor="text1"/>
                <w:sz w:val="18"/>
              </w:rPr>
              <w:t>CI</w:t>
            </w:r>
          </w:p>
        </w:tc>
        <w:tc>
          <w:tcPr>
            <w:tcW w:w="4536" w:type="dxa"/>
            <w:noWrap/>
            <w:vAlign w:val="center"/>
            <w:hideMark/>
          </w:tcPr>
          <w:p w14:paraId="0BFEDB45" w14:textId="4D271828"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overall education and quality of teaching (% positive rating, 2023, with 90% confidence intervals) </w:t>
            </w:r>
            <w:r w:rsidRPr="00217865">
              <w:rPr>
                <w:rFonts w:cs="Arial"/>
                <w:color w:val="000000" w:themeColor="text1"/>
                <w:sz w:val="18"/>
              </w:rPr>
              <w:lastRenderedPageBreak/>
              <w:t xml:space="preserve">among postgraduate coursework students from universities by demographic and contextual </w:t>
            </w:r>
            <w:r w:rsidRPr="00217865" w:rsidDel="00DF73BD">
              <w:rPr>
                <w:rFonts w:cs="Arial"/>
                <w:color w:val="000000" w:themeColor="text1"/>
                <w:sz w:val="18"/>
              </w:rPr>
              <w:t>group</w:t>
            </w:r>
          </w:p>
        </w:tc>
      </w:tr>
      <w:tr w:rsidR="00217865" w:rsidRPr="00217865" w14:paraId="3567407A" w14:textId="77777777" w:rsidTr="0006511F">
        <w:trPr>
          <w:trHeight w:val="300"/>
        </w:trPr>
        <w:tc>
          <w:tcPr>
            <w:tcW w:w="988" w:type="dxa"/>
            <w:noWrap/>
            <w:vAlign w:val="center"/>
            <w:hideMark/>
          </w:tcPr>
          <w:p w14:paraId="545B0B76" w14:textId="6FD68714"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lastRenderedPageBreak/>
              <w:t>PGC</w:t>
            </w:r>
          </w:p>
        </w:tc>
        <w:tc>
          <w:tcPr>
            <w:tcW w:w="1134" w:type="dxa"/>
            <w:noWrap/>
            <w:vAlign w:val="center"/>
            <w:hideMark/>
          </w:tcPr>
          <w:p w14:paraId="43D39BC9" w14:textId="2A2CAE0E"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280C59C5" w14:textId="35A7C02C"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QOEQOT_PGC_NUHEI_1Y_ISG_</w:t>
            </w:r>
            <w:r w:rsidRPr="00217865" w:rsidDel="00DF73BD">
              <w:rPr>
                <w:rFonts w:cs="Arial"/>
                <w:color w:val="000000" w:themeColor="text1"/>
                <w:sz w:val="18"/>
              </w:rPr>
              <w:t>CI</w:t>
            </w:r>
          </w:p>
        </w:tc>
        <w:tc>
          <w:tcPr>
            <w:tcW w:w="4536" w:type="dxa"/>
            <w:noWrap/>
            <w:vAlign w:val="center"/>
            <w:hideMark/>
          </w:tcPr>
          <w:p w14:paraId="7CDC95AE" w14:textId="7F842C0D"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 xml:space="preserve">Quality of overall education and quality of teaching (% positive rating, 2023, with 90% confidence intervals) among postgraduate coursework students from non-university higher education institutes (NUHEIs) by demographic and contextual </w:t>
            </w:r>
            <w:r w:rsidRPr="00217865" w:rsidDel="00DF73BD">
              <w:rPr>
                <w:rFonts w:cs="Arial"/>
                <w:color w:val="000000" w:themeColor="text1"/>
                <w:sz w:val="18"/>
              </w:rPr>
              <w:t>group</w:t>
            </w:r>
          </w:p>
        </w:tc>
      </w:tr>
      <w:tr w:rsidR="00217865" w:rsidRPr="00217865" w14:paraId="2AC446F2" w14:textId="77777777" w:rsidTr="0006511F">
        <w:trPr>
          <w:trHeight w:val="300"/>
        </w:trPr>
        <w:tc>
          <w:tcPr>
            <w:tcW w:w="988" w:type="dxa"/>
            <w:noWrap/>
            <w:vAlign w:val="center"/>
          </w:tcPr>
          <w:p w14:paraId="5521635B" w14:textId="0C9AE749"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UG</w:t>
            </w:r>
          </w:p>
        </w:tc>
        <w:tc>
          <w:tcPr>
            <w:tcW w:w="1134" w:type="dxa"/>
            <w:noWrap/>
            <w:vAlign w:val="center"/>
          </w:tcPr>
          <w:p w14:paraId="7CED8E7E" w14:textId="1F5A9D06"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Table 21</w:t>
            </w:r>
          </w:p>
        </w:tc>
        <w:tc>
          <w:tcPr>
            <w:tcW w:w="3279" w:type="dxa"/>
            <w:vAlign w:val="center"/>
          </w:tcPr>
          <w:p w14:paraId="40808251" w14:textId="2DA79909"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QOEQOT_UG_ALL_1Y_AREA_</w:t>
            </w:r>
            <w:r w:rsidRPr="00217865" w:rsidDel="00DF73BD">
              <w:rPr>
                <w:rFonts w:cs="Arial"/>
                <w:color w:val="000000" w:themeColor="text1"/>
                <w:sz w:val="18"/>
              </w:rPr>
              <w:t>CI</w:t>
            </w:r>
          </w:p>
        </w:tc>
        <w:tc>
          <w:tcPr>
            <w:tcW w:w="4536" w:type="dxa"/>
            <w:noWrap/>
            <w:vAlign w:val="center"/>
          </w:tcPr>
          <w:p w14:paraId="1D1431B9" w14:textId="11A6CCFB"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Quality of overall education and quality of teaching (% positive rating, 2023, with 90% confidence intervals) among undergraduates from all provider types by 21 study areas</w:t>
            </w:r>
          </w:p>
        </w:tc>
      </w:tr>
      <w:tr w:rsidR="00217865" w:rsidRPr="00217865" w14:paraId="420B0254" w14:textId="77777777" w:rsidTr="0006511F">
        <w:trPr>
          <w:trHeight w:val="300"/>
        </w:trPr>
        <w:tc>
          <w:tcPr>
            <w:tcW w:w="988" w:type="dxa"/>
            <w:noWrap/>
            <w:vAlign w:val="center"/>
          </w:tcPr>
          <w:p w14:paraId="46E2895B" w14:textId="47128370"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UG</w:t>
            </w:r>
          </w:p>
        </w:tc>
        <w:tc>
          <w:tcPr>
            <w:tcW w:w="1134" w:type="dxa"/>
            <w:noWrap/>
            <w:vAlign w:val="center"/>
          </w:tcPr>
          <w:p w14:paraId="7BBC40EC" w14:textId="16B960C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001387E9" w14:textId="2C4939C1"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QOEQOT_UG_UNI_1Y_AREA_</w:t>
            </w:r>
            <w:r w:rsidRPr="00217865" w:rsidDel="00DF73BD">
              <w:rPr>
                <w:rFonts w:cs="Arial"/>
                <w:color w:val="000000" w:themeColor="text1"/>
                <w:sz w:val="18"/>
              </w:rPr>
              <w:t>CI</w:t>
            </w:r>
          </w:p>
        </w:tc>
        <w:tc>
          <w:tcPr>
            <w:tcW w:w="4536" w:type="dxa"/>
            <w:noWrap/>
            <w:vAlign w:val="center"/>
          </w:tcPr>
          <w:p w14:paraId="0851B7F6" w14:textId="1039615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Quality of overall education and quality of teaching (% positive rating, 2023, with 90% confidence intervals) among undergraduates from universities by 21 study areas</w:t>
            </w:r>
          </w:p>
        </w:tc>
      </w:tr>
      <w:tr w:rsidR="00217865" w:rsidRPr="00217865" w14:paraId="6F8B99CD" w14:textId="77777777" w:rsidTr="0006511F">
        <w:trPr>
          <w:trHeight w:val="300"/>
        </w:trPr>
        <w:tc>
          <w:tcPr>
            <w:tcW w:w="988" w:type="dxa"/>
            <w:noWrap/>
            <w:vAlign w:val="center"/>
          </w:tcPr>
          <w:p w14:paraId="3B652D39" w14:textId="0457A08C" w:rsidR="0006511F" w:rsidRPr="00217865" w:rsidRDefault="0006511F" w:rsidP="0006511F">
            <w:pPr>
              <w:pStyle w:val="BodyText"/>
              <w:rPr>
                <w:rFonts w:cs="Arial"/>
                <w:color w:val="000000" w:themeColor="text1"/>
                <w:sz w:val="18"/>
                <w:highlight w:val="yellow"/>
              </w:rPr>
            </w:pPr>
            <w:r w:rsidRPr="00217865" w:rsidDel="00DF73BD">
              <w:rPr>
                <w:rFonts w:cs="Arial"/>
                <w:color w:val="000000" w:themeColor="text1"/>
                <w:sz w:val="18"/>
              </w:rPr>
              <w:t>UG</w:t>
            </w:r>
          </w:p>
        </w:tc>
        <w:tc>
          <w:tcPr>
            <w:tcW w:w="1134" w:type="dxa"/>
            <w:noWrap/>
            <w:vAlign w:val="center"/>
          </w:tcPr>
          <w:p w14:paraId="3384A9C4" w14:textId="60C359F6"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037197AD" w14:textId="6E841D0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QOEQOT_UG_NUHEI_1Y_AREA_</w:t>
            </w:r>
            <w:r w:rsidRPr="00217865" w:rsidDel="00DF73BD">
              <w:rPr>
                <w:rFonts w:cs="Arial"/>
                <w:color w:val="000000" w:themeColor="text1"/>
                <w:sz w:val="18"/>
              </w:rPr>
              <w:t>CI</w:t>
            </w:r>
          </w:p>
        </w:tc>
        <w:tc>
          <w:tcPr>
            <w:tcW w:w="4536" w:type="dxa"/>
            <w:noWrap/>
            <w:vAlign w:val="center"/>
          </w:tcPr>
          <w:p w14:paraId="37D488A9" w14:textId="5D5A23B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Quality of overall education and quality of teaching (% positive rating, 2023, with 90% confidence intervals) among undergraduates from non-university higher education institutes (NUHEIs) by 21 study areas</w:t>
            </w:r>
          </w:p>
        </w:tc>
      </w:tr>
      <w:tr w:rsidR="00217865" w:rsidRPr="00217865" w14:paraId="119F6F0D" w14:textId="77777777" w:rsidTr="0006511F">
        <w:trPr>
          <w:trHeight w:val="300"/>
        </w:trPr>
        <w:tc>
          <w:tcPr>
            <w:tcW w:w="988" w:type="dxa"/>
            <w:noWrap/>
            <w:vAlign w:val="center"/>
          </w:tcPr>
          <w:p w14:paraId="59984894" w14:textId="661896F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PGC</w:t>
            </w:r>
          </w:p>
        </w:tc>
        <w:tc>
          <w:tcPr>
            <w:tcW w:w="1134" w:type="dxa"/>
            <w:noWrap/>
            <w:vAlign w:val="center"/>
          </w:tcPr>
          <w:p w14:paraId="42254064" w14:textId="415F0E44"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2A240203" w14:textId="5864751E"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QOEQOT_PGC_ALL_1Y_AREA_</w:t>
            </w:r>
            <w:r w:rsidRPr="00217865" w:rsidDel="00DF73BD">
              <w:rPr>
                <w:rFonts w:cs="Arial"/>
                <w:color w:val="000000" w:themeColor="text1"/>
                <w:sz w:val="18"/>
              </w:rPr>
              <w:t>CI</w:t>
            </w:r>
          </w:p>
        </w:tc>
        <w:tc>
          <w:tcPr>
            <w:tcW w:w="4536" w:type="dxa"/>
            <w:noWrap/>
            <w:vAlign w:val="center"/>
          </w:tcPr>
          <w:p w14:paraId="426E0415" w14:textId="20EDF59D"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Quality of overall education and quality of teaching (% positive rating, 2023, with 90% confidence intervals) among postgraduate coursework students from all provider types by 21 study areas</w:t>
            </w:r>
          </w:p>
        </w:tc>
      </w:tr>
      <w:tr w:rsidR="00217865" w:rsidRPr="00217865" w14:paraId="0AC76F7E" w14:textId="77777777" w:rsidTr="0006511F">
        <w:trPr>
          <w:trHeight w:val="300"/>
        </w:trPr>
        <w:tc>
          <w:tcPr>
            <w:tcW w:w="988" w:type="dxa"/>
            <w:noWrap/>
            <w:vAlign w:val="center"/>
          </w:tcPr>
          <w:p w14:paraId="2C73FBE6" w14:textId="63F4493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PGC</w:t>
            </w:r>
          </w:p>
        </w:tc>
        <w:tc>
          <w:tcPr>
            <w:tcW w:w="1134" w:type="dxa"/>
            <w:noWrap/>
            <w:vAlign w:val="center"/>
          </w:tcPr>
          <w:p w14:paraId="7893668A" w14:textId="76B32B67"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49D1C0FB" w14:textId="2DA9EA99"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QOEQOT_PGC_UNI_1Y_AREA_</w:t>
            </w:r>
            <w:r w:rsidRPr="00217865" w:rsidDel="00DF73BD">
              <w:rPr>
                <w:rFonts w:cs="Arial"/>
                <w:color w:val="000000" w:themeColor="text1"/>
                <w:sz w:val="18"/>
              </w:rPr>
              <w:t>CI</w:t>
            </w:r>
          </w:p>
        </w:tc>
        <w:tc>
          <w:tcPr>
            <w:tcW w:w="4536" w:type="dxa"/>
            <w:noWrap/>
            <w:vAlign w:val="center"/>
          </w:tcPr>
          <w:p w14:paraId="0EE538F9" w14:textId="6A99AFB8" w:rsidR="0006511F" w:rsidRPr="00217865" w:rsidRDefault="0006511F" w:rsidP="0006511F">
            <w:pPr>
              <w:pStyle w:val="BodyText"/>
              <w:rPr>
                <w:rFonts w:cs="Arial"/>
                <w:color w:val="000000" w:themeColor="text1"/>
                <w:sz w:val="18"/>
                <w:highlight w:val="yellow"/>
              </w:rPr>
            </w:pPr>
            <w:r w:rsidRPr="00217865">
              <w:rPr>
                <w:rFonts w:cs="Arial"/>
                <w:color w:val="000000" w:themeColor="text1"/>
                <w:sz w:val="18"/>
              </w:rPr>
              <w:t xml:space="preserve">Quality of overall education and quality of teaching (% positive rating, 2023, with 90% confidence intervals) among postgraduate coursework students from universities by 21 study </w:t>
            </w:r>
            <w:r w:rsidRPr="00217865" w:rsidDel="00DF73BD">
              <w:rPr>
                <w:rFonts w:cs="Arial"/>
                <w:color w:val="000000" w:themeColor="text1"/>
                <w:sz w:val="18"/>
              </w:rPr>
              <w:t>areas</w:t>
            </w:r>
          </w:p>
        </w:tc>
      </w:tr>
      <w:tr w:rsidR="00FF15D1" w:rsidRPr="00217865" w14:paraId="3B23CBD9" w14:textId="77777777" w:rsidTr="0006511F">
        <w:trPr>
          <w:trHeight w:val="300"/>
        </w:trPr>
        <w:tc>
          <w:tcPr>
            <w:tcW w:w="988" w:type="dxa"/>
            <w:noWrap/>
            <w:vAlign w:val="center"/>
          </w:tcPr>
          <w:p w14:paraId="200CEFBF" w14:textId="24F71244" w:rsidR="00012B09" w:rsidRPr="00217865" w:rsidRDefault="00012B09" w:rsidP="0006511F">
            <w:pPr>
              <w:pStyle w:val="BodyText"/>
              <w:rPr>
                <w:rFonts w:cs="Arial"/>
                <w:color w:val="000000" w:themeColor="text1"/>
                <w:sz w:val="18"/>
                <w:highlight w:val="yellow"/>
              </w:rPr>
            </w:pPr>
            <w:r w:rsidRPr="00217865" w:rsidDel="00DF73BD">
              <w:rPr>
                <w:rFonts w:cs="Arial"/>
                <w:color w:val="000000" w:themeColor="text1"/>
                <w:sz w:val="18"/>
              </w:rPr>
              <w:t>PGC</w:t>
            </w:r>
          </w:p>
        </w:tc>
        <w:tc>
          <w:tcPr>
            <w:tcW w:w="1134" w:type="dxa"/>
            <w:noWrap/>
            <w:vAlign w:val="center"/>
          </w:tcPr>
          <w:p w14:paraId="2B5623FE" w14:textId="28DE8082" w:rsidR="00012B09" w:rsidRPr="00217865" w:rsidRDefault="0006511F" w:rsidP="0006511F">
            <w:pPr>
              <w:pStyle w:val="BodyText"/>
              <w:rPr>
                <w:rFonts w:cs="Arial"/>
                <w:color w:val="000000" w:themeColor="text1"/>
                <w:sz w:val="18"/>
                <w:highlight w:val="yellow"/>
              </w:rPr>
            </w:pPr>
            <w:r w:rsidRPr="00217865">
              <w:rPr>
                <w:rFonts w:cs="Arial"/>
                <w:color w:val="000000" w:themeColor="text1"/>
                <w:sz w:val="18"/>
              </w:rPr>
              <w:t>-</w:t>
            </w:r>
          </w:p>
        </w:tc>
        <w:tc>
          <w:tcPr>
            <w:tcW w:w="3279" w:type="dxa"/>
            <w:vAlign w:val="center"/>
          </w:tcPr>
          <w:p w14:paraId="22AF8431" w14:textId="394F1529"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QOEQOT_PGC_NUHEI_1Y_AREA_</w:t>
            </w:r>
            <w:r w:rsidRPr="00217865" w:rsidDel="00DF73BD">
              <w:rPr>
                <w:rFonts w:cs="Arial"/>
                <w:color w:val="000000" w:themeColor="text1"/>
                <w:sz w:val="18"/>
              </w:rPr>
              <w:t>CI</w:t>
            </w:r>
          </w:p>
        </w:tc>
        <w:tc>
          <w:tcPr>
            <w:tcW w:w="4536" w:type="dxa"/>
            <w:noWrap/>
            <w:vAlign w:val="center"/>
          </w:tcPr>
          <w:p w14:paraId="426F1921" w14:textId="29EBA44E" w:rsidR="00012B09" w:rsidRPr="00217865" w:rsidRDefault="00012B09" w:rsidP="0006511F">
            <w:pPr>
              <w:pStyle w:val="BodyText"/>
              <w:rPr>
                <w:rFonts w:cs="Arial"/>
                <w:color w:val="000000" w:themeColor="text1"/>
                <w:sz w:val="18"/>
                <w:highlight w:val="yellow"/>
              </w:rPr>
            </w:pPr>
            <w:r w:rsidRPr="00217865">
              <w:rPr>
                <w:rFonts w:cs="Arial"/>
                <w:color w:val="000000" w:themeColor="text1"/>
                <w:sz w:val="18"/>
              </w:rPr>
              <w:t>Quality of overall education and quality of teaching (% positive rating, 2023, with 90% confidence intervals) among postgraduate coursework students from non-university higher education institutes (NUHEIs) by 21 study areas</w:t>
            </w:r>
          </w:p>
        </w:tc>
      </w:tr>
    </w:tbl>
    <w:p w14:paraId="32C24A5E" w14:textId="2BCCC68C" w:rsidR="005F3B62" w:rsidRPr="00217865" w:rsidRDefault="005F3B62" w:rsidP="005A5905">
      <w:pPr>
        <w:rPr>
          <w:rFonts w:cs="Arial"/>
          <w:color w:val="000000" w:themeColor="text1"/>
        </w:rPr>
      </w:pPr>
    </w:p>
    <w:sectPr w:rsidR="005F3B62" w:rsidRPr="00217865" w:rsidSect="00FF15D1">
      <w:footerReference w:type="even" r:id="rId88"/>
      <w:pgSz w:w="11906" w:h="16838" w:code="9"/>
      <w:pgMar w:top="1440" w:right="1080" w:bottom="1440"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2743" w14:textId="77777777" w:rsidR="00D43BE2" w:rsidRDefault="00D43BE2" w:rsidP="00BE7643">
      <w:r>
        <w:separator/>
      </w:r>
    </w:p>
  </w:endnote>
  <w:endnote w:type="continuationSeparator" w:id="0">
    <w:p w14:paraId="7F75A8EB" w14:textId="77777777" w:rsidR="00D43BE2" w:rsidRDefault="00D43BE2" w:rsidP="00BE7643">
      <w:r>
        <w:continuationSeparator/>
      </w:r>
    </w:p>
  </w:endnote>
  <w:endnote w:type="continuationNotice" w:id="1">
    <w:p w14:paraId="6C5F1A64" w14:textId="77777777" w:rsidR="00D43BE2" w:rsidRDefault="00D4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icksand Light">
    <w:panose1 w:val="00000000000000000000"/>
    <w:charset w:val="00"/>
    <w:family w:val="auto"/>
    <w:pitch w:val="variable"/>
    <w:sig w:usb0="A00000AF" w:usb1="00000008"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icksand Medium">
    <w:panose1 w:val="00000000000000000000"/>
    <w:charset w:val="00"/>
    <w:family w:val="auto"/>
    <w:pitch w:val="variable"/>
    <w:sig w:usb0="A00000FF" w:usb1="4000205B" w:usb2="00000000" w:usb3="00000000" w:csb0="00000193" w:csb1="00000000"/>
  </w:font>
  <w:font w:name="Arial Nova">
    <w:charset w:val="00"/>
    <w:family w:val="swiss"/>
    <w:pitch w:val="variable"/>
    <w:sig w:usb0="0000028F" w:usb1="00000002"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Klavika Regular">
    <w:altName w:val="Calibri"/>
    <w:panose1 w:val="00000000000000000000"/>
    <w:charset w:val="00"/>
    <w:family w:val="swiss"/>
    <w:notTrueType/>
    <w:pitch w:val="variable"/>
    <w:sig w:usb0="A00000AF" w:usb1="5000204A" w:usb2="00000000" w:usb3="00000000" w:csb0="0000009F" w:csb1="00000000"/>
  </w:font>
  <w:font w:name="Atletico">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4D"/>
    <w:family w:val="auto"/>
    <w:pitch w:val="default"/>
    <w:sig w:usb0="00000003" w:usb1="00000000" w:usb2="00000000" w:usb3="00000000" w:csb0="00000001" w:csb1="00000000"/>
  </w:font>
  <w:font w:name="Calibri-Light">
    <w:altName w:val="Calibri"/>
    <w:charset w:val="4D"/>
    <w:family w:val="auto"/>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Quicksand SemiBold">
    <w:panose1 w:val="00000000000000000000"/>
    <w:charset w:val="00"/>
    <w:family w:val="auto"/>
    <w:pitch w:val="variable"/>
    <w:sig w:usb0="A00000FF" w:usb1="4000205B" w:usb2="00000000" w:usb3="00000000" w:csb0="00000193" w:csb1="00000000"/>
  </w:font>
  <w:font w:name="Quicksand">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101" w14:textId="77777777" w:rsidR="003D795D" w:rsidRDefault="00821227" w:rsidP="003D795D">
    <w:pPr>
      <w:pStyle w:val="Footerrunning"/>
      <w:tabs>
        <w:tab w:val="left" w:pos="6732"/>
        <w:tab w:val="right" w:pos="10348"/>
      </w:tabs>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w:t>
    </w:r>
    <w:r w:rsidR="00A9284B">
      <w:rPr>
        <w:rFonts w:ascii="Arial" w:hAnsi="Arial" w:cs="Arial"/>
        <w:sz w:val="16"/>
        <w:szCs w:val="16"/>
      </w:rPr>
      <w:t>SES International Report</w:t>
    </w:r>
    <w:r w:rsidR="00D8385D">
      <w:rPr>
        <w:rFonts w:ascii="Arial" w:hAnsi="Arial" w:cs="Arial"/>
        <w:sz w:val="16"/>
        <w:szCs w:val="16"/>
      </w:rPr>
      <w:t xml:space="preserve"> – Accessible</w:t>
    </w:r>
  </w:p>
  <w:p w14:paraId="494B0055" w14:textId="68FBC55C" w:rsidR="00821227" w:rsidRPr="00FF67F6" w:rsidRDefault="003D795D" w:rsidP="003D795D">
    <w:pPr>
      <w:pStyle w:val="Footerrunning"/>
      <w:tabs>
        <w:tab w:val="left" w:pos="6732"/>
        <w:tab w:val="right" w:pos="10348"/>
      </w:tabs>
      <w:spacing w:after="0" w:line="240" w:lineRule="auto"/>
      <w:rPr>
        <w:rFonts w:ascii="Arial" w:hAnsi="Arial" w:cs="Arial"/>
        <w:sz w:val="16"/>
        <w:szCs w:val="16"/>
      </w:rPr>
    </w:pPr>
    <w:r w:rsidRPr="003D795D">
      <w:rPr>
        <w:rFonts w:ascii="Arial" w:hAnsi="Arial" w:cs="Arial"/>
        <w:sz w:val="16"/>
        <w:szCs w:val="16"/>
      </w:rPr>
      <w:t>Prepared by the Social Research Centre</w:t>
    </w:r>
    <w:r w:rsidR="00821227" w:rsidRPr="00FF67F6">
      <w:rPr>
        <w:rFonts w:ascii="Arial" w:hAnsi="Arial" w:cs="Arial"/>
        <w:sz w:val="16"/>
        <w:szCs w:val="16"/>
      </w:rPr>
      <w:tab/>
    </w:r>
    <w:r w:rsidR="00D8385D">
      <w:rPr>
        <w:rFonts w:ascii="Arial" w:hAnsi="Arial" w:cs="Arial"/>
        <w:sz w:val="16"/>
        <w:szCs w:val="16"/>
      </w:rPr>
      <w:tab/>
    </w:r>
    <w:r w:rsidR="00821227" w:rsidRPr="00FF67F6">
      <w:rPr>
        <w:rFonts w:ascii="Arial" w:hAnsi="Arial" w:cs="Arial"/>
        <w:sz w:val="16"/>
        <w:szCs w:val="16"/>
      </w:rPr>
      <w:fldChar w:fldCharType="begin"/>
    </w:r>
    <w:r w:rsidR="00821227" w:rsidRPr="00FF67F6">
      <w:rPr>
        <w:rFonts w:ascii="Arial" w:hAnsi="Arial" w:cs="Arial"/>
        <w:sz w:val="16"/>
        <w:szCs w:val="16"/>
      </w:rPr>
      <w:instrText xml:space="preserve"> PAGE </w:instrText>
    </w:r>
    <w:r w:rsidR="00821227" w:rsidRPr="00FF67F6">
      <w:rPr>
        <w:rFonts w:ascii="Arial" w:hAnsi="Arial" w:cs="Arial"/>
        <w:sz w:val="16"/>
        <w:szCs w:val="16"/>
      </w:rPr>
      <w:fldChar w:fldCharType="separate"/>
    </w:r>
    <w:r w:rsidR="00821227">
      <w:rPr>
        <w:rFonts w:ascii="Arial" w:hAnsi="Arial" w:cs="Arial"/>
        <w:noProof/>
        <w:sz w:val="16"/>
        <w:szCs w:val="16"/>
      </w:rPr>
      <w:t>26</w:t>
    </w:r>
    <w:r w:rsidR="00821227" w:rsidRPr="00FF67F6">
      <w:rPr>
        <w:rFonts w:ascii="Arial" w:hAnsi="Arial" w:cs="Arial"/>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B195" w14:textId="77777777" w:rsidR="004F5328" w:rsidRPr="001A1F95" w:rsidRDefault="004F5328" w:rsidP="007624C4">
    <w:pPr>
      <w:pStyle w:val="Footerrunning"/>
      <w:tabs>
        <w:tab w:val="right" w:pos="10773"/>
        <w:tab w:val="left" w:pos="11907"/>
      </w:tabs>
      <w:spacing w:after="0" w:line="240" w:lineRule="auto"/>
      <w:ind w:right="-561"/>
      <w:rPr>
        <w:rFonts w:ascii="Arial" w:hAnsi="Arial" w:cs="Arial"/>
      </w:rPr>
    </w:pPr>
    <w:r w:rsidRPr="001A1F95">
      <w:rPr>
        <w:rFonts w:ascii="Arial" w:hAnsi="Arial" w:cs="Arial"/>
      </w:rPr>
      <w:fldChar w:fldCharType="begin"/>
    </w:r>
    <w:r w:rsidRPr="001A1F95">
      <w:rPr>
        <w:rFonts w:ascii="Arial" w:hAnsi="Arial" w:cs="Arial"/>
      </w:rPr>
      <w:instrText xml:space="preserve"> PAGE </w:instrText>
    </w:r>
    <w:r w:rsidRPr="001A1F95">
      <w:rPr>
        <w:rFonts w:ascii="Arial" w:hAnsi="Arial" w:cs="Arial"/>
      </w:rPr>
      <w:fldChar w:fldCharType="separate"/>
    </w:r>
    <w:r w:rsidRPr="001A1F95">
      <w:rPr>
        <w:rFonts w:ascii="Arial" w:hAnsi="Arial" w:cs="Arial"/>
        <w:noProof/>
      </w:rPr>
      <w:t>26</w:t>
    </w:r>
    <w:r w:rsidRPr="001A1F95">
      <w:rPr>
        <w:rFonts w:ascii="Arial" w:hAnsi="Arial" w:cs="Arial"/>
      </w:rPr>
      <w:fldChar w:fldCharType="end"/>
    </w:r>
    <w:r w:rsidRPr="001A1F95">
      <w:rPr>
        <w:rFonts w:ascii="Arial" w:hAnsi="Arial" w:cs="Arial"/>
      </w:rPr>
      <w:t xml:space="preserve"> </w:t>
    </w:r>
    <w:r w:rsidRPr="001A1F95">
      <w:rPr>
        <w:rFonts w:ascii="Arial" w:hAnsi="Arial" w:cs="Arial"/>
      </w:rPr>
      <w:tab/>
      <w:t>2023 SES International Report – Accessible</w:t>
    </w:r>
  </w:p>
  <w:p w14:paraId="6B790B93" w14:textId="2FB333EC" w:rsidR="007624C4" w:rsidRPr="001A1F95" w:rsidRDefault="007624C4" w:rsidP="007624C4">
    <w:pPr>
      <w:pStyle w:val="Footerrunning"/>
      <w:tabs>
        <w:tab w:val="right" w:pos="10348"/>
        <w:tab w:val="right" w:pos="10490"/>
        <w:tab w:val="left" w:pos="11907"/>
      </w:tabs>
      <w:spacing w:after="0" w:line="240" w:lineRule="auto"/>
      <w:ind w:right="-561"/>
      <w:jc w:val="center"/>
      <w:rPr>
        <w:rFonts w:ascii="Arial" w:hAnsi="Arial" w:cs="Arial"/>
      </w:rPr>
    </w:pPr>
    <w:r w:rsidRPr="001A1F95">
      <w:rPr>
        <w:rFonts w:ascii="Arial" w:hAnsi="Arial" w:cs="Arial"/>
      </w:rPr>
      <w:tab/>
      <w:t>Prepared by the Social Research Centre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118B" w14:textId="77777777" w:rsidR="007624C4" w:rsidRPr="007624C4" w:rsidRDefault="004F5328" w:rsidP="007624C4">
    <w:pPr>
      <w:pStyle w:val="Footerrunning"/>
      <w:tabs>
        <w:tab w:val="left" w:pos="11482"/>
      </w:tabs>
      <w:spacing w:after="0" w:line="240" w:lineRule="auto"/>
      <w:ind w:right="-561"/>
      <w:rPr>
        <w:rFonts w:ascii="Arial" w:hAnsi="Arial" w:cs="Arial"/>
      </w:rPr>
    </w:pPr>
    <w:r w:rsidRPr="007624C4">
      <w:rPr>
        <w:rFonts w:ascii="Arial" w:hAnsi="Arial" w:cs="Arial"/>
      </w:rPr>
      <w:fldChar w:fldCharType="begin"/>
    </w:r>
    <w:r w:rsidRPr="007624C4">
      <w:rPr>
        <w:rFonts w:ascii="Arial" w:hAnsi="Arial" w:cs="Arial"/>
      </w:rPr>
      <w:instrText xml:space="preserve"> PAGE </w:instrText>
    </w:r>
    <w:r w:rsidRPr="007624C4">
      <w:rPr>
        <w:rFonts w:ascii="Arial" w:hAnsi="Arial" w:cs="Arial"/>
      </w:rPr>
      <w:fldChar w:fldCharType="separate"/>
    </w:r>
    <w:r w:rsidRPr="007624C4">
      <w:rPr>
        <w:rFonts w:ascii="Arial" w:hAnsi="Arial" w:cs="Arial"/>
        <w:noProof/>
      </w:rPr>
      <w:t>26</w:t>
    </w:r>
    <w:r w:rsidRPr="007624C4">
      <w:rPr>
        <w:rFonts w:ascii="Arial" w:hAnsi="Arial" w:cs="Arial"/>
      </w:rPr>
      <w:fldChar w:fldCharType="end"/>
    </w:r>
    <w:r w:rsidRPr="007624C4">
      <w:rPr>
        <w:rFonts w:ascii="Arial" w:hAnsi="Arial" w:cs="Arial"/>
      </w:rPr>
      <w:t xml:space="preserve"> </w:t>
    </w:r>
    <w:r w:rsidRPr="007624C4">
      <w:rPr>
        <w:rFonts w:ascii="Arial" w:hAnsi="Arial" w:cs="Arial"/>
      </w:rPr>
      <w:tab/>
    </w:r>
    <w:r w:rsidR="007624C4" w:rsidRPr="007624C4">
      <w:rPr>
        <w:rFonts w:ascii="Arial" w:hAnsi="Arial" w:cs="Arial"/>
      </w:rPr>
      <w:t>2023 SES International Report – Accessible</w:t>
    </w:r>
  </w:p>
  <w:p w14:paraId="6FD42A5A" w14:textId="62EC860F" w:rsidR="004F5328" w:rsidRPr="007624C4" w:rsidRDefault="007624C4" w:rsidP="007624C4">
    <w:pPr>
      <w:pStyle w:val="Footerrunning"/>
      <w:tabs>
        <w:tab w:val="right" w:pos="14459"/>
      </w:tabs>
      <w:spacing w:after="0" w:line="240" w:lineRule="auto"/>
      <w:ind w:right="-561"/>
      <w:jc w:val="center"/>
      <w:rPr>
        <w:rFonts w:ascii="Arial" w:hAnsi="Arial" w:cs="Arial"/>
      </w:rPr>
    </w:pPr>
    <w:r w:rsidRPr="007624C4">
      <w:rPr>
        <w:rFonts w:ascii="Arial" w:hAnsi="Arial" w:cs="Arial"/>
      </w:rPr>
      <w:tab/>
      <w:t>Prepared by the Social Research Centre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9FA2" w14:textId="718E7685" w:rsidR="004F5328" w:rsidRDefault="004F5328" w:rsidP="005503FF">
    <w:pPr>
      <w:pStyle w:val="Footerrunning"/>
      <w:tabs>
        <w:tab w:val="right" w:pos="10490"/>
        <w:tab w:val="left" w:pos="11907"/>
        <w:tab w:val="right" w:pos="13467"/>
      </w:tabs>
      <w:spacing w:after="0" w:line="240" w:lineRule="auto"/>
      <w:ind w:right="-561"/>
      <w:rPr>
        <w:rFonts w:ascii="Arial" w:hAnsi="Arial" w:cs="Arial"/>
        <w:sz w:val="16"/>
        <w:szCs w:val="16"/>
      </w:rPr>
    </w:pPr>
    <w:r w:rsidRPr="00FF67F6">
      <w:rPr>
        <w:rFonts w:ascii="Arial" w:hAnsi="Arial" w:cs="Arial"/>
        <w:sz w:val="16"/>
        <w:szCs w:val="16"/>
      </w:rPr>
      <w:fldChar w:fldCharType="begin"/>
    </w:r>
    <w:r w:rsidRPr="00FF67F6">
      <w:rPr>
        <w:rFonts w:ascii="Arial" w:hAnsi="Arial" w:cs="Arial"/>
        <w:sz w:val="16"/>
        <w:szCs w:val="16"/>
      </w:rPr>
      <w:instrText xml:space="preserve"> PAGE </w:instrText>
    </w:r>
    <w:r w:rsidRPr="00FF67F6">
      <w:rPr>
        <w:rFonts w:ascii="Arial" w:hAnsi="Arial" w:cs="Arial"/>
        <w:sz w:val="16"/>
        <w:szCs w:val="16"/>
      </w:rPr>
      <w:fldChar w:fldCharType="separate"/>
    </w:r>
    <w:r>
      <w:rPr>
        <w:rFonts w:ascii="Arial" w:hAnsi="Arial" w:cs="Arial"/>
        <w:noProof/>
        <w:sz w:val="16"/>
        <w:szCs w:val="16"/>
      </w:rPr>
      <w:t>26</w:t>
    </w:r>
    <w:r w:rsidRPr="00FF67F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w:t>
    </w:r>
    <w:r>
      <w:rPr>
        <w:rFonts w:ascii="Arial" w:hAnsi="Arial" w:cs="Arial"/>
        <w:sz w:val="16"/>
        <w:szCs w:val="16"/>
      </w:rPr>
      <w:t>SES International Report – Accessible</w:t>
    </w:r>
  </w:p>
  <w:p w14:paraId="318FE150" w14:textId="238C3595" w:rsidR="005503FF" w:rsidRPr="00FF67F6" w:rsidRDefault="005503FF" w:rsidP="005503FF">
    <w:pPr>
      <w:pStyle w:val="Footerrunning"/>
      <w:tabs>
        <w:tab w:val="right" w:pos="10490"/>
        <w:tab w:val="left" w:pos="11907"/>
        <w:tab w:val="right" w:pos="13467"/>
      </w:tabs>
      <w:spacing w:after="0" w:line="240" w:lineRule="auto"/>
      <w:ind w:right="-561"/>
      <w:rPr>
        <w:rFonts w:ascii="Arial" w:hAnsi="Arial" w:cs="Arial"/>
        <w:sz w:val="16"/>
        <w:szCs w:val="16"/>
      </w:rPr>
    </w:pPr>
    <w:r>
      <w:rPr>
        <w:rFonts w:ascii="Arial" w:hAnsi="Arial" w:cs="Arial"/>
        <w:sz w:val="16"/>
        <w:szCs w:val="16"/>
      </w:rPr>
      <w:tab/>
      <w:t>Prepared by the Social Research Centre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A4A4" w14:textId="10EDA92A" w:rsidR="004A3F14" w:rsidRPr="008D3DEC" w:rsidRDefault="004A3F14" w:rsidP="005503FF">
    <w:pPr>
      <w:pStyle w:val="Footerrunning"/>
      <w:tabs>
        <w:tab w:val="right" w:pos="2268"/>
        <w:tab w:val="right" w:pos="15026"/>
      </w:tabs>
      <w:spacing w:after="0" w:line="240" w:lineRule="auto"/>
      <w:ind w:right="-561"/>
      <w:rPr>
        <w:rFonts w:ascii="Arial" w:hAnsi="Arial" w:cs="Arial"/>
      </w:rPr>
    </w:pPr>
    <w:r w:rsidRPr="008D3DEC">
      <w:rPr>
        <w:rFonts w:ascii="Arial" w:hAnsi="Arial" w:cs="Arial"/>
      </w:rPr>
      <w:fldChar w:fldCharType="begin"/>
    </w:r>
    <w:r w:rsidRPr="008D3DEC">
      <w:rPr>
        <w:rFonts w:ascii="Arial" w:hAnsi="Arial" w:cs="Arial"/>
      </w:rPr>
      <w:instrText xml:space="preserve"> PAGE </w:instrText>
    </w:r>
    <w:r w:rsidRPr="008D3DEC">
      <w:rPr>
        <w:rFonts w:ascii="Arial" w:hAnsi="Arial" w:cs="Arial"/>
      </w:rPr>
      <w:fldChar w:fldCharType="separate"/>
    </w:r>
    <w:r w:rsidRPr="008D3DEC">
      <w:rPr>
        <w:rFonts w:ascii="Arial" w:hAnsi="Arial" w:cs="Arial"/>
        <w:noProof/>
      </w:rPr>
      <w:t>26</w:t>
    </w:r>
    <w:r w:rsidRPr="008D3DEC">
      <w:rPr>
        <w:rFonts w:ascii="Arial" w:hAnsi="Arial" w:cs="Arial"/>
      </w:rPr>
      <w:fldChar w:fldCharType="end"/>
    </w:r>
    <w:r w:rsidRPr="008D3DEC">
      <w:rPr>
        <w:rFonts w:ascii="Arial" w:hAnsi="Arial" w:cs="Arial"/>
      </w:rPr>
      <w:t xml:space="preserve"> </w:t>
    </w:r>
    <w:r w:rsidRPr="008D3DEC">
      <w:rPr>
        <w:rFonts w:ascii="Arial" w:hAnsi="Arial" w:cs="Arial"/>
      </w:rPr>
      <w:tab/>
    </w:r>
    <w:r w:rsidR="005503FF" w:rsidRPr="008D3DEC">
      <w:rPr>
        <w:rFonts w:ascii="Arial" w:hAnsi="Arial" w:cs="Arial"/>
      </w:rPr>
      <w:tab/>
    </w:r>
    <w:r w:rsidRPr="008D3DEC">
      <w:rPr>
        <w:rFonts w:ascii="Arial" w:hAnsi="Arial" w:cs="Arial"/>
      </w:rPr>
      <w:t>2023 SES International Report – Accessible</w:t>
    </w:r>
  </w:p>
  <w:p w14:paraId="53CD03E4" w14:textId="5CB3D1D4" w:rsidR="005503FF" w:rsidRPr="008D3DEC" w:rsidRDefault="005503FF" w:rsidP="005503FF">
    <w:pPr>
      <w:pStyle w:val="Footerrunning"/>
      <w:tabs>
        <w:tab w:val="right" w:pos="3544"/>
        <w:tab w:val="right" w:pos="15026"/>
      </w:tabs>
      <w:spacing w:after="0" w:line="240" w:lineRule="auto"/>
      <w:ind w:right="-561"/>
      <w:rPr>
        <w:rFonts w:ascii="Arial" w:hAnsi="Arial" w:cs="Arial"/>
      </w:rPr>
    </w:pPr>
    <w:r w:rsidRPr="008D3DEC">
      <w:rPr>
        <w:rFonts w:ascii="Arial" w:hAnsi="Arial" w:cs="Arial"/>
      </w:rPr>
      <w:tab/>
    </w:r>
    <w:r w:rsidRPr="008D3DEC">
      <w:rPr>
        <w:rFonts w:ascii="Arial" w:hAnsi="Arial" w:cs="Arial"/>
      </w:rPr>
      <w:tab/>
      <w:t>Prepared by the Social Research Centre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C6BE" w14:textId="0165C781" w:rsidR="004A3F14" w:rsidRPr="00AA77D3" w:rsidRDefault="004A3F14" w:rsidP="00AA77D3">
    <w:pPr>
      <w:pStyle w:val="Footerrunning"/>
      <w:tabs>
        <w:tab w:val="right" w:pos="10632"/>
        <w:tab w:val="left" w:pos="11907"/>
        <w:tab w:val="left" w:pos="15026"/>
      </w:tabs>
      <w:spacing w:after="0" w:line="240" w:lineRule="auto"/>
      <w:ind w:right="-561"/>
      <w:rPr>
        <w:rFonts w:ascii="Arial" w:hAnsi="Arial" w:cs="Arial"/>
      </w:rPr>
    </w:pPr>
    <w:r w:rsidRPr="00AA77D3">
      <w:rPr>
        <w:rFonts w:ascii="Arial" w:hAnsi="Arial" w:cs="Arial"/>
      </w:rPr>
      <w:fldChar w:fldCharType="begin"/>
    </w:r>
    <w:r w:rsidRPr="00AA77D3">
      <w:rPr>
        <w:rFonts w:ascii="Arial" w:hAnsi="Arial" w:cs="Arial"/>
      </w:rPr>
      <w:instrText xml:space="preserve"> PAGE </w:instrText>
    </w:r>
    <w:r w:rsidRPr="00AA77D3">
      <w:rPr>
        <w:rFonts w:ascii="Arial" w:hAnsi="Arial" w:cs="Arial"/>
      </w:rPr>
      <w:fldChar w:fldCharType="separate"/>
    </w:r>
    <w:r w:rsidRPr="00AA77D3">
      <w:rPr>
        <w:rFonts w:ascii="Arial" w:hAnsi="Arial" w:cs="Arial"/>
        <w:noProof/>
      </w:rPr>
      <w:t>26</w:t>
    </w:r>
    <w:r w:rsidRPr="00AA77D3">
      <w:rPr>
        <w:rFonts w:ascii="Arial" w:hAnsi="Arial" w:cs="Arial"/>
      </w:rPr>
      <w:fldChar w:fldCharType="end"/>
    </w:r>
    <w:r w:rsidRPr="00AA77D3">
      <w:rPr>
        <w:rFonts w:ascii="Arial" w:hAnsi="Arial" w:cs="Arial"/>
      </w:rPr>
      <w:t xml:space="preserve"> </w:t>
    </w:r>
    <w:r w:rsidRPr="00AA77D3">
      <w:rPr>
        <w:rFonts w:ascii="Arial" w:hAnsi="Arial" w:cs="Arial"/>
      </w:rPr>
      <w:tab/>
      <w:t>2023 SES International Report – Accessible</w:t>
    </w:r>
  </w:p>
  <w:p w14:paraId="3CC2C327" w14:textId="5649F83F" w:rsidR="00AA77D3" w:rsidRPr="00AA77D3" w:rsidRDefault="00AA77D3" w:rsidP="00AA77D3">
    <w:pPr>
      <w:pStyle w:val="Footerrunning"/>
      <w:tabs>
        <w:tab w:val="right" w:pos="10632"/>
        <w:tab w:val="left" w:pos="11907"/>
        <w:tab w:val="left" w:pos="15026"/>
      </w:tabs>
      <w:spacing w:after="0" w:line="240" w:lineRule="auto"/>
      <w:ind w:right="-561"/>
      <w:rPr>
        <w:rFonts w:ascii="Arial" w:hAnsi="Arial" w:cs="Arial"/>
      </w:rPr>
    </w:pPr>
    <w:r w:rsidRPr="00AA77D3">
      <w:rPr>
        <w:rFonts w:ascii="Arial" w:hAnsi="Arial" w:cs="Arial"/>
      </w:rPr>
      <w:tab/>
      <w:t>Prepared by the Social Research Centre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2AF8" w14:textId="4BF36602" w:rsidR="004F5328" w:rsidRPr="00B601AC" w:rsidRDefault="004F5328" w:rsidP="00AF5B38">
    <w:pPr>
      <w:pStyle w:val="Footerrunning"/>
      <w:tabs>
        <w:tab w:val="left" w:pos="11199"/>
        <w:tab w:val="right" w:pos="13608"/>
        <w:tab w:val="left" w:pos="15026"/>
      </w:tabs>
      <w:spacing w:after="0" w:line="240" w:lineRule="auto"/>
      <w:ind w:right="-561"/>
      <w:rPr>
        <w:rFonts w:ascii="Arial" w:hAnsi="Arial" w:cs="Arial"/>
      </w:rPr>
    </w:pPr>
    <w:r w:rsidRPr="00B601AC">
      <w:rPr>
        <w:rFonts w:ascii="Arial" w:hAnsi="Arial" w:cs="Arial"/>
      </w:rPr>
      <w:fldChar w:fldCharType="begin"/>
    </w:r>
    <w:r w:rsidRPr="00B601AC">
      <w:rPr>
        <w:rFonts w:ascii="Arial" w:hAnsi="Arial" w:cs="Arial"/>
      </w:rPr>
      <w:instrText xml:space="preserve"> PAGE </w:instrText>
    </w:r>
    <w:r w:rsidRPr="00B601AC">
      <w:rPr>
        <w:rFonts w:ascii="Arial" w:hAnsi="Arial" w:cs="Arial"/>
      </w:rPr>
      <w:fldChar w:fldCharType="separate"/>
    </w:r>
    <w:r w:rsidRPr="00B601AC">
      <w:rPr>
        <w:rFonts w:ascii="Arial" w:hAnsi="Arial" w:cs="Arial"/>
        <w:noProof/>
      </w:rPr>
      <w:t>26</w:t>
    </w:r>
    <w:r w:rsidRPr="00B601AC">
      <w:rPr>
        <w:rFonts w:ascii="Arial" w:hAnsi="Arial" w:cs="Arial"/>
      </w:rPr>
      <w:fldChar w:fldCharType="end"/>
    </w:r>
    <w:r w:rsidRPr="00B601AC">
      <w:rPr>
        <w:rFonts w:ascii="Arial" w:hAnsi="Arial" w:cs="Arial"/>
      </w:rPr>
      <w:t xml:space="preserve"> </w:t>
    </w:r>
    <w:r w:rsidR="00AF5B38">
      <w:rPr>
        <w:rFonts w:ascii="Arial" w:hAnsi="Arial" w:cs="Arial"/>
      </w:rPr>
      <w:tab/>
    </w:r>
    <w:r w:rsidRPr="00B601AC">
      <w:rPr>
        <w:rFonts w:ascii="Arial" w:hAnsi="Arial" w:cs="Arial"/>
      </w:rPr>
      <w:t>2023 SES International Report – Accessible</w:t>
    </w:r>
  </w:p>
  <w:p w14:paraId="2EC14898" w14:textId="5C9466E0" w:rsidR="00B601AC" w:rsidRPr="00B601AC" w:rsidRDefault="00B601AC" w:rsidP="00AF5B38">
    <w:pPr>
      <w:pStyle w:val="Footerrunning"/>
      <w:tabs>
        <w:tab w:val="left" w:pos="11482"/>
        <w:tab w:val="right" w:pos="13892"/>
        <w:tab w:val="left" w:pos="15026"/>
      </w:tabs>
      <w:spacing w:after="0" w:line="240" w:lineRule="auto"/>
      <w:ind w:right="-561"/>
      <w:rPr>
        <w:rFonts w:ascii="Arial" w:hAnsi="Arial" w:cs="Arial"/>
        <w:b/>
        <w:bCs/>
      </w:rPr>
    </w:pPr>
    <w:r w:rsidRPr="00B601AC">
      <w:rPr>
        <w:rFonts w:ascii="Arial" w:hAnsi="Arial" w:cs="Arial"/>
      </w:rPr>
      <w:tab/>
      <w:t>Prepared by the Social Research Centre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0574" w14:textId="77777777" w:rsidR="004F5328" w:rsidRDefault="004F5328" w:rsidP="008D3DEC">
    <w:pPr>
      <w:pStyle w:val="Footerrunning"/>
      <w:tabs>
        <w:tab w:val="right" w:pos="10632"/>
        <w:tab w:val="left" w:pos="11907"/>
        <w:tab w:val="left" w:pos="15026"/>
      </w:tabs>
      <w:spacing w:after="0" w:line="240" w:lineRule="auto"/>
      <w:ind w:right="-561"/>
      <w:rPr>
        <w:rFonts w:ascii="Arial" w:hAnsi="Arial" w:cs="Arial"/>
        <w:sz w:val="16"/>
        <w:szCs w:val="16"/>
      </w:rPr>
    </w:pPr>
    <w:r w:rsidRPr="00FF67F6">
      <w:rPr>
        <w:rFonts w:ascii="Arial" w:hAnsi="Arial" w:cs="Arial"/>
        <w:sz w:val="16"/>
        <w:szCs w:val="16"/>
      </w:rPr>
      <w:fldChar w:fldCharType="begin"/>
    </w:r>
    <w:r w:rsidRPr="00FF67F6">
      <w:rPr>
        <w:rFonts w:ascii="Arial" w:hAnsi="Arial" w:cs="Arial"/>
        <w:sz w:val="16"/>
        <w:szCs w:val="16"/>
      </w:rPr>
      <w:instrText xml:space="preserve"> PAGE </w:instrText>
    </w:r>
    <w:r w:rsidRPr="00FF67F6">
      <w:rPr>
        <w:rFonts w:ascii="Arial" w:hAnsi="Arial" w:cs="Arial"/>
        <w:sz w:val="16"/>
        <w:szCs w:val="16"/>
      </w:rPr>
      <w:fldChar w:fldCharType="separate"/>
    </w:r>
    <w:r>
      <w:rPr>
        <w:rFonts w:ascii="Arial" w:hAnsi="Arial" w:cs="Arial"/>
        <w:noProof/>
        <w:sz w:val="16"/>
        <w:szCs w:val="16"/>
      </w:rPr>
      <w:t>26</w:t>
    </w:r>
    <w:r w:rsidRPr="00FF67F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w:t>
    </w:r>
    <w:r>
      <w:rPr>
        <w:rFonts w:ascii="Arial" w:hAnsi="Arial" w:cs="Arial"/>
        <w:sz w:val="16"/>
        <w:szCs w:val="16"/>
      </w:rPr>
      <w:t>SES International Report – Accessible</w:t>
    </w:r>
  </w:p>
  <w:p w14:paraId="375AAC48" w14:textId="3012CAF3" w:rsidR="008D3DEC" w:rsidRPr="00FF67F6" w:rsidRDefault="008D3DEC" w:rsidP="008D3DEC">
    <w:pPr>
      <w:pStyle w:val="Footerrunning"/>
      <w:tabs>
        <w:tab w:val="left" w:pos="7630"/>
        <w:tab w:val="right" w:pos="10632"/>
        <w:tab w:val="left" w:pos="11907"/>
        <w:tab w:val="left" w:pos="15026"/>
      </w:tabs>
      <w:ind w:right="-560"/>
      <w:rPr>
        <w:rFonts w:ascii="Arial" w:hAnsi="Arial" w:cs="Arial"/>
        <w:sz w:val="16"/>
        <w:szCs w:val="16"/>
      </w:rPr>
    </w:pPr>
    <w:r w:rsidRPr="008D3DEC">
      <w:rPr>
        <w:rFonts w:ascii="Arial" w:hAnsi="Arial" w:cs="Arial"/>
        <w:sz w:val="16"/>
        <w:szCs w:val="16"/>
      </w:rPr>
      <w:tab/>
    </w:r>
    <w:r>
      <w:rPr>
        <w:rFonts w:ascii="Arial" w:hAnsi="Arial" w:cs="Arial"/>
        <w:sz w:val="16"/>
        <w:szCs w:val="16"/>
      </w:rPr>
      <w:tab/>
    </w:r>
    <w:r w:rsidRPr="008D3DEC">
      <w:rPr>
        <w:rFonts w:ascii="Arial" w:hAnsi="Arial" w:cs="Arial"/>
        <w:sz w:val="16"/>
        <w:szCs w:val="16"/>
      </w:rPr>
      <w:t>Prepared by the Social Research Centre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D44F" w14:textId="5F4674A2" w:rsidR="008D3DEC" w:rsidRDefault="008D3DEC" w:rsidP="008D3DEC">
    <w:pPr>
      <w:pStyle w:val="Footerrunning"/>
      <w:tabs>
        <w:tab w:val="left" w:pos="12049"/>
        <w:tab w:val="right" w:pos="15168"/>
      </w:tabs>
      <w:spacing w:after="0" w:line="240" w:lineRule="auto"/>
      <w:ind w:right="-561"/>
      <w:rPr>
        <w:rFonts w:ascii="Arial" w:hAnsi="Arial" w:cs="Arial"/>
        <w:sz w:val="16"/>
        <w:szCs w:val="16"/>
      </w:rPr>
    </w:pPr>
    <w:r w:rsidRPr="00FF67F6">
      <w:rPr>
        <w:rFonts w:ascii="Arial" w:hAnsi="Arial" w:cs="Arial"/>
        <w:sz w:val="16"/>
        <w:szCs w:val="16"/>
      </w:rPr>
      <w:fldChar w:fldCharType="begin"/>
    </w:r>
    <w:r w:rsidRPr="00FF67F6">
      <w:rPr>
        <w:rFonts w:ascii="Arial" w:hAnsi="Arial" w:cs="Arial"/>
        <w:sz w:val="16"/>
        <w:szCs w:val="16"/>
      </w:rPr>
      <w:instrText xml:space="preserve"> PAGE </w:instrText>
    </w:r>
    <w:r w:rsidRPr="00FF67F6">
      <w:rPr>
        <w:rFonts w:ascii="Arial" w:hAnsi="Arial" w:cs="Arial"/>
        <w:sz w:val="16"/>
        <w:szCs w:val="16"/>
      </w:rPr>
      <w:fldChar w:fldCharType="separate"/>
    </w:r>
    <w:r>
      <w:rPr>
        <w:rFonts w:ascii="Arial" w:hAnsi="Arial" w:cs="Arial"/>
        <w:noProof/>
        <w:sz w:val="16"/>
        <w:szCs w:val="16"/>
      </w:rPr>
      <w:t>26</w:t>
    </w:r>
    <w:r w:rsidRPr="00FF67F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 </w:t>
    </w: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w:t>
    </w:r>
    <w:r>
      <w:rPr>
        <w:rFonts w:ascii="Arial" w:hAnsi="Arial" w:cs="Arial"/>
        <w:sz w:val="16"/>
        <w:szCs w:val="16"/>
      </w:rPr>
      <w:t>SES International Report – Accessible</w:t>
    </w:r>
  </w:p>
  <w:p w14:paraId="6239997D" w14:textId="77777777" w:rsidR="008D3DEC" w:rsidRPr="00FF67F6" w:rsidRDefault="008D3DEC" w:rsidP="008D3DEC">
    <w:pPr>
      <w:pStyle w:val="Footerrunning"/>
      <w:tabs>
        <w:tab w:val="left" w:pos="7630"/>
        <w:tab w:val="left" w:pos="12333"/>
        <w:tab w:val="left" w:pos="15451"/>
      </w:tabs>
      <w:ind w:right="-560"/>
      <w:rPr>
        <w:rFonts w:ascii="Arial" w:hAnsi="Arial" w:cs="Arial"/>
        <w:sz w:val="16"/>
        <w:szCs w:val="16"/>
      </w:rPr>
    </w:pPr>
    <w:r w:rsidRPr="008D3DEC">
      <w:rPr>
        <w:rFonts w:ascii="Arial" w:hAnsi="Arial" w:cs="Arial"/>
        <w:sz w:val="16"/>
        <w:szCs w:val="16"/>
      </w:rPr>
      <w:tab/>
    </w:r>
    <w:r>
      <w:rPr>
        <w:rFonts w:ascii="Arial" w:hAnsi="Arial" w:cs="Arial"/>
        <w:sz w:val="16"/>
        <w:szCs w:val="16"/>
      </w:rPr>
      <w:tab/>
    </w:r>
    <w:r w:rsidRPr="008D3DEC">
      <w:rPr>
        <w:rFonts w:ascii="Arial" w:hAnsi="Arial" w:cs="Arial"/>
        <w:sz w:val="16"/>
        <w:szCs w:val="16"/>
      </w:rPr>
      <w:t>Prepared by the Social Research Centre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5374" w14:textId="77777777" w:rsidR="008D3DEC" w:rsidRPr="008D3DEC" w:rsidRDefault="008D3DEC" w:rsidP="008D3DEC">
    <w:pPr>
      <w:pStyle w:val="Footerrunning"/>
      <w:tabs>
        <w:tab w:val="right" w:pos="10490"/>
        <w:tab w:val="left" w:pos="11907"/>
        <w:tab w:val="left" w:pos="15026"/>
      </w:tabs>
      <w:spacing w:after="0" w:line="240" w:lineRule="auto"/>
      <w:ind w:right="-561"/>
      <w:rPr>
        <w:rFonts w:ascii="Arial" w:hAnsi="Arial" w:cs="Arial"/>
      </w:rPr>
    </w:pPr>
    <w:r w:rsidRPr="008D3DEC">
      <w:rPr>
        <w:rFonts w:ascii="Arial" w:hAnsi="Arial" w:cs="Arial"/>
      </w:rPr>
      <w:fldChar w:fldCharType="begin"/>
    </w:r>
    <w:r w:rsidRPr="008D3DEC">
      <w:rPr>
        <w:rFonts w:ascii="Arial" w:hAnsi="Arial" w:cs="Arial"/>
      </w:rPr>
      <w:instrText xml:space="preserve"> PAGE </w:instrText>
    </w:r>
    <w:r w:rsidRPr="008D3DEC">
      <w:rPr>
        <w:rFonts w:ascii="Arial" w:hAnsi="Arial" w:cs="Arial"/>
      </w:rPr>
      <w:fldChar w:fldCharType="separate"/>
    </w:r>
    <w:r w:rsidRPr="008D3DEC">
      <w:rPr>
        <w:rFonts w:ascii="Arial" w:hAnsi="Arial" w:cs="Arial"/>
        <w:noProof/>
      </w:rPr>
      <w:t>26</w:t>
    </w:r>
    <w:r w:rsidRPr="008D3DEC">
      <w:rPr>
        <w:rFonts w:ascii="Arial" w:hAnsi="Arial" w:cs="Arial"/>
      </w:rPr>
      <w:fldChar w:fldCharType="end"/>
    </w:r>
    <w:r w:rsidRPr="008D3DEC">
      <w:rPr>
        <w:rFonts w:ascii="Arial" w:hAnsi="Arial" w:cs="Arial"/>
      </w:rPr>
      <w:t xml:space="preserve"> </w:t>
    </w:r>
    <w:r w:rsidRPr="008D3DEC">
      <w:rPr>
        <w:rFonts w:ascii="Arial" w:hAnsi="Arial" w:cs="Arial"/>
      </w:rPr>
      <w:tab/>
      <w:t>2023 SES International Report – Accessible</w:t>
    </w:r>
  </w:p>
  <w:p w14:paraId="7BD743A8" w14:textId="77777777" w:rsidR="008D3DEC" w:rsidRPr="008D3DEC" w:rsidRDefault="008D3DEC" w:rsidP="008D3DEC">
    <w:pPr>
      <w:pStyle w:val="Footerrunning"/>
      <w:tabs>
        <w:tab w:val="left" w:pos="7230"/>
        <w:tab w:val="right" w:pos="10490"/>
        <w:tab w:val="left" w:pos="11907"/>
        <w:tab w:val="left" w:pos="15026"/>
      </w:tabs>
      <w:ind w:right="-560"/>
      <w:rPr>
        <w:rFonts w:ascii="Arial" w:hAnsi="Arial" w:cs="Arial"/>
      </w:rPr>
    </w:pPr>
    <w:r w:rsidRPr="008D3DEC">
      <w:rPr>
        <w:rFonts w:ascii="Arial" w:hAnsi="Arial" w:cs="Arial"/>
      </w:rPr>
      <w:tab/>
    </w:r>
    <w:r w:rsidRPr="008D3DEC">
      <w:rPr>
        <w:rFonts w:ascii="Arial" w:hAnsi="Arial" w:cs="Arial"/>
      </w:rPr>
      <w:tab/>
      <w:t>Prepared by the Social Research Centre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26FC" w14:textId="77777777" w:rsidR="00923981" w:rsidRPr="008D3DEC" w:rsidRDefault="00923981" w:rsidP="008D3DEC">
    <w:pPr>
      <w:pStyle w:val="Footerrunning"/>
      <w:tabs>
        <w:tab w:val="right" w:pos="993"/>
        <w:tab w:val="right" w:pos="14884"/>
      </w:tabs>
      <w:spacing w:after="0" w:line="240" w:lineRule="auto"/>
      <w:rPr>
        <w:rFonts w:ascii="Arial" w:hAnsi="Arial" w:cs="Arial"/>
      </w:rPr>
    </w:pPr>
    <w:r w:rsidRPr="008D3DEC">
      <w:rPr>
        <w:rFonts w:ascii="Arial" w:hAnsi="Arial" w:cs="Arial"/>
      </w:rPr>
      <w:fldChar w:fldCharType="begin"/>
    </w:r>
    <w:r w:rsidRPr="008D3DEC">
      <w:rPr>
        <w:rFonts w:ascii="Arial" w:hAnsi="Arial" w:cs="Arial"/>
      </w:rPr>
      <w:instrText xml:space="preserve"> PAGE </w:instrText>
    </w:r>
    <w:r w:rsidRPr="008D3DEC">
      <w:rPr>
        <w:rFonts w:ascii="Arial" w:hAnsi="Arial" w:cs="Arial"/>
      </w:rPr>
      <w:fldChar w:fldCharType="separate"/>
    </w:r>
    <w:r w:rsidRPr="008D3DEC">
      <w:rPr>
        <w:rFonts w:ascii="Arial" w:hAnsi="Arial" w:cs="Arial"/>
        <w:noProof/>
      </w:rPr>
      <w:t>26</w:t>
    </w:r>
    <w:r w:rsidRPr="008D3DEC">
      <w:rPr>
        <w:rFonts w:ascii="Arial" w:hAnsi="Arial" w:cs="Arial"/>
      </w:rPr>
      <w:fldChar w:fldCharType="end"/>
    </w:r>
    <w:r w:rsidRPr="008D3DEC">
      <w:rPr>
        <w:rFonts w:ascii="Arial" w:hAnsi="Arial" w:cs="Arial"/>
      </w:rPr>
      <w:t xml:space="preserve"> </w:t>
    </w:r>
    <w:r w:rsidRPr="008D3DEC">
      <w:rPr>
        <w:rFonts w:ascii="Arial" w:hAnsi="Arial" w:cs="Arial"/>
      </w:rPr>
      <w:tab/>
    </w:r>
    <w:r w:rsidRPr="008D3DEC">
      <w:rPr>
        <w:rFonts w:ascii="Arial" w:hAnsi="Arial" w:cs="Arial"/>
      </w:rPr>
      <w:tab/>
      <w:t>2023 SES International Report – Accessible</w:t>
    </w:r>
  </w:p>
  <w:p w14:paraId="3057059D" w14:textId="70C3748E" w:rsidR="008D3DEC" w:rsidRPr="008D3DEC" w:rsidRDefault="008D3DEC" w:rsidP="008D3DEC">
    <w:pPr>
      <w:pStyle w:val="Footerrunning"/>
      <w:tabs>
        <w:tab w:val="right" w:pos="993"/>
        <w:tab w:val="right" w:pos="14884"/>
      </w:tabs>
      <w:spacing w:after="0" w:line="240" w:lineRule="auto"/>
      <w:rPr>
        <w:rFonts w:ascii="Arial" w:hAnsi="Arial" w:cs="Arial"/>
      </w:rPr>
    </w:pPr>
    <w:r>
      <w:rPr>
        <w:rFonts w:ascii="Arial" w:hAnsi="Arial" w:cs="Arial"/>
      </w:rPr>
      <w:tab/>
    </w:r>
    <w:r>
      <w:rPr>
        <w:rFonts w:ascii="Arial" w:hAnsi="Arial" w:cs="Arial"/>
      </w:rPr>
      <w:tab/>
    </w:r>
    <w:r w:rsidRPr="008D3DEC">
      <w:rPr>
        <w:rFonts w:ascii="Arial" w:hAnsi="Arial" w:cs="Arial"/>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204B" w14:textId="77777777" w:rsidR="003D795D" w:rsidRDefault="00D8385D" w:rsidP="003D795D">
    <w:pPr>
      <w:pStyle w:val="Footerrunning"/>
      <w:tabs>
        <w:tab w:val="left" w:pos="14601"/>
      </w:tabs>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w:t>
    </w:r>
    <w:r>
      <w:rPr>
        <w:rFonts w:ascii="Arial" w:hAnsi="Arial" w:cs="Arial"/>
        <w:sz w:val="16"/>
        <w:szCs w:val="16"/>
      </w:rPr>
      <w:t>SES International Report – Accessible</w:t>
    </w:r>
  </w:p>
  <w:p w14:paraId="5228FCCA" w14:textId="50327108" w:rsidR="003D795D" w:rsidRDefault="003D795D" w:rsidP="003D795D">
    <w:pPr>
      <w:pStyle w:val="Footerrunning"/>
      <w:tabs>
        <w:tab w:val="left" w:pos="14601"/>
      </w:tabs>
      <w:spacing w:after="0" w:line="240" w:lineRule="auto"/>
      <w:rPr>
        <w:rFonts w:ascii="Arial" w:hAnsi="Arial" w:cs="Arial"/>
        <w:sz w:val="16"/>
        <w:szCs w:val="16"/>
      </w:rPr>
    </w:pPr>
    <w:r w:rsidRPr="003D795D">
      <w:rPr>
        <w:rFonts w:ascii="Arial" w:hAnsi="Arial" w:cs="Arial"/>
        <w:sz w:val="16"/>
        <w:szCs w:val="16"/>
      </w:rPr>
      <w:t>Prepared by the Social Research Centre</w:t>
    </w:r>
  </w:p>
  <w:p w14:paraId="7E57DB68" w14:textId="33B6140E" w:rsidR="00D8385D" w:rsidRPr="00FF67F6" w:rsidRDefault="00D8385D" w:rsidP="00D8385D">
    <w:pPr>
      <w:pStyle w:val="Footerrunning"/>
      <w:tabs>
        <w:tab w:val="left" w:pos="14601"/>
      </w:tabs>
      <w:rPr>
        <w:rFonts w:ascii="Arial" w:hAnsi="Arial" w:cs="Arial"/>
        <w:sz w:val="16"/>
        <w:szCs w:val="16"/>
      </w:rPr>
    </w:pPr>
    <w:r>
      <w:rPr>
        <w:rFonts w:ascii="Arial" w:hAnsi="Arial" w:cs="Arial"/>
        <w:sz w:val="16"/>
        <w:szCs w:val="16"/>
      </w:rPr>
      <w:tab/>
    </w:r>
    <w:r w:rsidRPr="00FF67F6">
      <w:rPr>
        <w:rFonts w:ascii="Arial" w:hAnsi="Arial" w:cs="Arial"/>
        <w:sz w:val="16"/>
        <w:szCs w:val="16"/>
      </w:rPr>
      <w:fldChar w:fldCharType="begin"/>
    </w:r>
    <w:r w:rsidRPr="00FF67F6">
      <w:rPr>
        <w:rFonts w:ascii="Arial" w:hAnsi="Arial" w:cs="Arial"/>
        <w:sz w:val="16"/>
        <w:szCs w:val="16"/>
      </w:rPr>
      <w:instrText xml:space="preserve"> PAGE </w:instrText>
    </w:r>
    <w:r w:rsidRPr="00FF67F6">
      <w:rPr>
        <w:rFonts w:ascii="Arial" w:hAnsi="Arial" w:cs="Arial"/>
        <w:sz w:val="16"/>
        <w:szCs w:val="16"/>
      </w:rPr>
      <w:fldChar w:fldCharType="separate"/>
    </w:r>
    <w:r>
      <w:rPr>
        <w:rFonts w:ascii="Arial" w:hAnsi="Arial" w:cs="Arial"/>
        <w:noProof/>
        <w:sz w:val="16"/>
        <w:szCs w:val="16"/>
      </w:rPr>
      <w:t>26</w:t>
    </w:r>
    <w:r w:rsidRPr="00FF67F6">
      <w:rPr>
        <w:rFonts w:ascii="Arial" w:hAnsi="Arial" w:cs="Arial"/>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86BD" w14:textId="59A37C17" w:rsidR="0017622C" w:rsidRPr="00FF15D1" w:rsidRDefault="0017622C" w:rsidP="008D3DEC">
    <w:pPr>
      <w:pStyle w:val="Footerrunning"/>
      <w:tabs>
        <w:tab w:val="right" w:pos="10206"/>
      </w:tabs>
      <w:spacing w:after="0" w:line="240" w:lineRule="auto"/>
      <w:rPr>
        <w:rFonts w:ascii="Arial" w:hAnsi="Arial" w:cs="Arial"/>
      </w:rPr>
    </w:pPr>
    <w:r w:rsidRPr="00FF15D1">
      <w:rPr>
        <w:rFonts w:ascii="Arial" w:hAnsi="Arial" w:cs="Arial"/>
      </w:rPr>
      <w:fldChar w:fldCharType="begin"/>
    </w:r>
    <w:r w:rsidRPr="00FF15D1">
      <w:rPr>
        <w:rFonts w:ascii="Arial" w:hAnsi="Arial" w:cs="Arial"/>
      </w:rPr>
      <w:instrText xml:space="preserve"> PAGE </w:instrText>
    </w:r>
    <w:r w:rsidRPr="00FF15D1">
      <w:rPr>
        <w:rFonts w:ascii="Arial" w:hAnsi="Arial" w:cs="Arial"/>
      </w:rPr>
      <w:fldChar w:fldCharType="separate"/>
    </w:r>
    <w:r w:rsidRPr="00FF15D1">
      <w:rPr>
        <w:rFonts w:ascii="Arial" w:hAnsi="Arial" w:cs="Arial"/>
        <w:noProof/>
      </w:rPr>
      <w:t>26</w:t>
    </w:r>
    <w:r w:rsidRPr="00FF15D1">
      <w:rPr>
        <w:rFonts w:ascii="Arial" w:hAnsi="Arial" w:cs="Arial"/>
      </w:rPr>
      <w:fldChar w:fldCharType="end"/>
    </w:r>
    <w:r w:rsidR="00FF15D1" w:rsidRPr="00FF15D1">
      <w:rPr>
        <w:rFonts w:ascii="Arial" w:hAnsi="Arial" w:cs="Arial"/>
      </w:rPr>
      <w:tab/>
      <w:t xml:space="preserve">2023 SES International Report – Accessible </w:t>
    </w:r>
  </w:p>
  <w:p w14:paraId="49527B28" w14:textId="5C746A9D" w:rsidR="002611FF" w:rsidRDefault="00FF15D1" w:rsidP="008D3DEC">
    <w:pPr>
      <w:pStyle w:val="Footerrunning"/>
      <w:tabs>
        <w:tab w:val="right" w:pos="10206"/>
      </w:tabs>
      <w:spacing w:after="0" w:line="240" w:lineRule="auto"/>
    </w:pPr>
    <w:r>
      <w:rPr>
        <w:rFonts w:ascii="Arial" w:hAnsi="Arial" w:cs="Arial"/>
      </w:rPr>
      <w:tab/>
    </w:r>
    <w:r w:rsidRPr="00FF15D1">
      <w:rPr>
        <w:rFonts w:ascii="Arial" w:hAnsi="Arial" w:cs="Arial"/>
      </w:rPr>
      <w:t>Prepared by the Social Research Centre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6FF0" w14:textId="0A6DC92F" w:rsidR="004F5DBB" w:rsidRPr="004F5DBB" w:rsidRDefault="004F5DBB" w:rsidP="004F5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725A" w14:textId="77777777" w:rsidR="00A533FF" w:rsidRPr="00A533FF" w:rsidRDefault="00D8385D" w:rsidP="00A533FF">
    <w:pPr>
      <w:pStyle w:val="Footerrunning"/>
      <w:tabs>
        <w:tab w:val="left" w:pos="6732"/>
        <w:tab w:val="right" w:pos="10348"/>
      </w:tabs>
      <w:spacing w:after="0" w:line="240" w:lineRule="auto"/>
      <w:rPr>
        <w:rFonts w:ascii="Arial" w:hAnsi="Arial" w:cs="Arial"/>
      </w:rPr>
    </w:pPr>
    <w:r w:rsidRPr="00A533FF">
      <w:rPr>
        <w:rFonts w:ascii="Arial" w:hAnsi="Arial" w:cs="Arial"/>
      </w:rPr>
      <w:t>2023 SES International Report – Accessible</w:t>
    </w:r>
  </w:p>
  <w:p w14:paraId="1B65492F" w14:textId="2623E837" w:rsidR="00D8385D" w:rsidRPr="00A533FF" w:rsidRDefault="00A533FF" w:rsidP="00A533FF">
    <w:pPr>
      <w:pStyle w:val="Footerrunning"/>
      <w:tabs>
        <w:tab w:val="left" w:pos="6732"/>
        <w:tab w:val="right" w:pos="10348"/>
      </w:tabs>
      <w:spacing w:after="0" w:line="240" w:lineRule="auto"/>
      <w:rPr>
        <w:rFonts w:ascii="Arial" w:hAnsi="Arial" w:cs="Arial"/>
      </w:rPr>
    </w:pPr>
    <w:r w:rsidRPr="00A533FF">
      <w:rPr>
        <w:rFonts w:ascii="Arial" w:hAnsi="Arial" w:cs="Arial"/>
      </w:rPr>
      <w:t>Prepared by the Social Research Centre</w:t>
    </w:r>
    <w:r w:rsidR="00D8385D" w:rsidRPr="00A533FF">
      <w:rPr>
        <w:rFonts w:ascii="Arial" w:hAnsi="Arial" w:cs="Arial"/>
      </w:rPr>
      <w:tab/>
    </w:r>
    <w:r w:rsidR="00D8385D" w:rsidRPr="00A533FF">
      <w:rPr>
        <w:rFonts w:ascii="Arial" w:hAnsi="Arial" w:cs="Arial"/>
      </w:rPr>
      <w:tab/>
    </w:r>
    <w:r w:rsidR="00D8385D" w:rsidRPr="00A533FF">
      <w:rPr>
        <w:rFonts w:ascii="Arial" w:hAnsi="Arial" w:cs="Arial"/>
      </w:rPr>
      <w:fldChar w:fldCharType="begin"/>
    </w:r>
    <w:r w:rsidR="00D8385D" w:rsidRPr="00A533FF">
      <w:rPr>
        <w:rFonts w:ascii="Arial" w:hAnsi="Arial" w:cs="Arial"/>
      </w:rPr>
      <w:instrText xml:space="preserve"> PAGE </w:instrText>
    </w:r>
    <w:r w:rsidR="00D8385D" w:rsidRPr="00A533FF">
      <w:rPr>
        <w:rFonts w:ascii="Arial" w:hAnsi="Arial" w:cs="Arial"/>
      </w:rPr>
      <w:fldChar w:fldCharType="separate"/>
    </w:r>
    <w:r w:rsidR="00D8385D" w:rsidRPr="00A533FF">
      <w:rPr>
        <w:rFonts w:ascii="Arial" w:hAnsi="Arial" w:cs="Arial"/>
        <w:noProof/>
      </w:rPr>
      <w:t>26</w:t>
    </w:r>
    <w:r w:rsidR="00D8385D" w:rsidRPr="00A533FF">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A1C6" w14:textId="6256A79A" w:rsidR="006215D3" w:rsidRPr="00A533FF" w:rsidRDefault="006215D3" w:rsidP="00A533FF">
    <w:pPr>
      <w:pStyle w:val="Footerrunning"/>
      <w:tabs>
        <w:tab w:val="right" w:pos="10490"/>
        <w:tab w:val="left" w:pos="11190"/>
      </w:tabs>
      <w:spacing w:after="0" w:line="240" w:lineRule="auto"/>
      <w:ind w:right="-561"/>
      <w:rPr>
        <w:rFonts w:ascii="Arial" w:hAnsi="Arial" w:cs="Arial"/>
      </w:rPr>
    </w:pPr>
    <w:r w:rsidRPr="00A533FF">
      <w:rPr>
        <w:rFonts w:ascii="Arial" w:hAnsi="Arial" w:cs="Arial"/>
      </w:rPr>
      <w:fldChar w:fldCharType="begin"/>
    </w:r>
    <w:r w:rsidRPr="00A533FF">
      <w:rPr>
        <w:rFonts w:ascii="Arial" w:hAnsi="Arial" w:cs="Arial"/>
      </w:rPr>
      <w:instrText xml:space="preserve"> PAGE </w:instrText>
    </w:r>
    <w:r w:rsidRPr="00A533FF">
      <w:rPr>
        <w:rFonts w:ascii="Arial" w:hAnsi="Arial" w:cs="Arial"/>
      </w:rPr>
      <w:fldChar w:fldCharType="separate"/>
    </w:r>
    <w:r w:rsidRPr="00A533FF">
      <w:rPr>
        <w:rFonts w:ascii="Arial" w:hAnsi="Arial" w:cs="Arial"/>
        <w:noProof/>
      </w:rPr>
      <w:t>26</w:t>
    </w:r>
    <w:r w:rsidRPr="00A533FF">
      <w:rPr>
        <w:rFonts w:ascii="Arial" w:hAnsi="Arial" w:cs="Arial"/>
      </w:rPr>
      <w:fldChar w:fldCharType="end"/>
    </w:r>
    <w:r w:rsidR="00D8385D" w:rsidRPr="00A533FF">
      <w:rPr>
        <w:rFonts w:ascii="Arial" w:hAnsi="Arial" w:cs="Arial"/>
      </w:rPr>
      <w:t xml:space="preserve"> </w:t>
    </w:r>
    <w:r w:rsidR="00D8385D" w:rsidRPr="00A533FF">
      <w:rPr>
        <w:rFonts w:ascii="Arial" w:hAnsi="Arial" w:cs="Arial"/>
      </w:rPr>
      <w:tab/>
      <w:t>2023 SES International Report – Accessible</w:t>
    </w:r>
  </w:p>
  <w:p w14:paraId="6191499B" w14:textId="57B00F38" w:rsidR="00A533FF" w:rsidRPr="00A533FF" w:rsidRDefault="00A533FF" w:rsidP="00A533FF">
    <w:pPr>
      <w:pStyle w:val="Footerrunning"/>
      <w:tabs>
        <w:tab w:val="right" w:pos="9781"/>
        <w:tab w:val="left" w:pos="9923"/>
        <w:tab w:val="right" w:pos="10490"/>
      </w:tabs>
      <w:spacing w:after="0" w:line="240" w:lineRule="auto"/>
      <w:ind w:right="-561"/>
      <w:jc w:val="center"/>
      <w:rPr>
        <w:rFonts w:ascii="Arial" w:hAnsi="Arial" w:cs="Arial"/>
      </w:rPr>
    </w:pPr>
    <w:r>
      <w:rPr>
        <w:rFonts w:ascii="Arial" w:hAnsi="Arial" w:cs="Arial"/>
      </w:rPr>
      <w:tab/>
    </w:r>
    <w:r w:rsidRPr="00A533FF">
      <w:rPr>
        <w:rFonts w:ascii="Arial" w:hAnsi="Arial" w:cs="Arial"/>
      </w:rPr>
      <w:t>Prepared by the Social Research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AF64" w14:textId="77777777" w:rsidR="00A533FF" w:rsidRPr="00A533FF" w:rsidRDefault="00A533FF" w:rsidP="00A533FF">
    <w:pPr>
      <w:pStyle w:val="Footerrunning"/>
      <w:tabs>
        <w:tab w:val="left" w:pos="11190"/>
        <w:tab w:val="right" w:pos="13041"/>
      </w:tabs>
      <w:spacing w:after="0" w:line="240" w:lineRule="auto"/>
      <w:ind w:right="-561"/>
      <w:rPr>
        <w:rFonts w:ascii="Arial" w:hAnsi="Arial" w:cs="Arial"/>
      </w:rPr>
    </w:pPr>
    <w:r w:rsidRPr="00A533FF">
      <w:rPr>
        <w:rFonts w:ascii="Arial" w:hAnsi="Arial" w:cs="Arial"/>
      </w:rPr>
      <w:fldChar w:fldCharType="begin"/>
    </w:r>
    <w:r w:rsidRPr="00A533FF">
      <w:rPr>
        <w:rFonts w:ascii="Arial" w:hAnsi="Arial" w:cs="Arial"/>
      </w:rPr>
      <w:instrText xml:space="preserve"> PAGE </w:instrText>
    </w:r>
    <w:r w:rsidRPr="00A533FF">
      <w:rPr>
        <w:rFonts w:ascii="Arial" w:hAnsi="Arial" w:cs="Arial"/>
      </w:rPr>
      <w:fldChar w:fldCharType="separate"/>
    </w:r>
    <w:r w:rsidRPr="00A533FF">
      <w:rPr>
        <w:rFonts w:ascii="Arial" w:hAnsi="Arial" w:cs="Arial"/>
        <w:noProof/>
      </w:rPr>
      <w:t>26</w:t>
    </w:r>
    <w:r w:rsidRPr="00A533FF">
      <w:rPr>
        <w:rFonts w:ascii="Arial" w:hAnsi="Arial" w:cs="Arial"/>
      </w:rPr>
      <w:fldChar w:fldCharType="end"/>
    </w:r>
    <w:r w:rsidRPr="00A533FF">
      <w:rPr>
        <w:rFonts w:ascii="Arial" w:hAnsi="Arial" w:cs="Arial"/>
      </w:rPr>
      <w:t xml:space="preserve"> </w:t>
    </w:r>
    <w:r w:rsidRPr="00A533FF">
      <w:rPr>
        <w:rFonts w:ascii="Arial" w:hAnsi="Arial" w:cs="Arial"/>
      </w:rPr>
      <w:tab/>
      <w:t>2023 SES International Report – Accessible</w:t>
    </w:r>
  </w:p>
  <w:p w14:paraId="2EC04295" w14:textId="1E68B3B5" w:rsidR="00A533FF" w:rsidRPr="00A533FF" w:rsidRDefault="00A533FF" w:rsidP="00A533FF">
    <w:pPr>
      <w:pStyle w:val="Footerrunning"/>
      <w:tabs>
        <w:tab w:val="left" w:pos="10348"/>
        <w:tab w:val="right" w:pos="11907"/>
      </w:tabs>
      <w:spacing w:after="0" w:line="240" w:lineRule="auto"/>
      <w:ind w:right="-561"/>
      <w:jc w:val="center"/>
      <w:rPr>
        <w:rFonts w:ascii="Arial" w:hAnsi="Arial" w:cs="Arial"/>
      </w:rPr>
    </w:pPr>
    <w:r>
      <w:rPr>
        <w:rFonts w:ascii="Arial" w:hAnsi="Arial" w:cs="Arial"/>
      </w:rPr>
      <w:tab/>
      <w:t xml:space="preserve">      </w:t>
    </w:r>
    <w:r w:rsidRPr="00A533FF">
      <w:rPr>
        <w:rFonts w:ascii="Arial" w:hAnsi="Arial" w:cs="Arial"/>
      </w:rPr>
      <w:t>Prepared by the Social Research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5736" w14:textId="1F322B90" w:rsidR="00A533FF" w:rsidRPr="00A533FF" w:rsidRDefault="00A533FF" w:rsidP="00A533FF">
    <w:pPr>
      <w:pStyle w:val="Footerrunning"/>
      <w:tabs>
        <w:tab w:val="right" w:pos="1560"/>
        <w:tab w:val="right" w:pos="10632"/>
        <w:tab w:val="left" w:pos="11190"/>
        <w:tab w:val="right" w:pos="13041"/>
      </w:tabs>
      <w:spacing w:after="0" w:line="240" w:lineRule="auto"/>
      <w:ind w:right="-561"/>
      <w:rPr>
        <w:rFonts w:ascii="Arial" w:hAnsi="Arial" w:cs="Arial"/>
      </w:rPr>
    </w:pPr>
    <w:r w:rsidRPr="00A533FF">
      <w:rPr>
        <w:rFonts w:ascii="Arial" w:hAnsi="Arial" w:cs="Arial"/>
      </w:rPr>
      <w:fldChar w:fldCharType="begin"/>
    </w:r>
    <w:r w:rsidRPr="00A533FF">
      <w:rPr>
        <w:rFonts w:ascii="Arial" w:hAnsi="Arial" w:cs="Arial"/>
      </w:rPr>
      <w:instrText xml:space="preserve"> PAGE </w:instrText>
    </w:r>
    <w:r w:rsidRPr="00A533FF">
      <w:rPr>
        <w:rFonts w:ascii="Arial" w:hAnsi="Arial" w:cs="Arial"/>
      </w:rPr>
      <w:fldChar w:fldCharType="separate"/>
    </w:r>
    <w:r w:rsidRPr="00A533FF">
      <w:rPr>
        <w:rFonts w:ascii="Arial" w:hAnsi="Arial" w:cs="Arial"/>
        <w:noProof/>
      </w:rPr>
      <w:t>26</w:t>
    </w:r>
    <w:r w:rsidRPr="00A533FF">
      <w:rPr>
        <w:rFonts w:ascii="Arial" w:hAnsi="Arial" w:cs="Arial"/>
      </w:rPr>
      <w:fldChar w:fldCharType="end"/>
    </w:r>
    <w:r w:rsidRPr="00A533FF">
      <w:rPr>
        <w:rFonts w:ascii="Arial" w:hAnsi="Arial" w:cs="Arial"/>
      </w:rPr>
      <w:t xml:space="preserve"> </w:t>
    </w:r>
    <w:r>
      <w:rPr>
        <w:rFonts w:ascii="Arial" w:hAnsi="Arial" w:cs="Arial"/>
      </w:rPr>
      <w:tab/>
    </w:r>
    <w:r>
      <w:rPr>
        <w:rFonts w:ascii="Arial" w:hAnsi="Arial" w:cs="Arial"/>
      </w:rPr>
      <w:tab/>
    </w:r>
    <w:r w:rsidRPr="00A533FF">
      <w:rPr>
        <w:rFonts w:ascii="Arial" w:hAnsi="Arial" w:cs="Arial"/>
      </w:rPr>
      <w:t>2023 SES International Report – Accessible</w:t>
    </w:r>
  </w:p>
  <w:p w14:paraId="25CCA45C" w14:textId="6FEEA12B" w:rsidR="00A533FF" w:rsidRPr="00A533FF" w:rsidRDefault="00A533FF" w:rsidP="00A533FF">
    <w:pPr>
      <w:pStyle w:val="Footerrunning"/>
      <w:tabs>
        <w:tab w:val="left" w:pos="7371"/>
        <w:tab w:val="right" w:pos="11907"/>
      </w:tabs>
      <w:spacing w:after="0" w:line="240" w:lineRule="auto"/>
      <w:ind w:right="-561"/>
      <w:rPr>
        <w:rFonts w:ascii="Arial" w:hAnsi="Arial" w:cs="Arial"/>
      </w:rPr>
    </w:pPr>
    <w:r>
      <w:rPr>
        <w:rFonts w:ascii="Arial" w:hAnsi="Arial" w:cs="Arial"/>
      </w:rPr>
      <w:tab/>
    </w:r>
    <w:r w:rsidRPr="00A533FF">
      <w:rPr>
        <w:rFonts w:ascii="Arial" w:hAnsi="Arial" w:cs="Arial"/>
      </w:rPr>
      <w:t>Prepared by the Social Research Centre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F55F" w14:textId="77777777" w:rsidR="004F5328" w:rsidRPr="005503FF" w:rsidRDefault="004F5328" w:rsidP="00AF5B38">
    <w:pPr>
      <w:pStyle w:val="Footerrunning"/>
      <w:tabs>
        <w:tab w:val="left" w:pos="11340"/>
      </w:tabs>
      <w:spacing w:after="0" w:line="240" w:lineRule="auto"/>
      <w:ind w:right="-561"/>
      <w:rPr>
        <w:rFonts w:ascii="Arial" w:hAnsi="Arial" w:cs="Arial"/>
      </w:rPr>
    </w:pPr>
    <w:r w:rsidRPr="005503FF">
      <w:rPr>
        <w:rFonts w:ascii="Arial" w:hAnsi="Arial" w:cs="Arial"/>
      </w:rPr>
      <w:fldChar w:fldCharType="begin"/>
    </w:r>
    <w:r w:rsidRPr="005503FF">
      <w:rPr>
        <w:rFonts w:ascii="Arial" w:hAnsi="Arial" w:cs="Arial"/>
      </w:rPr>
      <w:instrText xml:space="preserve"> PAGE </w:instrText>
    </w:r>
    <w:r w:rsidRPr="005503FF">
      <w:rPr>
        <w:rFonts w:ascii="Arial" w:hAnsi="Arial" w:cs="Arial"/>
      </w:rPr>
      <w:fldChar w:fldCharType="separate"/>
    </w:r>
    <w:r w:rsidRPr="005503FF">
      <w:rPr>
        <w:rFonts w:ascii="Arial" w:hAnsi="Arial" w:cs="Arial"/>
        <w:noProof/>
      </w:rPr>
      <w:t>26</w:t>
    </w:r>
    <w:r w:rsidRPr="005503FF">
      <w:rPr>
        <w:rFonts w:ascii="Arial" w:hAnsi="Arial" w:cs="Arial"/>
      </w:rPr>
      <w:fldChar w:fldCharType="end"/>
    </w:r>
    <w:r w:rsidRPr="005503FF">
      <w:rPr>
        <w:rFonts w:ascii="Arial" w:hAnsi="Arial" w:cs="Arial"/>
      </w:rPr>
      <w:t xml:space="preserve"> </w:t>
    </w:r>
    <w:r w:rsidRPr="005503FF">
      <w:rPr>
        <w:rFonts w:ascii="Arial" w:hAnsi="Arial" w:cs="Arial"/>
      </w:rPr>
      <w:tab/>
      <w:t>2023 SES International Report – Accessible</w:t>
    </w:r>
  </w:p>
  <w:p w14:paraId="29970805" w14:textId="7013AC9F" w:rsidR="00094E4B" w:rsidRPr="005503FF" w:rsidRDefault="00094E4B" w:rsidP="00AF5B38">
    <w:pPr>
      <w:pStyle w:val="Footerrunning"/>
      <w:tabs>
        <w:tab w:val="right" w:pos="14175"/>
      </w:tabs>
      <w:spacing w:after="0" w:line="240" w:lineRule="auto"/>
      <w:ind w:right="-561"/>
      <w:jc w:val="center"/>
      <w:rPr>
        <w:rFonts w:ascii="Arial" w:hAnsi="Arial" w:cs="Arial"/>
      </w:rPr>
    </w:pPr>
    <w:r w:rsidRPr="005503FF">
      <w:rPr>
        <w:rFonts w:ascii="Arial" w:hAnsi="Arial" w:cs="Arial"/>
      </w:rPr>
      <w:tab/>
      <w:t>Prepared by the Social Research Centre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9A88" w14:textId="4CF02882" w:rsidR="004F5328" w:rsidRPr="00217865" w:rsidRDefault="004F5328" w:rsidP="00217865">
    <w:pPr>
      <w:pStyle w:val="Footerrunning"/>
      <w:tabs>
        <w:tab w:val="right" w:pos="10490"/>
        <w:tab w:val="left" w:pos="11907"/>
      </w:tabs>
      <w:spacing w:after="0" w:line="240" w:lineRule="auto"/>
      <w:ind w:right="-561"/>
      <w:rPr>
        <w:rFonts w:ascii="Arial" w:hAnsi="Arial" w:cs="Arial"/>
      </w:rPr>
    </w:pPr>
    <w:r w:rsidRPr="00217865">
      <w:rPr>
        <w:rFonts w:ascii="Arial" w:hAnsi="Arial" w:cs="Arial"/>
      </w:rPr>
      <w:fldChar w:fldCharType="begin"/>
    </w:r>
    <w:r w:rsidRPr="00217865">
      <w:rPr>
        <w:rFonts w:ascii="Arial" w:hAnsi="Arial" w:cs="Arial"/>
      </w:rPr>
      <w:instrText xml:space="preserve"> PAGE </w:instrText>
    </w:r>
    <w:r w:rsidRPr="00217865">
      <w:rPr>
        <w:rFonts w:ascii="Arial" w:hAnsi="Arial" w:cs="Arial"/>
      </w:rPr>
      <w:fldChar w:fldCharType="separate"/>
    </w:r>
    <w:r w:rsidRPr="00217865">
      <w:rPr>
        <w:rFonts w:ascii="Arial" w:hAnsi="Arial" w:cs="Arial"/>
        <w:noProof/>
      </w:rPr>
      <w:t>26</w:t>
    </w:r>
    <w:r w:rsidRPr="00217865">
      <w:rPr>
        <w:rFonts w:ascii="Arial" w:hAnsi="Arial" w:cs="Arial"/>
      </w:rPr>
      <w:fldChar w:fldCharType="end"/>
    </w:r>
    <w:r w:rsidRPr="00217865">
      <w:rPr>
        <w:rFonts w:ascii="Arial" w:hAnsi="Arial" w:cs="Arial"/>
      </w:rPr>
      <w:t xml:space="preserve"> </w:t>
    </w:r>
    <w:r w:rsidRPr="00217865">
      <w:rPr>
        <w:rFonts w:ascii="Arial" w:hAnsi="Arial" w:cs="Arial"/>
      </w:rPr>
      <w:tab/>
      <w:t>2023 SES International Report – Accessible</w:t>
    </w:r>
  </w:p>
  <w:p w14:paraId="316D1E99" w14:textId="6DA36EE8" w:rsidR="00217865" w:rsidRPr="00217865" w:rsidRDefault="00217865" w:rsidP="00217865">
    <w:pPr>
      <w:pStyle w:val="Footerrunning"/>
      <w:tabs>
        <w:tab w:val="right" w:pos="9781"/>
        <w:tab w:val="left" w:pos="11907"/>
      </w:tabs>
      <w:spacing w:after="0" w:line="240" w:lineRule="auto"/>
      <w:ind w:right="-561"/>
      <w:jc w:val="center"/>
      <w:rPr>
        <w:rFonts w:ascii="Arial" w:hAnsi="Arial" w:cs="Arial"/>
      </w:rPr>
    </w:pPr>
    <w:r w:rsidRPr="00217865">
      <w:rPr>
        <w:rFonts w:ascii="Arial" w:hAnsi="Arial" w:cs="Arial"/>
      </w:rPr>
      <w:tab/>
      <w:t>Prepared by the Social Research Centre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7ECC" w14:textId="77777777" w:rsidR="007624C4" w:rsidRPr="007624C4" w:rsidRDefault="004F5328" w:rsidP="007624C4">
    <w:pPr>
      <w:pStyle w:val="Footerrunning"/>
      <w:tabs>
        <w:tab w:val="left" w:pos="11482"/>
      </w:tabs>
      <w:spacing w:after="0" w:line="240" w:lineRule="auto"/>
      <w:ind w:right="-561"/>
      <w:rPr>
        <w:rFonts w:ascii="Arial" w:hAnsi="Arial" w:cs="Arial"/>
      </w:rPr>
    </w:pPr>
    <w:r w:rsidRPr="007624C4">
      <w:rPr>
        <w:rFonts w:ascii="Arial" w:hAnsi="Arial" w:cs="Arial"/>
      </w:rPr>
      <w:fldChar w:fldCharType="begin"/>
    </w:r>
    <w:r w:rsidRPr="007624C4">
      <w:rPr>
        <w:rFonts w:ascii="Arial" w:hAnsi="Arial" w:cs="Arial"/>
      </w:rPr>
      <w:instrText xml:space="preserve"> PAGE </w:instrText>
    </w:r>
    <w:r w:rsidRPr="007624C4">
      <w:rPr>
        <w:rFonts w:ascii="Arial" w:hAnsi="Arial" w:cs="Arial"/>
      </w:rPr>
      <w:fldChar w:fldCharType="separate"/>
    </w:r>
    <w:r w:rsidRPr="007624C4">
      <w:rPr>
        <w:rFonts w:ascii="Arial" w:hAnsi="Arial" w:cs="Arial"/>
        <w:noProof/>
      </w:rPr>
      <w:t>26</w:t>
    </w:r>
    <w:r w:rsidRPr="007624C4">
      <w:rPr>
        <w:rFonts w:ascii="Arial" w:hAnsi="Arial" w:cs="Arial"/>
      </w:rPr>
      <w:fldChar w:fldCharType="end"/>
    </w:r>
    <w:r w:rsidRPr="007624C4">
      <w:rPr>
        <w:rFonts w:ascii="Arial" w:hAnsi="Arial" w:cs="Arial"/>
      </w:rPr>
      <w:t xml:space="preserve"> </w:t>
    </w:r>
    <w:r w:rsidRPr="007624C4">
      <w:rPr>
        <w:rFonts w:ascii="Arial" w:hAnsi="Arial" w:cs="Arial"/>
      </w:rPr>
      <w:tab/>
    </w:r>
    <w:r w:rsidR="007624C4" w:rsidRPr="007624C4">
      <w:rPr>
        <w:rFonts w:ascii="Arial" w:hAnsi="Arial" w:cs="Arial"/>
      </w:rPr>
      <w:t>2023 SES International Report – Accessible</w:t>
    </w:r>
  </w:p>
  <w:p w14:paraId="4A8D5FF7" w14:textId="4C9FEBAC" w:rsidR="004F5328" w:rsidRPr="007624C4" w:rsidRDefault="007624C4" w:rsidP="007624C4">
    <w:pPr>
      <w:pStyle w:val="Footerrunning"/>
      <w:tabs>
        <w:tab w:val="right" w:pos="14459"/>
      </w:tabs>
      <w:spacing w:after="0" w:line="240" w:lineRule="auto"/>
      <w:ind w:right="-561"/>
      <w:jc w:val="center"/>
      <w:rPr>
        <w:rFonts w:ascii="Arial" w:hAnsi="Arial" w:cs="Arial"/>
      </w:rPr>
    </w:pPr>
    <w:r w:rsidRPr="007624C4">
      <w:rPr>
        <w:rFonts w:ascii="Arial" w:hAnsi="Arial" w:cs="Arial"/>
      </w:rPr>
      <w:tab/>
      <w:t>Prepared by the Social Research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63CA" w14:textId="77777777" w:rsidR="00D43BE2" w:rsidRDefault="00D43BE2" w:rsidP="00BE7643">
      <w:r>
        <w:separator/>
      </w:r>
    </w:p>
  </w:footnote>
  <w:footnote w:type="continuationSeparator" w:id="0">
    <w:p w14:paraId="2E24D6B4" w14:textId="77777777" w:rsidR="00D43BE2" w:rsidRDefault="00D43BE2" w:rsidP="00BE7643">
      <w:r>
        <w:continuationSeparator/>
      </w:r>
    </w:p>
  </w:footnote>
  <w:footnote w:type="continuationNotice" w:id="1">
    <w:p w14:paraId="75FD964E" w14:textId="77777777" w:rsidR="00D43BE2" w:rsidRDefault="00D43BE2"/>
  </w:footnote>
  <w:footnote w:id="2">
    <w:p w14:paraId="53EBA45B" w14:textId="7F414E87" w:rsidR="00A22928" w:rsidRPr="00E06AED" w:rsidRDefault="00A22928">
      <w:pPr>
        <w:pStyle w:val="FootnoteText"/>
        <w:rPr>
          <w:sz w:val="18"/>
          <w:szCs w:val="22"/>
          <w:lang w:val="en-AU"/>
        </w:rPr>
      </w:pPr>
      <w:r w:rsidRPr="00923981">
        <w:rPr>
          <w:rStyle w:val="FootnoteReference"/>
          <w:sz w:val="18"/>
          <w:szCs w:val="22"/>
        </w:rPr>
        <w:footnoteRef/>
      </w:r>
      <w:r w:rsidRPr="00923981">
        <w:rPr>
          <w:sz w:val="18"/>
          <w:szCs w:val="22"/>
        </w:rPr>
        <w:t xml:space="preserve"> </w:t>
      </w:r>
      <w:r w:rsidRPr="00813BE5">
        <w:rPr>
          <w:rStyle w:val="FigureNoteChar"/>
          <w:sz w:val="18"/>
          <w:szCs w:val="22"/>
        </w:rPr>
        <w:t xml:space="preserve">Refer to the </w:t>
      </w:r>
      <w:r w:rsidR="001356FB" w:rsidRPr="00813BE5">
        <w:rPr>
          <w:rStyle w:val="FigureNoteChar"/>
          <w:sz w:val="18"/>
          <w:szCs w:val="22"/>
        </w:rPr>
        <w:t>INTAGENT_PG</w:t>
      </w:r>
      <w:r w:rsidRPr="00813BE5">
        <w:rPr>
          <w:rStyle w:val="FigureNoteChar"/>
          <w:sz w:val="18"/>
          <w:szCs w:val="22"/>
        </w:rPr>
        <w:t>_ALL_</w:t>
      </w:r>
      <w:r w:rsidR="001356FB" w:rsidRPr="00813BE5">
        <w:rPr>
          <w:rStyle w:val="FigureNoteChar"/>
          <w:sz w:val="18"/>
          <w:szCs w:val="22"/>
        </w:rPr>
        <w:t>1Y_E346</w:t>
      </w:r>
      <w:r w:rsidRPr="00813BE5">
        <w:rPr>
          <w:rStyle w:val="FigureNoteChar"/>
          <w:sz w:val="18"/>
          <w:szCs w:val="22"/>
        </w:rPr>
        <w:t xml:space="preserve"> worksheet in the 2023 SES </w:t>
      </w:r>
      <w:r w:rsidR="001356FB" w:rsidRPr="00813BE5">
        <w:rPr>
          <w:rStyle w:val="FigureNoteChar"/>
          <w:sz w:val="18"/>
          <w:szCs w:val="22"/>
        </w:rPr>
        <w:t>Intern</w:t>
      </w:r>
      <w:r w:rsidRPr="00813BE5">
        <w:rPr>
          <w:rStyle w:val="FigureNoteChar"/>
          <w:sz w:val="18"/>
          <w:szCs w:val="22"/>
        </w:rPr>
        <w:t>ational Report Tables available on the QILT website.</w:t>
      </w:r>
    </w:p>
  </w:footnote>
  <w:footnote w:id="3">
    <w:p w14:paraId="02B5F4E6" w14:textId="77777777" w:rsidR="002433E9" w:rsidRPr="00813BE5" w:rsidRDefault="002433E9" w:rsidP="002433E9">
      <w:pPr>
        <w:pStyle w:val="Footer"/>
        <w:rPr>
          <w:rStyle w:val="Body02BOLD"/>
          <w:b w:val="0"/>
          <w:sz w:val="18"/>
          <w:szCs w:val="18"/>
        </w:rPr>
      </w:pPr>
      <w:r w:rsidRPr="00813BE5">
        <w:rPr>
          <w:rStyle w:val="Body02BOLD"/>
          <w:b w:val="0"/>
          <w:sz w:val="18"/>
          <w:szCs w:val="18"/>
        </w:rPr>
        <w:footnoteRef/>
      </w:r>
      <w:r w:rsidRPr="00813BE5">
        <w:rPr>
          <w:rStyle w:val="Body02BOLD"/>
          <w:b w:val="0"/>
          <w:sz w:val="18"/>
          <w:szCs w:val="18"/>
        </w:rPr>
        <w:t xml:space="preserve"> ‘How would you evaluate your entire educational experience at this institution?’</w:t>
      </w:r>
    </w:p>
  </w:footnote>
  <w:footnote w:id="4">
    <w:p w14:paraId="1980D46E" w14:textId="77777777" w:rsidR="002433E9" w:rsidRPr="00813BE5" w:rsidRDefault="002433E9" w:rsidP="002433E9">
      <w:pPr>
        <w:pStyle w:val="Footer"/>
        <w:rPr>
          <w:rStyle w:val="Body02BOLD"/>
          <w:b w:val="0"/>
          <w:sz w:val="18"/>
          <w:szCs w:val="18"/>
        </w:rPr>
      </w:pPr>
      <w:r w:rsidRPr="00813BE5">
        <w:rPr>
          <w:rStyle w:val="Body02BOLD"/>
          <w:b w:val="0"/>
          <w:sz w:val="18"/>
          <w:szCs w:val="18"/>
        </w:rPr>
        <w:footnoteRef/>
      </w:r>
      <w:r w:rsidRPr="00813BE5">
        <w:rPr>
          <w:rStyle w:val="Body02BOLD"/>
          <w:b w:val="0"/>
          <w:sz w:val="18"/>
          <w:szCs w:val="18"/>
        </w:rPr>
        <w:t xml:space="preserve"> Indiana University (2023). NSSE 2023 Overview. Retrieved 22 August 2024, from https://scholarworks.iu.edu/iuswrrest/api/core/bitstreams/130f6391-7e8d-4698-a489-01f77e24dff4/content</w:t>
      </w:r>
    </w:p>
  </w:footnote>
  <w:footnote w:id="5">
    <w:p w14:paraId="7E622E44" w14:textId="77777777" w:rsidR="002433E9" w:rsidRPr="00813BE5" w:rsidRDefault="002433E9" w:rsidP="002433E9">
      <w:pPr>
        <w:pStyle w:val="Footer"/>
        <w:rPr>
          <w:rStyle w:val="Body02BOLD"/>
          <w:b w:val="0"/>
          <w:sz w:val="18"/>
          <w:szCs w:val="18"/>
        </w:rPr>
      </w:pPr>
      <w:r w:rsidRPr="00813BE5">
        <w:rPr>
          <w:rStyle w:val="Body02BOLD"/>
          <w:b w:val="0"/>
          <w:sz w:val="18"/>
          <w:szCs w:val="18"/>
        </w:rPr>
        <w:footnoteRef/>
      </w:r>
      <w:r w:rsidRPr="00813BE5">
        <w:rPr>
          <w:rStyle w:val="Body02BOLD"/>
          <w:b w:val="0"/>
          <w:sz w:val="18"/>
          <w:szCs w:val="18"/>
        </w:rPr>
        <w:t xml:space="preserve"> ‘Overall, I am satisfied with the quality of the course.’</w:t>
      </w:r>
    </w:p>
  </w:footnote>
  <w:footnote w:id="6">
    <w:p w14:paraId="1795E14A" w14:textId="77777777" w:rsidR="002433E9" w:rsidRPr="00813BE5" w:rsidRDefault="002433E9" w:rsidP="002433E9">
      <w:pPr>
        <w:pStyle w:val="Footer"/>
        <w:rPr>
          <w:rStyle w:val="Body02BOLD"/>
          <w:b w:val="0"/>
          <w:sz w:val="18"/>
          <w:szCs w:val="18"/>
        </w:rPr>
      </w:pPr>
      <w:r w:rsidRPr="00813BE5">
        <w:rPr>
          <w:rStyle w:val="Body02BOLD"/>
          <w:b w:val="0"/>
          <w:sz w:val="18"/>
          <w:szCs w:val="18"/>
        </w:rPr>
        <w:footnoteRef/>
      </w:r>
      <w:r w:rsidRPr="00813BE5">
        <w:rPr>
          <w:rStyle w:val="Body02BOLD"/>
          <w:b w:val="0"/>
          <w:sz w:val="18"/>
          <w:szCs w:val="18"/>
        </w:rPr>
        <w:t xml:space="preserve"> Office for Students (2023). Student Characteristics Data. Retrieved 22 August 2024, from https://www.officeforstudents.org.uk/data-and-analysis/national-student-survey-data/student-characteristics-data/</w:t>
      </w:r>
    </w:p>
  </w:footnote>
  <w:footnote w:id="7">
    <w:p w14:paraId="6BF08DA6" w14:textId="77777777" w:rsidR="002433E9" w:rsidRPr="00813BE5" w:rsidRDefault="002433E9" w:rsidP="002433E9">
      <w:pPr>
        <w:pStyle w:val="FootnoteText"/>
        <w:rPr>
          <w:rFonts w:eastAsiaTheme="minorEastAsia" w:cs="Arial"/>
          <w:sz w:val="18"/>
          <w:szCs w:val="18"/>
        </w:rPr>
      </w:pPr>
      <w:r w:rsidRPr="00813BE5">
        <w:rPr>
          <w:rStyle w:val="Body02BOLD"/>
          <w:rFonts w:eastAsiaTheme="minorEastAsia"/>
          <w:b w:val="0"/>
          <w:sz w:val="18"/>
          <w:szCs w:val="18"/>
        </w:rPr>
        <w:footnoteRef/>
      </w:r>
      <w:r w:rsidRPr="00813BE5">
        <w:rPr>
          <w:rStyle w:val="Body02BOLD"/>
          <w:rFonts w:eastAsiaTheme="minorEastAsia"/>
          <w:b w:val="0"/>
          <w:sz w:val="18"/>
          <w:szCs w:val="18"/>
        </w:rPr>
        <w:t xml:space="preserve"> Indiana University</w:t>
      </w:r>
      <w:r w:rsidRPr="00813BE5">
        <w:rPr>
          <w:rStyle w:val="Body02BOLD"/>
          <w:b w:val="0"/>
          <w:sz w:val="18"/>
          <w:szCs w:val="18"/>
        </w:rPr>
        <w:t>. (2023). NSSE 2023. Retrieved 22 August 2024, from</w:t>
      </w:r>
      <w:r w:rsidRPr="00813BE5">
        <w:rPr>
          <w:rStyle w:val="Body02BOLD"/>
          <w:rFonts w:eastAsiaTheme="minorEastAsia"/>
          <w:b w:val="0"/>
          <w:sz w:val="18"/>
          <w:szCs w:val="18"/>
        </w:rPr>
        <w:t xml:space="preserve"> </w:t>
      </w:r>
      <w:hyperlink r:id="rId1" w:history="1">
        <w:r w:rsidRPr="00813BE5">
          <w:rPr>
            <w:rStyle w:val="Body02BOLD"/>
            <w:b w:val="0"/>
            <w:sz w:val="18"/>
            <w:szCs w:val="18"/>
          </w:rPr>
          <w:t>https://nsse.indiana.edu/nsse/reports-data/report-builder/index.html</w:t>
        </w:r>
      </w:hyperlink>
      <w:r w:rsidRPr="00813BE5">
        <w:rPr>
          <w:rStyle w:val="Body02BOLD"/>
          <w:rFonts w:eastAsiaTheme="minorEastAsia"/>
          <w:b w:val="0"/>
          <w:sz w:val="18"/>
          <w:szCs w:val="18"/>
        </w:rPr>
        <w:t>. Results for international students in 2021 and 2023 could not be retrieved.</w:t>
      </w:r>
    </w:p>
  </w:footnote>
  <w:footnote w:id="8">
    <w:p w14:paraId="06771B3C" w14:textId="77777777" w:rsidR="002433E9" w:rsidRPr="00140071" w:rsidRDefault="002433E9" w:rsidP="002433E9">
      <w:pPr>
        <w:pStyle w:val="FootnoteText"/>
        <w:rPr>
          <w:b/>
          <w:lang w:val="en-AU"/>
        </w:rPr>
      </w:pPr>
      <w:r w:rsidRPr="00813BE5">
        <w:rPr>
          <w:rStyle w:val="Body02BOLD"/>
          <w:rFonts w:eastAsiaTheme="minorEastAsia"/>
          <w:b w:val="0"/>
          <w:sz w:val="18"/>
          <w:szCs w:val="18"/>
        </w:rPr>
        <w:footnoteRef/>
      </w:r>
      <w:r w:rsidRPr="00813BE5">
        <w:rPr>
          <w:rStyle w:val="Body02BOLD"/>
          <w:rFonts w:eastAsiaTheme="minorEastAsia"/>
          <w:b w:val="0"/>
          <w:sz w:val="18"/>
          <w:szCs w:val="18"/>
        </w:rPr>
        <w:t xml:space="preserve"> Office for Students (2023). </w:t>
      </w:r>
      <w:r w:rsidRPr="00813BE5">
        <w:rPr>
          <w:rStyle w:val="Body02BOLD"/>
          <w:b w:val="0"/>
          <w:sz w:val="18"/>
          <w:szCs w:val="18"/>
        </w:rPr>
        <w:t>Student Characteristics Data. Retrieved 22 August 2024, from https://www.officeforstudents.org.uk/data-and-analysis/national-student-survey-data/student-characteristics-data/</w:t>
      </w:r>
    </w:p>
  </w:footnote>
  <w:footnote w:id="9">
    <w:p w14:paraId="077B2434" w14:textId="77777777" w:rsidR="005A5905" w:rsidRPr="00CF00B5" w:rsidRDefault="005A5905" w:rsidP="005A5905">
      <w:pPr>
        <w:pStyle w:val="Body"/>
        <w:rPr>
          <w:sz w:val="18"/>
          <w:szCs w:val="18"/>
        </w:rPr>
      </w:pPr>
      <w:r w:rsidRPr="00CF00B5">
        <w:rPr>
          <w:rStyle w:val="FootnoteReference"/>
          <w:sz w:val="18"/>
          <w:szCs w:val="18"/>
        </w:rPr>
        <w:footnoteRef/>
      </w:r>
      <w:r w:rsidRPr="00CF00B5">
        <w:rPr>
          <w:sz w:val="18"/>
          <w:szCs w:val="18"/>
        </w:rPr>
        <w:t xml:space="preserve"> Agresti, A., &amp; Coull, B. A. (1998). Approximate Is Better than “Exact” for Interval Estimation of Binomial Proportions. The American Statistician, 52(2), 119–126. https://doi.org/10.2307/2685469.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8A74" w14:textId="77777777" w:rsidR="00D8385D" w:rsidRDefault="00D838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E369" w14:textId="77777777" w:rsidR="004F5328" w:rsidRDefault="004F53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EF58" w14:textId="77777777" w:rsidR="004A3F14" w:rsidRDefault="004A3F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D83C" w14:textId="77777777" w:rsidR="004F5328" w:rsidRDefault="004F53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938C" w14:textId="77777777" w:rsidR="004F5328" w:rsidRDefault="004F53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4DBE" w14:textId="77777777" w:rsidR="008D3DEC" w:rsidRDefault="008D3D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7918" w14:textId="77777777" w:rsidR="008D3DEC" w:rsidRDefault="008D3DE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6CDA" w14:textId="77777777" w:rsidR="008D3DEC" w:rsidRDefault="008D3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62CB" w14:textId="77777777" w:rsidR="00D8385D" w:rsidRDefault="00D83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8904" w14:textId="77777777" w:rsidR="00A533FF" w:rsidRDefault="00A53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265A" w14:textId="77777777" w:rsidR="00A533FF" w:rsidRDefault="00A533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7F89" w14:textId="77777777" w:rsidR="004F5328" w:rsidRDefault="004F53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5086" w14:textId="77777777" w:rsidR="004F5328" w:rsidRDefault="004F53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CCD7" w14:textId="77777777" w:rsidR="004F5328" w:rsidRDefault="004F53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B2D8" w14:textId="77777777" w:rsidR="004F5328" w:rsidRDefault="004F53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51FF" w14:textId="77777777" w:rsidR="004F5328" w:rsidRDefault="004F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B74"/>
    <w:multiLevelType w:val="hybridMultilevel"/>
    <w:tmpl w:val="6B9239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14575"/>
    <w:multiLevelType w:val="hybridMultilevel"/>
    <w:tmpl w:val="5FA484BC"/>
    <w:lvl w:ilvl="0" w:tplc="E51AA842">
      <w:start w:val="1"/>
      <w:numFmt w:val="decimal"/>
      <w:pStyle w:val="Appendix2"/>
      <w:lvlText w:val="A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66B31"/>
    <w:multiLevelType w:val="hybridMultilevel"/>
    <w:tmpl w:val="EE0828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11AC2EAA"/>
    <w:multiLevelType w:val="hybridMultilevel"/>
    <w:tmpl w:val="A00A40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D62AD6"/>
    <w:multiLevelType w:val="hybridMultilevel"/>
    <w:tmpl w:val="79841E0E"/>
    <w:lvl w:ilvl="0" w:tplc="C69E3D2C">
      <w:start w:val="1"/>
      <w:numFmt w:val="decimal"/>
      <w:lvlText w:val="A7.%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07F89"/>
    <w:multiLevelType w:val="hybridMultilevel"/>
    <w:tmpl w:val="70E8D01A"/>
    <w:lvl w:ilvl="0" w:tplc="A2BCB572">
      <w:start w:val="1"/>
      <w:numFmt w:val="decimal"/>
      <w:lvlText w:val="A7.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019B1"/>
    <w:multiLevelType w:val="hybridMultilevel"/>
    <w:tmpl w:val="4014CABA"/>
    <w:lvl w:ilvl="0" w:tplc="0C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B29AB"/>
    <w:multiLevelType w:val="hybridMultilevel"/>
    <w:tmpl w:val="FE6C0A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8C4579"/>
    <w:multiLevelType w:val="hybridMultilevel"/>
    <w:tmpl w:val="EC04052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9D0106"/>
    <w:multiLevelType w:val="hybridMultilevel"/>
    <w:tmpl w:val="B9AEEF54"/>
    <w:lvl w:ilvl="0" w:tplc="DE8C37C6">
      <w:start w:val="1"/>
      <w:numFmt w:val="decimal"/>
      <w:lvlText w:val="A8.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761B38"/>
    <w:multiLevelType w:val="hybridMultilevel"/>
    <w:tmpl w:val="BF9424CE"/>
    <w:lvl w:ilvl="0" w:tplc="FFFFFFFF">
      <w:start w:val="1"/>
      <w:numFmt w:val="decimal"/>
      <w:lvlText w:val="Appendix %1"/>
      <w:lvlJc w:val="left"/>
      <w:pPr>
        <w:ind w:left="360" w:hanging="360"/>
      </w:pPr>
      <w:rPr>
        <w:rFonts w:hint="default"/>
      </w:rPr>
    </w:lvl>
    <w:lvl w:ilvl="1" w:tplc="FFFFFFFF">
      <w:start w:val="1"/>
      <w:numFmt w:val="decimal"/>
      <w:lvlText w:val="A1.%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9942B9F"/>
    <w:multiLevelType w:val="hybridMultilevel"/>
    <w:tmpl w:val="5E624C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03324F"/>
    <w:multiLevelType w:val="hybridMultilevel"/>
    <w:tmpl w:val="1D0CB9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7656C"/>
    <w:multiLevelType w:val="multilevel"/>
    <w:tmpl w:val="B9C2F4BE"/>
    <w:lvl w:ilvl="0">
      <w:start w:val="1"/>
      <w:numFmt w:val="decimal"/>
      <w:pStyle w:val="Appendix1"/>
      <w:lvlText w:val="Appendix %1"/>
      <w:lvlJc w:val="left"/>
      <w:pPr>
        <w:ind w:left="360" w:hanging="360"/>
      </w:pPr>
      <w:rPr>
        <w:rFonts w:hint="default"/>
      </w:rPr>
    </w:lvl>
    <w:lvl w:ilvl="1">
      <w:start w:val="1"/>
      <w:numFmt w:val="decimal"/>
      <w:lvlText w:val="A%1.%2"/>
      <w:lvlJc w:val="left"/>
      <w:pPr>
        <w:ind w:left="1134" w:hanging="1134"/>
      </w:pPr>
      <w:rPr>
        <w:rFonts w:hint="default"/>
      </w:rPr>
    </w:lvl>
    <w:lvl w:ilvl="2">
      <w:start w:val="1"/>
      <w:numFmt w:val="decimal"/>
      <w:lvlText w:val="A1.%2.%3"/>
      <w:lvlJc w:val="left"/>
      <w:pPr>
        <w:ind w:left="1134" w:hanging="1134"/>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8841FF"/>
    <w:multiLevelType w:val="multilevel"/>
    <w:tmpl w:val="251C30E8"/>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E6E3192"/>
    <w:multiLevelType w:val="hybridMultilevel"/>
    <w:tmpl w:val="5E624C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52014"/>
    <w:multiLevelType w:val="hybridMultilevel"/>
    <w:tmpl w:val="B1AECE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043625"/>
    <w:multiLevelType w:val="hybridMultilevel"/>
    <w:tmpl w:val="58423AE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C10CEB"/>
    <w:multiLevelType w:val="hybridMultilevel"/>
    <w:tmpl w:val="D7B259DC"/>
    <w:lvl w:ilvl="0" w:tplc="FFFFFFFF">
      <w:start w:val="1"/>
      <w:numFmt w:val="lowerLetter"/>
      <w:lvlText w:val="%1)"/>
      <w:lvlJc w:val="left"/>
      <w:pPr>
        <w:ind w:left="360" w:hanging="360"/>
      </w:pPr>
      <w:rPr>
        <w:rFonts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57330C"/>
    <w:multiLevelType w:val="hybridMultilevel"/>
    <w:tmpl w:val="65F27432"/>
    <w:lvl w:ilvl="0" w:tplc="0F1861D4">
      <w:start w:val="1"/>
      <w:numFmt w:val="decimal"/>
      <w:lvlText w:val="A7.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3A0DD5"/>
    <w:multiLevelType w:val="multilevel"/>
    <w:tmpl w:val="A266A4D8"/>
    <w:lvl w:ilvl="0">
      <w:start w:val="1"/>
      <w:numFmt w:val="bullet"/>
      <w:pStyle w:val="Bullets-noinden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725820"/>
    <w:multiLevelType w:val="hybridMultilevel"/>
    <w:tmpl w:val="D7B259DC"/>
    <w:lvl w:ilvl="0" w:tplc="DE9CA7C4">
      <w:start w:val="1"/>
      <w:numFmt w:val="lowerLetter"/>
      <w:lvlText w:val="%1)"/>
      <w:lvlJc w:val="left"/>
      <w:pPr>
        <w:ind w:left="360" w:hanging="360"/>
      </w:pPr>
      <w:rPr>
        <w:rFonts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5F21EB9"/>
    <w:multiLevelType w:val="hybridMultilevel"/>
    <w:tmpl w:val="BB30C8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21337E"/>
    <w:multiLevelType w:val="hybridMultilevel"/>
    <w:tmpl w:val="6E8C8412"/>
    <w:lvl w:ilvl="0" w:tplc="55AC3AFE">
      <w:start w:val="1"/>
      <w:numFmt w:val="decimal"/>
      <w:lvlText w:val="A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CD2FBF"/>
    <w:multiLevelType w:val="hybridMultilevel"/>
    <w:tmpl w:val="65F27432"/>
    <w:lvl w:ilvl="0" w:tplc="FFFFFFFF">
      <w:start w:val="1"/>
      <w:numFmt w:val="decimal"/>
      <w:lvlText w:val="A7.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845030"/>
    <w:multiLevelType w:val="hybridMultilevel"/>
    <w:tmpl w:val="146E115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51F437E8"/>
    <w:multiLevelType w:val="hybridMultilevel"/>
    <w:tmpl w:val="FC5E2A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F67E62"/>
    <w:multiLevelType w:val="hybridMultilevel"/>
    <w:tmpl w:val="78C81C60"/>
    <w:lvl w:ilvl="0" w:tplc="19DEB802">
      <w:start w:val="1"/>
      <w:numFmt w:val="decimal"/>
      <w:lvlText w:val="A2.1.%1"/>
      <w:lvlJc w:val="left"/>
      <w:pPr>
        <w:ind w:left="1080" w:hanging="360"/>
      </w:pPr>
      <w:rPr>
        <w:rFonts w:hint="default"/>
      </w:rPr>
    </w:lvl>
    <w:lvl w:ilvl="1" w:tplc="0C090019">
      <w:start w:val="1"/>
      <w:numFmt w:val="lowerLetter"/>
      <w:lvlText w:val="%2."/>
      <w:lvlJc w:val="left"/>
      <w:pPr>
        <w:ind w:left="2160" w:hanging="360"/>
      </w:pPr>
    </w:lvl>
    <w:lvl w:ilvl="2" w:tplc="4832363E">
      <w:start w:val="1"/>
      <w:numFmt w:val="decimal"/>
      <w:lvlText w:val="%3."/>
      <w:lvlJc w:val="left"/>
      <w:pPr>
        <w:ind w:left="3255" w:hanging="555"/>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2D46677"/>
    <w:multiLevelType w:val="hybridMultilevel"/>
    <w:tmpl w:val="D7B85A3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E75769"/>
    <w:multiLevelType w:val="multilevel"/>
    <w:tmpl w:val="0E88C082"/>
    <w:lvl w:ilvl="0">
      <w:start w:val="1"/>
      <w:numFmt w:val="decimal"/>
      <w:pStyle w:val="Heading1"/>
      <w:lvlText w:val="%1."/>
      <w:lvlJc w:val="left"/>
      <w:pPr>
        <w:ind w:left="851" w:hanging="851"/>
      </w:pPr>
      <w:rPr>
        <w:rFonts w:hint="default"/>
        <w:b w:val="0"/>
        <w:bCs w:val="0"/>
      </w:rPr>
    </w:lvl>
    <w:lvl w:ilvl="1">
      <w:start w:val="1"/>
      <w:numFmt w:val="decimal"/>
      <w:pStyle w:val="Heading2"/>
      <w:lvlText w:val="%1.%2."/>
      <w:lvlJc w:val="left"/>
      <w:pPr>
        <w:ind w:left="1277" w:hanging="851"/>
      </w:p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3C7191"/>
    <w:multiLevelType w:val="hybridMultilevel"/>
    <w:tmpl w:val="1458B5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BF04745"/>
    <w:multiLevelType w:val="hybridMultilevel"/>
    <w:tmpl w:val="931AC516"/>
    <w:lvl w:ilvl="0" w:tplc="11589C7C">
      <w:start w:val="1"/>
      <w:numFmt w:val="decimal"/>
      <w:lvlText w:val="A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6E500E"/>
    <w:multiLevelType w:val="hybridMultilevel"/>
    <w:tmpl w:val="5E624C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D2139F"/>
    <w:multiLevelType w:val="hybridMultilevel"/>
    <w:tmpl w:val="5BAEBCC2"/>
    <w:lvl w:ilvl="0" w:tplc="0622898A">
      <w:start w:val="1"/>
      <w:numFmt w:val="decimal"/>
      <w:lvlText w:val="A3.%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7504A0"/>
    <w:multiLevelType w:val="hybridMultilevel"/>
    <w:tmpl w:val="1FBA85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9C688E"/>
    <w:multiLevelType w:val="hybridMultilevel"/>
    <w:tmpl w:val="BF9424CE"/>
    <w:lvl w:ilvl="0" w:tplc="CA4EA250">
      <w:start w:val="1"/>
      <w:numFmt w:val="decimal"/>
      <w:lvlText w:val="Appendix %1"/>
      <w:lvlJc w:val="left"/>
      <w:pPr>
        <w:ind w:left="360" w:hanging="360"/>
      </w:pPr>
      <w:rPr>
        <w:rFonts w:hint="default"/>
      </w:rPr>
    </w:lvl>
    <w:lvl w:ilvl="1" w:tplc="823E27D6">
      <w:start w:val="1"/>
      <w:numFmt w:val="decimal"/>
      <w:lvlText w:val="A1.%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7F4AAC"/>
    <w:multiLevelType w:val="multilevel"/>
    <w:tmpl w:val="0CBCC986"/>
    <w:lvl w:ilvl="0">
      <w:start w:val="1"/>
      <w:numFmt w:val="decimal"/>
      <w:lvlText w:val="%1."/>
      <w:lvlJc w:val="left"/>
      <w:pPr>
        <w:ind w:left="720" w:hanging="360"/>
      </w:pPr>
      <w:rPr>
        <w:rFonts w:ascii="Arial" w:hAnsi="Arial" w:cs="Arial" w:hint="default"/>
        <w:b/>
        <w:sz w:val="28"/>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8C6D5F"/>
    <w:multiLevelType w:val="hybridMultilevel"/>
    <w:tmpl w:val="886046C2"/>
    <w:lvl w:ilvl="0" w:tplc="A624395C">
      <w:start w:val="1"/>
      <w:numFmt w:val="decimal"/>
      <w:pStyle w:val="Appendix3"/>
      <w:lvlText w:val="A6.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8351DD"/>
    <w:multiLevelType w:val="hybridMultilevel"/>
    <w:tmpl w:val="B2E480AE"/>
    <w:lvl w:ilvl="0" w:tplc="57BE6B04">
      <w:start w:val="1"/>
      <w:numFmt w:val="decimal"/>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940C1E"/>
    <w:multiLevelType w:val="hybridMultilevel"/>
    <w:tmpl w:val="65F27432"/>
    <w:lvl w:ilvl="0" w:tplc="FFFFFFFF">
      <w:start w:val="1"/>
      <w:numFmt w:val="decimal"/>
      <w:lvlText w:val="A7.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DB7993"/>
    <w:multiLevelType w:val="hybridMultilevel"/>
    <w:tmpl w:val="D7B85A32"/>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FC50D23"/>
    <w:multiLevelType w:val="hybridMultilevel"/>
    <w:tmpl w:val="3E885E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F405CE"/>
    <w:multiLevelType w:val="hybridMultilevel"/>
    <w:tmpl w:val="5E624C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5772204">
    <w:abstractNumId w:val="17"/>
  </w:num>
  <w:num w:numId="2" w16cid:durableId="858852492">
    <w:abstractNumId w:val="24"/>
  </w:num>
  <w:num w:numId="3" w16cid:durableId="703870629">
    <w:abstractNumId w:val="18"/>
  </w:num>
  <w:num w:numId="4" w16cid:durableId="788595793">
    <w:abstractNumId w:val="33"/>
  </w:num>
  <w:num w:numId="5" w16cid:durableId="934358896">
    <w:abstractNumId w:val="4"/>
  </w:num>
  <w:num w:numId="6" w16cid:durableId="600995162">
    <w:abstractNumId w:val="9"/>
  </w:num>
  <w:num w:numId="7" w16cid:durableId="1277980723">
    <w:abstractNumId w:val="3"/>
  </w:num>
  <w:num w:numId="8" w16cid:durableId="1483934344">
    <w:abstractNumId w:val="7"/>
  </w:num>
  <w:num w:numId="9" w16cid:durableId="550309998">
    <w:abstractNumId w:val="15"/>
  </w:num>
  <w:num w:numId="10" w16cid:durableId="807206979">
    <w:abstractNumId w:val="19"/>
  </w:num>
  <w:num w:numId="11" w16cid:durableId="1888226604">
    <w:abstractNumId w:val="36"/>
  </w:num>
  <w:num w:numId="12" w16cid:durableId="1996568810">
    <w:abstractNumId w:val="46"/>
  </w:num>
  <w:num w:numId="13" w16cid:durableId="423696851">
    <w:abstractNumId w:val="38"/>
  </w:num>
  <w:num w:numId="14" w16cid:durableId="1117021732">
    <w:abstractNumId w:val="40"/>
  </w:num>
  <w:num w:numId="15" w16cid:durableId="1567645024">
    <w:abstractNumId w:val="32"/>
  </w:num>
  <w:num w:numId="16" w16cid:durableId="2056352112">
    <w:abstractNumId w:val="25"/>
  </w:num>
  <w:num w:numId="17" w16cid:durableId="995382295">
    <w:abstractNumId w:val="21"/>
  </w:num>
  <w:num w:numId="18" w16cid:durableId="1651473147">
    <w:abstractNumId w:val="30"/>
  </w:num>
  <w:num w:numId="19" w16cid:durableId="870262409">
    <w:abstractNumId w:val="0"/>
  </w:num>
  <w:num w:numId="20" w16cid:durableId="1263685930">
    <w:abstractNumId w:val="16"/>
  </w:num>
  <w:num w:numId="21" w16cid:durableId="700672720">
    <w:abstractNumId w:val="39"/>
  </w:num>
  <w:num w:numId="22" w16cid:durableId="1171794906">
    <w:abstractNumId w:val="1"/>
  </w:num>
  <w:num w:numId="23" w16cid:durableId="2069109771">
    <w:abstractNumId w:val="42"/>
  </w:num>
  <w:num w:numId="24" w16cid:durableId="868300249">
    <w:abstractNumId w:val="41"/>
  </w:num>
  <w:num w:numId="25" w16cid:durableId="173342842">
    <w:abstractNumId w:val="37"/>
  </w:num>
  <w:num w:numId="26" w16cid:durableId="395126728">
    <w:abstractNumId w:val="35"/>
  </w:num>
  <w:num w:numId="27" w16cid:durableId="1761753525">
    <w:abstractNumId w:val="6"/>
  </w:num>
  <w:num w:numId="28" w16cid:durableId="1940064511">
    <w:abstractNumId w:val="23"/>
  </w:num>
  <w:num w:numId="29" w16cid:durableId="1416131322">
    <w:abstractNumId w:val="13"/>
  </w:num>
  <w:num w:numId="30" w16cid:durableId="1113282354">
    <w:abstractNumId w:val="41"/>
  </w:num>
  <w:num w:numId="31" w16cid:durableId="2065330332">
    <w:abstractNumId w:val="8"/>
  </w:num>
  <w:num w:numId="32" w16cid:durableId="520777603">
    <w:abstractNumId w:val="41"/>
  </w:num>
  <w:num w:numId="33" w16cid:durableId="1920208748">
    <w:abstractNumId w:val="41"/>
  </w:num>
  <w:num w:numId="34" w16cid:durableId="1698196295">
    <w:abstractNumId w:val="45"/>
  </w:num>
  <w:num w:numId="35" w16cid:durableId="1804929458">
    <w:abstractNumId w:val="31"/>
  </w:num>
  <w:num w:numId="36" w16cid:durableId="394857393">
    <w:abstractNumId w:val="10"/>
  </w:num>
  <w:num w:numId="37" w16cid:durableId="1174497861">
    <w:abstractNumId w:val="12"/>
  </w:num>
  <w:num w:numId="38" w16cid:durableId="848253247">
    <w:abstractNumId w:val="20"/>
  </w:num>
  <w:num w:numId="39" w16cid:durableId="456677997">
    <w:abstractNumId w:val="2"/>
  </w:num>
  <w:num w:numId="40" w16cid:durableId="1537965623">
    <w:abstractNumId w:val="11"/>
  </w:num>
  <w:num w:numId="41" w16cid:durableId="1432967428">
    <w:abstractNumId w:val="26"/>
  </w:num>
  <w:num w:numId="42" w16cid:durableId="677930321">
    <w:abstractNumId w:val="34"/>
  </w:num>
  <w:num w:numId="43" w16cid:durableId="674189819">
    <w:abstractNumId w:val="27"/>
  </w:num>
  <w:num w:numId="44" w16cid:durableId="1956672830">
    <w:abstractNumId w:val="14"/>
  </w:num>
  <w:num w:numId="45" w16cid:durableId="1372460321">
    <w:abstractNumId w:val="44"/>
  </w:num>
  <w:num w:numId="46" w16cid:durableId="1256207829">
    <w:abstractNumId w:val="22"/>
  </w:num>
  <w:num w:numId="47" w16cid:durableId="524904151">
    <w:abstractNumId w:val="43"/>
  </w:num>
  <w:num w:numId="48" w16cid:durableId="1649437284">
    <w:abstractNumId w:val="28"/>
  </w:num>
  <w:num w:numId="49" w16cid:durableId="693649626">
    <w:abstractNumId w:val="5"/>
  </w:num>
  <w:num w:numId="50" w16cid:durableId="13483507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58"/>
    <w:rsid w:val="00000346"/>
    <w:rsid w:val="00000786"/>
    <w:rsid w:val="00000B55"/>
    <w:rsid w:val="000011C2"/>
    <w:rsid w:val="0000139F"/>
    <w:rsid w:val="00001AD2"/>
    <w:rsid w:val="00002113"/>
    <w:rsid w:val="00003001"/>
    <w:rsid w:val="000030E7"/>
    <w:rsid w:val="000030FB"/>
    <w:rsid w:val="00003145"/>
    <w:rsid w:val="000035AD"/>
    <w:rsid w:val="00004527"/>
    <w:rsid w:val="00004F15"/>
    <w:rsid w:val="00005A88"/>
    <w:rsid w:val="00006567"/>
    <w:rsid w:val="00007ABC"/>
    <w:rsid w:val="000102E4"/>
    <w:rsid w:val="00011058"/>
    <w:rsid w:val="00011D1E"/>
    <w:rsid w:val="00012068"/>
    <w:rsid w:val="00012B09"/>
    <w:rsid w:val="00014B93"/>
    <w:rsid w:val="000158EB"/>
    <w:rsid w:val="00015AC1"/>
    <w:rsid w:val="0001603A"/>
    <w:rsid w:val="00016680"/>
    <w:rsid w:val="000171AF"/>
    <w:rsid w:val="000217EE"/>
    <w:rsid w:val="00021D66"/>
    <w:rsid w:val="0002245A"/>
    <w:rsid w:val="00022B70"/>
    <w:rsid w:val="000231C1"/>
    <w:rsid w:val="000238B1"/>
    <w:rsid w:val="00024646"/>
    <w:rsid w:val="0002560E"/>
    <w:rsid w:val="000259B4"/>
    <w:rsid w:val="00025A06"/>
    <w:rsid w:val="000267B8"/>
    <w:rsid w:val="00026B59"/>
    <w:rsid w:val="00027A8A"/>
    <w:rsid w:val="00027E49"/>
    <w:rsid w:val="000300F1"/>
    <w:rsid w:val="000303C1"/>
    <w:rsid w:val="000304C6"/>
    <w:rsid w:val="00031527"/>
    <w:rsid w:val="000315D6"/>
    <w:rsid w:val="000316BB"/>
    <w:rsid w:val="000319B3"/>
    <w:rsid w:val="00032814"/>
    <w:rsid w:val="00033845"/>
    <w:rsid w:val="00033AE5"/>
    <w:rsid w:val="00033EA7"/>
    <w:rsid w:val="000363DF"/>
    <w:rsid w:val="000370EA"/>
    <w:rsid w:val="0003765D"/>
    <w:rsid w:val="00037903"/>
    <w:rsid w:val="00037917"/>
    <w:rsid w:val="000407F2"/>
    <w:rsid w:val="00040D65"/>
    <w:rsid w:val="00041217"/>
    <w:rsid w:val="00041521"/>
    <w:rsid w:val="0004161C"/>
    <w:rsid w:val="0004205F"/>
    <w:rsid w:val="00042207"/>
    <w:rsid w:val="00043CBF"/>
    <w:rsid w:val="0004408A"/>
    <w:rsid w:val="0004427C"/>
    <w:rsid w:val="00044550"/>
    <w:rsid w:val="00044F13"/>
    <w:rsid w:val="0004553E"/>
    <w:rsid w:val="000467AA"/>
    <w:rsid w:val="00046805"/>
    <w:rsid w:val="000468CC"/>
    <w:rsid w:val="0004793B"/>
    <w:rsid w:val="00047AF1"/>
    <w:rsid w:val="00050C08"/>
    <w:rsid w:val="0005135D"/>
    <w:rsid w:val="00051F55"/>
    <w:rsid w:val="0005335C"/>
    <w:rsid w:val="000533A1"/>
    <w:rsid w:val="000534C9"/>
    <w:rsid w:val="00053AEF"/>
    <w:rsid w:val="000549B8"/>
    <w:rsid w:val="00054A30"/>
    <w:rsid w:val="0005651B"/>
    <w:rsid w:val="0005658B"/>
    <w:rsid w:val="00056CA0"/>
    <w:rsid w:val="0005780F"/>
    <w:rsid w:val="000604DE"/>
    <w:rsid w:val="00060F59"/>
    <w:rsid w:val="0006253D"/>
    <w:rsid w:val="000628B3"/>
    <w:rsid w:val="0006294F"/>
    <w:rsid w:val="00063385"/>
    <w:rsid w:val="0006346B"/>
    <w:rsid w:val="000638C8"/>
    <w:rsid w:val="00063AD3"/>
    <w:rsid w:val="00063D84"/>
    <w:rsid w:val="00063DC1"/>
    <w:rsid w:val="0006511F"/>
    <w:rsid w:val="00066D3C"/>
    <w:rsid w:val="000701FC"/>
    <w:rsid w:val="000704FD"/>
    <w:rsid w:val="00072B54"/>
    <w:rsid w:val="000736BB"/>
    <w:rsid w:val="000740B0"/>
    <w:rsid w:val="00074418"/>
    <w:rsid w:val="00074CE0"/>
    <w:rsid w:val="00075230"/>
    <w:rsid w:val="00075D9A"/>
    <w:rsid w:val="00076DFF"/>
    <w:rsid w:val="00076E2E"/>
    <w:rsid w:val="00077560"/>
    <w:rsid w:val="00077A15"/>
    <w:rsid w:val="00077DC3"/>
    <w:rsid w:val="00080293"/>
    <w:rsid w:val="00080439"/>
    <w:rsid w:val="00080E9A"/>
    <w:rsid w:val="00081311"/>
    <w:rsid w:val="000815CE"/>
    <w:rsid w:val="000818B4"/>
    <w:rsid w:val="00082554"/>
    <w:rsid w:val="0008256B"/>
    <w:rsid w:val="0008283E"/>
    <w:rsid w:val="00082CFE"/>
    <w:rsid w:val="000837BC"/>
    <w:rsid w:val="00083806"/>
    <w:rsid w:val="000843CE"/>
    <w:rsid w:val="00084D65"/>
    <w:rsid w:val="00085D59"/>
    <w:rsid w:val="00085FDA"/>
    <w:rsid w:val="0008664A"/>
    <w:rsid w:val="00087C87"/>
    <w:rsid w:val="00090990"/>
    <w:rsid w:val="00091989"/>
    <w:rsid w:val="000919F8"/>
    <w:rsid w:val="000920DA"/>
    <w:rsid w:val="00092F6B"/>
    <w:rsid w:val="00094D91"/>
    <w:rsid w:val="00094E4B"/>
    <w:rsid w:val="00096010"/>
    <w:rsid w:val="0009697D"/>
    <w:rsid w:val="00096E3A"/>
    <w:rsid w:val="00096F37"/>
    <w:rsid w:val="0009739A"/>
    <w:rsid w:val="000978DA"/>
    <w:rsid w:val="00097C67"/>
    <w:rsid w:val="000A0162"/>
    <w:rsid w:val="000A02AD"/>
    <w:rsid w:val="000A0506"/>
    <w:rsid w:val="000A0CB4"/>
    <w:rsid w:val="000A19EB"/>
    <w:rsid w:val="000A2C07"/>
    <w:rsid w:val="000A3476"/>
    <w:rsid w:val="000A378C"/>
    <w:rsid w:val="000A424A"/>
    <w:rsid w:val="000A57E2"/>
    <w:rsid w:val="000A5B17"/>
    <w:rsid w:val="000A6100"/>
    <w:rsid w:val="000A6623"/>
    <w:rsid w:val="000A6BC3"/>
    <w:rsid w:val="000A6BE9"/>
    <w:rsid w:val="000A78D3"/>
    <w:rsid w:val="000A7CF0"/>
    <w:rsid w:val="000B04E9"/>
    <w:rsid w:val="000B0A14"/>
    <w:rsid w:val="000B0A2C"/>
    <w:rsid w:val="000B0BB3"/>
    <w:rsid w:val="000B158C"/>
    <w:rsid w:val="000B22DD"/>
    <w:rsid w:val="000B277C"/>
    <w:rsid w:val="000B30B4"/>
    <w:rsid w:val="000B406B"/>
    <w:rsid w:val="000B49B6"/>
    <w:rsid w:val="000B4D46"/>
    <w:rsid w:val="000B4DEC"/>
    <w:rsid w:val="000B59C0"/>
    <w:rsid w:val="000B5D46"/>
    <w:rsid w:val="000B5E9F"/>
    <w:rsid w:val="000B7602"/>
    <w:rsid w:val="000B7A52"/>
    <w:rsid w:val="000C0830"/>
    <w:rsid w:val="000C0ED5"/>
    <w:rsid w:val="000C16CA"/>
    <w:rsid w:val="000C16F0"/>
    <w:rsid w:val="000C18BB"/>
    <w:rsid w:val="000C1F2D"/>
    <w:rsid w:val="000C25FF"/>
    <w:rsid w:val="000C3E37"/>
    <w:rsid w:val="000C3F48"/>
    <w:rsid w:val="000C3F68"/>
    <w:rsid w:val="000C47E6"/>
    <w:rsid w:val="000C4A34"/>
    <w:rsid w:val="000C518D"/>
    <w:rsid w:val="000C5DAC"/>
    <w:rsid w:val="000C5E4D"/>
    <w:rsid w:val="000C5F98"/>
    <w:rsid w:val="000C68CD"/>
    <w:rsid w:val="000C697F"/>
    <w:rsid w:val="000C6A3E"/>
    <w:rsid w:val="000C6AD8"/>
    <w:rsid w:val="000C7222"/>
    <w:rsid w:val="000C76F0"/>
    <w:rsid w:val="000D0090"/>
    <w:rsid w:val="000D1619"/>
    <w:rsid w:val="000D166E"/>
    <w:rsid w:val="000D1CB6"/>
    <w:rsid w:val="000D25FA"/>
    <w:rsid w:val="000D2921"/>
    <w:rsid w:val="000D2AC5"/>
    <w:rsid w:val="000D2DC4"/>
    <w:rsid w:val="000D3035"/>
    <w:rsid w:val="000D33F4"/>
    <w:rsid w:val="000D4BA4"/>
    <w:rsid w:val="000D5E85"/>
    <w:rsid w:val="000D62B5"/>
    <w:rsid w:val="000D75A6"/>
    <w:rsid w:val="000D7BE1"/>
    <w:rsid w:val="000E00C0"/>
    <w:rsid w:val="000E131D"/>
    <w:rsid w:val="000E2CF9"/>
    <w:rsid w:val="000E2FF8"/>
    <w:rsid w:val="000E3D76"/>
    <w:rsid w:val="000E42D4"/>
    <w:rsid w:val="000E4BC3"/>
    <w:rsid w:val="000E52D0"/>
    <w:rsid w:val="000E5765"/>
    <w:rsid w:val="000E663D"/>
    <w:rsid w:val="000E78D0"/>
    <w:rsid w:val="000F0378"/>
    <w:rsid w:val="000F0D0B"/>
    <w:rsid w:val="000F1FC6"/>
    <w:rsid w:val="000F2B2F"/>
    <w:rsid w:val="000F2BE6"/>
    <w:rsid w:val="000F3EA3"/>
    <w:rsid w:val="000F5B13"/>
    <w:rsid w:val="000F5CF3"/>
    <w:rsid w:val="000F5DFA"/>
    <w:rsid w:val="000F5E6B"/>
    <w:rsid w:val="000F696C"/>
    <w:rsid w:val="000F699A"/>
    <w:rsid w:val="000F6F67"/>
    <w:rsid w:val="000F70C1"/>
    <w:rsid w:val="000F71EA"/>
    <w:rsid w:val="00100F96"/>
    <w:rsid w:val="001015B1"/>
    <w:rsid w:val="00102904"/>
    <w:rsid w:val="001041A3"/>
    <w:rsid w:val="00104475"/>
    <w:rsid w:val="00104925"/>
    <w:rsid w:val="001056C6"/>
    <w:rsid w:val="0010647A"/>
    <w:rsid w:val="00106548"/>
    <w:rsid w:val="00106A83"/>
    <w:rsid w:val="00106D4A"/>
    <w:rsid w:val="00106E3D"/>
    <w:rsid w:val="00106F30"/>
    <w:rsid w:val="00107F26"/>
    <w:rsid w:val="0011093C"/>
    <w:rsid w:val="0011127D"/>
    <w:rsid w:val="001124AF"/>
    <w:rsid w:val="00112FC8"/>
    <w:rsid w:val="0011303B"/>
    <w:rsid w:val="001155AC"/>
    <w:rsid w:val="00115F3F"/>
    <w:rsid w:val="00116C40"/>
    <w:rsid w:val="00116CEA"/>
    <w:rsid w:val="00116F3C"/>
    <w:rsid w:val="00117726"/>
    <w:rsid w:val="001203CF"/>
    <w:rsid w:val="00120B3C"/>
    <w:rsid w:val="00120EFF"/>
    <w:rsid w:val="00121D05"/>
    <w:rsid w:val="00121F0B"/>
    <w:rsid w:val="001221BA"/>
    <w:rsid w:val="00122BDF"/>
    <w:rsid w:val="00122D50"/>
    <w:rsid w:val="00123C5C"/>
    <w:rsid w:val="00123FD0"/>
    <w:rsid w:val="00125742"/>
    <w:rsid w:val="00125C85"/>
    <w:rsid w:val="00125DED"/>
    <w:rsid w:val="00131425"/>
    <w:rsid w:val="00131816"/>
    <w:rsid w:val="00131EAD"/>
    <w:rsid w:val="00132408"/>
    <w:rsid w:val="001328C3"/>
    <w:rsid w:val="00132B8D"/>
    <w:rsid w:val="00132DFE"/>
    <w:rsid w:val="001341F3"/>
    <w:rsid w:val="00134669"/>
    <w:rsid w:val="001356FB"/>
    <w:rsid w:val="0014008C"/>
    <w:rsid w:val="00140C14"/>
    <w:rsid w:val="00140C8C"/>
    <w:rsid w:val="00140FC0"/>
    <w:rsid w:val="001421B4"/>
    <w:rsid w:val="00142ABE"/>
    <w:rsid w:val="00142BBF"/>
    <w:rsid w:val="00142BE8"/>
    <w:rsid w:val="00142CE9"/>
    <w:rsid w:val="00143763"/>
    <w:rsid w:val="00143CA1"/>
    <w:rsid w:val="0014510A"/>
    <w:rsid w:val="001455F4"/>
    <w:rsid w:val="00145B7B"/>
    <w:rsid w:val="00145CA6"/>
    <w:rsid w:val="00145D49"/>
    <w:rsid w:val="001462BF"/>
    <w:rsid w:val="0014633B"/>
    <w:rsid w:val="001465EF"/>
    <w:rsid w:val="0014699E"/>
    <w:rsid w:val="001469AA"/>
    <w:rsid w:val="0014720C"/>
    <w:rsid w:val="0014737B"/>
    <w:rsid w:val="0014751C"/>
    <w:rsid w:val="0014770A"/>
    <w:rsid w:val="00147AE8"/>
    <w:rsid w:val="00147E52"/>
    <w:rsid w:val="001511F9"/>
    <w:rsid w:val="001516FE"/>
    <w:rsid w:val="0015205E"/>
    <w:rsid w:val="001522F2"/>
    <w:rsid w:val="00152B19"/>
    <w:rsid w:val="00153071"/>
    <w:rsid w:val="0015339C"/>
    <w:rsid w:val="00153598"/>
    <w:rsid w:val="001538BD"/>
    <w:rsid w:val="0015512C"/>
    <w:rsid w:val="001553B4"/>
    <w:rsid w:val="00155731"/>
    <w:rsid w:val="00155D8D"/>
    <w:rsid w:val="00155ED4"/>
    <w:rsid w:val="00156FD7"/>
    <w:rsid w:val="00157614"/>
    <w:rsid w:val="001612E3"/>
    <w:rsid w:val="001618B0"/>
    <w:rsid w:val="00161ADA"/>
    <w:rsid w:val="00161BCB"/>
    <w:rsid w:val="001634CB"/>
    <w:rsid w:val="00163710"/>
    <w:rsid w:val="001638D2"/>
    <w:rsid w:val="00164A59"/>
    <w:rsid w:val="00165283"/>
    <w:rsid w:val="00166919"/>
    <w:rsid w:val="00166A8E"/>
    <w:rsid w:val="0016752E"/>
    <w:rsid w:val="001706E8"/>
    <w:rsid w:val="00171181"/>
    <w:rsid w:val="00171B5A"/>
    <w:rsid w:val="0017201D"/>
    <w:rsid w:val="00173EF1"/>
    <w:rsid w:val="00174544"/>
    <w:rsid w:val="0017465E"/>
    <w:rsid w:val="00174A0D"/>
    <w:rsid w:val="00174C79"/>
    <w:rsid w:val="00175134"/>
    <w:rsid w:val="00175A9F"/>
    <w:rsid w:val="00175BBB"/>
    <w:rsid w:val="0017622C"/>
    <w:rsid w:val="00176311"/>
    <w:rsid w:val="001766EF"/>
    <w:rsid w:val="0017673F"/>
    <w:rsid w:val="00177584"/>
    <w:rsid w:val="00177607"/>
    <w:rsid w:val="00177AF9"/>
    <w:rsid w:val="0018048C"/>
    <w:rsid w:val="001808B2"/>
    <w:rsid w:val="00180973"/>
    <w:rsid w:val="0018100F"/>
    <w:rsid w:val="00181112"/>
    <w:rsid w:val="00181A02"/>
    <w:rsid w:val="001820B5"/>
    <w:rsid w:val="0018224A"/>
    <w:rsid w:val="00182574"/>
    <w:rsid w:val="00183BC4"/>
    <w:rsid w:val="00183C7B"/>
    <w:rsid w:val="00183ED7"/>
    <w:rsid w:val="00183EE6"/>
    <w:rsid w:val="001843D4"/>
    <w:rsid w:val="001844F6"/>
    <w:rsid w:val="0018574D"/>
    <w:rsid w:val="00185D89"/>
    <w:rsid w:val="0018622E"/>
    <w:rsid w:val="001863FA"/>
    <w:rsid w:val="00186766"/>
    <w:rsid w:val="001873C0"/>
    <w:rsid w:val="00187BA4"/>
    <w:rsid w:val="00191C74"/>
    <w:rsid w:val="00193238"/>
    <w:rsid w:val="00193E34"/>
    <w:rsid w:val="0019405D"/>
    <w:rsid w:val="00194E85"/>
    <w:rsid w:val="00194EC3"/>
    <w:rsid w:val="00195A7D"/>
    <w:rsid w:val="00196553"/>
    <w:rsid w:val="00196DAB"/>
    <w:rsid w:val="001976F1"/>
    <w:rsid w:val="001A026B"/>
    <w:rsid w:val="001A0613"/>
    <w:rsid w:val="001A0C19"/>
    <w:rsid w:val="001A126D"/>
    <w:rsid w:val="001A1F95"/>
    <w:rsid w:val="001A2968"/>
    <w:rsid w:val="001A29CF"/>
    <w:rsid w:val="001A2A0C"/>
    <w:rsid w:val="001A2DDD"/>
    <w:rsid w:val="001A4935"/>
    <w:rsid w:val="001A7751"/>
    <w:rsid w:val="001A7BD5"/>
    <w:rsid w:val="001A7C53"/>
    <w:rsid w:val="001A7C67"/>
    <w:rsid w:val="001B0BEF"/>
    <w:rsid w:val="001B21BC"/>
    <w:rsid w:val="001B2C4C"/>
    <w:rsid w:val="001B2EA4"/>
    <w:rsid w:val="001B35B8"/>
    <w:rsid w:val="001B3813"/>
    <w:rsid w:val="001B3AEC"/>
    <w:rsid w:val="001B3C37"/>
    <w:rsid w:val="001B403F"/>
    <w:rsid w:val="001B405F"/>
    <w:rsid w:val="001B425D"/>
    <w:rsid w:val="001B467D"/>
    <w:rsid w:val="001B4F34"/>
    <w:rsid w:val="001B574C"/>
    <w:rsid w:val="001B5757"/>
    <w:rsid w:val="001B5839"/>
    <w:rsid w:val="001B60A6"/>
    <w:rsid w:val="001B60B5"/>
    <w:rsid w:val="001B63FB"/>
    <w:rsid w:val="001B65BD"/>
    <w:rsid w:val="001C0604"/>
    <w:rsid w:val="001C0699"/>
    <w:rsid w:val="001C0F94"/>
    <w:rsid w:val="001C14B1"/>
    <w:rsid w:val="001C24AF"/>
    <w:rsid w:val="001C2F2C"/>
    <w:rsid w:val="001C4079"/>
    <w:rsid w:val="001C5750"/>
    <w:rsid w:val="001C5DEE"/>
    <w:rsid w:val="001C684F"/>
    <w:rsid w:val="001D0091"/>
    <w:rsid w:val="001D03BF"/>
    <w:rsid w:val="001D1384"/>
    <w:rsid w:val="001D24F7"/>
    <w:rsid w:val="001D3DD4"/>
    <w:rsid w:val="001D55F9"/>
    <w:rsid w:val="001D61B7"/>
    <w:rsid w:val="001D6836"/>
    <w:rsid w:val="001D687E"/>
    <w:rsid w:val="001D757F"/>
    <w:rsid w:val="001D7906"/>
    <w:rsid w:val="001D7F79"/>
    <w:rsid w:val="001E000E"/>
    <w:rsid w:val="001E0257"/>
    <w:rsid w:val="001E2657"/>
    <w:rsid w:val="001E2723"/>
    <w:rsid w:val="001E2848"/>
    <w:rsid w:val="001E36FB"/>
    <w:rsid w:val="001E4498"/>
    <w:rsid w:val="001E4851"/>
    <w:rsid w:val="001E4BB7"/>
    <w:rsid w:val="001E4C62"/>
    <w:rsid w:val="001E5DF7"/>
    <w:rsid w:val="001E5EF8"/>
    <w:rsid w:val="001E6A7F"/>
    <w:rsid w:val="001E6DE3"/>
    <w:rsid w:val="001E751C"/>
    <w:rsid w:val="001E7C40"/>
    <w:rsid w:val="001F016D"/>
    <w:rsid w:val="001F07D1"/>
    <w:rsid w:val="001F0C44"/>
    <w:rsid w:val="001F1358"/>
    <w:rsid w:val="001F15B8"/>
    <w:rsid w:val="001F1FCD"/>
    <w:rsid w:val="001F2128"/>
    <w:rsid w:val="001F27F7"/>
    <w:rsid w:val="001F29BB"/>
    <w:rsid w:val="001F2F38"/>
    <w:rsid w:val="001F3EC6"/>
    <w:rsid w:val="001F659C"/>
    <w:rsid w:val="001F6957"/>
    <w:rsid w:val="00200C20"/>
    <w:rsid w:val="00200CA2"/>
    <w:rsid w:val="0020327F"/>
    <w:rsid w:val="002038DE"/>
    <w:rsid w:val="0020451E"/>
    <w:rsid w:val="00204E37"/>
    <w:rsid w:val="0020602F"/>
    <w:rsid w:val="00207924"/>
    <w:rsid w:val="0020797D"/>
    <w:rsid w:val="002103B4"/>
    <w:rsid w:val="00210442"/>
    <w:rsid w:val="00210FA5"/>
    <w:rsid w:val="0021268D"/>
    <w:rsid w:val="00212BF8"/>
    <w:rsid w:val="00212DBD"/>
    <w:rsid w:val="002136AB"/>
    <w:rsid w:val="00213B50"/>
    <w:rsid w:val="00213FE0"/>
    <w:rsid w:val="0021480E"/>
    <w:rsid w:val="002163DE"/>
    <w:rsid w:val="002166C4"/>
    <w:rsid w:val="00216B53"/>
    <w:rsid w:val="00217865"/>
    <w:rsid w:val="002201A2"/>
    <w:rsid w:val="00220D90"/>
    <w:rsid w:val="00220E1C"/>
    <w:rsid w:val="00221CBB"/>
    <w:rsid w:val="0022239B"/>
    <w:rsid w:val="00222A28"/>
    <w:rsid w:val="00223637"/>
    <w:rsid w:val="0022390C"/>
    <w:rsid w:val="0022392D"/>
    <w:rsid w:val="00223E25"/>
    <w:rsid w:val="00223EC1"/>
    <w:rsid w:val="00224154"/>
    <w:rsid w:val="00224177"/>
    <w:rsid w:val="0022437B"/>
    <w:rsid w:val="002243F6"/>
    <w:rsid w:val="0022470F"/>
    <w:rsid w:val="00225409"/>
    <w:rsid w:val="00225DC6"/>
    <w:rsid w:val="00226255"/>
    <w:rsid w:val="00226812"/>
    <w:rsid w:val="00226FD7"/>
    <w:rsid w:val="0022764D"/>
    <w:rsid w:val="00231B89"/>
    <w:rsid w:val="00232793"/>
    <w:rsid w:val="00232F83"/>
    <w:rsid w:val="00233ADA"/>
    <w:rsid w:val="002343FE"/>
    <w:rsid w:val="00234807"/>
    <w:rsid w:val="00234975"/>
    <w:rsid w:val="00234A5C"/>
    <w:rsid w:val="00234EC5"/>
    <w:rsid w:val="002351E7"/>
    <w:rsid w:val="00235866"/>
    <w:rsid w:val="00235F76"/>
    <w:rsid w:val="00236456"/>
    <w:rsid w:val="0023716E"/>
    <w:rsid w:val="0024052B"/>
    <w:rsid w:val="00240775"/>
    <w:rsid w:val="0024090B"/>
    <w:rsid w:val="00240D1B"/>
    <w:rsid w:val="0024100A"/>
    <w:rsid w:val="00241725"/>
    <w:rsid w:val="00241CAE"/>
    <w:rsid w:val="002433E9"/>
    <w:rsid w:val="00243647"/>
    <w:rsid w:val="0024384B"/>
    <w:rsid w:val="002451D0"/>
    <w:rsid w:val="002468A2"/>
    <w:rsid w:val="00246E4C"/>
    <w:rsid w:val="0024724F"/>
    <w:rsid w:val="0024780F"/>
    <w:rsid w:val="00247A86"/>
    <w:rsid w:val="00247E32"/>
    <w:rsid w:val="00247E86"/>
    <w:rsid w:val="002504F4"/>
    <w:rsid w:val="0025084C"/>
    <w:rsid w:val="00250889"/>
    <w:rsid w:val="0025091C"/>
    <w:rsid w:val="00250B32"/>
    <w:rsid w:val="00250DA1"/>
    <w:rsid w:val="00253D8E"/>
    <w:rsid w:val="00253D9F"/>
    <w:rsid w:val="00254A47"/>
    <w:rsid w:val="00254CD5"/>
    <w:rsid w:val="00254E69"/>
    <w:rsid w:val="00254FD0"/>
    <w:rsid w:val="002568B5"/>
    <w:rsid w:val="00256F8B"/>
    <w:rsid w:val="002573A4"/>
    <w:rsid w:val="00257400"/>
    <w:rsid w:val="002577F7"/>
    <w:rsid w:val="00257864"/>
    <w:rsid w:val="00257B10"/>
    <w:rsid w:val="00257FB9"/>
    <w:rsid w:val="0026031E"/>
    <w:rsid w:val="00260777"/>
    <w:rsid w:val="00260E26"/>
    <w:rsid w:val="002611FF"/>
    <w:rsid w:val="0026180A"/>
    <w:rsid w:val="00261FFB"/>
    <w:rsid w:val="00262008"/>
    <w:rsid w:val="00262125"/>
    <w:rsid w:val="0026234D"/>
    <w:rsid w:val="00262FF6"/>
    <w:rsid w:val="0026363B"/>
    <w:rsid w:val="00263EEB"/>
    <w:rsid w:val="00264A8F"/>
    <w:rsid w:val="00264B04"/>
    <w:rsid w:val="00264F27"/>
    <w:rsid w:val="00265207"/>
    <w:rsid w:val="00265466"/>
    <w:rsid w:val="0026555C"/>
    <w:rsid w:val="002670CF"/>
    <w:rsid w:val="0026764E"/>
    <w:rsid w:val="00267A8A"/>
    <w:rsid w:val="0027283B"/>
    <w:rsid w:val="0027369A"/>
    <w:rsid w:val="0027452C"/>
    <w:rsid w:val="00274592"/>
    <w:rsid w:val="00274C33"/>
    <w:rsid w:val="0027542F"/>
    <w:rsid w:val="00275B97"/>
    <w:rsid w:val="00275D8E"/>
    <w:rsid w:val="0027691E"/>
    <w:rsid w:val="00277085"/>
    <w:rsid w:val="0027783D"/>
    <w:rsid w:val="00280965"/>
    <w:rsid w:val="00280D35"/>
    <w:rsid w:val="00281565"/>
    <w:rsid w:val="0028169A"/>
    <w:rsid w:val="00281EBB"/>
    <w:rsid w:val="002827A9"/>
    <w:rsid w:val="00282D01"/>
    <w:rsid w:val="00283B1F"/>
    <w:rsid w:val="00283DFA"/>
    <w:rsid w:val="00283FAC"/>
    <w:rsid w:val="002853C1"/>
    <w:rsid w:val="00286430"/>
    <w:rsid w:val="00286562"/>
    <w:rsid w:val="00286CDE"/>
    <w:rsid w:val="00290168"/>
    <w:rsid w:val="00290474"/>
    <w:rsid w:val="0029064D"/>
    <w:rsid w:val="00290AAF"/>
    <w:rsid w:val="00290E6E"/>
    <w:rsid w:val="002913A7"/>
    <w:rsid w:val="002922E7"/>
    <w:rsid w:val="002928E0"/>
    <w:rsid w:val="00292DD3"/>
    <w:rsid w:val="00293FD1"/>
    <w:rsid w:val="002944B4"/>
    <w:rsid w:val="00295979"/>
    <w:rsid w:val="002961A3"/>
    <w:rsid w:val="00296E71"/>
    <w:rsid w:val="00297ABC"/>
    <w:rsid w:val="00297AF0"/>
    <w:rsid w:val="002A0401"/>
    <w:rsid w:val="002A0731"/>
    <w:rsid w:val="002A0B42"/>
    <w:rsid w:val="002A3257"/>
    <w:rsid w:val="002A3389"/>
    <w:rsid w:val="002A57F4"/>
    <w:rsid w:val="002A5B0F"/>
    <w:rsid w:val="002A6254"/>
    <w:rsid w:val="002A68EC"/>
    <w:rsid w:val="002A6D81"/>
    <w:rsid w:val="002A75B4"/>
    <w:rsid w:val="002A77B9"/>
    <w:rsid w:val="002A797D"/>
    <w:rsid w:val="002B04B0"/>
    <w:rsid w:val="002B109F"/>
    <w:rsid w:val="002B1477"/>
    <w:rsid w:val="002B19D9"/>
    <w:rsid w:val="002B1A20"/>
    <w:rsid w:val="002B214F"/>
    <w:rsid w:val="002B2BF2"/>
    <w:rsid w:val="002B2CAF"/>
    <w:rsid w:val="002B42CE"/>
    <w:rsid w:val="002B4AF0"/>
    <w:rsid w:val="002B705D"/>
    <w:rsid w:val="002B730E"/>
    <w:rsid w:val="002B75EA"/>
    <w:rsid w:val="002B7ECD"/>
    <w:rsid w:val="002C02E7"/>
    <w:rsid w:val="002C0842"/>
    <w:rsid w:val="002C0C0C"/>
    <w:rsid w:val="002C1543"/>
    <w:rsid w:val="002C3778"/>
    <w:rsid w:val="002C3AA3"/>
    <w:rsid w:val="002C3D73"/>
    <w:rsid w:val="002C4155"/>
    <w:rsid w:val="002C4542"/>
    <w:rsid w:val="002C4D94"/>
    <w:rsid w:val="002C5F3F"/>
    <w:rsid w:val="002C60F5"/>
    <w:rsid w:val="002C6189"/>
    <w:rsid w:val="002C7885"/>
    <w:rsid w:val="002D03AE"/>
    <w:rsid w:val="002D1011"/>
    <w:rsid w:val="002D2CED"/>
    <w:rsid w:val="002D3B83"/>
    <w:rsid w:val="002D428C"/>
    <w:rsid w:val="002D4798"/>
    <w:rsid w:val="002D47D7"/>
    <w:rsid w:val="002D4DCB"/>
    <w:rsid w:val="002D530F"/>
    <w:rsid w:val="002D5D30"/>
    <w:rsid w:val="002D6314"/>
    <w:rsid w:val="002D7648"/>
    <w:rsid w:val="002D7902"/>
    <w:rsid w:val="002E0652"/>
    <w:rsid w:val="002E217C"/>
    <w:rsid w:val="002E2DC8"/>
    <w:rsid w:val="002E3489"/>
    <w:rsid w:val="002E38A5"/>
    <w:rsid w:val="002E3A9E"/>
    <w:rsid w:val="002E3CC8"/>
    <w:rsid w:val="002E43D4"/>
    <w:rsid w:val="002E47EC"/>
    <w:rsid w:val="002E5086"/>
    <w:rsid w:val="002E59F4"/>
    <w:rsid w:val="002E5AD5"/>
    <w:rsid w:val="002E5B9B"/>
    <w:rsid w:val="002E60EF"/>
    <w:rsid w:val="002E7293"/>
    <w:rsid w:val="002E774B"/>
    <w:rsid w:val="002F02DC"/>
    <w:rsid w:val="002F0CB8"/>
    <w:rsid w:val="002F0FC6"/>
    <w:rsid w:val="002F1732"/>
    <w:rsid w:val="002F20D4"/>
    <w:rsid w:val="002F21E7"/>
    <w:rsid w:val="002F2E9C"/>
    <w:rsid w:val="002F3411"/>
    <w:rsid w:val="002F361D"/>
    <w:rsid w:val="002F3AF3"/>
    <w:rsid w:val="002F4807"/>
    <w:rsid w:val="002F61AB"/>
    <w:rsid w:val="002F6347"/>
    <w:rsid w:val="002F637D"/>
    <w:rsid w:val="002F65D8"/>
    <w:rsid w:val="002F7058"/>
    <w:rsid w:val="002F72A0"/>
    <w:rsid w:val="00300603"/>
    <w:rsid w:val="003016BE"/>
    <w:rsid w:val="00301BA7"/>
    <w:rsid w:val="00302A8B"/>
    <w:rsid w:val="00302F84"/>
    <w:rsid w:val="003030E1"/>
    <w:rsid w:val="00303D1F"/>
    <w:rsid w:val="00304CD2"/>
    <w:rsid w:val="00305415"/>
    <w:rsid w:val="00305632"/>
    <w:rsid w:val="00305945"/>
    <w:rsid w:val="00305A23"/>
    <w:rsid w:val="00306192"/>
    <w:rsid w:val="00306DFC"/>
    <w:rsid w:val="00306EB4"/>
    <w:rsid w:val="00307B00"/>
    <w:rsid w:val="0031034B"/>
    <w:rsid w:val="0031125F"/>
    <w:rsid w:val="00311336"/>
    <w:rsid w:val="0031275F"/>
    <w:rsid w:val="00312AA3"/>
    <w:rsid w:val="003131BF"/>
    <w:rsid w:val="003137A6"/>
    <w:rsid w:val="00316E54"/>
    <w:rsid w:val="003175D0"/>
    <w:rsid w:val="00317F8E"/>
    <w:rsid w:val="0032072D"/>
    <w:rsid w:val="00321152"/>
    <w:rsid w:val="003220C9"/>
    <w:rsid w:val="00323B3C"/>
    <w:rsid w:val="003242FF"/>
    <w:rsid w:val="0032674D"/>
    <w:rsid w:val="0032697D"/>
    <w:rsid w:val="00327470"/>
    <w:rsid w:val="00330349"/>
    <w:rsid w:val="00331BE2"/>
    <w:rsid w:val="00332258"/>
    <w:rsid w:val="00332AC8"/>
    <w:rsid w:val="00332B33"/>
    <w:rsid w:val="00332B43"/>
    <w:rsid w:val="00334414"/>
    <w:rsid w:val="003417A8"/>
    <w:rsid w:val="00341CAC"/>
    <w:rsid w:val="0034222C"/>
    <w:rsid w:val="00342C1A"/>
    <w:rsid w:val="00342DA5"/>
    <w:rsid w:val="00343507"/>
    <w:rsid w:val="00343A79"/>
    <w:rsid w:val="0034427F"/>
    <w:rsid w:val="00344794"/>
    <w:rsid w:val="00346F51"/>
    <w:rsid w:val="0034780E"/>
    <w:rsid w:val="003506CD"/>
    <w:rsid w:val="0035086E"/>
    <w:rsid w:val="00350DEF"/>
    <w:rsid w:val="00350EF8"/>
    <w:rsid w:val="00351763"/>
    <w:rsid w:val="00351B3B"/>
    <w:rsid w:val="00351F0E"/>
    <w:rsid w:val="003534D4"/>
    <w:rsid w:val="00353E9E"/>
    <w:rsid w:val="0035458F"/>
    <w:rsid w:val="003547A9"/>
    <w:rsid w:val="00356056"/>
    <w:rsid w:val="00356142"/>
    <w:rsid w:val="00356E7F"/>
    <w:rsid w:val="0035731C"/>
    <w:rsid w:val="00361482"/>
    <w:rsid w:val="00361DF5"/>
    <w:rsid w:val="00363661"/>
    <w:rsid w:val="0036414C"/>
    <w:rsid w:val="00364BDB"/>
    <w:rsid w:val="0036517F"/>
    <w:rsid w:val="003653D4"/>
    <w:rsid w:val="003654FE"/>
    <w:rsid w:val="00365BF0"/>
    <w:rsid w:val="00365E1D"/>
    <w:rsid w:val="00366140"/>
    <w:rsid w:val="003667D6"/>
    <w:rsid w:val="00367075"/>
    <w:rsid w:val="00367305"/>
    <w:rsid w:val="00370055"/>
    <w:rsid w:val="003707F3"/>
    <w:rsid w:val="003711AD"/>
    <w:rsid w:val="003711BD"/>
    <w:rsid w:val="00371877"/>
    <w:rsid w:val="00371B2A"/>
    <w:rsid w:val="003727A5"/>
    <w:rsid w:val="00373C0F"/>
    <w:rsid w:val="00375D06"/>
    <w:rsid w:val="00375F52"/>
    <w:rsid w:val="00376146"/>
    <w:rsid w:val="00376751"/>
    <w:rsid w:val="00376B38"/>
    <w:rsid w:val="00376C26"/>
    <w:rsid w:val="003773FB"/>
    <w:rsid w:val="00380921"/>
    <w:rsid w:val="00380E5A"/>
    <w:rsid w:val="00380E5B"/>
    <w:rsid w:val="00382711"/>
    <w:rsid w:val="00383AB9"/>
    <w:rsid w:val="00384A08"/>
    <w:rsid w:val="00384C76"/>
    <w:rsid w:val="00384F46"/>
    <w:rsid w:val="00385B78"/>
    <w:rsid w:val="00386453"/>
    <w:rsid w:val="0038703F"/>
    <w:rsid w:val="0038764B"/>
    <w:rsid w:val="00387ABF"/>
    <w:rsid w:val="00390D37"/>
    <w:rsid w:val="0039176A"/>
    <w:rsid w:val="003918E5"/>
    <w:rsid w:val="00391B39"/>
    <w:rsid w:val="00391BBB"/>
    <w:rsid w:val="00391EE6"/>
    <w:rsid w:val="00392838"/>
    <w:rsid w:val="0039337A"/>
    <w:rsid w:val="003939D5"/>
    <w:rsid w:val="00393FED"/>
    <w:rsid w:val="0039435A"/>
    <w:rsid w:val="00394CEE"/>
    <w:rsid w:val="003952B8"/>
    <w:rsid w:val="00395F28"/>
    <w:rsid w:val="00397564"/>
    <w:rsid w:val="003A0943"/>
    <w:rsid w:val="003A25B2"/>
    <w:rsid w:val="003A33CA"/>
    <w:rsid w:val="003A3CA7"/>
    <w:rsid w:val="003A41D1"/>
    <w:rsid w:val="003A4795"/>
    <w:rsid w:val="003A7244"/>
    <w:rsid w:val="003A74DB"/>
    <w:rsid w:val="003B0198"/>
    <w:rsid w:val="003B02D0"/>
    <w:rsid w:val="003B162B"/>
    <w:rsid w:val="003B1DB9"/>
    <w:rsid w:val="003B25DD"/>
    <w:rsid w:val="003B3458"/>
    <w:rsid w:val="003B388E"/>
    <w:rsid w:val="003B4891"/>
    <w:rsid w:val="003B4AB8"/>
    <w:rsid w:val="003B5BFD"/>
    <w:rsid w:val="003B6F1A"/>
    <w:rsid w:val="003B77E8"/>
    <w:rsid w:val="003B77F7"/>
    <w:rsid w:val="003B7E1B"/>
    <w:rsid w:val="003B7F4E"/>
    <w:rsid w:val="003C13AA"/>
    <w:rsid w:val="003C1A20"/>
    <w:rsid w:val="003C2148"/>
    <w:rsid w:val="003C22B2"/>
    <w:rsid w:val="003C2486"/>
    <w:rsid w:val="003C24E6"/>
    <w:rsid w:val="003C2BB2"/>
    <w:rsid w:val="003C3842"/>
    <w:rsid w:val="003C39C0"/>
    <w:rsid w:val="003C417E"/>
    <w:rsid w:val="003C4E9B"/>
    <w:rsid w:val="003C4FF1"/>
    <w:rsid w:val="003C5B57"/>
    <w:rsid w:val="003C6200"/>
    <w:rsid w:val="003C6403"/>
    <w:rsid w:val="003C691B"/>
    <w:rsid w:val="003C6937"/>
    <w:rsid w:val="003D0D4E"/>
    <w:rsid w:val="003D0E62"/>
    <w:rsid w:val="003D1161"/>
    <w:rsid w:val="003D158E"/>
    <w:rsid w:val="003D1CDC"/>
    <w:rsid w:val="003D25DA"/>
    <w:rsid w:val="003D3595"/>
    <w:rsid w:val="003D3AF7"/>
    <w:rsid w:val="003D4158"/>
    <w:rsid w:val="003D45E6"/>
    <w:rsid w:val="003D523C"/>
    <w:rsid w:val="003D551F"/>
    <w:rsid w:val="003D576F"/>
    <w:rsid w:val="003D6F1E"/>
    <w:rsid w:val="003D795D"/>
    <w:rsid w:val="003D7E19"/>
    <w:rsid w:val="003E1FCE"/>
    <w:rsid w:val="003E2C44"/>
    <w:rsid w:val="003E2F7A"/>
    <w:rsid w:val="003E31BA"/>
    <w:rsid w:val="003E41EF"/>
    <w:rsid w:val="003E4739"/>
    <w:rsid w:val="003E694C"/>
    <w:rsid w:val="003E6BB7"/>
    <w:rsid w:val="003E6C8D"/>
    <w:rsid w:val="003E6D58"/>
    <w:rsid w:val="003E6E15"/>
    <w:rsid w:val="003E6E28"/>
    <w:rsid w:val="003E750F"/>
    <w:rsid w:val="003F0627"/>
    <w:rsid w:val="003F15D7"/>
    <w:rsid w:val="003F1CCE"/>
    <w:rsid w:val="003F22CF"/>
    <w:rsid w:val="003F26E3"/>
    <w:rsid w:val="003F3190"/>
    <w:rsid w:val="003F46C1"/>
    <w:rsid w:val="003F6F6C"/>
    <w:rsid w:val="004000D8"/>
    <w:rsid w:val="00400302"/>
    <w:rsid w:val="004010EB"/>
    <w:rsid w:val="0040137F"/>
    <w:rsid w:val="0040255C"/>
    <w:rsid w:val="00402E59"/>
    <w:rsid w:val="0040309C"/>
    <w:rsid w:val="0040487C"/>
    <w:rsid w:val="00404881"/>
    <w:rsid w:val="00405004"/>
    <w:rsid w:val="00405360"/>
    <w:rsid w:val="00405767"/>
    <w:rsid w:val="00406676"/>
    <w:rsid w:val="00406DD0"/>
    <w:rsid w:val="00407741"/>
    <w:rsid w:val="004104F4"/>
    <w:rsid w:val="00411584"/>
    <w:rsid w:val="0041161E"/>
    <w:rsid w:val="00411EF6"/>
    <w:rsid w:val="00412324"/>
    <w:rsid w:val="00412555"/>
    <w:rsid w:val="00412F37"/>
    <w:rsid w:val="004130A2"/>
    <w:rsid w:val="00415728"/>
    <w:rsid w:val="0041675A"/>
    <w:rsid w:val="004167D3"/>
    <w:rsid w:val="00416937"/>
    <w:rsid w:val="00417027"/>
    <w:rsid w:val="0041736B"/>
    <w:rsid w:val="00417CE4"/>
    <w:rsid w:val="00420347"/>
    <w:rsid w:val="004204DB"/>
    <w:rsid w:val="00420918"/>
    <w:rsid w:val="00420C2B"/>
    <w:rsid w:val="00421B02"/>
    <w:rsid w:val="004221BF"/>
    <w:rsid w:val="004225BA"/>
    <w:rsid w:val="0042313E"/>
    <w:rsid w:val="00423342"/>
    <w:rsid w:val="00423718"/>
    <w:rsid w:val="004237A8"/>
    <w:rsid w:val="00424E7E"/>
    <w:rsid w:val="0042595B"/>
    <w:rsid w:val="00425B23"/>
    <w:rsid w:val="00426595"/>
    <w:rsid w:val="00426B96"/>
    <w:rsid w:val="00426CE6"/>
    <w:rsid w:val="00426FD6"/>
    <w:rsid w:val="00427C95"/>
    <w:rsid w:val="00430995"/>
    <w:rsid w:val="00430B72"/>
    <w:rsid w:val="00430CB0"/>
    <w:rsid w:val="00430F1E"/>
    <w:rsid w:val="00430FDD"/>
    <w:rsid w:val="00431850"/>
    <w:rsid w:val="00431DCA"/>
    <w:rsid w:val="00432590"/>
    <w:rsid w:val="00432C4E"/>
    <w:rsid w:val="00432E26"/>
    <w:rsid w:val="004337C9"/>
    <w:rsid w:val="00433A8F"/>
    <w:rsid w:val="00433EEA"/>
    <w:rsid w:val="004346E6"/>
    <w:rsid w:val="00434740"/>
    <w:rsid w:val="00434AF8"/>
    <w:rsid w:val="004357E2"/>
    <w:rsid w:val="00436B24"/>
    <w:rsid w:val="0043718A"/>
    <w:rsid w:val="00437A64"/>
    <w:rsid w:val="00440E60"/>
    <w:rsid w:val="004411E9"/>
    <w:rsid w:val="00441247"/>
    <w:rsid w:val="00441326"/>
    <w:rsid w:val="00441583"/>
    <w:rsid w:val="0044228D"/>
    <w:rsid w:val="004445C3"/>
    <w:rsid w:val="00444755"/>
    <w:rsid w:val="00445CF6"/>
    <w:rsid w:val="00445DA2"/>
    <w:rsid w:val="00446117"/>
    <w:rsid w:val="00446539"/>
    <w:rsid w:val="00447463"/>
    <w:rsid w:val="004476D1"/>
    <w:rsid w:val="004505D6"/>
    <w:rsid w:val="00450760"/>
    <w:rsid w:val="004519F0"/>
    <w:rsid w:val="00451A6D"/>
    <w:rsid w:val="00452008"/>
    <w:rsid w:val="00452078"/>
    <w:rsid w:val="00453044"/>
    <w:rsid w:val="00453374"/>
    <w:rsid w:val="00453AC0"/>
    <w:rsid w:val="0045465F"/>
    <w:rsid w:val="00456806"/>
    <w:rsid w:val="00456E4F"/>
    <w:rsid w:val="00457004"/>
    <w:rsid w:val="004579DF"/>
    <w:rsid w:val="00460857"/>
    <w:rsid w:val="00460ED1"/>
    <w:rsid w:val="0046156E"/>
    <w:rsid w:val="00463C20"/>
    <w:rsid w:val="00463FC9"/>
    <w:rsid w:val="00464309"/>
    <w:rsid w:val="00464486"/>
    <w:rsid w:val="00464557"/>
    <w:rsid w:val="00464791"/>
    <w:rsid w:val="00464A37"/>
    <w:rsid w:val="00464B91"/>
    <w:rsid w:val="0047008E"/>
    <w:rsid w:val="004723A2"/>
    <w:rsid w:val="0047351F"/>
    <w:rsid w:val="00473A32"/>
    <w:rsid w:val="00473C4A"/>
    <w:rsid w:val="004747B4"/>
    <w:rsid w:val="004749F3"/>
    <w:rsid w:val="004755A2"/>
    <w:rsid w:val="00476590"/>
    <w:rsid w:val="00477078"/>
    <w:rsid w:val="00480EC5"/>
    <w:rsid w:val="004820B7"/>
    <w:rsid w:val="00483420"/>
    <w:rsid w:val="004839A0"/>
    <w:rsid w:val="004839A1"/>
    <w:rsid w:val="004857A4"/>
    <w:rsid w:val="00486659"/>
    <w:rsid w:val="00491292"/>
    <w:rsid w:val="004914B6"/>
    <w:rsid w:val="0049288E"/>
    <w:rsid w:val="00492AE8"/>
    <w:rsid w:val="00494136"/>
    <w:rsid w:val="00494257"/>
    <w:rsid w:val="004948D7"/>
    <w:rsid w:val="0049534F"/>
    <w:rsid w:val="00495DE4"/>
    <w:rsid w:val="004961E7"/>
    <w:rsid w:val="00496771"/>
    <w:rsid w:val="00496B30"/>
    <w:rsid w:val="004970DF"/>
    <w:rsid w:val="004A0B27"/>
    <w:rsid w:val="004A1497"/>
    <w:rsid w:val="004A16D1"/>
    <w:rsid w:val="004A26BB"/>
    <w:rsid w:val="004A313B"/>
    <w:rsid w:val="004A323C"/>
    <w:rsid w:val="004A3F14"/>
    <w:rsid w:val="004A4944"/>
    <w:rsid w:val="004A4C91"/>
    <w:rsid w:val="004A4D4C"/>
    <w:rsid w:val="004A4E72"/>
    <w:rsid w:val="004A5751"/>
    <w:rsid w:val="004A5ED5"/>
    <w:rsid w:val="004A6C7D"/>
    <w:rsid w:val="004A7767"/>
    <w:rsid w:val="004A79F1"/>
    <w:rsid w:val="004A7DA4"/>
    <w:rsid w:val="004B0833"/>
    <w:rsid w:val="004B0AD3"/>
    <w:rsid w:val="004B109F"/>
    <w:rsid w:val="004B1257"/>
    <w:rsid w:val="004B24F4"/>
    <w:rsid w:val="004B2CD4"/>
    <w:rsid w:val="004B2CFC"/>
    <w:rsid w:val="004B3B9E"/>
    <w:rsid w:val="004B4646"/>
    <w:rsid w:val="004B49C2"/>
    <w:rsid w:val="004B5396"/>
    <w:rsid w:val="004B58C7"/>
    <w:rsid w:val="004B5C18"/>
    <w:rsid w:val="004B7290"/>
    <w:rsid w:val="004B75C1"/>
    <w:rsid w:val="004B78FD"/>
    <w:rsid w:val="004B7F00"/>
    <w:rsid w:val="004B7F1E"/>
    <w:rsid w:val="004C04A3"/>
    <w:rsid w:val="004C0D32"/>
    <w:rsid w:val="004C0D71"/>
    <w:rsid w:val="004C0D89"/>
    <w:rsid w:val="004C0F6A"/>
    <w:rsid w:val="004C11FF"/>
    <w:rsid w:val="004C1B1F"/>
    <w:rsid w:val="004C1C6D"/>
    <w:rsid w:val="004C1D25"/>
    <w:rsid w:val="004C22F8"/>
    <w:rsid w:val="004C23A0"/>
    <w:rsid w:val="004C262D"/>
    <w:rsid w:val="004C2A0D"/>
    <w:rsid w:val="004C5D79"/>
    <w:rsid w:val="004C66B6"/>
    <w:rsid w:val="004C68AD"/>
    <w:rsid w:val="004C6BCC"/>
    <w:rsid w:val="004D07C1"/>
    <w:rsid w:val="004D0BD1"/>
    <w:rsid w:val="004D0D1D"/>
    <w:rsid w:val="004D1246"/>
    <w:rsid w:val="004D13A3"/>
    <w:rsid w:val="004D2540"/>
    <w:rsid w:val="004D2951"/>
    <w:rsid w:val="004D2C29"/>
    <w:rsid w:val="004D2CDE"/>
    <w:rsid w:val="004D30DF"/>
    <w:rsid w:val="004D3348"/>
    <w:rsid w:val="004D5431"/>
    <w:rsid w:val="004D5465"/>
    <w:rsid w:val="004D7A38"/>
    <w:rsid w:val="004E07D2"/>
    <w:rsid w:val="004E196A"/>
    <w:rsid w:val="004E1DAF"/>
    <w:rsid w:val="004E25C8"/>
    <w:rsid w:val="004E2956"/>
    <w:rsid w:val="004E2D13"/>
    <w:rsid w:val="004E32DB"/>
    <w:rsid w:val="004E36D9"/>
    <w:rsid w:val="004E36E4"/>
    <w:rsid w:val="004E42BB"/>
    <w:rsid w:val="004E44D8"/>
    <w:rsid w:val="004E5A85"/>
    <w:rsid w:val="004E6EFA"/>
    <w:rsid w:val="004F0586"/>
    <w:rsid w:val="004F0930"/>
    <w:rsid w:val="004F123E"/>
    <w:rsid w:val="004F1A4E"/>
    <w:rsid w:val="004F1F52"/>
    <w:rsid w:val="004F240B"/>
    <w:rsid w:val="004F2B8A"/>
    <w:rsid w:val="004F3627"/>
    <w:rsid w:val="004F4319"/>
    <w:rsid w:val="004F5328"/>
    <w:rsid w:val="004F57A7"/>
    <w:rsid w:val="004F5AF7"/>
    <w:rsid w:val="004F5DBB"/>
    <w:rsid w:val="004F5E5F"/>
    <w:rsid w:val="004F64D8"/>
    <w:rsid w:val="004F6BDA"/>
    <w:rsid w:val="004F7FF0"/>
    <w:rsid w:val="0050000D"/>
    <w:rsid w:val="00500368"/>
    <w:rsid w:val="0050119E"/>
    <w:rsid w:val="005024FB"/>
    <w:rsid w:val="0050276F"/>
    <w:rsid w:val="00502AD6"/>
    <w:rsid w:val="00503004"/>
    <w:rsid w:val="0050369A"/>
    <w:rsid w:val="00503CCB"/>
    <w:rsid w:val="00503F8F"/>
    <w:rsid w:val="00504D1B"/>
    <w:rsid w:val="005071AF"/>
    <w:rsid w:val="0050790C"/>
    <w:rsid w:val="00507BBF"/>
    <w:rsid w:val="00510814"/>
    <w:rsid w:val="005109E2"/>
    <w:rsid w:val="00510C13"/>
    <w:rsid w:val="00510CCE"/>
    <w:rsid w:val="00511358"/>
    <w:rsid w:val="00511AA5"/>
    <w:rsid w:val="00511BCA"/>
    <w:rsid w:val="005134F7"/>
    <w:rsid w:val="005146E8"/>
    <w:rsid w:val="00514961"/>
    <w:rsid w:val="00514C7F"/>
    <w:rsid w:val="0051691E"/>
    <w:rsid w:val="00516C8E"/>
    <w:rsid w:val="0052014A"/>
    <w:rsid w:val="005207EB"/>
    <w:rsid w:val="00520D02"/>
    <w:rsid w:val="0052227C"/>
    <w:rsid w:val="005230FF"/>
    <w:rsid w:val="0052336C"/>
    <w:rsid w:val="0052380E"/>
    <w:rsid w:val="005258A4"/>
    <w:rsid w:val="00525B31"/>
    <w:rsid w:val="00526D91"/>
    <w:rsid w:val="00526E64"/>
    <w:rsid w:val="005273BE"/>
    <w:rsid w:val="00527FD6"/>
    <w:rsid w:val="00530CD1"/>
    <w:rsid w:val="00531A17"/>
    <w:rsid w:val="00531FC8"/>
    <w:rsid w:val="0053304A"/>
    <w:rsid w:val="005343C1"/>
    <w:rsid w:val="0053519A"/>
    <w:rsid w:val="005351A7"/>
    <w:rsid w:val="00535E2A"/>
    <w:rsid w:val="00536E51"/>
    <w:rsid w:val="00536F5B"/>
    <w:rsid w:val="005371E5"/>
    <w:rsid w:val="0053782E"/>
    <w:rsid w:val="0053792C"/>
    <w:rsid w:val="005402AA"/>
    <w:rsid w:val="00540792"/>
    <w:rsid w:val="00540FC9"/>
    <w:rsid w:val="00541676"/>
    <w:rsid w:val="00541754"/>
    <w:rsid w:val="00542CFF"/>
    <w:rsid w:val="00543BAF"/>
    <w:rsid w:val="0054418E"/>
    <w:rsid w:val="005450C3"/>
    <w:rsid w:val="005452DF"/>
    <w:rsid w:val="0054583C"/>
    <w:rsid w:val="00545B68"/>
    <w:rsid w:val="00545D1B"/>
    <w:rsid w:val="00546E6D"/>
    <w:rsid w:val="005503FF"/>
    <w:rsid w:val="005504AC"/>
    <w:rsid w:val="00550E5E"/>
    <w:rsid w:val="00551B5D"/>
    <w:rsid w:val="0055225C"/>
    <w:rsid w:val="005523DE"/>
    <w:rsid w:val="00553402"/>
    <w:rsid w:val="00555809"/>
    <w:rsid w:val="00555DFD"/>
    <w:rsid w:val="005561A2"/>
    <w:rsid w:val="0055667E"/>
    <w:rsid w:val="00556FCF"/>
    <w:rsid w:val="005570BD"/>
    <w:rsid w:val="0055713F"/>
    <w:rsid w:val="005575E5"/>
    <w:rsid w:val="0055791E"/>
    <w:rsid w:val="00560EB9"/>
    <w:rsid w:val="00562C72"/>
    <w:rsid w:val="0056370A"/>
    <w:rsid w:val="00564476"/>
    <w:rsid w:val="005644F5"/>
    <w:rsid w:val="00564BB5"/>
    <w:rsid w:val="00565281"/>
    <w:rsid w:val="00565F78"/>
    <w:rsid w:val="00566477"/>
    <w:rsid w:val="00566899"/>
    <w:rsid w:val="00567729"/>
    <w:rsid w:val="00567735"/>
    <w:rsid w:val="0057020D"/>
    <w:rsid w:val="005704E0"/>
    <w:rsid w:val="00570513"/>
    <w:rsid w:val="00570884"/>
    <w:rsid w:val="005712B1"/>
    <w:rsid w:val="005734E7"/>
    <w:rsid w:val="005738DA"/>
    <w:rsid w:val="00573E21"/>
    <w:rsid w:val="00573FF3"/>
    <w:rsid w:val="00575A70"/>
    <w:rsid w:val="00576763"/>
    <w:rsid w:val="005769C5"/>
    <w:rsid w:val="00576DAD"/>
    <w:rsid w:val="00576F30"/>
    <w:rsid w:val="005778B6"/>
    <w:rsid w:val="00577D56"/>
    <w:rsid w:val="0058051B"/>
    <w:rsid w:val="00580E1D"/>
    <w:rsid w:val="00581828"/>
    <w:rsid w:val="00581B9F"/>
    <w:rsid w:val="00581E7C"/>
    <w:rsid w:val="00582F32"/>
    <w:rsid w:val="0058308D"/>
    <w:rsid w:val="005836EC"/>
    <w:rsid w:val="00583C17"/>
    <w:rsid w:val="00583FFB"/>
    <w:rsid w:val="005844DC"/>
    <w:rsid w:val="00585173"/>
    <w:rsid w:val="0058529F"/>
    <w:rsid w:val="00586AAF"/>
    <w:rsid w:val="00586F7D"/>
    <w:rsid w:val="00587098"/>
    <w:rsid w:val="005873BA"/>
    <w:rsid w:val="005873BD"/>
    <w:rsid w:val="005879FA"/>
    <w:rsid w:val="00587DB2"/>
    <w:rsid w:val="005902E4"/>
    <w:rsid w:val="00590423"/>
    <w:rsid w:val="00590488"/>
    <w:rsid w:val="005904CB"/>
    <w:rsid w:val="00590795"/>
    <w:rsid w:val="0059181D"/>
    <w:rsid w:val="00592522"/>
    <w:rsid w:val="00592D94"/>
    <w:rsid w:val="00593541"/>
    <w:rsid w:val="005936A7"/>
    <w:rsid w:val="00593B9C"/>
    <w:rsid w:val="00593E09"/>
    <w:rsid w:val="00593FDC"/>
    <w:rsid w:val="0059412C"/>
    <w:rsid w:val="005944E1"/>
    <w:rsid w:val="005957DB"/>
    <w:rsid w:val="0059582B"/>
    <w:rsid w:val="00595FDD"/>
    <w:rsid w:val="00596129"/>
    <w:rsid w:val="00596704"/>
    <w:rsid w:val="00596739"/>
    <w:rsid w:val="00596F0C"/>
    <w:rsid w:val="00597127"/>
    <w:rsid w:val="0059717B"/>
    <w:rsid w:val="005972DA"/>
    <w:rsid w:val="00597E1A"/>
    <w:rsid w:val="005A034C"/>
    <w:rsid w:val="005A0CE4"/>
    <w:rsid w:val="005A1C58"/>
    <w:rsid w:val="005A2F75"/>
    <w:rsid w:val="005A32EF"/>
    <w:rsid w:val="005A3C26"/>
    <w:rsid w:val="005A4BF4"/>
    <w:rsid w:val="005A4FDE"/>
    <w:rsid w:val="005A5905"/>
    <w:rsid w:val="005A5AA9"/>
    <w:rsid w:val="005A5C47"/>
    <w:rsid w:val="005A5F96"/>
    <w:rsid w:val="005A6057"/>
    <w:rsid w:val="005A6765"/>
    <w:rsid w:val="005B05CA"/>
    <w:rsid w:val="005B109B"/>
    <w:rsid w:val="005B118B"/>
    <w:rsid w:val="005B1A70"/>
    <w:rsid w:val="005B1E3D"/>
    <w:rsid w:val="005B237D"/>
    <w:rsid w:val="005B26F5"/>
    <w:rsid w:val="005B2C93"/>
    <w:rsid w:val="005B3269"/>
    <w:rsid w:val="005B3468"/>
    <w:rsid w:val="005B4539"/>
    <w:rsid w:val="005B4825"/>
    <w:rsid w:val="005B5A06"/>
    <w:rsid w:val="005B5F4B"/>
    <w:rsid w:val="005B6AED"/>
    <w:rsid w:val="005C0D3F"/>
    <w:rsid w:val="005C187C"/>
    <w:rsid w:val="005C1AA9"/>
    <w:rsid w:val="005C257C"/>
    <w:rsid w:val="005C6604"/>
    <w:rsid w:val="005C7B78"/>
    <w:rsid w:val="005D15AB"/>
    <w:rsid w:val="005D237C"/>
    <w:rsid w:val="005D2B56"/>
    <w:rsid w:val="005D2BDF"/>
    <w:rsid w:val="005D3360"/>
    <w:rsid w:val="005D37CE"/>
    <w:rsid w:val="005D3912"/>
    <w:rsid w:val="005D3C43"/>
    <w:rsid w:val="005D4622"/>
    <w:rsid w:val="005D4DE4"/>
    <w:rsid w:val="005D511D"/>
    <w:rsid w:val="005D5678"/>
    <w:rsid w:val="005D5A07"/>
    <w:rsid w:val="005D6320"/>
    <w:rsid w:val="005D63BA"/>
    <w:rsid w:val="005D6834"/>
    <w:rsid w:val="005D721F"/>
    <w:rsid w:val="005D78E3"/>
    <w:rsid w:val="005E1016"/>
    <w:rsid w:val="005E1E1B"/>
    <w:rsid w:val="005E2BC5"/>
    <w:rsid w:val="005E3219"/>
    <w:rsid w:val="005E3A77"/>
    <w:rsid w:val="005E3E8A"/>
    <w:rsid w:val="005E436F"/>
    <w:rsid w:val="005E4B32"/>
    <w:rsid w:val="005E5002"/>
    <w:rsid w:val="005E64D7"/>
    <w:rsid w:val="005E7626"/>
    <w:rsid w:val="005E7FA9"/>
    <w:rsid w:val="005F1218"/>
    <w:rsid w:val="005F2F4A"/>
    <w:rsid w:val="005F3913"/>
    <w:rsid w:val="005F3B62"/>
    <w:rsid w:val="005F4032"/>
    <w:rsid w:val="005F4F7E"/>
    <w:rsid w:val="005F6D3F"/>
    <w:rsid w:val="005F726A"/>
    <w:rsid w:val="005F79E0"/>
    <w:rsid w:val="005F7CB1"/>
    <w:rsid w:val="00600630"/>
    <w:rsid w:val="00600ED3"/>
    <w:rsid w:val="00601169"/>
    <w:rsid w:val="0060272F"/>
    <w:rsid w:val="006027C8"/>
    <w:rsid w:val="00603641"/>
    <w:rsid w:val="00603E91"/>
    <w:rsid w:val="006040E6"/>
    <w:rsid w:val="00604695"/>
    <w:rsid w:val="0060504D"/>
    <w:rsid w:val="0060649A"/>
    <w:rsid w:val="00606543"/>
    <w:rsid w:val="00606662"/>
    <w:rsid w:val="00610462"/>
    <w:rsid w:val="006106F6"/>
    <w:rsid w:val="00610C16"/>
    <w:rsid w:val="00611BEE"/>
    <w:rsid w:val="006121CF"/>
    <w:rsid w:val="0061283C"/>
    <w:rsid w:val="00612E43"/>
    <w:rsid w:val="0061507E"/>
    <w:rsid w:val="006154A0"/>
    <w:rsid w:val="00615531"/>
    <w:rsid w:val="00617A44"/>
    <w:rsid w:val="006201F5"/>
    <w:rsid w:val="00620F78"/>
    <w:rsid w:val="006215D3"/>
    <w:rsid w:val="00621B62"/>
    <w:rsid w:val="00622183"/>
    <w:rsid w:val="006226A9"/>
    <w:rsid w:val="00622780"/>
    <w:rsid w:val="00622ACA"/>
    <w:rsid w:val="00623619"/>
    <w:rsid w:val="00623BF3"/>
    <w:rsid w:val="0062434C"/>
    <w:rsid w:val="00624B82"/>
    <w:rsid w:val="00624C14"/>
    <w:rsid w:val="00625696"/>
    <w:rsid w:val="00626405"/>
    <w:rsid w:val="00627419"/>
    <w:rsid w:val="0062799F"/>
    <w:rsid w:val="00630C1D"/>
    <w:rsid w:val="00630FF3"/>
    <w:rsid w:val="00632550"/>
    <w:rsid w:val="00632896"/>
    <w:rsid w:val="00632F13"/>
    <w:rsid w:val="00633EBD"/>
    <w:rsid w:val="00633F7D"/>
    <w:rsid w:val="006345C2"/>
    <w:rsid w:val="006353ED"/>
    <w:rsid w:val="006362D6"/>
    <w:rsid w:val="006363E4"/>
    <w:rsid w:val="00637002"/>
    <w:rsid w:val="00640070"/>
    <w:rsid w:val="00640D76"/>
    <w:rsid w:val="00640E04"/>
    <w:rsid w:val="00641DE7"/>
    <w:rsid w:val="00643104"/>
    <w:rsid w:val="006444C6"/>
    <w:rsid w:val="00644569"/>
    <w:rsid w:val="006445D1"/>
    <w:rsid w:val="00644BA7"/>
    <w:rsid w:val="00644BB8"/>
    <w:rsid w:val="00645036"/>
    <w:rsid w:val="006456A8"/>
    <w:rsid w:val="00645DF5"/>
    <w:rsid w:val="00646636"/>
    <w:rsid w:val="00646DF2"/>
    <w:rsid w:val="00647090"/>
    <w:rsid w:val="0065000F"/>
    <w:rsid w:val="00650316"/>
    <w:rsid w:val="00650C79"/>
    <w:rsid w:val="00652097"/>
    <w:rsid w:val="0065221E"/>
    <w:rsid w:val="0065288F"/>
    <w:rsid w:val="00652C36"/>
    <w:rsid w:val="006534E5"/>
    <w:rsid w:val="00653C43"/>
    <w:rsid w:val="00654645"/>
    <w:rsid w:val="0065472C"/>
    <w:rsid w:val="00655205"/>
    <w:rsid w:val="006557C4"/>
    <w:rsid w:val="00656A7B"/>
    <w:rsid w:val="00656AE8"/>
    <w:rsid w:val="00657784"/>
    <w:rsid w:val="00657BE6"/>
    <w:rsid w:val="00657C08"/>
    <w:rsid w:val="00660453"/>
    <w:rsid w:val="006620C0"/>
    <w:rsid w:val="00662327"/>
    <w:rsid w:val="0066262A"/>
    <w:rsid w:val="00663223"/>
    <w:rsid w:val="00663A1B"/>
    <w:rsid w:val="00663C39"/>
    <w:rsid w:val="00664742"/>
    <w:rsid w:val="00664869"/>
    <w:rsid w:val="0066506F"/>
    <w:rsid w:val="00665418"/>
    <w:rsid w:val="00665B86"/>
    <w:rsid w:val="00665BC8"/>
    <w:rsid w:val="00665EA6"/>
    <w:rsid w:val="00665EE5"/>
    <w:rsid w:val="006661BB"/>
    <w:rsid w:val="00666DD7"/>
    <w:rsid w:val="00667EC9"/>
    <w:rsid w:val="00670589"/>
    <w:rsid w:val="00671A51"/>
    <w:rsid w:val="00671FFA"/>
    <w:rsid w:val="00672B52"/>
    <w:rsid w:val="00672EE8"/>
    <w:rsid w:val="006730D1"/>
    <w:rsid w:val="006733BF"/>
    <w:rsid w:val="006735FC"/>
    <w:rsid w:val="006748C9"/>
    <w:rsid w:val="006752A7"/>
    <w:rsid w:val="006752C9"/>
    <w:rsid w:val="00675364"/>
    <w:rsid w:val="006755FC"/>
    <w:rsid w:val="006758C8"/>
    <w:rsid w:val="006762B0"/>
    <w:rsid w:val="006763D0"/>
    <w:rsid w:val="0067641F"/>
    <w:rsid w:val="006777AE"/>
    <w:rsid w:val="00680736"/>
    <w:rsid w:val="00680997"/>
    <w:rsid w:val="00681CF4"/>
    <w:rsid w:val="00683139"/>
    <w:rsid w:val="00683378"/>
    <w:rsid w:val="006837E8"/>
    <w:rsid w:val="006839F8"/>
    <w:rsid w:val="00684489"/>
    <w:rsid w:val="00684D33"/>
    <w:rsid w:val="00684E82"/>
    <w:rsid w:val="00686E47"/>
    <w:rsid w:val="00687233"/>
    <w:rsid w:val="00687701"/>
    <w:rsid w:val="00690B7C"/>
    <w:rsid w:val="00690FAF"/>
    <w:rsid w:val="00691DEA"/>
    <w:rsid w:val="006920EA"/>
    <w:rsid w:val="00692761"/>
    <w:rsid w:val="00692970"/>
    <w:rsid w:val="006934AD"/>
    <w:rsid w:val="006935FF"/>
    <w:rsid w:val="00693A1C"/>
    <w:rsid w:val="00694464"/>
    <w:rsid w:val="0069461C"/>
    <w:rsid w:val="006957FC"/>
    <w:rsid w:val="00695CA7"/>
    <w:rsid w:val="00695E08"/>
    <w:rsid w:val="006A0508"/>
    <w:rsid w:val="006A11DB"/>
    <w:rsid w:val="006A129C"/>
    <w:rsid w:val="006A1A04"/>
    <w:rsid w:val="006A2AE7"/>
    <w:rsid w:val="006A39BA"/>
    <w:rsid w:val="006A409C"/>
    <w:rsid w:val="006A41B6"/>
    <w:rsid w:val="006A4906"/>
    <w:rsid w:val="006A6ECB"/>
    <w:rsid w:val="006A766A"/>
    <w:rsid w:val="006A78A4"/>
    <w:rsid w:val="006A7D0F"/>
    <w:rsid w:val="006B11B7"/>
    <w:rsid w:val="006B20D6"/>
    <w:rsid w:val="006B3E85"/>
    <w:rsid w:val="006B40B7"/>
    <w:rsid w:val="006B4D6D"/>
    <w:rsid w:val="006B5FD4"/>
    <w:rsid w:val="006B6AFB"/>
    <w:rsid w:val="006B6CB9"/>
    <w:rsid w:val="006C058F"/>
    <w:rsid w:val="006C1E5A"/>
    <w:rsid w:val="006C23B0"/>
    <w:rsid w:val="006C2E86"/>
    <w:rsid w:val="006C30FF"/>
    <w:rsid w:val="006C3621"/>
    <w:rsid w:val="006C39EB"/>
    <w:rsid w:val="006C3B0D"/>
    <w:rsid w:val="006C41C3"/>
    <w:rsid w:val="006C4446"/>
    <w:rsid w:val="006C44F4"/>
    <w:rsid w:val="006C4A4D"/>
    <w:rsid w:val="006C591A"/>
    <w:rsid w:val="006C6C2A"/>
    <w:rsid w:val="006C6F05"/>
    <w:rsid w:val="006C7012"/>
    <w:rsid w:val="006C74AA"/>
    <w:rsid w:val="006C7DCE"/>
    <w:rsid w:val="006D1FEE"/>
    <w:rsid w:val="006D2097"/>
    <w:rsid w:val="006D3494"/>
    <w:rsid w:val="006D3715"/>
    <w:rsid w:val="006D3FD0"/>
    <w:rsid w:val="006D4D2F"/>
    <w:rsid w:val="006D5846"/>
    <w:rsid w:val="006D6468"/>
    <w:rsid w:val="006D6FE9"/>
    <w:rsid w:val="006D766D"/>
    <w:rsid w:val="006D7BB5"/>
    <w:rsid w:val="006E1C41"/>
    <w:rsid w:val="006E2B60"/>
    <w:rsid w:val="006E3966"/>
    <w:rsid w:val="006E3A00"/>
    <w:rsid w:val="006E3BEC"/>
    <w:rsid w:val="006E43AB"/>
    <w:rsid w:val="006E476F"/>
    <w:rsid w:val="006E4935"/>
    <w:rsid w:val="006E521B"/>
    <w:rsid w:val="006E5C42"/>
    <w:rsid w:val="006E66E9"/>
    <w:rsid w:val="006E78D0"/>
    <w:rsid w:val="006E7DFF"/>
    <w:rsid w:val="006F178E"/>
    <w:rsid w:val="006F1792"/>
    <w:rsid w:val="006F1A54"/>
    <w:rsid w:val="006F2513"/>
    <w:rsid w:val="006F3111"/>
    <w:rsid w:val="006F3152"/>
    <w:rsid w:val="006F3712"/>
    <w:rsid w:val="006F4246"/>
    <w:rsid w:val="006F53A9"/>
    <w:rsid w:val="006F6107"/>
    <w:rsid w:val="006F679A"/>
    <w:rsid w:val="006F6D42"/>
    <w:rsid w:val="0070014B"/>
    <w:rsid w:val="0070015B"/>
    <w:rsid w:val="00700869"/>
    <w:rsid w:val="00700FA1"/>
    <w:rsid w:val="0070288C"/>
    <w:rsid w:val="00702D71"/>
    <w:rsid w:val="0070340B"/>
    <w:rsid w:val="00703929"/>
    <w:rsid w:val="007045A9"/>
    <w:rsid w:val="00704AF2"/>
    <w:rsid w:val="00705C77"/>
    <w:rsid w:val="007061EE"/>
    <w:rsid w:val="007063AA"/>
    <w:rsid w:val="00706B77"/>
    <w:rsid w:val="0070739F"/>
    <w:rsid w:val="0070750D"/>
    <w:rsid w:val="007075A1"/>
    <w:rsid w:val="007106B7"/>
    <w:rsid w:val="00710A05"/>
    <w:rsid w:val="00710A31"/>
    <w:rsid w:val="0071108C"/>
    <w:rsid w:val="00712655"/>
    <w:rsid w:val="007129E8"/>
    <w:rsid w:val="00713BA7"/>
    <w:rsid w:val="00713CDA"/>
    <w:rsid w:val="00713E2F"/>
    <w:rsid w:val="007142B4"/>
    <w:rsid w:val="0071460C"/>
    <w:rsid w:val="00714949"/>
    <w:rsid w:val="00715A96"/>
    <w:rsid w:val="007205D8"/>
    <w:rsid w:val="007206E4"/>
    <w:rsid w:val="007211BA"/>
    <w:rsid w:val="00721489"/>
    <w:rsid w:val="00721914"/>
    <w:rsid w:val="00721BB3"/>
    <w:rsid w:val="00721F4B"/>
    <w:rsid w:val="00722CFE"/>
    <w:rsid w:val="007242C6"/>
    <w:rsid w:val="0072490B"/>
    <w:rsid w:val="0072599E"/>
    <w:rsid w:val="00725A7C"/>
    <w:rsid w:val="00725CE9"/>
    <w:rsid w:val="00726457"/>
    <w:rsid w:val="007266AB"/>
    <w:rsid w:val="00726E9F"/>
    <w:rsid w:val="00727238"/>
    <w:rsid w:val="007274BB"/>
    <w:rsid w:val="0072790D"/>
    <w:rsid w:val="00730063"/>
    <w:rsid w:val="007301B9"/>
    <w:rsid w:val="00730D11"/>
    <w:rsid w:val="00731440"/>
    <w:rsid w:val="00732178"/>
    <w:rsid w:val="00732D0B"/>
    <w:rsid w:val="007334E0"/>
    <w:rsid w:val="00733556"/>
    <w:rsid w:val="007339D8"/>
    <w:rsid w:val="007347BF"/>
    <w:rsid w:val="00734F2A"/>
    <w:rsid w:val="0073500A"/>
    <w:rsid w:val="0073572E"/>
    <w:rsid w:val="00735EE6"/>
    <w:rsid w:val="007372B5"/>
    <w:rsid w:val="007408BB"/>
    <w:rsid w:val="007431D5"/>
    <w:rsid w:val="007432BE"/>
    <w:rsid w:val="0074360F"/>
    <w:rsid w:val="00743B3E"/>
    <w:rsid w:val="0074506F"/>
    <w:rsid w:val="00745FB7"/>
    <w:rsid w:val="00746A5A"/>
    <w:rsid w:val="00746FA0"/>
    <w:rsid w:val="00750041"/>
    <w:rsid w:val="0075040C"/>
    <w:rsid w:val="007506D4"/>
    <w:rsid w:val="007512EF"/>
    <w:rsid w:val="007517E3"/>
    <w:rsid w:val="00752559"/>
    <w:rsid w:val="0075368D"/>
    <w:rsid w:val="00753B1F"/>
    <w:rsid w:val="007540A6"/>
    <w:rsid w:val="00754196"/>
    <w:rsid w:val="00754439"/>
    <w:rsid w:val="00754E9C"/>
    <w:rsid w:val="00755294"/>
    <w:rsid w:val="0075656A"/>
    <w:rsid w:val="00760337"/>
    <w:rsid w:val="0076162D"/>
    <w:rsid w:val="0076187D"/>
    <w:rsid w:val="00761ADC"/>
    <w:rsid w:val="007624C4"/>
    <w:rsid w:val="007628F8"/>
    <w:rsid w:val="0076335A"/>
    <w:rsid w:val="0076353E"/>
    <w:rsid w:val="00763E73"/>
    <w:rsid w:val="00764316"/>
    <w:rsid w:val="00764D7F"/>
    <w:rsid w:val="00765181"/>
    <w:rsid w:val="007675C2"/>
    <w:rsid w:val="007708A6"/>
    <w:rsid w:val="00771C50"/>
    <w:rsid w:val="00772641"/>
    <w:rsid w:val="0077297F"/>
    <w:rsid w:val="00772BDC"/>
    <w:rsid w:val="0077331E"/>
    <w:rsid w:val="007738C9"/>
    <w:rsid w:val="0077393E"/>
    <w:rsid w:val="00773BE9"/>
    <w:rsid w:val="00774275"/>
    <w:rsid w:val="00774A29"/>
    <w:rsid w:val="00774DAE"/>
    <w:rsid w:val="00775059"/>
    <w:rsid w:val="00775304"/>
    <w:rsid w:val="007755B8"/>
    <w:rsid w:val="00776587"/>
    <w:rsid w:val="00776BFA"/>
    <w:rsid w:val="00776D26"/>
    <w:rsid w:val="007771A8"/>
    <w:rsid w:val="00777823"/>
    <w:rsid w:val="00777985"/>
    <w:rsid w:val="007779BE"/>
    <w:rsid w:val="007779C5"/>
    <w:rsid w:val="00777A8A"/>
    <w:rsid w:val="00780233"/>
    <w:rsid w:val="00780350"/>
    <w:rsid w:val="007806AE"/>
    <w:rsid w:val="007818FA"/>
    <w:rsid w:val="00781FA9"/>
    <w:rsid w:val="0078217F"/>
    <w:rsid w:val="00782BEB"/>
    <w:rsid w:val="00783434"/>
    <w:rsid w:val="007838A4"/>
    <w:rsid w:val="007864E1"/>
    <w:rsid w:val="0078684E"/>
    <w:rsid w:val="00786A2C"/>
    <w:rsid w:val="00787448"/>
    <w:rsid w:val="00787B29"/>
    <w:rsid w:val="00791622"/>
    <w:rsid w:val="0079204C"/>
    <w:rsid w:val="007933BE"/>
    <w:rsid w:val="00793C65"/>
    <w:rsid w:val="0079539D"/>
    <w:rsid w:val="007955E0"/>
    <w:rsid w:val="00796B4F"/>
    <w:rsid w:val="00796C56"/>
    <w:rsid w:val="00797C30"/>
    <w:rsid w:val="00797C7C"/>
    <w:rsid w:val="007A001A"/>
    <w:rsid w:val="007A0223"/>
    <w:rsid w:val="007A0ABA"/>
    <w:rsid w:val="007A2254"/>
    <w:rsid w:val="007A245B"/>
    <w:rsid w:val="007A29E4"/>
    <w:rsid w:val="007A3647"/>
    <w:rsid w:val="007A3F24"/>
    <w:rsid w:val="007A44CD"/>
    <w:rsid w:val="007A45A1"/>
    <w:rsid w:val="007A4679"/>
    <w:rsid w:val="007A4BF3"/>
    <w:rsid w:val="007A503F"/>
    <w:rsid w:val="007A7AA4"/>
    <w:rsid w:val="007B001B"/>
    <w:rsid w:val="007B292E"/>
    <w:rsid w:val="007B41E4"/>
    <w:rsid w:val="007B42BA"/>
    <w:rsid w:val="007B4A06"/>
    <w:rsid w:val="007B4F78"/>
    <w:rsid w:val="007B50F2"/>
    <w:rsid w:val="007B6BF0"/>
    <w:rsid w:val="007B748F"/>
    <w:rsid w:val="007B787B"/>
    <w:rsid w:val="007B7991"/>
    <w:rsid w:val="007B7CAD"/>
    <w:rsid w:val="007B7D54"/>
    <w:rsid w:val="007C0146"/>
    <w:rsid w:val="007C0188"/>
    <w:rsid w:val="007C11E1"/>
    <w:rsid w:val="007C17DB"/>
    <w:rsid w:val="007C1C28"/>
    <w:rsid w:val="007C277D"/>
    <w:rsid w:val="007C2B2D"/>
    <w:rsid w:val="007C2C4D"/>
    <w:rsid w:val="007C3405"/>
    <w:rsid w:val="007C3DDB"/>
    <w:rsid w:val="007C4303"/>
    <w:rsid w:val="007C46FE"/>
    <w:rsid w:val="007C4798"/>
    <w:rsid w:val="007C52F1"/>
    <w:rsid w:val="007C7818"/>
    <w:rsid w:val="007C7AED"/>
    <w:rsid w:val="007C7BED"/>
    <w:rsid w:val="007D02F3"/>
    <w:rsid w:val="007D031D"/>
    <w:rsid w:val="007D0C1E"/>
    <w:rsid w:val="007D18BA"/>
    <w:rsid w:val="007D2735"/>
    <w:rsid w:val="007D2F2F"/>
    <w:rsid w:val="007D3375"/>
    <w:rsid w:val="007D39A6"/>
    <w:rsid w:val="007D42CD"/>
    <w:rsid w:val="007D57D5"/>
    <w:rsid w:val="007D5965"/>
    <w:rsid w:val="007D5D20"/>
    <w:rsid w:val="007D633B"/>
    <w:rsid w:val="007D70BF"/>
    <w:rsid w:val="007E0787"/>
    <w:rsid w:val="007E0B27"/>
    <w:rsid w:val="007E290C"/>
    <w:rsid w:val="007E3683"/>
    <w:rsid w:val="007E43F8"/>
    <w:rsid w:val="007E562B"/>
    <w:rsid w:val="007E577B"/>
    <w:rsid w:val="007E5794"/>
    <w:rsid w:val="007E602D"/>
    <w:rsid w:val="007E6636"/>
    <w:rsid w:val="007E7942"/>
    <w:rsid w:val="007F1A0A"/>
    <w:rsid w:val="007F23BA"/>
    <w:rsid w:val="007F2C19"/>
    <w:rsid w:val="007F463A"/>
    <w:rsid w:val="007F71D3"/>
    <w:rsid w:val="007F7E61"/>
    <w:rsid w:val="00800139"/>
    <w:rsid w:val="008011B9"/>
    <w:rsid w:val="00801377"/>
    <w:rsid w:val="00801ADD"/>
    <w:rsid w:val="00801E43"/>
    <w:rsid w:val="00801EED"/>
    <w:rsid w:val="00801F14"/>
    <w:rsid w:val="0080200C"/>
    <w:rsid w:val="00802365"/>
    <w:rsid w:val="00802829"/>
    <w:rsid w:val="008033BB"/>
    <w:rsid w:val="008040A7"/>
    <w:rsid w:val="00804A79"/>
    <w:rsid w:val="00804FED"/>
    <w:rsid w:val="00807D5E"/>
    <w:rsid w:val="0081015D"/>
    <w:rsid w:val="008108E4"/>
    <w:rsid w:val="0081215D"/>
    <w:rsid w:val="008121EB"/>
    <w:rsid w:val="008127E0"/>
    <w:rsid w:val="00812B1A"/>
    <w:rsid w:val="00813BE5"/>
    <w:rsid w:val="00813F23"/>
    <w:rsid w:val="00816680"/>
    <w:rsid w:val="00816AEF"/>
    <w:rsid w:val="0082028B"/>
    <w:rsid w:val="0082040C"/>
    <w:rsid w:val="00821227"/>
    <w:rsid w:val="0082210B"/>
    <w:rsid w:val="00822E0C"/>
    <w:rsid w:val="00823447"/>
    <w:rsid w:val="008247AB"/>
    <w:rsid w:val="00824D6C"/>
    <w:rsid w:val="00824DFD"/>
    <w:rsid w:val="00825156"/>
    <w:rsid w:val="008251B4"/>
    <w:rsid w:val="0082524E"/>
    <w:rsid w:val="00826BF7"/>
    <w:rsid w:val="008270B4"/>
    <w:rsid w:val="0082736B"/>
    <w:rsid w:val="008279CE"/>
    <w:rsid w:val="008279CF"/>
    <w:rsid w:val="0083065C"/>
    <w:rsid w:val="00830738"/>
    <w:rsid w:val="008307B2"/>
    <w:rsid w:val="00830D5E"/>
    <w:rsid w:val="00831BD8"/>
    <w:rsid w:val="00831CBD"/>
    <w:rsid w:val="0083206D"/>
    <w:rsid w:val="008324C2"/>
    <w:rsid w:val="00833687"/>
    <w:rsid w:val="00833C0B"/>
    <w:rsid w:val="00833C1B"/>
    <w:rsid w:val="00833F7C"/>
    <w:rsid w:val="008340DD"/>
    <w:rsid w:val="008346DA"/>
    <w:rsid w:val="00834718"/>
    <w:rsid w:val="0083477D"/>
    <w:rsid w:val="008354EC"/>
    <w:rsid w:val="0083563F"/>
    <w:rsid w:val="00835CE6"/>
    <w:rsid w:val="008364C4"/>
    <w:rsid w:val="00836668"/>
    <w:rsid w:val="00837816"/>
    <w:rsid w:val="00837CF0"/>
    <w:rsid w:val="00837E95"/>
    <w:rsid w:val="008418C2"/>
    <w:rsid w:val="008419B3"/>
    <w:rsid w:val="00841BE9"/>
    <w:rsid w:val="00841C10"/>
    <w:rsid w:val="008422B6"/>
    <w:rsid w:val="008423BD"/>
    <w:rsid w:val="008425AE"/>
    <w:rsid w:val="00842B5C"/>
    <w:rsid w:val="00843ADF"/>
    <w:rsid w:val="00844059"/>
    <w:rsid w:val="00844481"/>
    <w:rsid w:val="008445E4"/>
    <w:rsid w:val="00846745"/>
    <w:rsid w:val="00846FE9"/>
    <w:rsid w:val="00847B50"/>
    <w:rsid w:val="00850D13"/>
    <w:rsid w:val="008521BB"/>
    <w:rsid w:val="00852C9D"/>
    <w:rsid w:val="00853EF8"/>
    <w:rsid w:val="008548A1"/>
    <w:rsid w:val="00854CA8"/>
    <w:rsid w:val="00854D74"/>
    <w:rsid w:val="00854FF9"/>
    <w:rsid w:val="00856078"/>
    <w:rsid w:val="00856BD1"/>
    <w:rsid w:val="00857A97"/>
    <w:rsid w:val="00860F8B"/>
    <w:rsid w:val="00863BDA"/>
    <w:rsid w:val="00863C15"/>
    <w:rsid w:val="00863E8F"/>
    <w:rsid w:val="00865188"/>
    <w:rsid w:val="0086539F"/>
    <w:rsid w:val="008657CE"/>
    <w:rsid w:val="00865F93"/>
    <w:rsid w:val="00866899"/>
    <w:rsid w:val="008669A4"/>
    <w:rsid w:val="00866C79"/>
    <w:rsid w:val="00867023"/>
    <w:rsid w:val="008670A8"/>
    <w:rsid w:val="0086785C"/>
    <w:rsid w:val="00867B0E"/>
    <w:rsid w:val="008713CB"/>
    <w:rsid w:val="008714CE"/>
    <w:rsid w:val="0087209F"/>
    <w:rsid w:val="00872459"/>
    <w:rsid w:val="0087261E"/>
    <w:rsid w:val="008726C2"/>
    <w:rsid w:val="0087281E"/>
    <w:rsid w:val="00872A27"/>
    <w:rsid w:val="00873C3D"/>
    <w:rsid w:val="00873ECA"/>
    <w:rsid w:val="00875F15"/>
    <w:rsid w:val="00876AE3"/>
    <w:rsid w:val="00876F2A"/>
    <w:rsid w:val="00877036"/>
    <w:rsid w:val="00880235"/>
    <w:rsid w:val="00882110"/>
    <w:rsid w:val="0088246A"/>
    <w:rsid w:val="00883063"/>
    <w:rsid w:val="00883AFA"/>
    <w:rsid w:val="00883B4C"/>
    <w:rsid w:val="008868DC"/>
    <w:rsid w:val="00887284"/>
    <w:rsid w:val="0088735D"/>
    <w:rsid w:val="0088791E"/>
    <w:rsid w:val="00890751"/>
    <w:rsid w:val="00890892"/>
    <w:rsid w:val="00891EC6"/>
    <w:rsid w:val="00891FCB"/>
    <w:rsid w:val="00892518"/>
    <w:rsid w:val="00892D5D"/>
    <w:rsid w:val="00892F5F"/>
    <w:rsid w:val="00894306"/>
    <w:rsid w:val="0089496E"/>
    <w:rsid w:val="0089515D"/>
    <w:rsid w:val="008952AA"/>
    <w:rsid w:val="00895368"/>
    <w:rsid w:val="00895718"/>
    <w:rsid w:val="00896BA2"/>
    <w:rsid w:val="008A19E8"/>
    <w:rsid w:val="008A3882"/>
    <w:rsid w:val="008A3CEA"/>
    <w:rsid w:val="008A4251"/>
    <w:rsid w:val="008A7470"/>
    <w:rsid w:val="008A7518"/>
    <w:rsid w:val="008A79F1"/>
    <w:rsid w:val="008B0180"/>
    <w:rsid w:val="008B0B80"/>
    <w:rsid w:val="008B0D25"/>
    <w:rsid w:val="008B0F31"/>
    <w:rsid w:val="008B1622"/>
    <w:rsid w:val="008B2375"/>
    <w:rsid w:val="008B2418"/>
    <w:rsid w:val="008B2507"/>
    <w:rsid w:val="008B354F"/>
    <w:rsid w:val="008B37D7"/>
    <w:rsid w:val="008B37F4"/>
    <w:rsid w:val="008B3F22"/>
    <w:rsid w:val="008B3FA3"/>
    <w:rsid w:val="008B405E"/>
    <w:rsid w:val="008B4444"/>
    <w:rsid w:val="008B5CCA"/>
    <w:rsid w:val="008B6ED2"/>
    <w:rsid w:val="008B73AE"/>
    <w:rsid w:val="008C0349"/>
    <w:rsid w:val="008C0B9D"/>
    <w:rsid w:val="008C0BEB"/>
    <w:rsid w:val="008C128B"/>
    <w:rsid w:val="008C1558"/>
    <w:rsid w:val="008C155D"/>
    <w:rsid w:val="008C158B"/>
    <w:rsid w:val="008C1F1A"/>
    <w:rsid w:val="008C211F"/>
    <w:rsid w:val="008C30EB"/>
    <w:rsid w:val="008C37DF"/>
    <w:rsid w:val="008C3A18"/>
    <w:rsid w:val="008C4306"/>
    <w:rsid w:val="008C486F"/>
    <w:rsid w:val="008C4B51"/>
    <w:rsid w:val="008C5134"/>
    <w:rsid w:val="008C572B"/>
    <w:rsid w:val="008C5F2E"/>
    <w:rsid w:val="008C6380"/>
    <w:rsid w:val="008C6901"/>
    <w:rsid w:val="008C7606"/>
    <w:rsid w:val="008D0C3C"/>
    <w:rsid w:val="008D0EA3"/>
    <w:rsid w:val="008D0FD4"/>
    <w:rsid w:val="008D161B"/>
    <w:rsid w:val="008D220A"/>
    <w:rsid w:val="008D2363"/>
    <w:rsid w:val="008D2BDB"/>
    <w:rsid w:val="008D3DEC"/>
    <w:rsid w:val="008D4240"/>
    <w:rsid w:val="008D4799"/>
    <w:rsid w:val="008D49B0"/>
    <w:rsid w:val="008D5AD0"/>
    <w:rsid w:val="008D5C5A"/>
    <w:rsid w:val="008D5ECA"/>
    <w:rsid w:val="008D652C"/>
    <w:rsid w:val="008D79FC"/>
    <w:rsid w:val="008E0171"/>
    <w:rsid w:val="008E03C7"/>
    <w:rsid w:val="008E0B50"/>
    <w:rsid w:val="008E18DC"/>
    <w:rsid w:val="008E2DD9"/>
    <w:rsid w:val="008E325C"/>
    <w:rsid w:val="008E3597"/>
    <w:rsid w:val="008E40F8"/>
    <w:rsid w:val="008E50E3"/>
    <w:rsid w:val="008E5A72"/>
    <w:rsid w:val="008E75DA"/>
    <w:rsid w:val="008F0059"/>
    <w:rsid w:val="008F05D4"/>
    <w:rsid w:val="008F18FC"/>
    <w:rsid w:val="008F1A58"/>
    <w:rsid w:val="008F1E9C"/>
    <w:rsid w:val="008F2074"/>
    <w:rsid w:val="008F2861"/>
    <w:rsid w:val="008F3350"/>
    <w:rsid w:val="008F37DC"/>
    <w:rsid w:val="008F5D1D"/>
    <w:rsid w:val="009010CB"/>
    <w:rsid w:val="00901502"/>
    <w:rsid w:val="009016D8"/>
    <w:rsid w:val="00901A39"/>
    <w:rsid w:val="00901B06"/>
    <w:rsid w:val="0090239B"/>
    <w:rsid w:val="00902782"/>
    <w:rsid w:val="0090310E"/>
    <w:rsid w:val="009036DB"/>
    <w:rsid w:val="00903EF8"/>
    <w:rsid w:val="00904693"/>
    <w:rsid w:val="00904A75"/>
    <w:rsid w:val="00904E59"/>
    <w:rsid w:val="0090504D"/>
    <w:rsid w:val="00905C62"/>
    <w:rsid w:val="009067EF"/>
    <w:rsid w:val="00906C1F"/>
    <w:rsid w:val="00906EC8"/>
    <w:rsid w:val="00907152"/>
    <w:rsid w:val="00910DA0"/>
    <w:rsid w:val="00911079"/>
    <w:rsid w:val="00911672"/>
    <w:rsid w:val="0091194A"/>
    <w:rsid w:val="00912B4E"/>
    <w:rsid w:val="00913A95"/>
    <w:rsid w:val="00915D9F"/>
    <w:rsid w:val="00916054"/>
    <w:rsid w:val="009161B1"/>
    <w:rsid w:val="009161FC"/>
    <w:rsid w:val="00917026"/>
    <w:rsid w:val="00917958"/>
    <w:rsid w:val="0092024F"/>
    <w:rsid w:val="00920821"/>
    <w:rsid w:val="009208AE"/>
    <w:rsid w:val="0092326E"/>
    <w:rsid w:val="009236E3"/>
    <w:rsid w:val="009238FC"/>
    <w:rsid w:val="00923981"/>
    <w:rsid w:val="00923CBF"/>
    <w:rsid w:val="00924175"/>
    <w:rsid w:val="00925942"/>
    <w:rsid w:val="0092717A"/>
    <w:rsid w:val="00931271"/>
    <w:rsid w:val="009315EB"/>
    <w:rsid w:val="00932742"/>
    <w:rsid w:val="0093306D"/>
    <w:rsid w:val="0093371D"/>
    <w:rsid w:val="00933D64"/>
    <w:rsid w:val="0093413D"/>
    <w:rsid w:val="00934211"/>
    <w:rsid w:val="00934859"/>
    <w:rsid w:val="00934BBA"/>
    <w:rsid w:val="00934DCE"/>
    <w:rsid w:val="00935318"/>
    <w:rsid w:val="009379EE"/>
    <w:rsid w:val="0094038B"/>
    <w:rsid w:val="00940683"/>
    <w:rsid w:val="009420DF"/>
    <w:rsid w:val="0094309D"/>
    <w:rsid w:val="00943CB8"/>
    <w:rsid w:val="009444F3"/>
    <w:rsid w:val="0094472B"/>
    <w:rsid w:val="00945580"/>
    <w:rsid w:val="00945F8F"/>
    <w:rsid w:val="009461A4"/>
    <w:rsid w:val="00946CB9"/>
    <w:rsid w:val="00947784"/>
    <w:rsid w:val="00950905"/>
    <w:rsid w:val="00951F52"/>
    <w:rsid w:val="0095223F"/>
    <w:rsid w:val="00952301"/>
    <w:rsid w:val="00953756"/>
    <w:rsid w:val="0095398A"/>
    <w:rsid w:val="00953A8C"/>
    <w:rsid w:val="00954357"/>
    <w:rsid w:val="009548B1"/>
    <w:rsid w:val="009548E1"/>
    <w:rsid w:val="009556FE"/>
    <w:rsid w:val="00955AFC"/>
    <w:rsid w:val="00955B00"/>
    <w:rsid w:val="0095648F"/>
    <w:rsid w:val="009566C5"/>
    <w:rsid w:val="00957D94"/>
    <w:rsid w:val="00957EA5"/>
    <w:rsid w:val="00960B8E"/>
    <w:rsid w:val="009612AA"/>
    <w:rsid w:val="00963FE7"/>
    <w:rsid w:val="00964D17"/>
    <w:rsid w:val="00965124"/>
    <w:rsid w:val="009654BF"/>
    <w:rsid w:val="00970C6A"/>
    <w:rsid w:val="0097145F"/>
    <w:rsid w:val="0097224F"/>
    <w:rsid w:val="009725C9"/>
    <w:rsid w:val="00972C2A"/>
    <w:rsid w:val="009738F8"/>
    <w:rsid w:val="00974E81"/>
    <w:rsid w:val="00976195"/>
    <w:rsid w:val="009768C0"/>
    <w:rsid w:val="00976C81"/>
    <w:rsid w:val="009771CD"/>
    <w:rsid w:val="009776FD"/>
    <w:rsid w:val="00977F13"/>
    <w:rsid w:val="00980043"/>
    <w:rsid w:val="0098053D"/>
    <w:rsid w:val="009807C8"/>
    <w:rsid w:val="00980DE2"/>
    <w:rsid w:val="00981225"/>
    <w:rsid w:val="009817D9"/>
    <w:rsid w:val="00981885"/>
    <w:rsid w:val="00981CB7"/>
    <w:rsid w:val="009823D3"/>
    <w:rsid w:val="0098281F"/>
    <w:rsid w:val="009829E0"/>
    <w:rsid w:val="009839FE"/>
    <w:rsid w:val="009847F9"/>
    <w:rsid w:val="0098493A"/>
    <w:rsid w:val="00984AB0"/>
    <w:rsid w:val="00984D60"/>
    <w:rsid w:val="0098551E"/>
    <w:rsid w:val="00986014"/>
    <w:rsid w:val="009874FD"/>
    <w:rsid w:val="00987C14"/>
    <w:rsid w:val="00990B5D"/>
    <w:rsid w:val="00990F45"/>
    <w:rsid w:val="00991307"/>
    <w:rsid w:val="0099178D"/>
    <w:rsid w:val="009917E4"/>
    <w:rsid w:val="0099180E"/>
    <w:rsid w:val="0099190D"/>
    <w:rsid w:val="00992C2E"/>
    <w:rsid w:val="00993852"/>
    <w:rsid w:val="00993B1D"/>
    <w:rsid w:val="00993C90"/>
    <w:rsid w:val="009946D8"/>
    <w:rsid w:val="009959D5"/>
    <w:rsid w:val="009964FE"/>
    <w:rsid w:val="009971C1"/>
    <w:rsid w:val="009A06F7"/>
    <w:rsid w:val="009A0A3C"/>
    <w:rsid w:val="009A1F17"/>
    <w:rsid w:val="009A23EC"/>
    <w:rsid w:val="009A4168"/>
    <w:rsid w:val="009A47A4"/>
    <w:rsid w:val="009A48F5"/>
    <w:rsid w:val="009A567B"/>
    <w:rsid w:val="009A57C0"/>
    <w:rsid w:val="009A5F84"/>
    <w:rsid w:val="009A601D"/>
    <w:rsid w:val="009A69A2"/>
    <w:rsid w:val="009A7C62"/>
    <w:rsid w:val="009B0105"/>
    <w:rsid w:val="009B034E"/>
    <w:rsid w:val="009B0EBA"/>
    <w:rsid w:val="009B15EA"/>
    <w:rsid w:val="009B1868"/>
    <w:rsid w:val="009B1B10"/>
    <w:rsid w:val="009B2053"/>
    <w:rsid w:val="009B299C"/>
    <w:rsid w:val="009B3866"/>
    <w:rsid w:val="009B3C97"/>
    <w:rsid w:val="009B4F02"/>
    <w:rsid w:val="009B515B"/>
    <w:rsid w:val="009B6E1E"/>
    <w:rsid w:val="009B78FB"/>
    <w:rsid w:val="009B7D24"/>
    <w:rsid w:val="009C036D"/>
    <w:rsid w:val="009C1392"/>
    <w:rsid w:val="009C18E1"/>
    <w:rsid w:val="009C21FE"/>
    <w:rsid w:val="009C2FD1"/>
    <w:rsid w:val="009C3193"/>
    <w:rsid w:val="009C37D7"/>
    <w:rsid w:val="009C381F"/>
    <w:rsid w:val="009C4421"/>
    <w:rsid w:val="009C5131"/>
    <w:rsid w:val="009C556E"/>
    <w:rsid w:val="009C5630"/>
    <w:rsid w:val="009C5893"/>
    <w:rsid w:val="009C5B99"/>
    <w:rsid w:val="009C698E"/>
    <w:rsid w:val="009C78D2"/>
    <w:rsid w:val="009C7982"/>
    <w:rsid w:val="009D0212"/>
    <w:rsid w:val="009D065A"/>
    <w:rsid w:val="009D2133"/>
    <w:rsid w:val="009D2568"/>
    <w:rsid w:val="009D281C"/>
    <w:rsid w:val="009D2A53"/>
    <w:rsid w:val="009D3464"/>
    <w:rsid w:val="009D370A"/>
    <w:rsid w:val="009D3756"/>
    <w:rsid w:val="009D4378"/>
    <w:rsid w:val="009D48B4"/>
    <w:rsid w:val="009D49D8"/>
    <w:rsid w:val="009D5B3E"/>
    <w:rsid w:val="009D6396"/>
    <w:rsid w:val="009E0E51"/>
    <w:rsid w:val="009E0E59"/>
    <w:rsid w:val="009E174C"/>
    <w:rsid w:val="009E22E3"/>
    <w:rsid w:val="009E294B"/>
    <w:rsid w:val="009E3C95"/>
    <w:rsid w:val="009E4BF9"/>
    <w:rsid w:val="009E5695"/>
    <w:rsid w:val="009E60A9"/>
    <w:rsid w:val="009E7484"/>
    <w:rsid w:val="009E7C3B"/>
    <w:rsid w:val="009F0C12"/>
    <w:rsid w:val="009F0EE3"/>
    <w:rsid w:val="009F2707"/>
    <w:rsid w:val="009F2BBA"/>
    <w:rsid w:val="009F2C60"/>
    <w:rsid w:val="009F2C94"/>
    <w:rsid w:val="009F3A86"/>
    <w:rsid w:val="009F4572"/>
    <w:rsid w:val="009F51D9"/>
    <w:rsid w:val="009F5875"/>
    <w:rsid w:val="009F5BD1"/>
    <w:rsid w:val="009F5FB2"/>
    <w:rsid w:val="009F7D13"/>
    <w:rsid w:val="009F7D9D"/>
    <w:rsid w:val="00A003E7"/>
    <w:rsid w:val="00A00AA1"/>
    <w:rsid w:val="00A01171"/>
    <w:rsid w:val="00A01266"/>
    <w:rsid w:val="00A018DE"/>
    <w:rsid w:val="00A02F60"/>
    <w:rsid w:val="00A03843"/>
    <w:rsid w:val="00A03A90"/>
    <w:rsid w:val="00A040E5"/>
    <w:rsid w:val="00A040FB"/>
    <w:rsid w:val="00A04328"/>
    <w:rsid w:val="00A04935"/>
    <w:rsid w:val="00A0506B"/>
    <w:rsid w:val="00A0546D"/>
    <w:rsid w:val="00A05B5E"/>
    <w:rsid w:val="00A06BAC"/>
    <w:rsid w:val="00A0713D"/>
    <w:rsid w:val="00A10192"/>
    <w:rsid w:val="00A10398"/>
    <w:rsid w:val="00A10588"/>
    <w:rsid w:val="00A105EF"/>
    <w:rsid w:val="00A10E51"/>
    <w:rsid w:val="00A117AC"/>
    <w:rsid w:val="00A149A6"/>
    <w:rsid w:val="00A14A6A"/>
    <w:rsid w:val="00A1517F"/>
    <w:rsid w:val="00A151E9"/>
    <w:rsid w:val="00A158DA"/>
    <w:rsid w:val="00A1606E"/>
    <w:rsid w:val="00A16F6E"/>
    <w:rsid w:val="00A17343"/>
    <w:rsid w:val="00A177E5"/>
    <w:rsid w:val="00A17976"/>
    <w:rsid w:val="00A20370"/>
    <w:rsid w:val="00A2048B"/>
    <w:rsid w:val="00A20864"/>
    <w:rsid w:val="00A20C4D"/>
    <w:rsid w:val="00A21EBA"/>
    <w:rsid w:val="00A22168"/>
    <w:rsid w:val="00A225E2"/>
    <w:rsid w:val="00A22928"/>
    <w:rsid w:val="00A22F58"/>
    <w:rsid w:val="00A230FC"/>
    <w:rsid w:val="00A23377"/>
    <w:rsid w:val="00A24268"/>
    <w:rsid w:val="00A24269"/>
    <w:rsid w:val="00A24319"/>
    <w:rsid w:val="00A2520C"/>
    <w:rsid w:val="00A25493"/>
    <w:rsid w:val="00A257F2"/>
    <w:rsid w:val="00A26FF1"/>
    <w:rsid w:val="00A271A2"/>
    <w:rsid w:val="00A31038"/>
    <w:rsid w:val="00A31F24"/>
    <w:rsid w:val="00A3288F"/>
    <w:rsid w:val="00A35B80"/>
    <w:rsid w:val="00A374DA"/>
    <w:rsid w:val="00A37C7C"/>
    <w:rsid w:val="00A40A5B"/>
    <w:rsid w:val="00A40D06"/>
    <w:rsid w:val="00A4162A"/>
    <w:rsid w:val="00A437F8"/>
    <w:rsid w:val="00A4391C"/>
    <w:rsid w:val="00A43B35"/>
    <w:rsid w:val="00A44DE8"/>
    <w:rsid w:val="00A45AE3"/>
    <w:rsid w:val="00A4608A"/>
    <w:rsid w:val="00A466DB"/>
    <w:rsid w:val="00A46A71"/>
    <w:rsid w:val="00A47473"/>
    <w:rsid w:val="00A474A3"/>
    <w:rsid w:val="00A4767A"/>
    <w:rsid w:val="00A47FA4"/>
    <w:rsid w:val="00A52982"/>
    <w:rsid w:val="00A53022"/>
    <w:rsid w:val="00A532B5"/>
    <w:rsid w:val="00A533FF"/>
    <w:rsid w:val="00A54755"/>
    <w:rsid w:val="00A54C3E"/>
    <w:rsid w:val="00A54DBF"/>
    <w:rsid w:val="00A55EF4"/>
    <w:rsid w:val="00A56353"/>
    <w:rsid w:val="00A57859"/>
    <w:rsid w:val="00A60A4E"/>
    <w:rsid w:val="00A61127"/>
    <w:rsid w:val="00A612BC"/>
    <w:rsid w:val="00A61431"/>
    <w:rsid w:val="00A6216F"/>
    <w:rsid w:val="00A621DF"/>
    <w:rsid w:val="00A623E6"/>
    <w:rsid w:val="00A62DD9"/>
    <w:rsid w:val="00A64888"/>
    <w:rsid w:val="00A64D14"/>
    <w:rsid w:val="00A65526"/>
    <w:rsid w:val="00A65D05"/>
    <w:rsid w:val="00A6648B"/>
    <w:rsid w:val="00A66FB1"/>
    <w:rsid w:val="00A67365"/>
    <w:rsid w:val="00A6797A"/>
    <w:rsid w:val="00A67ADE"/>
    <w:rsid w:val="00A67C16"/>
    <w:rsid w:val="00A70341"/>
    <w:rsid w:val="00A705D6"/>
    <w:rsid w:val="00A70785"/>
    <w:rsid w:val="00A707BA"/>
    <w:rsid w:val="00A7121D"/>
    <w:rsid w:val="00A71425"/>
    <w:rsid w:val="00A718B0"/>
    <w:rsid w:val="00A71DF0"/>
    <w:rsid w:val="00A72D58"/>
    <w:rsid w:val="00A72E58"/>
    <w:rsid w:val="00A73D2E"/>
    <w:rsid w:val="00A74951"/>
    <w:rsid w:val="00A74BA8"/>
    <w:rsid w:val="00A74CFC"/>
    <w:rsid w:val="00A7600A"/>
    <w:rsid w:val="00A7659F"/>
    <w:rsid w:val="00A7735A"/>
    <w:rsid w:val="00A773DB"/>
    <w:rsid w:val="00A77E16"/>
    <w:rsid w:val="00A80E44"/>
    <w:rsid w:val="00A80EDF"/>
    <w:rsid w:val="00A81E15"/>
    <w:rsid w:val="00A82459"/>
    <w:rsid w:val="00A833D3"/>
    <w:rsid w:val="00A83C18"/>
    <w:rsid w:val="00A83EFF"/>
    <w:rsid w:val="00A84E81"/>
    <w:rsid w:val="00A85159"/>
    <w:rsid w:val="00A85B3C"/>
    <w:rsid w:val="00A85D06"/>
    <w:rsid w:val="00A85E26"/>
    <w:rsid w:val="00A860D1"/>
    <w:rsid w:val="00A86213"/>
    <w:rsid w:val="00A868A9"/>
    <w:rsid w:val="00A86BD3"/>
    <w:rsid w:val="00A870EC"/>
    <w:rsid w:val="00A87CF7"/>
    <w:rsid w:val="00A87D14"/>
    <w:rsid w:val="00A90212"/>
    <w:rsid w:val="00A9055F"/>
    <w:rsid w:val="00A906EA"/>
    <w:rsid w:val="00A90FC0"/>
    <w:rsid w:val="00A911D5"/>
    <w:rsid w:val="00A927CC"/>
    <w:rsid w:val="00A9284B"/>
    <w:rsid w:val="00A9296F"/>
    <w:rsid w:val="00A9328C"/>
    <w:rsid w:val="00A93436"/>
    <w:rsid w:val="00A93AF7"/>
    <w:rsid w:val="00A9416E"/>
    <w:rsid w:val="00A94314"/>
    <w:rsid w:val="00A943E2"/>
    <w:rsid w:val="00A9459F"/>
    <w:rsid w:val="00A951C6"/>
    <w:rsid w:val="00A956A9"/>
    <w:rsid w:val="00A95A6A"/>
    <w:rsid w:val="00A96587"/>
    <w:rsid w:val="00A9701F"/>
    <w:rsid w:val="00AA002E"/>
    <w:rsid w:val="00AA11C6"/>
    <w:rsid w:val="00AA1A3D"/>
    <w:rsid w:val="00AA1C6F"/>
    <w:rsid w:val="00AA1EF5"/>
    <w:rsid w:val="00AA2BA8"/>
    <w:rsid w:val="00AA2D8B"/>
    <w:rsid w:val="00AA2F2F"/>
    <w:rsid w:val="00AA3296"/>
    <w:rsid w:val="00AA389B"/>
    <w:rsid w:val="00AA3B26"/>
    <w:rsid w:val="00AA490D"/>
    <w:rsid w:val="00AA6026"/>
    <w:rsid w:val="00AA6448"/>
    <w:rsid w:val="00AA67A9"/>
    <w:rsid w:val="00AA6A2C"/>
    <w:rsid w:val="00AA7316"/>
    <w:rsid w:val="00AA73E1"/>
    <w:rsid w:val="00AA75F2"/>
    <w:rsid w:val="00AA77D3"/>
    <w:rsid w:val="00AB2351"/>
    <w:rsid w:val="00AB2566"/>
    <w:rsid w:val="00AB34F6"/>
    <w:rsid w:val="00AB35B2"/>
    <w:rsid w:val="00AB3718"/>
    <w:rsid w:val="00AB37B1"/>
    <w:rsid w:val="00AB3E23"/>
    <w:rsid w:val="00AB43AD"/>
    <w:rsid w:val="00AB477C"/>
    <w:rsid w:val="00AB536C"/>
    <w:rsid w:val="00AB5DF4"/>
    <w:rsid w:val="00AB7752"/>
    <w:rsid w:val="00AB7836"/>
    <w:rsid w:val="00AC0233"/>
    <w:rsid w:val="00AC0906"/>
    <w:rsid w:val="00AC0C0C"/>
    <w:rsid w:val="00AC2EDD"/>
    <w:rsid w:val="00AC53A0"/>
    <w:rsid w:val="00AC5671"/>
    <w:rsid w:val="00AC5B5B"/>
    <w:rsid w:val="00AC5C22"/>
    <w:rsid w:val="00AC6BFB"/>
    <w:rsid w:val="00AC70D4"/>
    <w:rsid w:val="00AC7D7F"/>
    <w:rsid w:val="00AD06EF"/>
    <w:rsid w:val="00AD1731"/>
    <w:rsid w:val="00AD1ACD"/>
    <w:rsid w:val="00AD2ACB"/>
    <w:rsid w:val="00AD4797"/>
    <w:rsid w:val="00AD4B3A"/>
    <w:rsid w:val="00AD5B05"/>
    <w:rsid w:val="00AD6235"/>
    <w:rsid w:val="00AD62D5"/>
    <w:rsid w:val="00AD631C"/>
    <w:rsid w:val="00AD6461"/>
    <w:rsid w:val="00AD70C2"/>
    <w:rsid w:val="00AD7A99"/>
    <w:rsid w:val="00AD7AFE"/>
    <w:rsid w:val="00AE00AB"/>
    <w:rsid w:val="00AE0796"/>
    <w:rsid w:val="00AE0B4C"/>
    <w:rsid w:val="00AE2610"/>
    <w:rsid w:val="00AE2B27"/>
    <w:rsid w:val="00AE2FF6"/>
    <w:rsid w:val="00AE328F"/>
    <w:rsid w:val="00AE35F9"/>
    <w:rsid w:val="00AE41AB"/>
    <w:rsid w:val="00AE5088"/>
    <w:rsid w:val="00AE53AA"/>
    <w:rsid w:val="00AE6120"/>
    <w:rsid w:val="00AE7938"/>
    <w:rsid w:val="00AE7CBB"/>
    <w:rsid w:val="00AE7D71"/>
    <w:rsid w:val="00AF1CD1"/>
    <w:rsid w:val="00AF1F91"/>
    <w:rsid w:val="00AF25DB"/>
    <w:rsid w:val="00AF2E6D"/>
    <w:rsid w:val="00AF3113"/>
    <w:rsid w:val="00AF316F"/>
    <w:rsid w:val="00AF450A"/>
    <w:rsid w:val="00AF5B38"/>
    <w:rsid w:val="00AF605E"/>
    <w:rsid w:val="00AF6648"/>
    <w:rsid w:val="00AF695B"/>
    <w:rsid w:val="00AF6BEF"/>
    <w:rsid w:val="00AF6F17"/>
    <w:rsid w:val="00AF71F5"/>
    <w:rsid w:val="00AF755D"/>
    <w:rsid w:val="00AF7E14"/>
    <w:rsid w:val="00B00910"/>
    <w:rsid w:val="00B02052"/>
    <w:rsid w:val="00B022F9"/>
    <w:rsid w:val="00B02402"/>
    <w:rsid w:val="00B02E75"/>
    <w:rsid w:val="00B030FA"/>
    <w:rsid w:val="00B03318"/>
    <w:rsid w:val="00B04B4C"/>
    <w:rsid w:val="00B05316"/>
    <w:rsid w:val="00B058FF"/>
    <w:rsid w:val="00B05B60"/>
    <w:rsid w:val="00B06367"/>
    <w:rsid w:val="00B064BA"/>
    <w:rsid w:val="00B105D8"/>
    <w:rsid w:val="00B11246"/>
    <w:rsid w:val="00B1383E"/>
    <w:rsid w:val="00B14650"/>
    <w:rsid w:val="00B14B00"/>
    <w:rsid w:val="00B14C62"/>
    <w:rsid w:val="00B15461"/>
    <w:rsid w:val="00B159E1"/>
    <w:rsid w:val="00B15EE4"/>
    <w:rsid w:val="00B16087"/>
    <w:rsid w:val="00B166D0"/>
    <w:rsid w:val="00B16E19"/>
    <w:rsid w:val="00B170B0"/>
    <w:rsid w:val="00B216F9"/>
    <w:rsid w:val="00B24173"/>
    <w:rsid w:val="00B248E7"/>
    <w:rsid w:val="00B258A6"/>
    <w:rsid w:val="00B25AA8"/>
    <w:rsid w:val="00B25F1B"/>
    <w:rsid w:val="00B26BB4"/>
    <w:rsid w:val="00B30090"/>
    <w:rsid w:val="00B301DF"/>
    <w:rsid w:val="00B30B62"/>
    <w:rsid w:val="00B33089"/>
    <w:rsid w:val="00B337ED"/>
    <w:rsid w:val="00B33808"/>
    <w:rsid w:val="00B33C16"/>
    <w:rsid w:val="00B33EA3"/>
    <w:rsid w:val="00B34260"/>
    <w:rsid w:val="00B34305"/>
    <w:rsid w:val="00B34884"/>
    <w:rsid w:val="00B34CA1"/>
    <w:rsid w:val="00B35371"/>
    <w:rsid w:val="00B35B0C"/>
    <w:rsid w:val="00B362AA"/>
    <w:rsid w:val="00B366A7"/>
    <w:rsid w:val="00B36DE6"/>
    <w:rsid w:val="00B40579"/>
    <w:rsid w:val="00B407AD"/>
    <w:rsid w:val="00B40B71"/>
    <w:rsid w:val="00B40ECA"/>
    <w:rsid w:val="00B4100D"/>
    <w:rsid w:val="00B41BAE"/>
    <w:rsid w:val="00B434D8"/>
    <w:rsid w:val="00B457D6"/>
    <w:rsid w:val="00B46219"/>
    <w:rsid w:val="00B467C5"/>
    <w:rsid w:val="00B46924"/>
    <w:rsid w:val="00B477B1"/>
    <w:rsid w:val="00B51820"/>
    <w:rsid w:val="00B519D8"/>
    <w:rsid w:val="00B53215"/>
    <w:rsid w:val="00B538F7"/>
    <w:rsid w:val="00B53DAC"/>
    <w:rsid w:val="00B545F4"/>
    <w:rsid w:val="00B54707"/>
    <w:rsid w:val="00B54BDA"/>
    <w:rsid w:val="00B5641F"/>
    <w:rsid w:val="00B5688E"/>
    <w:rsid w:val="00B601AC"/>
    <w:rsid w:val="00B6122E"/>
    <w:rsid w:val="00B61414"/>
    <w:rsid w:val="00B61D2C"/>
    <w:rsid w:val="00B627A2"/>
    <w:rsid w:val="00B62A46"/>
    <w:rsid w:val="00B64585"/>
    <w:rsid w:val="00B648E0"/>
    <w:rsid w:val="00B64B82"/>
    <w:rsid w:val="00B64E47"/>
    <w:rsid w:val="00B65B6F"/>
    <w:rsid w:val="00B65DA4"/>
    <w:rsid w:val="00B66D14"/>
    <w:rsid w:val="00B6737A"/>
    <w:rsid w:val="00B67A1D"/>
    <w:rsid w:val="00B67BC6"/>
    <w:rsid w:val="00B70377"/>
    <w:rsid w:val="00B71438"/>
    <w:rsid w:val="00B7159D"/>
    <w:rsid w:val="00B720AD"/>
    <w:rsid w:val="00B74B29"/>
    <w:rsid w:val="00B750D7"/>
    <w:rsid w:val="00B77082"/>
    <w:rsid w:val="00B77602"/>
    <w:rsid w:val="00B77AB3"/>
    <w:rsid w:val="00B77E01"/>
    <w:rsid w:val="00B803A7"/>
    <w:rsid w:val="00B83C24"/>
    <w:rsid w:val="00B84A0B"/>
    <w:rsid w:val="00B84C8A"/>
    <w:rsid w:val="00B85CC6"/>
    <w:rsid w:val="00B8624D"/>
    <w:rsid w:val="00B8688C"/>
    <w:rsid w:val="00B86965"/>
    <w:rsid w:val="00B86BB0"/>
    <w:rsid w:val="00B87614"/>
    <w:rsid w:val="00B87C37"/>
    <w:rsid w:val="00B87D0E"/>
    <w:rsid w:val="00B903F9"/>
    <w:rsid w:val="00B909E5"/>
    <w:rsid w:val="00B919BB"/>
    <w:rsid w:val="00B91DFC"/>
    <w:rsid w:val="00B92452"/>
    <w:rsid w:val="00B92CB4"/>
    <w:rsid w:val="00B9314B"/>
    <w:rsid w:val="00B935DA"/>
    <w:rsid w:val="00B947A7"/>
    <w:rsid w:val="00B96CF5"/>
    <w:rsid w:val="00BA01D7"/>
    <w:rsid w:val="00BA02C2"/>
    <w:rsid w:val="00BA1E3B"/>
    <w:rsid w:val="00BA20EE"/>
    <w:rsid w:val="00BA2CDE"/>
    <w:rsid w:val="00BA34E2"/>
    <w:rsid w:val="00BA3C89"/>
    <w:rsid w:val="00BA4CF2"/>
    <w:rsid w:val="00BA5243"/>
    <w:rsid w:val="00BA5526"/>
    <w:rsid w:val="00BA5EED"/>
    <w:rsid w:val="00BA5F13"/>
    <w:rsid w:val="00BA71F3"/>
    <w:rsid w:val="00BA7EEC"/>
    <w:rsid w:val="00BB0DA7"/>
    <w:rsid w:val="00BB1306"/>
    <w:rsid w:val="00BB21BC"/>
    <w:rsid w:val="00BB275A"/>
    <w:rsid w:val="00BB2805"/>
    <w:rsid w:val="00BB2DDC"/>
    <w:rsid w:val="00BB2F84"/>
    <w:rsid w:val="00BB3069"/>
    <w:rsid w:val="00BB3219"/>
    <w:rsid w:val="00BB32BD"/>
    <w:rsid w:val="00BB3723"/>
    <w:rsid w:val="00BB4961"/>
    <w:rsid w:val="00BB49DF"/>
    <w:rsid w:val="00BB4B5D"/>
    <w:rsid w:val="00BB4BDD"/>
    <w:rsid w:val="00BB5450"/>
    <w:rsid w:val="00BB5C3D"/>
    <w:rsid w:val="00BB5C56"/>
    <w:rsid w:val="00BB6250"/>
    <w:rsid w:val="00BB63F9"/>
    <w:rsid w:val="00BB69CE"/>
    <w:rsid w:val="00BB6CED"/>
    <w:rsid w:val="00BB72E7"/>
    <w:rsid w:val="00BB750D"/>
    <w:rsid w:val="00BB7ED0"/>
    <w:rsid w:val="00BC05A3"/>
    <w:rsid w:val="00BC0F27"/>
    <w:rsid w:val="00BC14D0"/>
    <w:rsid w:val="00BC1B04"/>
    <w:rsid w:val="00BC2EEA"/>
    <w:rsid w:val="00BC2F1C"/>
    <w:rsid w:val="00BC31DA"/>
    <w:rsid w:val="00BC3380"/>
    <w:rsid w:val="00BC36D8"/>
    <w:rsid w:val="00BC3876"/>
    <w:rsid w:val="00BC424F"/>
    <w:rsid w:val="00BC43DE"/>
    <w:rsid w:val="00BC46C5"/>
    <w:rsid w:val="00BC5C74"/>
    <w:rsid w:val="00BC5D1D"/>
    <w:rsid w:val="00BC5E17"/>
    <w:rsid w:val="00BC607C"/>
    <w:rsid w:val="00BC6738"/>
    <w:rsid w:val="00BC6EBE"/>
    <w:rsid w:val="00BD2893"/>
    <w:rsid w:val="00BD2D89"/>
    <w:rsid w:val="00BD3109"/>
    <w:rsid w:val="00BD4BE5"/>
    <w:rsid w:val="00BD5A1B"/>
    <w:rsid w:val="00BD5C1B"/>
    <w:rsid w:val="00BD68C4"/>
    <w:rsid w:val="00BD6CA7"/>
    <w:rsid w:val="00BD6D78"/>
    <w:rsid w:val="00BD743A"/>
    <w:rsid w:val="00BE18AA"/>
    <w:rsid w:val="00BE33BF"/>
    <w:rsid w:val="00BE4174"/>
    <w:rsid w:val="00BE4523"/>
    <w:rsid w:val="00BE517A"/>
    <w:rsid w:val="00BE5FD5"/>
    <w:rsid w:val="00BE6761"/>
    <w:rsid w:val="00BE7637"/>
    <w:rsid w:val="00BE7643"/>
    <w:rsid w:val="00BF0970"/>
    <w:rsid w:val="00BF247E"/>
    <w:rsid w:val="00BF3337"/>
    <w:rsid w:val="00BF3E7D"/>
    <w:rsid w:val="00BF4188"/>
    <w:rsid w:val="00BF41FC"/>
    <w:rsid w:val="00BF52C8"/>
    <w:rsid w:val="00BF556A"/>
    <w:rsid w:val="00BF5AEF"/>
    <w:rsid w:val="00BF5EBF"/>
    <w:rsid w:val="00BF5FF4"/>
    <w:rsid w:val="00BF639C"/>
    <w:rsid w:val="00BF6E00"/>
    <w:rsid w:val="00C00CCD"/>
    <w:rsid w:val="00C01195"/>
    <w:rsid w:val="00C01D74"/>
    <w:rsid w:val="00C029B1"/>
    <w:rsid w:val="00C02BC9"/>
    <w:rsid w:val="00C03485"/>
    <w:rsid w:val="00C03EB2"/>
    <w:rsid w:val="00C04CF0"/>
    <w:rsid w:val="00C055D7"/>
    <w:rsid w:val="00C0684C"/>
    <w:rsid w:val="00C06E82"/>
    <w:rsid w:val="00C07388"/>
    <w:rsid w:val="00C13D72"/>
    <w:rsid w:val="00C14789"/>
    <w:rsid w:val="00C14B7D"/>
    <w:rsid w:val="00C15FB6"/>
    <w:rsid w:val="00C161E9"/>
    <w:rsid w:val="00C16C87"/>
    <w:rsid w:val="00C17DD7"/>
    <w:rsid w:val="00C201EA"/>
    <w:rsid w:val="00C20E53"/>
    <w:rsid w:val="00C21176"/>
    <w:rsid w:val="00C220A5"/>
    <w:rsid w:val="00C224B6"/>
    <w:rsid w:val="00C22552"/>
    <w:rsid w:val="00C226A1"/>
    <w:rsid w:val="00C2282D"/>
    <w:rsid w:val="00C22950"/>
    <w:rsid w:val="00C23053"/>
    <w:rsid w:val="00C254CD"/>
    <w:rsid w:val="00C268F5"/>
    <w:rsid w:val="00C26938"/>
    <w:rsid w:val="00C26F99"/>
    <w:rsid w:val="00C30D6C"/>
    <w:rsid w:val="00C30E23"/>
    <w:rsid w:val="00C30FAE"/>
    <w:rsid w:val="00C31CC8"/>
    <w:rsid w:val="00C3347E"/>
    <w:rsid w:val="00C366B5"/>
    <w:rsid w:val="00C37393"/>
    <w:rsid w:val="00C37926"/>
    <w:rsid w:val="00C40A7D"/>
    <w:rsid w:val="00C40E8A"/>
    <w:rsid w:val="00C4100D"/>
    <w:rsid w:val="00C42470"/>
    <w:rsid w:val="00C4484D"/>
    <w:rsid w:val="00C4594B"/>
    <w:rsid w:val="00C45C6A"/>
    <w:rsid w:val="00C475BE"/>
    <w:rsid w:val="00C47AEF"/>
    <w:rsid w:val="00C50513"/>
    <w:rsid w:val="00C507B7"/>
    <w:rsid w:val="00C51492"/>
    <w:rsid w:val="00C5164A"/>
    <w:rsid w:val="00C518BD"/>
    <w:rsid w:val="00C52BF1"/>
    <w:rsid w:val="00C53A51"/>
    <w:rsid w:val="00C53B25"/>
    <w:rsid w:val="00C54813"/>
    <w:rsid w:val="00C54D85"/>
    <w:rsid w:val="00C5538D"/>
    <w:rsid w:val="00C56571"/>
    <w:rsid w:val="00C56A21"/>
    <w:rsid w:val="00C6055D"/>
    <w:rsid w:val="00C6212A"/>
    <w:rsid w:val="00C6351E"/>
    <w:rsid w:val="00C63DF5"/>
    <w:rsid w:val="00C642F3"/>
    <w:rsid w:val="00C64330"/>
    <w:rsid w:val="00C645D7"/>
    <w:rsid w:val="00C6463C"/>
    <w:rsid w:val="00C64BC1"/>
    <w:rsid w:val="00C65291"/>
    <w:rsid w:val="00C65F75"/>
    <w:rsid w:val="00C66094"/>
    <w:rsid w:val="00C67966"/>
    <w:rsid w:val="00C70531"/>
    <w:rsid w:val="00C7072D"/>
    <w:rsid w:val="00C7094D"/>
    <w:rsid w:val="00C70950"/>
    <w:rsid w:val="00C70D2D"/>
    <w:rsid w:val="00C70FBB"/>
    <w:rsid w:val="00C7189B"/>
    <w:rsid w:val="00C72864"/>
    <w:rsid w:val="00C72C56"/>
    <w:rsid w:val="00C7395C"/>
    <w:rsid w:val="00C73B72"/>
    <w:rsid w:val="00C73D5C"/>
    <w:rsid w:val="00C74298"/>
    <w:rsid w:val="00C759E0"/>
    <w:rsid w:val="00C7650A"/>
    <w:rsid w:val="00C76FA8"/>
    <w:rsid w:val="00C77BD5"/>
    <w:rsid w:val="00C8018A"/>
    <w:rsid w:val="00C80473"/>
    <w:rsid w:val="00C80643"/>
    <w:rsid w:val="00C80AF3"/>
    <w:rsid w:val="00C80D17"/>
    <w:rsid w:val="00C815BD"/>
    <w:rsid w:val="00C816D5"/>
    <w:rsid w:val="00C81FB0"/>
    <w:rsid w:val="00C82484"/>
    <w:rsid w:val="00C8295A"/>
    <w:rsid w:val="00C82C29"/>
    <w:rsid w:val="00C83060"/>
    <w:rsid w:val="00C83113"/>
    <w:rsid w:val="00C84715"/>
    <w:rsid w:val="00C84BC2"/>
    <w:rsid w:val="00C84DB6"/>
    <w:rsid w:val="00C86F45"/>
    <w:rsid w:val="00C871F1"/>
    <w:rsid w:val="00C87430"/>
    <w:rsid w:val="00C87AE1"/>
    <w:rsid w:val="00C87F3D"/>
    <w:rsid w:val="00C90E4C"/>
    <w:rsid w:val="00C9265D"/>
    <w:rsid w:val="00C929AC"/>
    <w:rsid w:val="00C931B6"/>
    <w:rsid w:val="00C93261"/>
    <w:rsid w:val="00C93D2C"/>
    <w:rsid w:val="00C93E66"/>
    <w:rsid w:val="00C943D8"/>
    <w:rsid w:val="00C95DD5"/>
    <w:rsid w:val="00C973B6"/>
    <w:rsid w:val="00CA05CD"/>
    <w:rsid w:val="00CA0A56"/>
    <w:rsid w:val="00CA0ABC"/>
    <w:rsid w:val="00CA1351"/>
    <w:rsid w:val="00CA1C53"/>
    <w:rsid w:val="00CA2958"/>
    <w:rsid w:val="00CA2E8E"/>
    <w:rsid w:val="00CA4125"/>
    <w:rsid w:val="00CA4971"/>
    <w:rsid w:val="00CA4DF8"/>
    <w:rsid w:val="00CA5526"/>
    <w:rsid w:val="00CA57FB"/>
    <w:rsid w:val="00CA5E5F"/>
    <w:rsid w:val="00CA71F8"/>
    <w:rsid w:val="00CA7743"/>
    <w:rsid w:val="00CB0C1A"/>
    <w:rsid w:val="00CB161C"/>
    <w:rsid w:val="00CB250D"/>
    <w:rsid w:val="00CB30C2"/>
    <w:rsid w:val="00CB36C4"/>
    <w:rsid w:val="00CB38DE"/>
    <w:rsid w:val="00CB3BC7"/>
    <w:rsid w:val="00CB3E14"/>
    <w:rsid w:val="00CB4C31"/>
    <w:rsid w:val="00CB51AD"/>
    <w:rsid w:val="00CB598D"/>
    <w:rsid w:val="00CB5F3B"/>
    <w:rsid w:val="00CB7CB9"/>
    <w:rsid w:val="00CC177E"/>
    <w:rsid w:val="00CC1E82"/>
    <w:rsid w:val="00CC1F5B"/>
    <w:rsid w:val="00CC25E1"/>
    <w:rsid w:val="00CC2845"/>
    <w:rsid w:val="00CC2B38"/>
    <w:rsid w:val="00CC3125"/>
    <w:rsid w:val="00CC34E7"/>
    <w:rsid w:val="00CC3EDD"/>
    <w:rsid w:val="00CC45FA"/>
    <w:rsid w:val="00CC46FD"/>
    <w:rsid w:val="00CC4BB5"/>
    <w:rsid w:val="00CC582B"/>
    <w:rsid w:val="00CC5B52"/>
    <w:rsid w:val="00CC6853"/>
    <w:rsid w:val="00CC7184"/>
    <w:rsid w:val="00CC7575"/>
    <w:rsid w:val="00CC7F48"/>
    <w:rsid w:val="00CD0C1E"/>
    <w:rsid w:val="00CD1409"/>
    <w:rsid w:val="00CD3B5E"/>
    <w:rsid w:val="00CD3D4A"/>
    <w:rsid w:val="00CD583D"/>
    <w:rsid w:val="00CD5D5B"/>
    <w:rsid w:val="00CD60B3"/>
    <w:rsid w:val="00CD670C"/>
    <w:rsid w:val="00CD7FA3"/>
    <w:rsid w:val="00CE029B"/>
    <w:rsid w:val="00CE064C"/>
    <w:rsid w:val="00CE1287"/>
    <w:rsid w:val="00CE136E"/>
    <w:rsid w:val="00CE1A69"/>
    <w:rsid w:val="00CE1FB9"/>
    <w:rsid w:val="00CE20D3"/>
    <w:rsid w:val="00CE2567"/>
    <w:rsid w:val="00CE2C77"/>
    <w:rsid w:val="00CE2E34"/>
    <w:rsid w:val="00CE398F"/>
    <w:rsid w:val="00CE3E16"/>
    <w:rsid w:val="00CE44F1"/>
    <w:rsid w:val="00CE4F8B"/>
    <w:rsid w:val="00CE571F"/>
    <w:rsid w:val="00CE5B89"/>
    <w:rsid w:val="00CE6036"/>
    <w:rsid w:val="00CE651B"/>
    <w:rsid w:val="00CE66E4"/>
    <w:rsid w:val="00CE6C5F"/>
    <w:rsid w:val="00CE6EFB"/>
    <w:rsid w:val="00CE70D3"/>
    <w:rsid w:val="00CE7750"/>
    <w:rsid w:val="00CE7B59"/>
    <w:rsid w:val="00CE7C99"/>
    <w:rsid w:val="00CF00B5"/>
    <w:rsid w:val="00CF036C"/>
    <w:rsid w:val="00CF0C36"/>
    <w:rsid w:val="00CF1793"/>
    <w:rsid w:val="00CF19B3"/>
    <w:rsid w:val="00CF1BA5"/>
    <w:rsid w:val="00CF233E"/>
    <w:rsid w:val="00CF411A"/>
    <w:rsid w:val="00CF4592"/>
    <w:rsid w:val="00CF47B3"/>
    <w:rsid w:val="00CF5133"/>
    <w:rsid w:val="00CF5359"/>
    <w:rsid w:val="00CF564F"/>
    <w:rsid w:val="00CF57EC"/>
    <w:rsid w:val="00CF613B"/>
    <w:rsid w:val="00CF7F61"/>
    <w:rsid w:val="00D003B8"/>
    <w:rsid w:val="00D00F13"/>
    <w:rsid w:val="00D01DD8"/>
    <w:rsid w:val="00D02395"/>
    <w:rsid w:val="00D02BE7"/>
    <w:rsid w:val="00D03087"/>
    <w:rsid w:val="00D03805"/>
    <w:rsid w:val="00D03F67"/>
    <w:rsid w:val="00D0483E"/>
    <w:rsid w:val="00D04FAE"/>
    <w:rsid w:val="00D052B8"/>
    <w:rsid w:val="00D0631A"/>
    <w:rsid w:val="00D076E1"/>
    <w:rsid w:val="00D1119F"/>
    <w:rsid w:val="00D1135D"/>
    <w:rsid w:val="00D119EE"/>
    <w:rsid w:val="00D11B70"/>
    <w:rsid w:val="00D12522"/>
    <w:rsid w:val="00D12813"/>
    <w:rsid w:val="00D13539"/>
    <w:rsid w:val="00D136E2"/>
    <w:rsid w:val="00D141B4"/>
    <w:rsid w:val="00D142FA"/>
    <w:rsid w:val="00D146DC"/>
    <w:rsid w:val="00D1481D"/>
    <w:rsid w:val="00D14948"/>
    <w:rsid w:val="00D156B8"/>
    <w:rsid w:val="00D158A1"/>
    <w:rsid w:val="00D16446"/>
    <w:rsid w:val="00D16922"/>
    <w:rsid w:val="00D16BD5"/>
    <w:rsid w:val="00D16CC0"/>
    <w:rsid w:val="00D177A2"/>
    <w:rsid w:val="00D20D95"/>
    <w:rsid w:val="00D217AB"/>
    <w:rsid w:val="00D2253E"/>
    <w:rsid w:val="00D2282B"/>
    <w:rsid w:val="00D23A26"/>
    <w:rsid w:val="00D2438C"/>
    <w:rsid w:val="00D24E95"/>
    <w:rsid w:val="00D25AB5"/>
    <w:rsid w:val="00D25C29"/>
    <w:rsid w:val="00D27111"/>
    <w:rsid w:val="00D2771C"/>
    <w:rsid w:val="00D27EF1"/>
    <w:rsid w:val="00D3061B"/>
    <w:rsid w:val="00D30746"/>
    <w:rsid w:val="00D31678"/>
    <w:rsid w:val="00D31DC6"/>
    <w:rsid w:val="00D32084"/>
    <w:rsid w:val="00D3299C"/>
    <w:rsid w:val="00D330A5"/>
    <w:rsid w:val="00D343BB"/>
    <w:rsid w:val="00D34C0D"/>
    <w:rsid w:val="00D35E52"/>
    <w:rsid w:val="00D362F5"/>
    <w:rsid w:val="00D365F8"/>
    <w:rsid w:val="00D36EF2"/>
    <w:rsid w:val="00D372C8"/>
    <w:rsid w:val="00D37C66"/>
    <w:rsid w:val="00D37FFB"/>
    <w:rsid w:val="00D403E7"/>
    <w:rsid w:val="00D40774"/>
    <w:rsid w:val="00D41061"/>
    <w:rsid w:val="00D422F7"/>
    <w:rsid w:val="00D43BBA"/>
    <w:rsid w:val="00D43BE2"/>
    <w:rsid w:val="00D4578A"/>
    <w:rsid w:val="00D45A0D"/>
    <w:rsid w:val="00D508EE"/>
    <w:rsid w:val="00D51103"/>
    <w:rsid w:val="00D511A5"/>
    <w:rsid w:val="00D51D05"/>
    <w:rsid w:val="00D52664"/>
    <w:rsid w:val="00D546F9"/>
    <w:rsid w:val="00D5522B"/>
    <w:rsid w:val="00D558B4"/>
    <w:rsid w:val="00D55C6C"/>
    <w:rsid w:val="00D568D7"/>
    <w:rsid w:val="00D56A2B"/>
    <w:rsid w:val="00D57010"/>
    <w:rsid w:val="00D571B9"/>
    <w:rsid w:val="00D60227"/>
    <w:rsid w:val="00D6029C"/>
    <w:rsid w:val="00D61B34"/>
    <w:rsid w:val="00D620C7"/>
    <w:rsid w:val="00D6297C"/>
    <w:rsid w:val="00D63EFB"/>
    <w:rsid w:val="00D649AB"/>
    <w:rsid w:val="00D65475"/>
    <w:rsid w:val="00D65B40"/>
    <w:rsid w:val="00D674A0"/>
    <w:rsid w:val="00D70F93"/>
    <w:rsid w:val="00D71A7B"/>
    <w:rsid w:val="00D71AC1"/>
    <w:rsid w:val="00D72867"/>
    <w:rsid w:val="00D72AF5"/>
    <w:rsid w:val="00D73532"/>
    <w:rsid w:val="00D73F86"/>
    <w:rsid w:val="00D74184"/>
    <w:rsid w:val="00D74788"/>
    <w:rsid w:val="00D74B6A"/>
    <w:rsid w:val="00D753F4"/>
    <w:rsid w:val="00D75ADC"/>
    <w:rsid w:val="00D75B45"/>
    <w:rsid w:val="00D75C9E"/>
    <w:rsid w:val="00D75F34"/>
    <w:rsid w:val="00D76522"/>
    <w:rsid w:val="00D76923"/>
    <w:rsid w:val="00D77687"/>
    <w:rsid w:val="00D7781D"/>
    <w:rsid w:val="00D77EB3"/>
    <w:rsid w:val="00D80080"/>
    <w:rsid w:val="00D811AF"/>
    <w:rsid w:val="00D81614"/>
    <w:rsid w:val="00D8385D"/>
    <w:rsid w:val="00D83EED"/>
    <w:rsid w:val="00D855F5"/>
    <w:rsid w:val="00D91C31"/>
    <w:rsid w:val="00D922C9"/>
    <w:rsid w:val="00D92E95"/>
    <w:rsid w:val="00D935A2"/>
    <w:rsid w:val="00D93C18"/>
    <w:rsid w:val="00D94255"/>
    <w:rsid w:val="00D94CF8"/>
    <w:rsid w:val="00D95626"/>
    <w:rsid w:val="00D96513"/>
    <w:rsid w:val="00D96A2C"/>
    <w:rsid w:val="00D96AAE"/>
    <w:rsid w:val="00D9747E"/>
    <w:rsid w:val="00D97FA6"/>
    <w:rsid w:val="00DA0203"/>
    <w:rsid w:val="00DA0C24"/>
    <w:rsid w:val="00DA229E"/>
    <w:rsid w:val="00DA22E6"/>
    <w:rsid w:val="00DA2478"/>
    <w:rsid w:val="00DA270A"/>
    <w:rsid w:val="00DA2780"/>
    <w:rsid w:val="00DA29C1"/>
    <w:rsid w:val="00DA44C4"/>
    <w:rsid w:val="00DA4610"/>
    <w:rsid w:val="00DA5832"/>
    <w:rsid w:val="00DA6862"/>
    <w:rsid w:val="00DA690B"/>
    <w:rsid w:val="00DA6ACE"/>
    <w:rsid w:val="00DA6C00"/>
    <w:rsid w:val="00DA7310"/>
    <w:rsid w:val="00DB030F"/>
    <w:rsid w:val="00DB052C"/>
    <w:rsid w:val="00DB2D0E"/>
    <w:rsid w:val="00DB337E"/>
    <w:rsid w:val="00DB3B6D"/>
    <w:rsid w:val="00DB4072"/>
    <w:rsid w:val="00DB41F0"/>
    <w:rsid w:val="00DB583F"/>
    <w:rsid w:val="00DB631E"/>
    <w:rsid w:val="00DB651B"/>
    <w:rsid w:val="00DB796F"/>
    <w:rsid w:val="00DC0098"/>
    <w:rsid w:val="00DC1E19"/>
    <w:rsid w:val="00DC1F5A"/>
    <w:rsid w:val="00DC28F0"/>
    <w:rsid w:val="00DC39BF"/>
    <w:rsid w:val="00DC3B05"/>
    <w:rsid w:val="00DC3F5A"/>
    <w:rsid w:val="00DC4020"/>
    <w:rsid w:val="00DC4E83"/>
    <w:rsid w:val="00DC5A19"/>
    <w:rsid w:val="00DC6786"/>
    <w:rsid w:val="00DC6CF8"/>
    <w:rsid w:val="00DC709D"/>
    <w:rsid w:val="00DC717D"/>
    <w:rsid w:val="00DC7808"/>
    <w:rsid w:val="00DD0B6E"/>
    <w:rsid w:val="00DD0CB6"/>
    <w:rsid w:val="00DD196C"/>
    <w:rsid w:val="00DD1B5A"/>
    <w:rsid w:val="00DD23BD"/>
    <w:rsid w:val="00DD247F"/>
    <w:rsid w:val="00DD2C9F"/>
    <w:rsid w:val="00DD3208"/>
    <w:rsid w:val="00DD34BB"/>
    <w:rsid w:val="00DD3CF4"/>
    <w:rsid w:val="00DD3E67"/>
    <w:rsid w:val="00DD5142"/>
    <w:rsid w:val="00DD56DF"/>
    <w:rsid w:val="00DD5C4A"/>
    <w:rsid w:val="00DD5E33"/>
    <w:rsid w:val="00DD6062"/>
    <w:rsid w:val="00DD677C"/>
    <w:rsid w:val="00DD67EF"/>
    <w:rsid w:val="00DD6E0D"/>
    <w:rsid w:val="00DD6E20"/>
    <w:rsid w:val="00DD6E2E"/>
    <w:rsid w:val="00DE0AC2"/>
    <w:rsid w:val="00DE0B5D"/>
    <w:rsid w:val="00DE0DC2"/>
    <w:rsid w:val="00DE1142"/>
    <w:rsid w:val="00DE14CF"/>
    <w:rsid w:val="00DE1E82"/>
    <w:rsid w:val="00DE37D2"/>
    <w:rsid w:val="00DE4974"/>
    <w:rsid w:val="00DE5742"/>
    <w:rsid w:val="00DE69AA"/>
    <w:rsid w:val="00DE69EC"/>
    <w:rsid w:val="00DE6AFA"/>
    <w:rsid w:val="00DE7BAA"/>
    <w:rsid w:val="00DE7C97"/>
    <w:rsid w:val="00DF0229"/>
    <w:rsid w:val="00DF1109"/>
    <w:rsid w:val="00DF2B2D"/>
    <w:rsid w:val="00DF2E04"/>
    <w:rsid w:val="00DF2E29"/>
    <w:rsid w:val="00DF4124"/>
    <w:rsid w:val="00DF4162"/>
    <w:rsid w:val="00DF458D"/>
    <w:rsid w:val="00DF4E23"/>
    <w:rsid w:val="00DF5622"/>
    <w:rsid w:val="00DF5F58"/>
    <w:rsid w:val="00DF6128"/>
    <w:rsid w:val="00DF6369"/>
    <w:rsid w:val="00DF643B"/>
    <w:rsid w:val="00DF66AB"/>
    <w:rsid w:val="00E0025E"/>
    <w:rsid w:val="00E01501"/>
    <w:rsid w:val="00E01750"/>
    <w:rsid w:val="00E01F24"/>
    <w:rsid w:val="00E01FFC"/>
    <w:rsid w:val="00E0217C"/>
    <w:rsid w:val="00E022D3"/>
    <w:rsid w:val="00E02F44"/>
    <w:rsid w:val="00E03201"/>
    <w:rsid w:val="00E04D6B"/>
    <w:rsid w:val="00E04E1C"/>
    <w:rsid w:val="00E0602A"/>
    <w:rsid w:val="00E062A2"/>
    <w:rsid w:val="00E06AED"/>
    <w:rsid w:val="00E06D94"/>
    <w:rsid w:val="00E0704F"/>
    <w:rsid w:val="00E078C4"/>
    <w:rsid w:val="00E07B2D"/>
    <w:rsid w:val="00E07DC6"/>
    <w:rsid w:val="00E106AB"/>
    <w:rsid w:val="00E10C58"/>
    <w:rsid w:val="00E1118C"/>
    <w:rsid w:val="00E116B8"/>
    <w:rsid w:val="00E12931"/>
    <w:rsid w:val="00E12E12"/>
    <w:rsid w:val="00E13525"/>
    <w:rsid w:val="00E13600"/>
    <w:rsid w:val="00E137DA"/>
    <w:rsid w:val="00E14442"/>
    <w:rsid w:val="00E14553"/>
    <w:rsid w:val="00E147C8"/>
    <w:rsid w:val="00E16713"/>
    <w:rsid w:val="00E168A8"/>
    <w:rsid w:val="00E168D8"/>
    <w:rsid w:val="00E174CA"/>
    <w:rsid w:val="00E17522"/>
    <w:rsid w:val="00E176DF"/>
    <w:rsid w:val="00E2020F"/>
    <w:rsid w:val="00E204DD"/>
    <w:rsid w:val="00E21A21"/>
    <w:rsid w:val="00E2247E"/>
    <w:rsid w:val="00E22487"/>
    <w:rsid w:val="00E228EC"/>
    <w:rsid w:val="00E22985"/>
    <w:rsid w:val="00E22CE6"/>
    <w:rsid w:val="00E23E76"/>
    <w:rsid w:val="00E24411"/>
    <w:rsid w:val="00E2454F"/>
    <w:rsid w:val="00E2459C"/>
    <w:rsid w:val="00E24F42"/>
    <w:rsid w:val="00E2500F"/>
    <w:rsid w:val="00E2575B"/>
    <w:rsid w:val="00E26793"/>
    <w:rsid w:val="00E26C19"/>
    <w:rsid w:val="00E271E9"/>
    <w:rsid w:val="00E27CB1"/>
    <w:rsid w:val="00E27E57"/>
    <w:rsid w:val="00E3009B"/>
    <w:rsid w:val="00E304B6"/>
    <w:rsid w:val="00E31090"/>
    <w:rsid w:val="00E31408"/>
    <w:rsid w:val="00E31993"/>
    <w:rsid w:val="00E31D23"/>
    <w:rsid w:val="00E34680"/>
    <w:rsid w:val="00E34892"/>
    <w:rsid w:val="00E34BB3"/>
    <w:rsid w:val="00E3534D"/>
    <w:rsid w:val="00E3547A"/>
    <w:rsid w:val="00E35901"/>
    <w:rsid w:val="00E36A2E"/>
    <w:rsid w:val="00E37F04"/>
    <w:rsid w:val="00E40052"/>
    <w:rsid w:val="00E401C7"/>
    <w:rsid w:val="00E424D5"/>
    <w:rsid w:val="00E42A62"/>
    <w:rsid w:val="00E43052"/>
    <w:rsid w:val="00E44B8A"/>
    <w:rsid w:val="00E4501B"/>
    <w:rsid w:val="00E458CC"/>
    <w:rsid w:val="00E45CA0"/>
    <w:rsid w:val="00E45EA9"/>
    <w:rsid w:val="00E50EA1"/>
    <w:rsid w:val="00E511D1"/>
    <w:rsid w:val="00E518EF"/>
    <w:rsid w:val="00E51998"/>
    <w:rsid w:val="00E528FE"/>
    <w:rsid w:val="00E529B8"/>
    <w:rsid w:val="00E534DA"/>
    <w:rsid w:val="00E538E3"/>
    <w:rsid w:val="00E54963"/>
    <w:rsid w:val="00E54A87"/>
    <w:rsid w:val="00E54C9E"/>
    <w:rsid w:val="00E54DF4"/>
    <w:rsid w:val="00E5554E"/>
    <w:rsid w:val="00E5558A"/>
    <w:rsid w:val="00E55B47"/>
    <w:rsid w:val="00E55CFC"/>
    <w:rsid w:val="00E55E0D"/>
    <w:rsid w:val="00E55F1F"/>
    <w:rsid w:val="00E564C0"/>
    <w:rsid w:val="00E570BC"/>
    <w:rsid w:val="00E57A7D"/>
    <w:rsid w:val="00E57F4D"/>
    <w:rsid w:val="00E60279"/>
    <w:rsid w:val="00E60847"/>
    <w:rsid w:val="00E608F7"/>
    <w:rsid w:val="00E60D91"/>
    <w:rsid w:val="00E61176"/>
    <w:rsid w:val="00E611D8"/>
    <w:rsid w:val="00E61B9E"/>
    <w:rsid w:val="00E622CB"/>
    <w:rsid w:val="00E63B49"/>
    <w:rsid w:val="00E63E04"/>
    <w:rsid w:val="00E64D3E"/>
    <w:rsid w:val="00E657FE"/>
    <w:rsid w:val="00E65A99"/>
    <w:rsid w:val="00E66604"/>
    <w:rsid w:val="00E677B5"/>
    <w:rsid w:val="00E701B6"/>
    <w:rsid w:val="00E71560"/>
    <w:rsid w:val="00E722D2"/>
    <w:rsid w:val="00E72DD4"/>
    <w:rsid w:val="00E73128"/>
    <w:rsid w:val="00E73267"/>
    <w:rsid w:val="00E7422F"/>
    <w:rsid w:val="00E74376"/>
    <w:rsid w:val="00E75176"/>
    <w:rsid w:val="00E75C13"/>
    <w:rsid w:val="00E76569"/>
    <w:rsid w:val="00E769BF"/>
    <w:rsid w:val="00E76A8D"/>
    <w:rsid w:val="00E76BE3"/>
    <w:rsid w:val="00E804E5"/>
    <w:rsid w:val="00E80F2E"/>
    <w:rsid w:val="00E82398"/>
    <w:rsid w:val="00E82DB1"/>
    <w:rsid w:val="00E846FC"/>
    <w:rsid w:val="00E84717"/>
    <w:rsid w:val="00E84F69"/>
    <w:rsid w:val="00E864DE"/>
    <w:rsid w:val="00E867B2"/>
    <w:rsid w:val="00E86D57"/>
    <w:rsid w:val="00E900D6"/>
    <w:rsid w:val="00E909F8"/>
    <w:rsid w:val="00E90B05"/>
    <w:rsid w:val="00E91446"/>
    <w:rsid w:val="00E917D1"/>
    <w:rsid w:val="00E91E17"/>
    <w:rsid w:val="00E91FE6"/>
    <w:rsid w:val="00E92012"/>
    <w:rsid w:val="00E9320C"/>
    <w:rsid w:val="00E9381A"/>
    <w:rsid w:val="00E93D71"/>
    <w:rsid w:val="00E9475A"/>
    <w:rsid w:val="00E9516A"/>
    <w:rsid w:val="00E953CF"/>
    <w:rsid w:val="00E96552"/>
    <w:rsid w:val="00E96597"/>
    <w:rsid w:val="00E978DE"/>
    <w:rsid w:val="00E97BBF"/>
    <w:rsid w:val="00EA0018"/>
    <w:rsid w:val="00EA0637"/>
    <w:rsid w:val="00EA0B7F"/>
    <w:rsid w:val="00EA10BD"/>
    <w:rsid w:val="00EA12D0"/>
    <w:rsid w:val="00EA310B"/>
    <w:rsid w:val="00EA34BE"/>
    <w:rsid w:val="00EA4543"/>
    <w:rsid w:val="00EA461C"/>
    <w:rsid w:val="00EA533D"/>
    <w:rsid w:val="00EA6005"/>
    <w:rsid w:val="00EA67DB"/>
    <w:rsid w:val="00EA72EE"/>
    <w:rsid w:val="00EA7E6F"/>
    <w:rsid w:val="00EB0248"/>
    <w:rsid w:val="00EB0595"/>
    <w:rsid w:val="00EB0FEF"/>
    <w:rsid w:val="00EB2F25"/>
    <w:rsid w:val="00EB3A9D"/>
    <w:rsid w:val="00EB3C72"/>
    <w:rsid w:val="00EB4AD4"/>
    <w:rsid w:val="00EB545F"/>
    <w:rsid w:val="00EB55A4"/>
    <w:rsid w:val="00EB59A7"/>
    <w:rsid w:val="00EB5F1F"/>
    <w:rsid w:val="00EB61A2"/>
    <w:rsid w:val="00EB668E"/>
    <w:rsid w:val="00EB69CC"/>
    <w:rsid w:val="00EB7265"/>
    <w:rsid w:val="00EB73E4"/>
    <w:rsid w:val="00EC00D3"/>
    <w:rsid w:val="00EC1516"/>
    <w:rsid w:val="00EC16A7"/>
    <w:rsid w:val="00EC2A8C"/>
    <w:rsid w:val="00EC3235"/>
    <w:rsid w:val="00EC3A87"/>
    <w:rsid w:val="00EC3EBC"/>
    <w:rsid w:val="00EC427E"/>
    <w:rsid w:val="00EC449B"/>
    <w:rsid w:val="00EC44EB"/>
    <w:rsid w:val="00EC59C6"/>
    <w:rsid w:val="00EC5FE8"/>
    <w:rsid w:val="00EC64E7"/>
    <w:rsid w:val="00EC657E"/>
    <w:rsid w:val="00EC6F85"/>
    <w:rsid w:val="00EC748F"/>
    <w:rsid w:val="00ED0515"/>
    <w:rsid w:val="00ED0666"/>
    <w:rsid w:val="00ED0679"/>
    <w:rsid w:val="00ED14E2"/>
    <w:rsid w:val="00ED14F9"/>
    <w:rsid w:val="00ED228A"/>
    <w:rsid w:val="00ED24E2"/>
    <w:rsid w:val="00ED277B"/>
    <w:rsid w:val="00ED2AE6"/>
    <w:rsid w:val="00ED2FBC"/>
    <w:rsid w:val="00ED3C90"/>
    <w:rsid w:val="00ED4827"/>
    <w:rsid w:val="00ED4D36"/>
    <w:rsid w:val="00ED5DA1"/>
    <w:rsid w:val="00ED628D"/>
    <w:rsid w:val="00ED66D0"/>
    <w:rsid w:val="00ED675F"/>
    <w:rsid w:val="00ED698A"/>
    <w:rsid w:val="00ED6CA2"/>
    <w:rsid w:val="00ED6D76"/>
    <w:rsid w:val="00ED6E8B"/>
    <w:rsid w:val="00ED6FDA"/>
    <w:rsid w:val="00ED7306"/>
    <w:rsid w:val="00EE0524"/>
    <w:rsid w:val="00EE2E45"/>
    <w:rsid w:val="00EE364E"/>
    <w:rsid w:val="00EE4A95"/>
    <w:rsid w:val="00EE4E49"/>
    <w:rsid w:val="00EE5589"/>
    <w:rsid w:val="00EE690D"/>
    <w:rsid w:val="00EE69D5"/>
    <w:rsid w:val="00EE6F3A"/>
    <w:rsid w:val="00EE7072"/>
    <w:rsid w:val="00EF03AB"/>
    <w:rsid w:val="00EF1D88"/>
    <w:rsid w:val="00EF1F67"/>
    <w:rsid w:val="00EF2832"/>
    <w:rsid w:val="00EF335D"/>
    <w:rsid w:val="00EF61A3"/>
    <w:rsid w:val="00EF6528"/>
    <w:rsid w:val="00EF682E"/>
    <w:rsid w:val="00EF6A6D"/>
    <w:rsid w:val="00EF74C6"/>
    <w:rsid w:val="00EF7648"/>
    <w:rsid w:val="00EF7B51"/>
    <w:rsid w:val="00F00A78"/>
    <w:rsid w:val="00F00B65"/>
    <w:rsid w:val="00F00CC6"/>
    <w:rsid w:val="00F01087"/>
    <w:rsid w:val="00F0111B"/>
    <w:rsid w:val="00F01251"/>
    <w:rsid w:val="00F0153A"/>
    <w:rsid w:val="00F01BEF"/>
    <w:rsid w:val="00F01F82"/>
    <w:rsid w:val="00F02203"/>
    <w:rsid w:val="00F0371B"/>
    <w:rsid w:val="00F03A7D"/>
    <w:rsid w:val="00F040B2"/>
    <w:rsid w:val="00F06075"/>
    <w:rsid w:val="00F10E03"/>
    <w:rsid w:val="00F11A9E"/>
    <w:rsid w:val="00F12CE2"/>
    <w:rsid w:val="00F13142"/>
    <w:rsid w:val="00F1377B"/>
    <w:rsid w:val="00F1412B"/>
    <w:rsid w:val="00F14197"/>
    <w:rsid w:val="00F146EE"/>
    <w:rsid w:val="00F14EC6"/>
    <w:rsid w:val="00F150DD"/>
    <w:rsid w:val="00F168C2"/>
    <w:rsid w:val="00F16A4F"/>
    <w:rsid w:val="00F17071"/>
    <w:rsid w:val="00F17A12"/>
    <w:rsid w:val="00F17C5A"/>
    <w:rsid w:val="00F17F47"/>
    <w:rsid w:val="00F20D1A"/>
    <w:rsid w:val="00F21B4C"/>
    <w:rsid w:val="00F226AB"/>
    <w:rsid w:val="00F2273B"/>
    <w:rsid w:val="00F22E20"/>
    <w:rsid w:val="00F24166"/>
    <w:rsid w:val="00F241B1"/>
    <w:rsid w:val="00F24EA4"/>
    <w:rsid w:val="00F251DD"/>
    <w:rsid w:val="00F25BAF"/>
    <w:rsid w:val="00F2667E"/>
    <w:rsid w:val="00F26AE0"/>
    <w:rsid w:val="00F275BD"/>
    <w:rsid w:val="00F27A54"/>
    <w:rsid w:val="00F30254"/>
    <w:rsid w:val="00F30B76"/>
    <w:rsid w:val="00F3170C"/>
    <w:rsid w:val="00F31841"/>
    <w:rsid w:val="00F33750"/>
    <w:rsid w:val="00F358ED"/>
    <w:rsid w:val="00F35C98"/>
    <w:rsid w:val="00F36224"/>
    <w:rsid w:val="00F36337"/>
    <w:rsid w:val="00F36506"/>
    <w:rsid w:val="00F3650A"/>
    <w:rsid w:val="00F36DF0"/>
    <w:rsid w:val="00F36F50"/>
    <w:rsid w:val="00F40155"/>
    <w:rsid w:val="00F4113D"/>
    <w:rsid w:val="00F42268"/>
    <w:rsid w:val="00F422AA"/>
    <w:rsid w:val="00F43BF6"/>
    <w:rsid w:val="00F45110"/>
    <w:rsid w:val="00F45EE6"/>
    <w:rsid w:val="00F45EF7"/>
    <w:rsid w:val="00F46311"/>
    <w:rsid w:val="00F4670E"/>
    <w:rsid w:val="00F46954"/>
    <w:rsid w:val="00F47449"/>
    <w:rsid w:val="00F47E3A"/>
    <w:rsid w:val="00F508CC"/>
    <w:rsid w:val="00F50B12"/>
    <w:rsid w:val="00F51265"/>
    <w:rsid w:val="00F51FA3"/>
    <w:rsid w:val="00F54597"/>
    <w:rsid w:val="00F54E23"/>
    <w:rsid w:val="00F55181"/>
    <w:rsid w:val="00F553F1"/>
    <w:rsid w:val="00F55514"/>
    <w:rsid w:val="00F56C4C"/>
    <w:rsid w:val="00F5797D"/>
    <w:rsid w:val="00F60AE2"/>
    <w:rsid w:val="00F60BD0"/>
    <w:rsid w:val="00F613CF"/>
    <w:rsid w:val="00F61585"/>
    <w:rsid w:val="00F61EB8"/>
    <w:rsid w:val="00F627AF"/>
    <w:rsid w:val="00F62F88"/>
    <w:rsid w:val="00F6302D"/>
    <w:rsid w:val="00F6374B"/>
    <w:rsid w:val="00F640DC"/>
    <w:rsid w:val="00F6443A"/>
    <w:rsid w:val="00F65500"/>
    <w:rsid w:val="00F658F7"/>
    <w:rsid w:val="00F65F4F"/>
    <w:rsid w:val="00F66DE2"/>
    <w:rsid w:val="00F70A05"/>
    <w:rsid w:val="00F7105D"/>
    <w:rsid w:val="00F71DEE"/>
    <w:rsid w:val="00F727A8"/>
    <w:rsid w:val="00F73E09"/>
    <w:rsid w:val="00F7530B"/>
    <w:rsid w:val="00F771BD"/>
    <w:rsid w:val="00F771C4"/>
    <w:rsid w:val="00F80DCA"/>
    <w:rsid w:val="00F82E19"/>
    <w:rsid w:val="00F8313F"/>
    <w:rsid w:val="00F83627"/>
    <w:rsid w:val="00F8378F"/>
    <w:rsid w:val="00F83FD2"/>
    <w:rsid w:val="00F84A16"/>
    <w:rsid w:val="00F84EAB"/>
    <w:rsid w:val="00F851AB"/>
    <w:rsid w:val="00F85574"/>
    <w:rsid w:val="00F85C00"/>
    <w:rsid w:val="00F8634E"/>
    <w:rsid w:val="00F874AA"/>
    <w:rsid w:val="00F90429"/>
    <w:rsid w:val="00F90C1B"/>
    <w:rsid w:val="00F90DB2"/>
    <w:rsid w:val="00F92161"/>
    <w:rsid w:val="00F93217"/>
    <w:rsid w:val="00F94440"/>
    <w:rsid w:val="00F94683"/>
    <w:rsid w:val="00F949DA"/>
    <w:rsid w:val="00F9502A"/>
    <w:rsid w:val="00F9517F"/>
    <w:rsid w:val="00F951DC"/>
    <w:rsid w:val="00F9540C"/>
    <w:rsid w:val="00F954DA"/>
    <w:rsid w:val="00F95522"/>
    <w:rsid w:val="00F9606A"/>
    <w:rsid w:val="00F962FD"/>
    <w:rsid w:val="00F9664F"/>
    <w:rsid w:val="00F96712"/>
    <w:rsid w:val="00F97416"/>
    <w:rsid w:val="00F9788C"/>
    <w:rsid w:val="00F978B9"/>
    <w:rsid w:val="00F97EC6"/>
    <w:rsid w:val="00FA01BA"/>
    <w:rsid w:val="00FA0374"/>
    <w:rsid w:val="00FA09A2"/>
    <w:rsid w:val="00FA1133"/>
    <w:rsid w:val="00FA13EC"/>
    <w:rsid w:val="00FA17E1"/>
    <w:rsid w:val="00FA1C03"/>
    <w:rsid w:val="00FA2065"/>
    <w:rsid w:val="00FA2320"/>
    <w:rsid w:val="00FA2483"/>
    <w:rsid w:val="00FA30DA"/>
    <w:rsid w:val="00FA3146"/>
    <w:rsid w:val="00FA3C0B"/>
    <w:rsid w:val="00FA4FDF"/>
    <w:rsid w:val="00FA512F"/>
    <w:rsid w:val="00FA51E5"/>
    <w:rsid w:val="00FA56FE"/>
    <w:rsid w:val="00FA6B2E"/>
    <w:rsid w:val="00FA7621"/>
    <w:rsid w:val="00FB0263"/>
    <w:rsid w:val="00FB143C"/>
    <w:rsid w:val="00FB146C"/>
    <w:rsid w:val="00FB192E"/>
    <w:rsid w:val="00FB22D1"/>
    <w:rsid w:val="00FB2D2C"/>
    <w:rsid w:val="00FB5564"/>
    <w:rsid w:val="00FB6639"/>
    <w:rsid w:val="00FB6780"/>
    <w:rsid w:val="00FB6ECD"/>
    <w:rsid w:val="00FC035C"/>
    <w:rsid w:val="00FC0936"/>
    <w:rsid w:val="00FC1F01"/>
    <w:rsid w:val="00FC262C"/>
    <w:rsid w:val="00FC2BDB"/>
    <w:rsid w:val="00FC610C"/>
    <w:rsid w:val="00FC7A39"/>
    <w:rsid w:val="00FC7C69"/>
    <w:rsid w:val="00FD146C"/>
    <w:rsid w:val="00FD1487"/>
    <w:rsid w:val="00FD1AB0"/>
    <w:rsid w:val="00FD2087"/>
    <w:rsid w:val="00FD2B31"/>
    <w:rsid w:val="00FD39DF"/>
    <w:rsid w:val="00FD4D6B"/>
    <w:rsid w:val="00FD7000"/>
    <w:rsid w:val="00FD750D"/>
    <w:rsid w:val="00FD761E"/>
    <w:rsid w:val="00FD7BD8"/>
    <w:rsid w:val="00FE00AA"/>
    <w:rsid w:val="00FE05F0"/>
    <w:rsid w:val="00FE1710"/>
    <w:rsid w:val="00FE1BBF"/>
    <w:rsid w:val="00FE2640"/>
    <w:rsid w:val="00FE3301"/>
    <w:rsid w:val="00FE3AE0"/>
    <w:rsid w:val="00FE4B21"/>
    <w:rsid w:val="00FE5C32"/>
    <w:rsid w:val="00FE626A"/>
    <w:rsid w:val="00FE64BA"/>
    <w:rsid w:val="00FE6DF9"/>
    <w:rsid w:val="00FE7076"/>
    <w:rsid w:val="00FF096D"/>
    <w:rsid w:val="00FF15D1"/>
    <w:rsid w:val="00FF1908"/>
    <w:rsid w:val="00FF254C"/>
    <w:rsid w:val="00FF257A"/>
    <w:rsid w:val="00FF296C"/>
    <w:rsid w:val="00FF2EC6"/>
    <w:rsid w:val="00FF318E"/>
    <w:rsid w:val="00FF420F"/>
    <w:rsid w:val="00FF485E"/>
    <w:rsid w:val="00FF48A8"/>
    <w:rsid w:val="00FF54CE"/>
    <w:rsid w:val="00FF556E"/>
    <w:rsid w:val="00FF5907"/>
    <w:rsid w:val="00FF74DA"/>
    <w:rsid w:val="10E2057F"/>
    <w:rsid w:val="162B8EDD"/>
    <w:rsid w:val="2572FACF"/>
    <w:rsid w:val="38E092AB"/>
    <w:rsid w:val="45833B3A"/>
    <w:rsid w:val="45958CE2"/>
    <w:rsid w:val="728A47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E0D2"/>
  <w15:docId w15:val="{E7B96068-143F-4097-9C16-02E7197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6"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DD677C"/>
    <w:pPr>
      <w:spacing w:after="0" w:line="240" w:lineRule="auto"/>
    </w:pPr>
    <w:rPr>
      <w:rFonts w:ascii="Arial" w:eastAsiaTheme="minorHAnsi" w:hAnsi="Arial"/>
      <w:sz w:val="20"/>
      <w:szCs w:val="18"/>
    </w:rPr>
  </w:style>
  <w:style w:type="paragraph" w:styleId="Heading1">
    <w:name w:val="heading 1"/>
    <w:basedOn w:val="Normal"/>
    <w:next w:val="Body"/>
    <w:link w:val="Heading1Char"/>
    <w:uiPriority w:val="9"/>
    <w:qFormat/>
    <w:rsid w:val="00A60A4E"/>
    <w:pPr>
      <w:pageBreakBefore/>
      <w:numPr>
        <w:numId w:val="4"/>
      </w:numPr>
      <w:spacing w:after="240"/>
      <w:outlineLvl w:val="0"/>
    </w:pPr>
    <w:rPr>
      <w:color w:val="005A5D" w:themeColor="text2" w:themeShade="BF"/>
      <w:sz w:val="40"/>
      <w:szCs w:val="40"/>
    </w:rPr>
  </w:style>
  <w:style w:type="paragraph" w:styleId="Heading2">
    <w:name w:val="heading 2"/>
    <w:basedOn w:val="Normal"/>
    <w:next w:val="Body"/>
    <w:link w:val="Heading2Char"/>
    <w:uiPriority w:val="9"/>
    <w:qFormat/>
    <w:rsid w:val="00E06AED"/>
    <w:pPr>
      <w:keepNext/>
      <w:keepLines/>
      <w:numPr>
        <w:ilvl w:val="1"/>
        <w:numId w:val="4"/>
      </w:numPr>
      <w:spacing w:before="240" w:after="120"/>
      <w:ind w:hanging="1277"/>
      <w:outlineLvl w:val="1"/>
    </w:pPr>
    <w:rPr>
      <w:rFonts w:eastAsiaTheme="majorEastAsia" w:cs="Arial"/>
      <w:color w:val="000000" w:themeColor="text1"/>
      <w:sz w:val="32"/>
      <w:szCs w:val="32"/>
    </w:rPr>
  </w:style>
  <w:style w:type="paragraph" w:styleId="Heading3">
    <w:name w:val="heading 3"/>
    <w:basedOn w:val="Normal"/>
    <w:next w:val="Body"/>
    <w:link w:val="Heading3Char"/>
    <w:uiPriority w:val="9"/>
    <w:qFormat/>
    <w:rsid w:val="00A60A4E"/>
    <w:pPr>
      <w:keepNext/>
      <w:keepLines/>
      <w:numPr>
        <w:ilvl w:val="2"/>
        <w:numId w:val="4"/>
      </w:numPr>
      <w:spacing w:before="240" w:after="120"/>
      <w:outlineLvl w:val="2"/>
    </w:pPr>
    <w:rPr>
      <w:rFonts w:eastAsiaTheme="majorEastAsia" w:cs="Arial"/>
      <w:color w:val="007A7D" w:themeColor="text2"/>
      <w:sz w:val="28"/>
      <w:szCs w:val="28"/>
    </w:rPr>
  </w:style>
  <w:style w:type="paragraph" w:styleId="Heading4">
    <w:name w:val="heading 4"/>
    <w:basedOn w:val="Normal"/>
    <w:next w:val="Body"/>
    <w:link w:val="Heading4Char"/>
    <w:uiPriority w:val="3"/>
    <w:qFormat/>
    <w:rsid w:val="00DD677C"/>
    <w:pPr>
      <w:keepNext/>
      <w:spacing w:before="240" w:after="120"/>
      <w:outlineLvl w:val="3"/>
    </w:pPr>
    <w:rPr>
      <w:color w:val="4FBFBE" w:themeColor="accent1"/>
      <w:sz w:val="22"/>
      <w:szCs w:val="21"/>
      <w:u w:val="single"/>
    </w:rPr>
  </w:style>
  <w:style w:type="paragraph" w:styleId="Heading5">
    <w:name w:val="heading 5"/>
    <w:basedOn w:val="Normal"/>
    <w:next w:val="Body"/>
    <w:link w:val="Heading5Char"/>
    <w:uiPriority w:val="3"/>
    <w:qFormat/>
    <w:rsid w:val="00DD677C"/>
    <w:pPr>
      <w:keepNext/>
      <w:spacing w:before="240" w:after="120"/>
      <w:outlineLvl w:val="4"/>
    </w:pPr>
    <w:rPr>
      <w:color w:val="4FBFBE" w:themeColor="accent1"/>
      <w:szCs w:val="20"/>
    </w:rPr>
  </w:style>
  <w:style w:type="paragraph" w:styleId="Heading6">
    <w:name w:val="heading 6"/>
    <w:basedOn w:val="Normal"/>
    <w:next w:val="Normal"/>
    <w:link w:val="Heading6Char"/>
    <w:uiPriority w:val="9"/>
    <w:unhideWhenUsed/>
    <w:rsid w:val="00DD677C"/>
    <w:pPr>
      <w:keepNext/>
      <w:keepLines/>
      <w:spacing w:before="40"/>
      <w:outlineLvl w:val="5"/>
    </w:pPr>
    <w:rPr>
      <w:rFonts w:asciiTheme="majorHAnsi" w:eastAsiaTheme="majorEastAsia" w:hAnsiTheme="majorHAnsi" w:cstheme="majorBidi"/>
      <w:i/>
      <w:iCs/>
      <w:caps/>
      <w:color w:val="246362" w:themeColor="accent1" w:themeShade="80"/>
    </w:rPr>
  </w:style>
  <w:style w:type="paragraph" w:styleId="Heading7">
    <w:name w:val="heading 7"/>
    <w:basedOn w:val="Normal"/>
    <w:next w:val="Normal"/>
    <w:link w:val="Heading7Char"/>
    <w:uiPriority w:val="9"/>
    <w:unhideWhenUsed/>
    <w:rsid w:val="00DD677C"/>
    <w:pPr>
      <w:keepNext/>
      <w:keepLines/>
      <w:spacing w:before="40"/>
      <w:outlineLvl w:val="6"/>
    </w:pPr>
    <w:rPr>
      <w:rFonts w:asciiTheme="majorHAnsi" w:eastAsiaTheme="majorEastAsia" w:hAnsiTheme="majorHAnsi" w:cstheme="majorBidi"/>
      <w:b/>
      <w:bCs/>
      <w:color w:val="246362" w:themeColor="accent1" w:themeShade="80"/>
    </w:rPr>
  </w:style>
  <w:style w:type="paragraph" w:styleId="Heading8">
    <w:name w:val="heading 8"/>
    <w:basedOn w:val="Normal"/>
    <w:next w:val="Normal"/>
    <w:link w:val="Heading8Char"/>
    <w:uiPriority w:val="9"/>
    <w:semiHidden/>
    <w:unhideWhenUsed/>
    <w:rsid w:val="00DD677C"/>
    <w:pPr>
      <w:keepNext/>
      <w:keepLines/>
      <w:spacing w:before="40"/>
      <w:outlineLvl w:val="7"/>
    </w:pPr>
    <w:rPr>
      <w:rFonts w:asciiTheme="majorHAnsi" w:eastAsiaTheme="majorEastAsia" w:hAnsiTheme="majorHAnsi" w:cstheme="majorBidi"/>
      <w:b/>
      <w:bCs/>
      <w:i/>
      <w:iCs/>
      <w:color w:val="246362" w:themeColor="accent1" w:themeShade="80"/>
    </w:rPr>
  </w:style>
  <w:style w:type="paragraph" w:styleId="Heading9">
    <w:name w:val="heading 9"/>
    <w:basedOn w:val="Normal"/>
    <w:next w:val="Normal"/>
    <w:link w:val="Heading9Char"/>
    <w:uiPriority w:val="9"/>
    <w:semiHidden/>
    <w:unhideWhenUsed/>
    <w:qFormat/>
    <w:rsid w:val="00DD677C"/>
    <w:pPr>
      <w:keepNext/>
      <w:keepLines/>
      <w:spacing w:before="40"/>
      <w:outlineLvl w:val="8"/>
    </w:pPr>
    <w:rPr>
      <w:rFonts w:asciiTheme="majorHAnsi" w:eastAsiaTheme="majorEastAsia" w:hAnsiTheme="majorHAnsi" w:cstheme="majorBidi"/>
      <w:i/>
      <w:iCs/>
      <w:color w:val="24636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Body"/>
    <w:next w:val="Body"/>
    <w:qFormat/>
    <w:rsid w:val="00DD677C"/>
    <w:pPr>
      <w:ind w:left="851"/>
    </w:pPr>
  </w:style>
  <w:style w:type="paragraph" w:styleId="BodyText">
    <w:name w:val="Body Text"/>
    <w:basedOn w:val="Normal"/>
    <w:link w:val="BodyTextChar"/>
    <w:uiPriority w:val="99"/>
    <w:qFormat/>
    <w:rsid w:val="001F6957"/>
    <w:pPr>
      <w:spacing w:before="140" w:after="140" w:line="276" w:lineRule="auto"/>
    </w:pPr>
  </w:style>
  <w:style w:type="paragraph" w:styleId="Title">
    <w:name w:val="Title"/>
    <w:basedOn w:val="Body"/>
    <w:next w:val="Body"/>
    <w:link w:val="TitleChar"/>
    <w:uiPriority w:val="10"/>
    <w:qFormat/>
    <w:rsid w:val="00A60A4E"/>
    <w:pPr>
      <w:spacing w:before="0" w:after="0" w:line="240" w:lineRule="auto"/>
      <w:ind w:left="397"/>
    </w:pPr>
    <w:rPr>
      <w:color w:val="005A5D" w:themeColor="text2" w:themeShade="BF"/>
      <w:sz w:val="76"/>
      <w:szCs w:val="76"/>
    </w:rPr>
  </w:style>
  <w:style w:type="character" w:customStyle="1" w:styleId="TitleChar">
    <w:name w:val="Title Char"/>
    <w:basedOn w:val="DefaultParagraphFont"/>
    <w:link w:val="Title"/>
    <w:uiPriority w:val="10"/>
    <w:rsid w:val="00A60A4E"/>
    <w:rPr>
      <w:rFonts w:ascii="Arial" w:eastAsia="Times New Roman" w:hAnsi="Arial" w:cs="Times New Roman"/>
      <w:color w:val="005A5D" w:themeColor="text2" w:themeShade="BF"/>
      <w:sz w:val="76"/>
      <w:szCs w:val="76"/>
    </w:rPr>
  </w:style>
  <w:style w:type="paragraph" w:customStyle="1" w:styleId="MajorHeading">
    <w:name w:val="Major Heading"/>
    <w:basedOn w:val="Normal"/>
    <w:next w:val="Normal"/>
    <w:link w:val="MajorHeadingChar"/>
    <w:uiPriority w:val="3"/>
    <w:qFormat/>
    <w:rsid w:val="00A60A4E"/>
    <w:pPr>
      <w:pageBreakBefore/>
      <w:spacing w:after="240"/>
      <w:outlineLvl w:val="0"/>
    </w:pPr>
    <w:rPr>
      <w:color w:val="005A5D" w:themeColor="text2" w:themeShade="BF"/>
      <w:sz w:val="40"/>
      <w:szCs w:val="40"/>
    </w:rPr>
  </w:style>
  <w:style w:type="character" w:customStyle="1" w:styleId="MajorHeadingChar">
    <w:name w:val="Major Heading Char"/>
    <w:basedOn w:val="DefaultParagraphFont"/>
    <w:link w:val="MajorHeading"/>
    <w:uiPriority w:val="3"/>
    <w:rsid w:val="00A60A4E"/>
    <w:rPr>
      <w:rFonts w:ascii="Arial" w:eastAsiaTheme="minorHAnsi" w:hAnsi="Arial"/>
      <w:color w:val="005A5D" w:themeColor="text2" w:themeShade="BF"/>
      <w:sz w:val="40"/>
      <w:szCs w:val="40"/>
    </w:rPr>
  </w:style>
  <w:style w:type="paragraph" w:styleId="NoSpacing">
    <w:name w:val="No Spacing"/>
    <w:uiPriority w:val="1"/>
    <w:qFormat/>
    <w:rsid w:val="00DD677C"/>
    <w:pPr>
      <w:spacing w:after="0" w:line="240" w:lineRule="auto"/>
    </w:pPr>
    <w:rPr>
      <w:rFonts w:ascii="Arial" w:eastAsiaTheme="minorHAnsi" w:hAnsi="Arial"/>
      <w:sz w:val="20"/>
      <w:szCs w:val="18"/>
    </w:rPr>
  </w:style>
  <w:style w:type="paragraph" w:styleId="Header">
    <w:name w:val="header"/>
    <w:basedOn w:val="Normal"/>
    <w:link w:val="HeaderChar"/>
    <w:uiPriority w:val="99"/>
    <w:unhideWhenUsed/>
    <w:rsid w:val="00DD677C"/>
    <w:pPr>
      <w:tabs>
        <w:tab w:val="center" w:pos="4513"/>
        <w:tab w:val="right" w:pos="9026"/>
      </w:tabs>
    </w:pPr>
  </w:style>
  <w:style w:type="character" w:customStyle="1" w:styleId="HeaderChar">
    <w:name w:val="Header Char"/>
    <w:basedOn w:val="DefaultParagraphFont"/>
    <w:link w:val="Header"/>
    <w:uiPriority w:val="99"/>
    <w:rsid w:val="00DD677C"/>
    <w:rPr>
      <w:rFonts w:ascii="Arial" w:eastAsiaTheme="minorHAnsi" w:hAnsi="Arial"/>
      <w:sz w:val="20"/>
      <w:szCs w:val="18"/>
    </w:rPr>
  </w:style>
  <w:style w:type="paragraph" w:styleId="Footer">
    <w:name w:val="footer"/>
    <w:basedOn w:val="Normal"/>
    <w:link w:val="FooterChar"/>
    <w:uiPriority w:val="99"/>
    <w:unhideWhenUsed/>
    <w:rsid w:val="00DD677C"/>
    <w:pPr>
      <w:tabs>
        <w:tab w:val="center" w:pos="4513"/>
        <w:tab w:val="right" w:pos="9026"/>
      </w:tabs>
    </w:pPr>
  </w:style>
  <w:style w:type="character" w:customStyle="1" w:styleId="FooterChar">
    <w:name w:val="Footer Char"/>
    <w:basedOn w:val="DefaultParagraphFont"/>
    <w:link w:val="Footer"/>
    <w:uiPriority w:val="99"/>
    <w:rsid w:val="00DD677C"/>
    <w:rPr>
      <w:rFonts w:ascii="Arial" w:eastAsiaTheme="minorHAnsi" w:hAnsi="Arial"/>
      <w:sz w:val="20"/>
      <w:szCs w:val="18"/>
    </w:rPr>
  </w:style>
  <w:style w:type="paragraph" w:customStyle="1" w:styleId="SubHeading1">
    <w:name w:val="Sub Heading 1"/>
    <w:basedOn w:val="Normal"/>
    <w:next w:val="Body"/>
    <w:link w:val="SubHeading1Char"/>
    <w:uiPriority w:val="3"/>
    <w:qFormat/>
    <w:rsid w:val="00A60A4E"/>
    <w:pPr>
      <w:keepNext/>
      <w:spacing w:before="120" w:after="120"/>
    </w:pPr>
    <w:rPr>
      <w:bCs/>
      <w:color w:val="007A7D" w:themeColor="text2"/>
      <w:sz w:val="32"/>
      <w:szCs w:val="32"/>
    </w:rPr>
  </w:style>
  <w:style w:type="character" w:customStyle="1" w:styleId="SubHeading1Char">
    <w:name w:val="Sub Heading 1 Char"/>
    <w:basedOn w:val="DefaultParagraphFont"/>
    <w:link w:val="SubHeading1"/>
    <w:uiPriority w:val="3"/>
    <w:rsid w:val="00A60A4E"/>
    <w:rPr>
      <w:rFonts w:ascii="Arial" w:eastAsiaTheme="minorHAnsi" w:hAnsi="Arial"/>
      <w:bCs/>
      <w:color w:val="007A7D" w:themeColor="text2"/>
      <w:sz w:val="32"/>
      <w:szCs w:val="32"/>
    </w:rPr>
  </w:style>
  <w:style w:type="paragraph" w:styleId="TOC1">
    <w:name w:val="toc 1"/>
    <w:basedOn w:val="Normal"/>
    <w:next w:val="Normal"/>
    <w:autoRedefine/>
    <w:uiPriority w:val="39"/>
    <w:unhideWhenUsed/>
    <w:qFormat/>
    <w:rsid w:val="00DD677C"/>
    <w:pPr>
      <w:tabs>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DD677C"/>
    <w:pPr>
      <w:tabs>
        <w:tab w:val="left" w:pos="1134"/>
        <w:tab w:val="right" w:leader="dot" w:pos="9638"/>
      </w:tabs>
      <w:spacing w:before="60" w:after="60"/>
      <w:ind w:left="1134" w:hanging="567"/>
    </w:pPr>
    <w:rPr>
      <w:rFonts w:eastAsia="Times New Roman" w:cs="Times New Roman"/>
      <w:noProof/>
      <w:szCs w:val="20"/>
    </w:rPr>
  </w:style>
  <w:style w:type="character" w:customStyle="1" w:styleId="TOC2Char">
    <w:name w:val="TOC 2 Char"/>
    <w:basedOn w:val="DefaultParagraphFont"/>
    <w:link w:val="TOC2"/>
    <w:uiPriority w:val="39"/>
    <w:rsid w:val="00DD677C"/>
    <w:rPr>
      <w:rFonts w:ascii="Arial" w:eastAsia="Times New Roman" w:hAnsi="Arial" w:cs="Times New Roman"/>
      <w:noProof/>
      <w:sz w:val="20"/>
      <w:szCs w:val="20"/>
    </w:rPr>
  </w:style>
  <w:style w:type="paragraph" w:styleId="TOC3">
    <w:name w:val="toc 3"/>
    <w:basedOn w:val="Normal"/>
    <w:next w:val="Normal"/>
    <w:uiPriority w:val="39"/>
    <w:unhideWhenUsed/>
    <w:qFormat/>
    <w:rsid w:val="00DD677C"/>
    <w:pPr>
      <w:tabs>
        <w:tab w:val="left" w:pos="1843"/>
        <w:tab w:val="right" w:leader="dot" w:pos="9638"/>
      </w:tabs>
      <w:spacing w:before="60" w:after="60"/>
      <w:ind w:left="1843" w:hanging="709"/>
    </w:pPr>
    <w:rPr>
      <w:rFonts w:eastAsia="Times New Roman" w:cs="Times New Roman"/>
      <w:noProof/>
      <w:szCs w:val="20"/>
    </w:rPr>
  </w:style>
  <w:style w:type="character" w:styleId="Hyperlink">
    <w:name w:val="Hyperlink"/>
    <w:basedOn w:val="DefaultParagraphFont"/>
    <w:uiPriority w:val="99"/>
    <w:unhideWhenUsed/>
    <w:rsid w:val="00DD677C"/>
    <w:rPr>
      <w:color w:val="000000" w:themeColor="text1"/>
      <w:u w:val="single"/>
    </w:rPr>
  </w:style>
  <w:style w:type="paragraph" w:styleId="TableofFigures">
    <w:name w:val="table of figures"/>
    <w:basedOn w:val="Normal"/>
    <w:next w:val="Normal"/>
    <w:uiPriority w:val="99"/>
    <w:unhideWhenUsed/>
    <w:rsid w:val="00DD677C"/>
    <w:pPr>
      <w:spacing w:before="60" w:after="60"/>
      <w:ind w:left="1134" w:right="567" w:hanging="1134"/>
    </w:pPr>
    <w:rPr>
      <w:color w:val="000000" w:themeColor="text1"/>
    </w:rPr>
  </w:style>
  <w:style w:type="paragraph" w:customStyle="1" w:styleId="Subheading2">
    <w:name w:val="Sub heading 2"/>
    <w:basedOn w:val="SubHeading1"/>
    <w:next w:val="Body"/>
    <w:link w:val="Subheading2Char"/>
    <w:uiPriority w:val="3"/>
    <w:qFormat/>
    <w:rsid w:val="00A60A4E"/>
    <w:rPr>
      <w:color w:val="369492" w:themeColor="accent1" w:themeShade="BF"/>
      <w:sz w:val="24"/>
      <w:szCs w:val="24"/>
    </w:rPr>
  </w:style>
  <w:style w:type="character" w:customStyle="1" w:styleId="Subheading2Char">
    <w:name w:val="Sub heading 2 Char"/>
    <w:basedOn w:val="SubHeading1Char"/>
    <w:link w:val="Subheading2"/>
    <w:uiPriority w:val="3"/>
    <w:rsid w:val="00A60A4E"/>
    <w:rPr>
      <w:rFonts w:ascii="Arial" w:eastAsiaTheme="minorHAnsi" w:hAnsi="Arial"/>
      <w:bCs/>
      <w:color w:val="369492" w:themeColor="accent1" w:themeShade="BF"/>
      <w:sz w:val="24"/>
      <w:szCs w:val="24"/>
    </w:rPr>
  </w:style>
  <w:style w:type="paragraph" w:styleId="Subtitle">
    <w:name w:val="Subtitle"/>
    <w:basedOn w:val="Body"/>
    <w:next w:val="Body"/>
    <w:link w:val="SubtitleChar"/>
    <w:uiPriority w:val="10"/>
    <w:qFormat/>
    <w:rsid w:val="00A60A4E"/>
    <w:pPr>
      <w:spacing w:before="0" w:after="0" w:line="240" w:lineRule="auto"/>
      <w:ind w:left="397"/>
    </w:pPr>
    <w:rPr>
      <w:color w:val="007A7D" w:themeColor="text2"/>
      <w:sz w:val="36"/>
      <w:szCs w:val="36"/>
    </w:rPr>
  </w:style>
  <w:style w:type="character" w:customStyle="1" w:styleId="SubtitleChar">
    <w:name w:val="Subtitle Char"/>
    <w:basedOn w:val="DefaultParagraphFont"/>
    <w:link w:val="Subtitle"/>
    <w:uiPriority w:val="10"/>
    <w:rsid w:val="00A60A4E"/>
    <w:rPr>
      <w:rFonts w:ascii="Arial" w:eastAsia="Times New Roman" w:hAnsi="Arial" w:cs="Times New Roman"/>
      <w:color w:val="007A7D" w:themeColor="text2"/>
      <w:sz w:val="36"/>
      <w:szCs w:val="36"/>
    </w:rPr>
  </w:style>
  <w:style w:type="paragraph" w:customStyle="1" w:styleId="BaseFigureNotes">
    <w:name w:val="Base Figure Notes"/>
    <w:basedOn w:val="Normal"/>
    <w:next w:val="Normal"/>
    <w:uiPriority w:val="7"/>
    <w:qFormat/>
    <w:rsid w:val="00DD677C"/>
    <w:pPr>
      <w:spacing w:before="60"/>
    </w:pPr>
    <w:rPr>
      <w:sz w:val="18"/>
    </w:rPr>
  </w:style>
  <w:style w:type="character" w:customStyle="1" w:styleId="Heading1Char">
    <w:name w:val="Heading 1 Char"/>
    <w:basedOn w:val="DefaultParagraphFont"/>
    <w:link w:val="Heading1"/>
    <w:uiPriority w:val="9"/>
    <w:rsid w:val="00A60A4E"/>
    <w:rPr>
      <w:rFonts w:ascii="Arial" w:eastAsiaTheme="minorHAnsi" w:hAnsi="Arial"/>
      <w:color w:val="005A5D" w:themeColor="text2" w:themeShade="BF"/>
      <w:sz w:val="40"/>
      <w:szCs w:val="40"/>
    </w:rPr>
  </w:style>
  <w:style w:type="character" w:customStyle="1" w:styleId="Heading2Char">
    <w:name w:val="Heading 2 Char"/>
    <w:basedOn w:val="DefaultParagraphFont"/>
    <w:link w:val="Heading2"/>
    <w:uiPriority w:val="9"/>
    <w:rsid w:val="00E06AED"/>
    <w:rPr>
      <w:rFonts w:ascii="Arial" w:eastAsiaTheme="majorEastAsia" w:hAnsi="Arial" w:cs="Arial"/>
      <w:color w:val="000000" w:themeColor="text1"/>
      <w:sz w:val="32"/>
      <w:szCs w:val="32"/>
    </w:rPr>
  </w:style>
  <w:style w:type="character" w:customStyle="1" w:styleId="Heading3Char">
    <w:name w:val="Heading 3 Char"/>
    <w:basedOn w:val="DefaultParagraphFont"/>
    <w:link w:val="Heading3"/>
    <w:uiPriority w:val="9"/>
    <w:rsid w:val="00A60A4E"/>
    <w:rPr>
      <w:rFonts w:ascii="Arial" w:eastAsiaTheme="majorEastAsia" w:hAnsi="Arial" w:cs="Arial"/>
      <w:color w:val="007A7D" w:themeColor="text2"/>
      <w:sz w:val="28"/>
      <w:szCs w:val="28"/>
    </w:rPr>
  </w:style>
  <w:style w:type="paragraph" w:styleId="Caption">
    <w:name w:val="caption"/>
    <w:basedOn w:val="Quote2"/>
    <w:next w:val="Body"/>
    <w:link w:val="CaptionChar"/>
    <w:uiPriority w:val="35"/>
    <w:qFormat/>
    <w:rsid w:val="00A60A4E"/>
    <w:pPr>
      <w:keepNext/>
      <w:tabs>
        <w:tab w:val="left" w:pos="1134"/>
      </w:tabs>
      <w:spacing w:after="120"/>
      <w:ind w:right="0" w:hanging="1134"/>
      <w:jc w:val="left"/>
    </w:pPr>
    <w:rPr>
      <w:rFonts w:ascii="Arial" w:hAnsi="Arial" w:cs="Arial"/>
      <w:b/>
      <w:sz w:val="21"/>
      <w:szCs w:val="21"/>
    </w:rPr>
  </w:style>
  <w:style w:type="table" w:styleId="GridTable2-Accent1">
    <w:name w:val="Grid Table 2 Accent 1"/>
    <w:basedOn w:val="TableNormal"/>
    <w:uiPriority w:val="47"/>
    <w:locked/>
    <w:rsid w:val="00DD677C"/>
    <w:pPr>
      <w:spacing w:after="0" w:line="240" w:lineRule="auto"/>
    </w:pPr>
    <w:rPr>
      <w:rFonts w:ascii="Arial" w:eastAsiaTheme="minorHAnsi" w:hAnsi="Arial"/>
    </w:rPr>
    <w:tblPr>
      <w:tblStyleRowBandSize w:val="1"/>
      <w:tblStyleColBandSize w:val="1"/>
      <w:tblBorders>
        <w:top w:val="single" w:sz="2" w:space="0" w:color="95D8D7" w:themeColor="accent1" w:themeTint="99"/>
        <w:bottom w:val="single" w:sz="2" w:space="0" w:color="95D8D7" w:themeColor="accent1" w:themeTint="99"/>
        <w:insideH w:val="single" w:sz="2" w:space="0" w:color="95D8D7" w:themeColor="accent1" w:themeTint="99"/>
        <w:insideV w:val="single" w:sz="2" w:space="0" w:color="95D8D7" w:themeColor="accent1" w:themeTint="99"/>
      </w:tblBorders>
    </w:tblPr>
    <w:tblStylePr w:type="firstRow">
      <w:pPr>
        <w:jc w:val="left"/>
      </w:pPr>
      <w:rPr>
        <w:b/>
        <w:bCs/>
      </w:rPr>
      <w:tblPr/>
      <w:tcPr>
        <w:tcBorders>
          <w:top w:val="nil"/>
          <w:bottom w:val="single" w:sz="12" w:space="0" w:color="95D8D7" w:themeColor="accent1" w:themeTint="99"/>
          <w:insideH w:val="nil"/>
          <w:insideV w:val="nil"/>
        </w:tcBorders>
        <w:shd w:val="clear" w:color="auto" w:fill="FFFFFF" w:themeFill="background1"/>
        <w:vAlign w:val="bottom"/>
      </w:tcPr>
    </w:tblStylePr>
    <w:tblStylePr w:type="lastRow">
      <w:rPr>
        <w:b/>
        <w:bCs/>
      </w:rPr>
      <w:tblPr/>
      <w:tcPr>
        <w:tcBorders>
          <w:top w:val="double" w:sz="2" w:space="0" w:color="95D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paragraph" w:styleId="FootnoteText">
    <w:name w:val="footnote text"/>
    <w:aliases w:val="Char, Char"/>
    <w:basedOn w:val="Normal"/>
    <w:link w:val="FootnoteTextChar"/>
    <w:uiPriority w:val="99"/>
    <w:rsid w:val="001F6957"/>
    <w:rPr>
      <w:rFonts w:eastAsia="Times New Roman" w:cs="Times New Roman"/>
      <w:sz w:val="16"/>
      <w:szCs w:val="20"/>
      <w:lang w:val="en-US"/>
    </w:rPr>
  </w:style>
  <w:style w:type="character" w:customStyle="1" w:styleId="FootnoteTextChar">
    <w:name w:val="Footnote Text Char"/>
    <w:aliases w:val="Char Char, Char Char"/>
    <w:basedOn w:val="DefaultParagraphFont"/>
    <w:link w:val="FootnoteText"/>
    <w:uiPriority w:val="99"/>
    <w:rsid w:val="001F6957"/>
    <w:rPr>
      <w:rFonts w:ascii="Arial" w:eastAsia="Times New Roman" w:hAnsi="Arial" w:cs="Times New Roman"/>
      <w:sz w:val="16"/>
      <w:szCs w:val="20"/>
      <w:lang w:val="en-US"/>
    </w:rPr>
  </w:style>
  <w:style w:type="character" w:styleId="FootnoteReference">
    <w:name w:val="footnote reference"/>
    <w:uiPriority w:val="99"/>
    <w:rsid w:val="001F6957"/>
    <w:rPr>
      <w:rFonts w:ascii="Arial" w:hAnsi="Arial"/>
      <w:sz w:val="16"/>
      <w:vertAlign w:val="superscript"/>
    </w:rPr>
  </w:style>
  <w:style w:type="table" w:styleId="GridTable2-Accent2">
    <w:name w:val="Grid Table 2 Accent 2"/>
    <w:basedOn w:val="TableNormal"/>
    <w:uiPriority w:val="47"/>
    <w:locked/>
    <w:rsid w:val="00DD677C"/>
    <w:pPr>
      <w:spacing w:after="0" w:line="240" w:lineRule="auto"/>
    </w:pPr>
    <w:rPr>
      <w:rFonts w:ascii="Arial" w:eastAsiaTheme="minorHAnsi" w:hAnsi="Arial"/>
      <w:sz w:val="18"/>
    </w:rPr>
    <w:tblPr>
      <w:tblStyleRowBandSize w:val="1"/>
      <w:tblStyleColBandSize w:val="1"/>
      <w:tblBorders>
        <w:top w:val="single" w:sz="2" w:space="0" w:color="D3E583" w:themeColor="accent2" w:themeTint="99"/>
        <w:bottom w:val="single" w:sz="2" w:space="0" w:color="D3E583" w:themeColor="accent2" w:themeTint="99"/>
        <w:insideH w:val="single" w:sz="2" w:space="0" w:color="D3E583" w:themeColor="accent2" w:themeTint="99"/>
        <w:insideV w:val="single" w:sz="2" w:space="0" w:color="D3E583" w:themeColor="accent2" w:themeTint="99"/>
      </w:tblBorders>
    </w:tblPr>
    <w:tblStylePr w:type="firstRow">
      <w:pPr>
        <w:jc w:val="left"/>
      </w:pPr>
      <w:rPr>
        <w:b/>
        <w:bCs/>
      </w:rPr>
      <w:tblPr/>
      <w:tcPr>
        <w:tcBorders>
          <w:top w:val="nil"/>
          <w:bottom w:val="single" w:sz="12" w:space="0" w:color="D3E583" w:themeColor="accent2" w:themeTint="99"/>
          <w:insideH w:val="nil"/>
          <w:insideV w:val="nil"/>
        </w:tcBorders>
        <w:shd w:val="clear" w:color="auto" w:fill="FFFFFF" w:themeFill="background1"/>
        <w:vAlign w:val="bottom"/>
      </w:tcPr>
    </w:tblStylePr>
    <w:tblStylePr w:type="lastRow">
      <w:rPr>
        <w:b/>
        <w:bCs/>
      </w:rPr>
      <w:tblPr/>
      <w:tcPr>
        <w:tcBorders>
          <w:top w:val="double" w:sz="2" w:space="0" w:color="D3E5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character" w:customStyle="1" w:styleId="CaptionChar">
    <w:name w:val="Caption Char"/>
    <w:basedOn w:val="DefaultParagraphFont"/>
    <w:link w:val="Caption"/>
    <w:uiPriority w:val="35"/>
    <w:rsid w:val="00A60A4E"/>
    <w:rPr>
      <w:rFonts w:ascii="Arial" w:eastAsia="Times New Roman" w:hAnsi="Arial" w:cs="Arial"/>
      <w:b/>
      <w:bCs/>
      <w:color w:val="007A7D" w:themeColor="text2"/>
      <w:sz w:val="21"/>
      <w:szCs w:val="21"/>
      <w:lang w:eastAsia="en-AU"/>
    </w:rPr>
  </w:style>
  <w:style w:type="table" w:styleId="GridTable2-Accent3">
    <w:name w:val="Grid Table 2 Accent 3"/>
    <w:basedOn w:val="TableNormal"/>
    <w:uiPriority w:val="47"/>
    <w:locked/>
    <w:rsid w:val="00DD677C"/>
    <w:pPr>
      <w:spacing w:after="0" w:line="240" w:lineRule="auto"/>
    </w:pPr>
    <w:rPr>
      <w:rFonts w:ascii="Arial" w:eastAsiaTheme="minorHAnsi" w:hAnsi="Arial"/>
      <w:sz w:val="18"/>
    </w:rPr>
    <w:tblPr>
      <w:tblStyleRowBandSize w:val="1"/>
      <w:tblStyleColBandSize w:val="1"/>
      <w:tblBorders>
        <w:top w:val="single" w:sz="2" w:space="0" w:color="F7AD80" w:themeColor="accent3" w:themeTint="99"/>
        <w:bottom w:val="single" w:sz="2" w:space="0" w:color="F7AD80" w:themeColor="accent3" w:themeTint="99"/>
        <w:insideH w:val="single" w:sz="2" w:space="0" w:color="F7AD80" w:themeColor="accent3" w:themeTint="99"/>
        <w:insideV w:val="single" w:sz="2" w:space="0" w:color="F7AD80" w:themeColor="accent3" w:themeTint="99"/>
      </w:tblBorders>
    </w:tblPr>
    <w:tblStylePr w:type="firstRow">
      <w:pPr>
        <w:jc w:val="left"/>
      </w:pPr>
      <w:rPr>
        <w:b/>
        <w:bCs/>
      </w:rPr>
      <w:tblPr/>
      <w:tcPr>
        <w:tcBorders>
          <w:top w:val="nil"/>
          <w:bottom w:val="single" w:sz="12" w:space="0" w:color="F7AD80" w:themeColor="accent3" w:themeTint="99"/>
          <w:insideH w:val="nil"/>
          <w:insideV w:val="nil"/>
        </w:tcBorders>
        <w:shd w:val="clear" w:color="auto" w:fill="FFFFFF" w:themeFill="background1"/>
        <w:vAlign w:val="bottom"/>
      </w:tcPr>
    </w:tblStylePr>
    <w:tblStylePr w:type="lastRow">
      <w:rPr>
        <w:b/>
        <w:bCs/>
      </w:rPr>
      <w:tblPr/>
      <w:tcPr>
        <w:tcBorders>
          <w:top w:val="double" w:sz="2" w:space="0" w:color="F7AD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character" w:customStyle="1" w:styleId="Heading4Char">
    <w:name w:val="Heading 4 Char"/>
    <w:basedOn w:val="DefaultParagraphFont"/>
    <w:link w:val="Heading4"/>
    <w:uiPriority w:val="3"/>
    <w:rsid w:val="00DD677C"/>
    <w:rPr>
      <w:rFonts w:ascii="Arial" w:eastAsiaTheme="minorHAnsi" w:hAnsi="Arial"/>
      <w:color w:val="4FBFBE" w:themeColor="accent1"/>
      <w:szCs w:val="21"/>
      <w:u w:val="single"/>
    </w:rPr>
  </w:style>
  <w:style w:type="character" w:customStyle="1" w:styleId="Heading5Char">
    <w:name w:val="Heading 5 Char"/>
    <w:basedOn w:val="DefaultParagraphFont"/>
    <w:link w:val="Heading5"/>
    <w:uiPriority w:val="3"/>
    <w:rsid w:val="00DD677C"/>
    <w:rPr>
      <w:rFonts w:ascii="Arial" w:eastAsiaTheme="minorHAnsi" w:hAnsi="Arial"/>
      <w:color w:val="4FBFBE" w:themeColor="accent1"/>
      <w:sz w:val="20"/>
      <w:szCs w:val="20"/>
    </w:rPr>
  </w:style>
  <w:style w:type="table" w:styleId="GridTable3-Accent1">
    <w:name w:val="Grid Table 3 Accent 1"/>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bottom w:val="single" w:sz="4" w:space="0" w:color="95D8D7" w:themeColor="accent1" w:themeTint="99"/>
        </w:tcBorders>
      </w:tcPr>
    </w:tblStylePr>
    <w:tblStylePr w:type="nwCell">
      <w:tblPr/>
      <w:tcPr>
        <w:tcBorders>
          <w:bottom w:val="single" w:sz="4" w:space="0" w:color="95D8D7" w:themeColor="accent1" w:themeTint="99"/>
        </w:tcBorders>
      </w:tcPr>
    </w:tblStylePr>
    <w:tblStylePr w:type="seCell">
      <w:tblPr/>
      <w:tcPr>
        <w:tcBorders>
          <w:top w:val="single" w:sz="4" w:space="0" w:color="95D8D7" w:themeColor="accent1" w:themeTint="99"/>
        </w:tcBorders>
      </w:tcPr>
    </w:tblStylePr>
    <w:tblStylePr w:type="swCell">
      <w:tblPr/>
      <w:tcPr>
        <w:tcBorders>
          <w:top w:val="single" w:sz="4" w:space="0" w:color="95D8D7" w:themeColor="accent1" w:themeTint="99"/>
        </w:tcBorders>
      </w:tcPr>
    </w:tblStylePr>
  </w:style>
  <w:style w:type="table" w:styleId="GridTable3-Accent2">
    <w:name w:val="Grid Table 3 Accent 2"/>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bottom w:val="single" w:sz="4" w:space="0" w:color="D3E583" w:themeColor="accent2" w:themeTint="99"/>
        </w:tcBorders>
      </w:tcPr>
    </w:tblStylePr>
    <w:tblStylePr w:type="nwCell">
      <w:tblPr/>
      <w:tcPr>
        <w:tcBorders>
          <w:bottom w:val="single" w:sz="4" w:space="0" w:color="D3E583" w:themeColor="accent2" w:themeTint="99"/>
        </w:tcBorders>
      </w:tcPr>
    </w:tblStylePr>
    <w:tblStylePr w:type="seCell">
      <w:tblPr/>
      <w:tcPr>
        <w:tcBorders>
          <w:top w:val="single" w:sz="4" w:space="0" w:color="D3E583" w:themeColor="accent2" w:themeTint="99"/>
        </w:tcBorders>
      </w:tcPr>
    </w:tblStylePr>
    <w:tblStylePr w:type="swCell">
      <w:tblPr/>
      <w:tcPr>
        <w:tcBorders>
          <w:top w:val="single" w:sz="4" w:space="0" w:color="D3E583" w:themeColor="accent2" w:themeTint="99"/>
        </w:tcBorders>
      </w:tcPr>
    </w:tblStylePr>
  </w:style>
  <w:style w:type="table" w:styleId="GridTable3-Accent6">
    <w:name w:val="Grid Table 3 Accent 6"/>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bottom w:val="single" w:sz="4" w:space="0" w:color="DBCBBF" w:themeColor="accent6" w:themeTint="99"/>
        </w:tcBorders>
      </w:tcPr>
    </w:tblStylePr>
    <w:tblStylePr w:type="nwCell">
      <w:tblPr/>
      <w:tcPr>
        <w:tcBorders>
          <w:bottom w:val="single" w:sz="4" w:space="0" w:color="DBCBBF" w:themeColor="accent6" w:themeTint="99"/>
        </w:tcBorders>
      </w:tcPr>
    </w:tblStylePr>
    <w:tblStylePr w:type="seCell">
      <w:tblPr/>
      <w:tcPr>
        <w:tcBorders>
          <w:top w:val="single" w:sz="4" w:space="0" w:color="DBCBBF" w:themeColor="accent6" w:themeTint="99"/>
        </w:tcBorders>
      </w:tcPr>
    </w:tblStylePr>
    <w:tblStylePr w:type="swCell">
      <w:tblPr/>
      <w:tcPr>
        <w:tcBorders>
          <w:top w:val="single" w:sz="4" w:space="0" w:color="DBCBBF" w:themeColor="accent6" w:themeTint="99"/>
        </w:tcBorders>
      </w:tcPr>
    </w:tblStylePr>
  </w:style>
  <w:style w:type="character" w:styleId="BookTitle">
    <w:name w:val="Book Title"/>
    <w:basedOn w:val="DefaultParagraphFont"/>
    <w:uiPriority w:val="33"/>
    <w:qFormat/>
    <w:rsid w:val="00DD677C"/>
    <w:rPr>
      <w:rFonts w:ascii="Arial" w:hAnsi="Arial"/>
      <w:iCs/>
      <w:color w:val="auto"/>
      <w:spacing w:val="5"/>
      <w:sz w:val="20"/>
      <w:szCs w:val="20"/>
    </w:rPr>
  </w:style>
  <w:style w:type="paragraph" w:styleId="ListBullet">
    <w:name w:val="List Bullet"/>
    <w:basedOn w:val="Normal"/>
    <w:uiPriority w:val="1"/>
    <w:qFormat/>
    <w:rsid w:val="00DD677C"/>
    <w:pPr>
      <w:numPr>
        <w:numId w:val="5"/>
      </w:numPr>
      <w:spacing w:before="60" w:after="60" w:line="300" w:lineRule="auto"/>
    </w:pPr>
  </w:style>
  <w:style w:type="paragraph" w:styleId="ListBullet2">
    <w:name w:val="List Bullet 2"/>
    <w:basedOn w:val="Normal"/>
    <w:uiPriority w:val="1"/>
    <w:qFormat/>
    <w:rsid w:val="00DD677C"/>
    <w:pPr>
      <w:numPr>
        <w:numId w:val="6"/>
      </w:numPr>
      <w:spacing w:before="60" w:after="60" w:line="300" w:lineRule="auto"/>
    </w:pPr>
  </w:style>
  <w:style w:type="table" w:styleId="GridTable4">
    <w:name w:val="Grid Table 4"/>
    <w:basedOn w:val="TableNormal"/>
    <w:uiPriority w:val="49"/>
    <w:rsid w:val="00DD677C"/>
    <w:pPr>
      <w:spacing w:after="0" w:line="240" w:lineRule="auto"/>
    </w:pPr>
    <w:rPr>
      <w:rFonts w:ascii="Arial" w:eastAsiaTheme="minorHAnsi"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1"/>
    <w:qFormat/>
    <w:rsid w:val="00DD677C"/>
    <w:pPr>
      <w:numPr>
        <w:numId w:val="7"/>
      </w:numPr>
      <w:spacing w:before="60" w:after="60" w:line="300" w:lineRule="auto"/>
    </w:pPr>
  </w:style>
  <w:style w:type="table" w:styleId="GridTable4-Accent1">
    <w:name w:val="Grid Table 4 Accent 1"/>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B8E5E4" w:themeColor="accent1" w:themeTint="66"/>
        <w:left w:val="single" w:sz="4" w:space="0" w:color="B8E5E4" w:themeColor="accent1" w:themeTint="66"/>
        <w:bottom w:val="single" w:sz="4" w:space="0" w:color="B8E5E4" w:themeColor="accent1" w:themeTint="66"/>
        <w:right w:val="single" w:sz="4" w:space="0" w:color="B8E5E4" w:themeColor="accent1" w:themeTint="66"/>
        <w:insideH w:val="single" w:sz="4" w:space="0" w:color="B8E5E4" w:themeColor="accent1" w:themeTint="66"/>
        <w:insideV w:val="single" w:sz="4" w:space="0" w:color="B8E5E4" w:themeColor="accent1" w:themeTint="66"/>
      </w:tblBorders>
    </w:tblPr>
    <w:tcPr>
      <w:vAlign w:val="bottom"/>
    </w:tcPr>
    <w:tblStylePr w:type="firstRow">
      <w:pPr>
        <w:jc w:val="left"/>
      </w:pPr>
      <w:rPr>
        <w:b/>
        <w:bCs/>
        <w:color w:val="FFFFFF" w:themeColor="background1"/>
      </w:rPr>
      <w:tblPr/>
      <w:tcPr>
        <w:shd w:val="clear" w:color="auto" w:fill="4FBFBE" w:themeFill="accent1"/>
      </w:tcPr>
    </w:tblStylePr>
    <w:tblStylePr w:type="lastRow">
      <w:rPr>
        <w:b/>
        <w:bCs/>
      </w:rPr>
      <w:tblPr/>
      <w:tcPr>
        <w:tcBorders>
          <w:top w:val="double" w:sz="4" w:space="0" w:color="4FBFBE" w:themeColor="accent1"/>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GridTable4-Accent2">
    <w:name w:val="Grid Table 4 Accent 2"/>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color w:val="FFFFFF" w:themeColor="background1"/>
      </w:rPr>
      <w:tblPr/>
      <w:tcPr>
        <w:tcBorders>
          <w:top w:val="single" w:sz="4" w:space="0" w:color="B7D432" w:themeColor="accent2"/>
          <w:left w:val="single" w:sz="4" w:space="0" w:color="B7D432" w:themeColor="accent2"/>
          <w:bottom w:val="single" w:sz="4" w:space="0" w:color="B7D432" w:themeColor="accent2"/>
          <w:right w:val="single" w:sz="4" w:space="0" w:color="B7D432" w:themeColor="accent2"/>
          <w:insideH w:val="nil"/>
          <w:insideV w:val="nil"/>
        </w:tcBorders>
        <w:shd w:val="clear" w:color="auto" w:fill="B7D432" w:themeFill="accent2"/>
        <w:vAlign w:val="bottom"/>
      </w:tcPr>
    </w:tblStylePr>
    <w:tblStylePr w:type="lastRow">
      <w:rPr>
        <w:b/>
        <w:bCs/>
      </w:rPr>
      <w:tblPr/>
      <w:tcPr>
        <w:tcBorders>
          <w:top w:val="double" w:sz="4" w:space="0" w:color="B7D432" w:themeColor="accent2"/>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GridTable4-Accent3">
    <w:name w:val="Grid Table 4 Accent 3"/>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color w:val="FFFFFF" w:themeColor="background1"/>
      </w:rPr>
      <w:tblPr/>
      <w:tcPr>
        <w:tcBorders>
          <w:top w:val="single" w:sz="4" w:space="0" w:color="F3772C" w:themeColor="accent3"/>
          <w:left w:val="single" w:sz="4" w:space="0" w:color="F3772C" w:themeColor="accent3"/>
          <w:bottom w:val="single" w:sz="4" w:space="0" w:color="F3772C" w:themeColor="accent3"/>
          <w:right w:val="single" w:sz="4" w:space="0" w:color="F3772C" w:themeColor="accent3"/>
          <w:insideH w:val="nil"/>
          <w:insideV w:val="nil"/>
        </w:tcBorders>
        <w:shd w:val="clear" w:color="auto" w:fill="F3772C" w:themeFill="accent3"/>
        <w:vAlign w:val="bottom"/>
      </w:tcPr>
    </w:tblStylePr>
    <w:tblStylePr w:type="lastRow">
      <w:rPr>
        <w:b/>
        <w:bCs/>
      </w:rPr>
      <w:tblPr/>
      <w:tcPr>
        <w:tcBorders>
          <w:top w:val="double" w:sz="4" w:space="0" w:color="F3772C" w:themeColor="accent3"/>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GridTable4-Accent4">
    <w:name w:val="Grid Table 4 Accent 4"/>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color w:val="FFFFFF" w:themeColor="background1"/>
      </w:rPr>
      <w:tblPr/>
      <w:tcPr>
        <w:tcBorders>
          <w:top w:val="single" w:sz="4" w:space="0" w:color="EE3B6F" w:themeColor="accent4"/>
          <w:left w:val="single" w:sz="4" w:space="0" w:color="EE3B6F" w:themeColor="accent4"/>
          <w:bottom w:val="single" w:sz="4" w:space="0" w:color="EE3B6F" w:themeColor="accent4"/>
          <w:right w:val="single" w:sz="4" w:space="0" w:color="EE3B6F" w:themeColor="accent4"/>
          <w:insideH w:val="nil"/>
          <w:insideV w:val="nil"/>
        </w:tcBorders>
        <w:shd w:val="clear" w:color="auto" w:fill="EE3B6F" w:themeFill="accent4"/>
        <w:vAlign w:val="bottom"/>
      </w:tcPr>
    </w:tblStylePr>
    <w:tblStylePr w:type="lastRow">
      <w:rPr>
        <w:b/>
        <w:bCs/>
      </w:rPr>
      <w:tblPr/>
      <w:tcPr>
        <w:tcBorders>
          <w:top w:val="double" w:sz="4" w:space="0" w:color="EE3B6F" w:themeColor="accent4"/>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4-Accent5">
    <w:name w:val="Grid Table 4 Accent 5"/>
    <w:basedOn w:val="TableNormal"/>
    <w:uiPriority w:val="49"/>
    <w:rsid w:val="00DD677C"/>
    <w:pPr>
      <w:spacing w:after="0" w:line="240" w:lineRule="auto"/>
    </w:pPr>
    <w:rPr>
      <w:rFonts w:ascii="Arial" w:eastAsiaTheme="minorHAnsi" w:hAnsi="Arial"/>
      <w:sz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color w:val="FFFFFF" w:themeColor="background1"/>
      </w:rPr>
      <w:tblPr/>
      <w:tcPr>
        <w:tcBorders>
          <w:top w:val="single" w:sz="4" w:space="0" w:color="FCB942" w:themeColor="accent5"/>
          <w:left w:val="single" w:sz="4" w:space="0" w:color="FCB942" w:themeColor="accent5"/>
          <w:bottom w:val="single" w:sz="4" w:space="0" w:color="FCB942" w:themeColor="accent5"/>
          <w:right w:val="single" w:sz="4" w:space="0" w:color="FCB942" w:themeColor="accent5"/>
          <w:insideH w:val="nil"/>
          <w:insideV w:val="nil"/>
        </w:tcBorders>
        <w:shd w:val="clear" w:color="auto" w:fill="FCB942" w:themeFill="accent5"/>
        <w:vAlign w:val="bottom"/>
      </w:tcPr>
    </w:tblStylePr>
    <w:tblStylePr w:type="lastRow">
      <w:rPr>
        <w:b/>
        <w:bCs/>
      </w:rPr>
      <w:tblPr/>
      <w:tcPr>
        <w:tcBorders>
          <w:top w:val="double" w:sz="4" w:space="0" w:color="FCB942" w:themeColor="accent5"/>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4-Accent6">
    <w:name w:val="Grid Table 4 Accent 6"/>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color w:val="FFFFFF" w:themeColor="background1"/>
      </w:rPr>
      <w:tblPr/>
      <w:tcPr>
        <w:tcBorders>
          <w:top w:val="single" w:sz="4" w:space="0" w:color="C3AA95" w:themeColor="accent6"/>
          <w:left w:val="single" w:sz="4" w:space="0" w:color="C3AA95" w:themeColor="accent6"/>
          <w:bottom w:val="single" w:sz="4" w:space="0" w:color="C3AA95" w:themeColor="accent6"/>
          <w:right w:val="single" w:sz="4" w:space="0" w:color="C3AA95" w:themeColor="accent6"/>
          <w:insideH w:val="nil"/>
          <w:insideV w:val="nil"/>
        </w:tcBorders>
        <w:shd w:val="clear" w:color="auto" w:fill="C3AA95" w:themeFill="accent6"/>
        <w:vAlign w:val="bottom"/>
      </w:tcPr>
    </w:tblStylePr>
    <w:tblStylePr w:type="lastRow">
      <w:rPr>
        <w:b/>
        <w:bCs/>
      </w:rPr>
      <w:tblPr/>
      <w:tcPr>
        <w:tcBorders>
          <w:top w:val="double" w:sz="4" w:space="0" w:color="C3AA95" w:themeColor="accent6"/>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paragraph" w:styleId="NormalWeb">
    <w:name w:val="Normal (Web)"/>
    <w:basedOn w:val="Normal"/>
    <w:uiPriority w:val="99"/>
    <w:unhideWhenUsed/>
    <w:rsid w:val="001F6957"/>
    <w:pPr>
      <w:spacing w:before="100" w:beforeAutospacing="1" w:after="100" w:afterAutospacing="1"/>
    </w:pPr>
    <w:rPr>
      <w:rFonts w:ascii="Times New Roman" w:eastAsia="Times New Roman" w:hAnsi="Times New Roman" w:cs="Times New Roman"/>
      <w:sz w:val="24"/>
      <w:szCs w:val="24"/>
      <w:lang w:eastAsia="en-AU"/>
    </w:rPr>
  </w:style>
  <w:style w:type="table" w:styleId="GridTable5Dark">
    <w:name w:val="Grid Table 5 Dark"/>
    <w:basedOn w:val="TableNormal"/>
    <w:uiPriority w:val="50"/>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1F6957"/>
    <w:rPr>
      <w:sz w:val="16"/>
      <w:szCs w:val="16"/>
    </w:rPr>
  </w:style>
  <w:style w:type="paragraph" w:styleId="CommentText">
    <w:name w:val="annotation text"/>
    <w:basedOn w:val="Normal"/>
    <w:link w:val="CommentTextChar"/>
    <w:uiPriority w:val="99"/>
    <w:unhideWhenUsed/>
    <w:rsid w:val="001F6957"/>
    <w:rPr>
      <w:szCs w:val="20"/>
    </w:rPr>
  </w:style>
  <w:style w:type="character" w:customStyle="1" w:styleId="CommentTextChar">
    <w:name w:val="Comment Text Char"/>
    <w:basedOn w:val="DefaultParagraphFont"/>
    <w:link w:val="CommentText"/>
    <w:uiPriority w:val="99"/>
    <w:rsid w:val="001F6957"/>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1F6957"/>
    <w:rPr>
      <w:b/>
      <w:bCs/>
    </w:rPr>
  </w:style>
  <w:style w:type="character" w:customStyle="1" w:styleId="CommentSubjectChar">
    <w:name w:val="Comment Subject Char"/>
    <w:basedOn w:val="CommentTextChar"/>
    <w:link w:val="CommentSubject"/>
    <w:uiPriority w:val="99"/>
    <w:semiHidden/>
    <w:rsid w:val="001F6957"/>
    <w:rPr>
      <w:rFonts w:ascii="Arial" w:eastAsiaTheme="minorHAnsi" w:hAnsi="Arial"/>
      <w:b/>
      <w:bCs/>
      <w:sz w:val="20"/>
      <w:szCs w:val="20"/>
    </w:rPr>
  </w:style>
  <w:style w:type="table" w:styleId="GridTable5Dark-Accent2">
    <w:name w:val="Grid Table 5 Dark Accent 2"/>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D5"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4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4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4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432"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72C"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7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7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72C"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1F6957"/>
    <w:rPr>
      <w:color w:val="808080"/>
    </w:rPr>
  </w:style>
  <w:style w:type="paragraph" w:styleId="ListParagraph">
    <w:name w:val="List Paragraph"/>
    <w:aliases w:val="Recommendation,L,0Bullet,Bullet point,Indented bullet,List Paragraph1,List Paragraph11,List Paragraph2,bullet point list"/>
    <w:basedOn w:val="Normal"/>
    <w:uiPriority w:val="34"/>
    <w:qFormat/>
    <w:rsid w:val="001F6957"/>
    <w:pPr>
      <w:ind w:left="720"/>
      <w:contextualSpacing/>
    </w:pPr>
  </w:style>
  <w:style w:type="paragraph" w:styleId="Quote">
    <w:name w:val="Quote"/>
    <w:aliases w:val="Quote 1"/>
    <w:basedOn w:val="Normal"/>
    <w:next w:val="Body"/>
    <w:link w:val="QuoteChar"/>
    <w:uiPriority w:val="7"/>
    <w:qFormat/>
    <w:rsid w:val="00DD677C"/>
    <w:pPr>
      <w:spacing w:before="120" w:after="120" w:line="276" w:lineRule="auto"/>
      <w:ind w:left="1134" w:right="1134"/>
      <w:jc w:val="center"/>
    </w:pPr>
    <w:rPr>
      <w:rFonts w:asciiTheme="minorHAnsi" w:hAnsiTheme="minorHAnsi" w:cstheme="minorHAnsi"/>
      <w:sz w:val="22"/>
      <w:szCs w:val="22"/>
      <w:shd w:val="clear" w:color="auto" w:fill="FFFFFF"/>
    </w:rPr>
  </w:style>
  <w:style w:type="character" w:customStyle="1" w:styleId="QuoteChar">
    <w:name w:val="Quote Char"/>
    <w:aliases w:val="Quote 1 Char"/>
    <w:basedOn w:val="DefaultParagraphFont"/>
    <w:link w:val="Quote"/>
    <w:uiPriority w:val="7"/>
    <w:rsid w:val="00DD677C"/>
    <w:rPr>
      <w:rFonts w:eastAsiaTheme="minorHAnsi" w:cstheme="minorHAnsi"/>
    </w:rPr>
  </w:style>
  <w:style w:type="table" w:styleId="GridTable5Dark-Accent4">
    <w:name w:val="Grid Table 5 Dark Accent 4"/>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7E2"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3B6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3B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3B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3B6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8"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942"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9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9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942"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DE9"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AA95"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AA9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AA9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AA95" w:themeFill="accent6"/>
      </w:tcPr>
    </w:tblStylePr>
    <w:tblStylePr w:type="band1Vert">
      <w:tblPr/>
      <w:tcPr>
        <w:shd w:val="clear" w:color="auto" w:fill="E7DCD4"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DD677C"/>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D677C"/>
    <w:pPr>
      <w:spacing w:after="0" w:line="240" w:lineRule="auto"/>
    </w:pPr>
    <w:rPr>
      <w:rFonts w:ascii="Arial" w:eastAsiaTheme="minorHAnsi" w:hAnsi="Arial"/>
      <w:color w:val="369492" w:themeColor="accent1" w:themeShade="BF"/>
      <w:sz w:val="18"/>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bottom w:val="single" w:sz="12" w:space="0" w:color="95D8D7" w:themeColor="accent1" w:themeTint="99"/>
        </w:tcBorders>
        <w:vAlign w:val="bottom"/>
      </w:tcPr>
    </w:tblStylePr>
    <w:tblStylePr w:type="lastRow">
      <w:rPr>
        <w:b/>
        <w:bCs/>
      </w:rPr>
      <w:tblPr/>
      <w:tcPr>
        <w:tcBorders>
          <w:top w:val="double" w:sz="4" w:space="0" w:color="95D8D7" w:themeColor="accent1" w:themeTint="99"/>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GridTable6Colorful-Accent2">
    <w:name w:val="Grid Table 6 Colorful Accent 2"/>
    <w:basedOn w:val="TableNormal"/>
    <w:uiPriority w:val="51"/>
    <w:locked/>
    <w:rsid w:val="00DD677C"/>
    <w:pPr>
      <w:spacing w:after="0" w:line="240" w:lineRule="auto"/>
    </w:pPr>
    <w:rPr>
      <w:rFonts w:ascii="Arial" w:eastAsiaTheme="minorHAnsi" w:hAnsi="Arial"/>
      <w:color w:val="8AA122" w:themeColor="accent2" w:themeShade="BF"/>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bottom w:val="single" w:sz="12" w:space="0" w:color="D3E583" w:themeColor="accent2" w:themeTint="99"/>
        </w:tcBorders>
        <w:vAlign w:val="bottom"/>
      </w:tcPr>
    </w:tblStylePr>
    <w:tblStylePr w:type="lastRow">
      <w:rPr>
        <w:b/>
        <w:bCs/>
      </w:rPr>
      <w:tblPr/>
      <w:tcPr>
        <w:tcBorders>
          <w:top w:val="doub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GridTable6Colorful-Accent3">
    <w:name w:val="Grid Table 6 Colorful Accent 3"/>
    <w:basedOn w:val="TableNormal"/>
    <w:uiPriority w:val="51"/>
    <w:locked/>
    <w:rsid w:val="00DD677C"/>
    <w:pPr>
      <w:spacing w:after="0" w:line="240" w:lineRule="auto"/>
    </w:pPr>
    <w:rPr>
      <w:rFonts w:ascii="Arial" w:eastAsiaTheme="minorHAnsi" w:hAnsi="Arial"/>
      <w:color w:val="CB530B" w:themeColor="accent3" w:themeShade="BF"/>
      <w:sz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bottom w:val="single" w:sz="12" w:space="0" w:color="F7AD80" w:themeColor="accent3" w:themeTint="99"/>
        </w:tcBorders>
        <w:vAlign w:val="bottom"/>
      </w:tcPr>
    </w:tblStylePr>
    <w:tblStylePr w:type="lastRow">
      <w:rPr>
        <w:b/>
        <w:bCs/>
      </w:rPr>
      <w:tblPr/>
      <w:tcPr>
        <w:tcBorders>
          <w:top w:val="doub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GridTable6Colorful-Accent4">
    <w:name w:val="Grid Table 6 Colorful Accent 4"/>
    <w:basedOn w:val="TableNormal"/>
    <w:uiPriority w:val="51"/>
    <w:locked/>
    <w:rsid w:val="00DD677C"/>
    <w:pPr>
      <w:spacing w:after="0" w:line="240" w:lineRule="auto"/>
    </w:pPr>
    <w:rPr>
      <w:rFonts w:ascii="Arial" w:eastAsiaTheme="minorHAnsi" w:hAnsi="Arial"/>
      <w:color w:val="CC1148" w:themeColor="accent4" w:themeShade="BF"/>
      <w:sz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bottom w:val="single" w:sz="12" w:space="0" w:color="F489A8" w:themeColor="accent4" w:themeTint="99"/>
        </w:tcBorders>
        <w:vAlign w:val="bottom"/>
      </w:tcPr>
    </w:tblStylePr>
    <w:tblStylePr w:type="lastRow">
      <w:rPr>
        <w:b/>
        <w:bCs/>
      </w:rPr>
      <w:tblPr/>
      <w:tcPr>
        <w:tcBorders>
          <w:top w:val="doub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6Colorful-Accent5">
    <w:name w:val="Grid Table 6 Colorful Accent 5"/>
    <w:basedOn w:val="TableNormal"/>
    <w:uiPriority w:val="51"/>
    <w:rsid w:val="00DD677C"/>
    <w:pPr>
      <w:spacing w:after="0" w:line="240" w:lineRule="auto"/>
    </w:pPr>
    <w:rPr>
      <w:rFonts w:ascii="Arial" w:eastAsiaTheme="minorHAnsi" w:hAnsi="Arial"/>
      <w:color w:val="EA9703" w:themeColor="accent5" w:themeShade="BF"/>
      <w:sz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bottom w:val="single" w:sz="12" w:space="0" w:color="FDD48D" w:themeColor="accent5" w:themeTint="99"/>
        </w:tcBorders>
        <w:vAlign w:val="bottom"/>
      </w:tcPr>
    </w:tblStylePr>
    <w:tblStylePr w:type="lastRow">
      <w:rPr>
        <w:b/>
        <w:bCs/>
      </w:rPr>
      <w:tblPr/>
      <w:tcPr>
        <w:tcBorders>
          <w:top w:val="doub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6Colorful-Accent6">
    <w:name w:val="Grid Table 6 Colorful Accent 6"/>
    <w:basedOn w:val="TableNormal"/>
    <w:uiPriority w:val="51"/>
    <w:locked/>
    <w:rsid w:val="00DD677C"/>
    <w:pPr>
      <w:spacing w:after="0" w:line="240" w:lineRule="auto"/>
    </w:pPr>
    <w:rPr>
      <w:rFonts w:eastAsiaTheme="minorHAnsi"/>
      <w:color w:val="A37D5D" w:themeColor="accent6" w:themeShade="BF"/>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bottom w:val="single" w:sz="12" w:space="0" w:color="DBCBBF" w:themeColor="accent6" w:themeTint="99"/>
        </w:tcBorders>
        <w:vAlign w:val="bottom"/>
      </w:tcPr>
    </w:tblStylePr>
    <w:tblStylePr w:type="lastRow">
      <w:rPr>
        <w:b/>
        <w:bCs/>
      </w:rPr>
      <w:tblPr/>
      <w:tcPr>
        <w:tcBorders>
          <w:top w:val="doub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GridTable7Colorful">
    <w:name w:val="Grid Table 7 Colorful"/>
    <w:basedOn w:val="TableNormal"/>
    <w:uiPriority w:val="52"/>
    <w:rsid w:val="00DD677C"/>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D677C"/>
    <w:pPr>
      <w:spacing w:after="0" w:line="240" w:lineRule="auto"/>
    </w:pPr>
    <w:rPr>
      <w:rFonts w:eastAsiaTheme="minorHAnsi"/>
      <w:color w:val="369492" w:themeColor="accent1" w:themeShade="BF"/>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bottom w:val="single" w:sz="4" w:space="0" w:color="95D8D7" w:themeColor="accent1" w:themeTint="99"/>
        </w:tcBorders>
      </w:tcPr>
    </w:tblStylePr>
    <w:tblStylePr w:type="nwCell">
      <w:tblPr/>
      <w:tcPr>
        <w:tcBorders>
          <w:bottom w:val="single" w:sz="4" w:space="0" w:color="95D8D7" w:themeColor="accent1" w:themeTint="99"/>
        </w:tcBorders>
      </w:tcPr>
    </w:tblStylePr>
    <w:tblStylePr w:type="seCell">
      <w:tblPr/>
      <w:tcPr>
        <w:tcBorders>
          <w:top w:val="single" w:sz="4" w:space="0" w:color="95D8D7" w:themeColor="accent1" w:themeTint="99"/>
        </w:tcBorders>
      </w:tcPr>
    </w:tblStylePr>
    <w:tblStylePr w:type="swCell">
      <w:tblPr/>
      <w:tcPr>
        <w:tcBorders>
          <w:top w:val="single" w:sz="4" w:space="0" w:color="95D8D7" w:themeColor="accent1" w:themeTint="99"/>
        </w:tcBorders>
      </w:tcPr>
    </w:tblStylePr>
  </w:style>
  <w:style w:type="table" w:styleId="GridTable7Colorful-Accent2">
    <w:name w:val="Grid Table 7 Colorful Accent 2"/>
    <w:basedOn w:val="TableNormal"/>
    <w:uiPriority w:val="52"/>
    <w:locked/>
    <w:rsid w:val="00DD677C"/>
    <w:pPr>
      <w:spacing w:after="0" w:line="240" w:lineRule="auto"/>
    </w:pPr>
    <w:rPr>
      <w:rFonts w:eastAsiaTheme="minorHAnsi"/>
      <w:color w:val="8AA122" w:themeColor="accent2" w:themeShade="BF"/>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bottom w:val="single" w:sz="4" w:space="0" w:color="D3E583" w:themeColor="accent2" w:themeTint="99"/>
        </w:tcBorders>
      </w:tcPr>
    </w:tblStylePr>
    <w:tblStylePr w:type="nwCell">
      <w:tblPr/>
      <w:tcPr>
        <w:tcBorders>
          <w:bottom w:val="single" w:sz="4" w:space="0" w:color="D3E583" w:themeColor="accent2" w:themeTint="99"/>
        </w:tcBorders>
      </w:tcPr>
    </w:tblStylePr>
    <w:tblStylePr w:type="seCell">
      <w:tblPr/>
      <w:tcPr>
        <w:tcBorders>
          <w:top w:val="single" w:sz="4" w:space="0" w:color="D3E583" w:themeColor="accent2" w:themeTint="99"/>
        </w:tcBorders>
      </w:tcPr>
    </w:tblStylePr>
    <w:tblStylePr w:type="swCell">
      <w:tblPr/>
      <w:tcPr>
        <w:tcBorders>
          <w:top w:val="single" w:sz="4" w:space="0" w:color="D3E583" w:themeColor="accent2" w:themeTint="99"/>
        </w:tcBorders>
      </w:tcPr>
    </w:tblStylePr>
  </w:style>
  <w:style w:type="table" w:styleId="GridTable7Colorful-Accent3">
    <w:name w:val="Grid Table 7 Colorful Accent 3"/>
    <w:basedOn w:val="TableNormal"/>
    <w:uiPriority w:val="52"/>
    <w:locked/>
    <w:rsid w:val="00DD677C"/>
    <w:pPr>
      <w:spacing w:after="0" w:line="240" w:lineRule="auto"/>
    </w:pPr>
    <w:rPr>
      <w:rFonts w:eastAsiaTheme="minorHAnsi"/>
      <w:color w:val="CB530B" w:themeColor="accent3" w:themeShade="BF"/>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bottom w:val="single" w:sz="4" w:space="0" w:color="F7AD80" w:themeColor="accent3" w:themeTint="99"/>
        </w:tcBorders>
      </w:tcPr>
    </w:tblStylePr>
    <w:tblStylePr w:type="nwCell">
      <w:tblPr/>
      <w:tcPr>
        <w:tcBorders>
          <w:bottom w:val="single" w:sz="4" w:space="0" w:color="F7AD80" w:themeColor="accent3" w:themeTint="99"/>
        </w:tcBorders>
      </w:tcPr>
    </w:tblStylePr>
    <w:tblStylePr w:type="seCell">
      <w:tblPr/>
      <w:tcPr>
        <w:tcBorders>
          <w:top w:val="single" w:sz="4" w:space="0" w:color="F7AD80" w:themeColor="accent3" w:themeTint="99"/>
        </w:tcBorders>
      </w:tcPr>
    </w:tblStylePr>
    <w:tblStylePr w:type="swCell">
      <w:tblPr/>
      <w:tcPr>
        <w:tcBorders>
          <w:top w:val="single" w:sz="4" w:space="0" w:color="F7AD80" w:themeColor="accent3" w:themeTint="99"/>
        </w:tcBorders>
      </w:tcPr>
    </w:tblStylePr>
  </w:style>
  <w:style w:type="table" w:styleId="GridTable7Colorful-Accent4">
    <w:name w:val="Grid Table 7 Colorful Accent 4"/>
    <w:basedOn w:val="TableNormal"/>
    <w:uiPriority w:val="52"/>
    <w:locked/>
    <w:rsid w:val="00DD677C"/>
    <w:pPr>
      <w:spacing w:after="0" w:line="240" w:lineRule="auto"/>
    </w:pPr>
    <w:rPr>
      <w:rFonts w:eastAsiaTheme="minorHAnsi"/>
      <w:color w:val="CC1148" w:themeColor="accent4" w:themeShade="BF"/>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bottom w:val="single" w:sz="4" w:space="0" w:color="F489A8" w:themeColor="accent4" w:themeTint="99"/>
        </w:tcBorders>
      </w:tcPr>
    </w:tblStylePr>
    <w:tblStylePr w:type="nwCell">
      <w:tblPr/>
      <w:tcPr>
        <w:tcBorders>
          <w:bottom w:val="single" w:sz="4" w:space="0" w:color="F489A8" w:themeColor="accent4" w:themeTint="99"/>
        </w:tcBorders>
      </w:tcPr>
    </w:tblStylePr>
    <w:tblStylePr w:type="seCell">
      <w:tblPr/>
      <w:tcPr>
        <w:tcBorders>
          <w:top w:val="single" w:sz="4" w:space="0" w:color="F489A8" w:themeColor="accent4" w:themeTint="99"/>
        </w:tcBorders>
      </w:tcPr>
    </w:tblStylePr>
    <w:tblStylePr w:type="swCell">
      <w:tblPr/>
      <w:tcPr>
        <w:tcBorders>
          <w:top w:val="single" w:sz="4" w:space="0" w:color="F489A8" w:themeColor="accent4" w:themeTint="99"/>
        </w:tcBorders>
      </w:tcPr>
    </w:tblStylePr>
  </w:style>
  <w:style w:type="table" w:styleId="GridTable7Colorful-Accent5">
    <w:name w:val="Grid Table 7 Colorful Accent 5"/>
    <w:basedOn w:val="TableNormal"/>
    <w:uiPriority w:val="52"/>
    <w:rsid w:val="00DD677C"/>
    <w:pPr>
      <w:spacing w:after="0" w:line="240" w:lineRule="auto"/>
    </w:pPr>
    <w:rPr>
      <w:rFonts w:eastAsiaTheme="minorHAnsi"/>
      <w:color w:val="EA9703" w:themeColor="accent5" w:themeShade="BF"/>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bottom w:val="single" w:sz="4" w:space="0" w:color="FDD48D" w:themeColor="accent5" w:themeTint="99"/>
        </w:tcBorders>
      </w:tcPr>
    </w:tblStylePr>
    <w:tblStylePr w:type="nwCell">
      <w:tblPr/>
      <w:tcPr>
        <w:tcBorders>
          <w:bottom w:val="single" w:sz="4" w:space="0" w:color="FDD48D" w:themeColor="accent5" w:themeTint="99"/>
        </w:tcBorders>
      </w:tcPr>
    </w:tblStylePr>
    <w:tblStylePr w:type="seCell">
      <w:tblPr/>
      <w:tcPr>
        <w:tcBorders>
          <w:top w:val="single" w:sz="4" w:space="0" w:color="FDD48D" w:themeColor="accent5" w:themeTint="99"/>
        </w:tcBorders>
      </w:tcPr>
    </w:tblStylePr>
    <w:tblStylePr w:type="swCell">
      <w:tblPr/>
      <w:tcPr>
        <w:tcBorders>
          <w:top w:val="single" w:sz="4" w:space="0" w:color="FDD48D" w:themeColor="accent5" w:themeTint="99"/>
        </w:tcBorders>
      </w:tcPr>
    </w:tblStylePr>
  </w:style>
  <w:style w:type="table" w:styleId="ListTable4-Accent1">
    <w:name w:val="List Table 4 Accent 1"/>
    <w:basedOn w:val="TableNormal"/>
    <w:uiPriority w:val="49"/>
    <w:locked/>
    <w:rsid w:val="00DD677C"/>
    <w:pPr>
      <w:spacing w:after="0" w:line="240" w:lineRule="auto"/>
    </w:pPr>
    <w:rPr>
      <w:rFonts w:ascii="Arial" w:eastAsiaTheme="minorHAnsi" w:hAnsi="Arial"/>
      <w:sz w:val="18"/>
    </w:rPr>
    <w:tblPr>
      <w:tblStyleRowBandSize w:val="1"/>
      <w:tblStyleColBandSize w:val="1"/>
      <w:tblBorders>
        <w:bottom w:val="single" w:sz="4" w:space="0" w:color="95D8D7" w:themeColor="accent1" w:themeTint="99"/>
      </w:tblBorders>
    </w:tblPr>
    <w:tblStylePr w:type="firstRow">
      <w:pPr>
        <w:jc w:val="left"/>
      </w:pPr>
      <w:rPr>
        <w:b/>
        <w:bCs/>
        <w:color w:val="FFFFFF" w:themeColor="background1"/>
      </w:rPr>
      <w:tblPr/>
      <w:tcPr>
        <w:shd w:val="clear" w:color="auto" w:fill="4FBFBE" w:themeFill="accent1"/>
        <w:vAlign w:val="bottom"/>
      </w:tcPr>
    </w:tblStylePr>
    <w:tblStylePr w:type="lastRow">
      <w:rPr>
        <w:b/>
        <w:bCs/>
      </w:rPr>
      <w:tblPr/>
      <w:tcPr>
        <w:tcBorders>
          <w:top w:val="double" w:sz="4" w:space="0" w:color="95D8D7" w:themeColor="accent1" w:themeTint="99"/>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4-Accent2">
    <w:name w:val="List Table 4 Accent 2"/>
    <w:basedOn w:val="TableNormal"/>
    <w:uiPriority w:val="49"/>
    <w:locked/>
    <w:rsid w:val="00DD677C"/>
    <w:pPr>
      <w:spacing w:after="0" w:line="240" w:lineRule="auto"/>
    </w:pPr>
    <w:rPr>
      <w:rFonts w:ascii="Arial" w:eastAsiaTheme="minorHAnsi" w:hAnsi="Arial"/>
      <w:sz w:val="18"/>
    </w:rPr>
    <w:tblPr>
      <w:tblStyleRowBandSize w:val="1"/>
      <w:tblStyleColBandSize w:val="1"/>
      <w:tblBorders>
        <w:bottom w:val="single" w:sz="4" w:space="0" w:color="D3E583" w:themeColor="accent2" w:themeTint="99"/>
      </w:tblBorders>
    </w:tblPr>
    <w:tblStylePr w:type="firstRow">
      <w:pPr>
        <w:jc w:val="left"/>
      </w:pPr>
      <w:rPr>
        <w:b/>
        <w:bCs/>
        <w:color w:val="FFFFFF" w:themeColor="background1"/>
      </w:rPr>
      <w:tblPr/>
      <w:tcPr>
        <w:tcBorders>
          <w:top w:val="single" w:sz="4" w:space="0" w:color="B7D432" w:themeColor="accent2"/>
          <w:left w:val="single" w:sz="4" w:space="0" w:color="B7D432" w:themeColor="accent2"/>
          <w:bottom w:val="single" w:sz="4" w:space="0" w:color="B7D432" w:themeColor="accent2"/>
          <w:right w:val="single" w:sz="4" w:space="0" w:color="B7D432" w:themeColor="accent2"/>
          <w:insideH w:val="nil"/>
        </w:tcBorders>
        <w:shd w:val="clear" w:color="auto" w:fill="B7D432" w:themeFill="accent2"/>
        <w:vAlign w:val="bottom"/>
      </w:tcPr>
    </w:tblStylePr>
    <w:tblStylePr w:type="lastRow">
      <w:rPr>
        <w:b/>
        <w:bCs/>
      </w:rPr>
      <w:tblPr/>
      <w:tcPr>
        <w:tcBorders>
          <w:top w:val="doub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4-Accent5">
    <w:name w:val="List Table 4 Accent 5"/>
    <w:basedOn w:val="TableNormal"/>
    <w:uiPriority w:val="49"/>
    <w:rsid w:val="00DD677C"/>
    <w:pPr>
      <w:spacing w:after="0" w:line="240" w:lineRule="auto"/>
    </w:pPr>
    <w:rPr>
      <w:rFonts w:ascii="Arial" w:eastAsiaTheme="minorHAnsi" w:hAnsi="Arial"/>
      <w:sz w:val="18"/>
    </w:rPr>
    <w:tblPr>
      <w:tblStyleRowBandSize w:val="1"/>
      <w:tblStyleColBandSize w:val="1"/>
      <w:tblBorders>
        <w:bottom w:val="single" w:sz="4" w:space="0" w:color="FDD48D" w:themeColor="accent5" w:themeTint="99"/>
      </w:tblBorders>
    </w:tblPr>
    <w:tblStylePr w:type="firstRow">
      <w:pPr>
        <w:jc w:val="left"/>
      </w:pPr>
      <w:rPr>
        <w:b/>
        <w:bCs/>
        <w:color w:val="FFFFFF" w:themeColor="background1"/>
      </w:rPr>
      <w:tblPr/>
      <w:tcPr>
        <w:tcBorders>
          <w:top w:val="single" w:sz="4" w:space="0" w:color="FCB942" w:themeColor="accent5"/>
          <w:left w:val="single" w:sz="4" w:space="0" w:color="FCB942" w:themeColor="accent5"/>
          <w:bottom w:val="single" w:sz="4" w:space="0" w:color="FCB942" w:themeColor="accent5"/>
          <w:right w:val="single" w:sz="4" w:space="0" w:color="FCB942" w:themeColor="accent5"/>
          <w:insideH w:val="nil"/>
        </w:tcBorders>
        <w:shd w:val="clear" w:color="auto" w:fill="FCB942" w:themeFill="accent5"/>
        <w:vAlign w:val="bottom"/>
      </w:tcPr>
    </w:tblStylePr>
    <w:tblStylePr w:type="lastRow">
      <w:rPr>
        <w:b/>
        <w:bCs/>
      </w:rPr>
      <w:tblPr/>
      <w:tcPr>
        <w:tcBorders>
          <w:top w:val="doub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7Colorful-Accent3">
    <w:name w:val="List Table 7 Colorful Accent 3"/>
    <w:basedOn w:val="TableNormal"/>
    <w:uiPriority w:val="52"/>
    <w:locked/>
    <w:rsid w:val="00DD677C"/>
    <w:pPr>
      <w:spacing w:after="0" w:line="240" w:lineRule="auto"/>
    </w:pPr>
    <w:rPr>
      <w:rFonts w:eastAsiaTheme="minorHAnsi"/>
      <w:color w:val="CB530B"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F3772C"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F3772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72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72C" w:themeColor="accent3"/>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D677C"/>
    <w:pPr>
      <w:spacing w:after="0" w:line="240" w:lineRule="auto"/>
    </w:pPr>
    <w:rPr>
      <w:rFonts w:eastAsiaTheme="minorHAnsi"/>
      <w:color w:val="CC1148"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EE3B6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EE3B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3B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3B6F" w:themeColor="accent4"/>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677C"/>
    <w:pPr>
      <w:spacing w:after="0" w:line="240" w:lineRule="auto"/>
    </w:pPr>
    <w:rPr>
      <w:rFonts w:eastAsiaTheme="minorHAnsi"/>
      <w:color w:val="EA9703"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FCB942"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FCB9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9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942" w:themeColor="accent5"/>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D677C"/>
    <w:pPr>
      <w:spacing w:after="0" w:line="240" w:lineRule="auto"/>
    </w:pPr>
    <w:rPr>
      <w:rFonts w:eastAsiaTheme="minorHAnsi"/>
      <w:color w:val="A37D5D"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3AA95"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3AA9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AA9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AA95" w:themeColor="accent6"/>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D677C"/>
    <w:pPr>
      <w:spacing w:after="0" w:line="240" w:lineRule="auto"/>
    </w:pPr>
    <w:rPr>
      <w:rFonts w:ascii="Arial" w:eastAsiaTheme="minorHAnsi"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677C"/>
    <w:pPr>
      <w:spacing w:after="0" w:line="240" w:lineRule="auto"/>
    </w:pPr>
    <w:rPr>
      <w:rFonts w:ascii="Arial" w:eastAsiaTheme="minorHAnsi"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677C"/>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677C"/>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677C"/>
    <w:pPr>
      <w:spacing w:after="0" w:line="240" w:lineRule="auto"/>
    </w:pPr>
    <w:rPr>
      <w:rFonts w:ascii="Arial" w:eastAsiaTheme="minorHAnsi"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DD677C"/>
    <w:pPr>
      <w:spacing w:after="0" w:line="240" w:lineRule="auto"/>
    </w:pPr>
    <w:rPr>
      <w:rFonts w:ascii="Arial" w:eastAsiaTheme="minorHAnsi"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table" w:styleId="GridTable5Dark-Accent1">
    <w:name w:val="Grid Table 5 Dark Accent 1"/>
    <w:basedOn w:val="TableNormal"/>
    <w:uiPriority w:val="50"/>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F2" w:themeFill="accent1" w:themeFillTint="33"/>
    </w:tcPr>
    <w:tblStylePr w:type="firstRow">
      <w:pPr>
        <w:jc w:val="left"/>
      </w:pPr>
      <w:rPr>
        <w:b/>
        <w:bCs/>
        <w:color w:val="FFFFFF" w:themeColor="background1"/>
      </w:rPr>
      <w:tblPr/>
      <w:tcPr>
        <w:shd w:val="clear" w:color="auto" w:fill="4FBFBE"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BFBE" w:themeFill="accent1"/>
      </w:tcPr>
    </w:tblStylePr>
    <w:tblStylePr w:type="firstCol">
      <w:rPr>
        <w:b/>
        <w:bCs/>
        <w:color w:val="FFFFFF" w:themeColor="background1"/>
      </w:rPr>
      <w:tblPr/>
      <w:tcPr>
        <w:shd w:val="clear" w:color="auto" w:fill="4FBFBE"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DBF2F2" w:themeFill="accent1" w:themeFillTint="33"/>
      </w:tcPr>
    </w:tblStylePr>
    <w:tblStylePr w:type="band2Vert">
      <w:tblPr/>
      <w:tcPr>
        <w:shd w:val="clear" w:color="auto" w:fill="FFFFFF" w:themeFill="background1"/>
      </w:tcPr>
    </w:tblStylePr>
    <w:tblStylePr w:type="band1Horz">
      <w:tblPr/>
      <w:tcPr>
        <w:shd w:val="clear" w:color="auto" w:fill="DBF2F2" w:themeFill="accent1" w:themeFillTint="33"/>
      </w:tcPr>
    </w:tblStylePr>
    <w:tblStylePr w:type="band2Horz">
      <w:tblPr/>
      <w:tcPr>
        <w:shd w:val="clear" w:color="auto" w:fill="FFFFFF" w:themeFill="background1"/>
      </w:tcPr>
    </w:tblStylePr>
  </w:style>
  <w:style w:type="table" w:styleId="ListTable3">
    <w:name w:val="List Table 3"/>
    <w:basedOn w:val="TableNormal"/>
    <w:uiPriority w:val="48"/>
    <w:rsid w:val="00DD677C"/>
    <w:pPr>
      <w:spacing w:before="60" w:after="0" w:line="240" w:lineRule="auto"/>
    </w:pPr>
    <w:rPr>
      <w:rFonts w:eastAsiaTheme="minorHAnsi"/>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tblBorders>
    </w:tblPr>
    <w:tcPr>
      <w:vAlign w:val="bottom"/>
    </w:tcPr>
    <w:tblStylePr w:type="firstRow">
      <w:pPr>
        <w:jc w:val="left"/>
      </w:pPr>
      <w:rPr>
        <w:b/>
        <w:bCs/>
        <w:color w:val="FFFFFF" w:themeColor="background1"/>
      </w:rPr>
      <w:tblPr/>
      <w:tcPr>
        <w:shd w:val="clear" w:color="auto" w:fill="4FBFBE" w:themeFill="accent1"/>
      </w:tcPr>
    </w:tblStylePr>
    <w:tblStylePr w:type="lastRow">
      <w:rPr>
        <w:b/>
        <w:bCs/>
      </w:rPr>
      <w:tblPr/>
      <w:tcPr>
        <w:tcBorders>
          <w:top w:val="double" w:sz="4" w:space="0" w:color="4FBF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BFBE" w:themeColor="accent1"/>
          <w:right w:val="single" w:sz="4" w:space="0" w:color="4FBFBE" w:themeColor="accent1"/>
        </w:tcBorders>
      </w:tcPr>
    </w:tblStylePr>
    <w:tblStylePr w:type="band1Horz">
      <w:tblPr/>
      <w:tcPr>
        <w:tcBorders>
          <w:top w:val="single" w:sz="4" w:space="0" w:color="4FBFBE" w:themeColor="accent1"/>
          <w:bottom w:val="single" w:sz="4" w:space="0" w:color="4FBF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BFBE" w:themeColor="accent1"/>
          <w:left w:val="nil"/>
        </w:tcBorders>
      </w:tcPr>
    </w:tblStylePr>
    <w:tblStylePr w:type="swCell">
      <w:tblPr/>
      <w:tcPr>
        <w:tcBorders>
          <w:top w:val="double" w:sz="4" w:space="0" w:color="4FBFBE" w:themeColor="accent1"/>
          <w:right w:val="nil"/>
        </w:tcBorders>
      </w:tcPr>
    </w:tblStylePr>
  </w:style>
  <w:style w:type="table" w:styleId="ListTable3-Accent2">
    <w:name w:val="List Table 3 Accent 2"/>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B7D432" w:themeColor="accent2"/>
        <w:left w:val="single" w:sz="4" w:space="0" w:color="B7D432" w:themeColor="accent2"/>
        <w:bottom w:val="single" w:sz="4" w:space="0" w:color="B7D432" w:themeColor="accent2"/>
        <w:right w:val="single" w:sz="4" w:space="0" w:color="B7D432" w:themeColor="accent2"/>
      </w:tblBorders>
    </w:tblPr>
    <w:tblStylePr w:type="firstRow">
      <w:pPr>
        <w:jc w:val="left"/>
      </w:pPr>
      <w:rPr>
        <w:b/>
        <w:bCs/>
        <w:color w:val="FFFFFF" w:themeColor="background1"/>
      </w:rPr>
      <w:tblPr/>
      <w:tcPr>
        <w:shd w:val="clear" w:color="auto" w:fill="B7D432" w:themeFill="accent2"/>
        <w:vAlign w:val="bottom"/>
      </w:tcPr>
    </w:tblStylePr>
    <w:tblStylePr w:type="lastRow">
      <w:rPr>
        <w:b/>
        <w:bCs/>
      </w:rPr>
      <w:tblPr/>
      <w:tcPr>
        <w:tcBorders>
          <w:top w:val="double" w:sz="4" w:space="0" w:color="B7D4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432" w:themeColor="accent2"/>
          <w:right w:val="single" w:sz="4" w:space="0" w:color="B7D432" w:themeColor="accent2"/>
        </w:tcBorders>
      </w:tcPr>
    </w:tblStylePr>
    <w:tblStylePr w:type="band1Horz">
      <w:tblPr/>
      <w:tcPr>
        <w:tcBorders>
          <w:top w:val="single" w:sz="4" w:space="0" w:color="B7D432" w:themeColor="accent2"/>
          <w:bottom w:val="single" w:sz="4" w:space="0" w:color="B7D4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432" w:themeColor="accent2"/>
          <w:left w:val="nil"/>
        </w:tcBorders>
      </w:tcPr>
    </w:tblStylePr>
    <w:tblStylePr w:type="swCell">
      <w:tblPr/>
      <w:tcPr>
        <w:tcBorders>
          <w:top w:val="double" w:sz="4" w:space="0" w:color="B7D432" w:themeColor="accent2"/>
          <w:right w:val="nil"/>
        </w:tcBorders>
      </w:tcPr>
    </w:tblStylePr>
  </w:style>
  <w:style w:type="table" w:styleId="ListTable3-Accent3">
    <w:name w:val="List Table 3 Accent 3"/>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F3772C" w:themeColor="accent3"/>
        <w:left w:val="single" w:sz="4" w:space="0" w:color="F3772C" w:themeColor="accent3"/>
        <w:bottom w:val="single" w:sz="4" w:space="0" w:color="F3772C" w:themeColor="accent3"/>
        <w:right w:val="single" w:sz="4" w:space="0" w:color="F3772C" w:themeColor="accent3"/>
      </w:tblBorders>
    </w:tblPr>
    <w:tblStylePr w:type="firstRow">
      <w:pPr>
        <w:jc w:val="left"/>
      </w:pPr>
      <w:rPr>
        <w:b/>
        <w:bCs/>
        <w:color w:val="FFFFFF" w:themeColor="background1"/>
      </w:rPr>
      <w:tblPr/>
      <w:tcPr>
        <w:shd w:val="clear" w:color="auto" w:fill="F3772C" w:themeFill="accent3"/>
        <w:vAlign w:val="bottom"/>
      </w:tcPr>
    </w:tblStylePr>
    <w:tblStylePr w:type="lastRow">
      <w:rPr>
        <w:b/>
        <w:bCs/>
      </w:rPr>
      <w:tblPr/>
      <w:tcPr>
        <w:tcBorders>
          <w:top w:val="double" w:sz="4" w:space="0" w:color="F3772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72C" w:themeColor="accent3"/>
          <w:right w:val="single" w:sz="4" w:space="0" w:color="F3772C" w:themeColor="accent3"/>
        </w:tcBorders>
      </w:tcPr>
    </w:tblStylePr>
    <w:tblStylePr w:type="band1Horz">
      <w:tblPr/>
      <w:tcPr>
        <w:tcBorders>
          <w:top w:val="single" w:sz="4" w:space="0" w:color="F3772C" w:themeColor="accent3"/>
          <w:bottom w:val="single" w:sz="4" w:space="0" w:color="F3772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72C" w:themeColor="accent3"/>
          <w:left w:val="nil"/>
        </w:tcBorders>
      </w:tcPr>
    </w:tblStylePr>
    <w:tblStylePr w:type="swCell">
      <w:tblPr/>
      <w:tcPr>
        <w:tcBorders>
          <w:top w:val="double" w:sz="4" w:space="0" w:color="F3772C" w:themeColor="accent3"/>
          <w:right w:val="nil"/>
        </w:tcBorders>
      </w:tcPr>
    </w:tblStylePr>
  </w:style>
  <w:style w:type="table" w:styleId="ListTable3-Accent4">
    <w:name w:val="List Table 3 Accent 4"/>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EE3B6F" w:themeColor="accent4"/>
        <w:left w:val="single" w:sz="4" w:space="0" w:color="EE3B6F" w:themeColor="accent4"/>
        <w:bottom w:val="single" w:sz="4" w:space="0" w:color="EE3B6F" w:themeColor="accent4"/>
        <w:right w:val="single" w:sz="4" w:space="0" w:color="EE3B6F" w:themeColor="accent4"/>
      </w:tblBorders>
    </w:tblPr>
    <w:tblStylePr w:type="firstRow">
      <w:pPr>
        <w:jc w:val="left"/>
      </w:pPr>
      <w:rPr>
        <w:b/>
        <w:bCs/>
        <w:color w:val="FFFFFF" w:themeColor="background1"/>
      </w:rPr>
      <w:tblPr/>
      <w:tcPr>
        <w:shd w:val="clear" w:color="auto" w:fill="EE3B6F" w:themeFill="accent4"/>
        <w:vAlign w:val="bottom"/>
      </w:tcPr>
    </w:tblStylePr>
    <w:tblStylePr w:type="lastRow">
      <w:rPr>
        <w:b/>
        <w:bCs/>
      </w:rPr>
      <w:tblPr/>
      <w:tcPr>
        <w:tcBorders>
          <w:top w:val="double" w:sz="4" w:space="0" w:color="EE3B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3B6F" w:themeColor="accent4"/>
          <w:right w:val="single" w:sz="4" w:space="0" w:color="EE3B6F" w:themeColor="accent4"/>
        </w:tcBorders>
      </w:tcPr>
    </w:tblStylePr>
    <w:tblStylePr w:type="band1Horz">
      <w:tblPr/>
      <w:tcPr>
        <w:tcBorders>
          <w:top w:val="single" w:sz="4" w:space="0" w:color="EE3B6F" w:themeColor="accent4"/>
          <w:bottom w:val="single" w:sz="4" w:space="0" w:color="EE3B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3B6F" w:themeColor="accent4"/>
          <w:left w:val="nil"/>
        </w:tcBorders>
      </w:tcPr>
    </w:tblStylePr>
    <w:tblStylePr w:type="swCell">
      <w:tblPr/>
      <w:tcPr>
        <w:tcBorders>
          <w:top w:val="double" w:sz="4" w:space="0" w:color="EE3B6F" w:themeColor="accent4"/>
          <w:right w:val="nil"/>
        </w:tcBorders>
      </w:tcPr>
    </w:tblStylePr>
  </w:style>
  <w:style w:type="table" w:styleId="ListTable3-Accent5">
    <w:name w:val="List Table 3 Accent 5"/>
    <w:basedOn w:val="TableNormal"/>
    <w:uiPriority w:val="48"/>
    <w:rsid w:val="00DD677C"/>
    <w:pPr>
      <w:spacing w:before="60" w:after="0" w:line="240" w:lineRule="auto"/>
    </w:pPr>
    <w:rPr>
      <w:rFonts w:eastAsiaTheme="minorHAnsi"/>
      <w:sz w:val="18"/>
      <w:szCs w:val="18"/>
    </w:rPr>
    <w:tblPr>
      <w:tblStyleRowBandSize w:val="1"/>
      <w:tblStyleColBandSize w:val="1"/>
      <w:tblBorders>
        <w:top w:val="single" w:sz="4" w:space="0" w:color="FCB942" w:themeColor="accent5"/>
        <w:left w:val="single" w:sz="4" w:space="0" w:color="FCB942" w:themeColor="accent5"/>
        <w:bottom w:val="single" w:sz="4" w:space="0" w:color="FCB942" w:themeColor="accent5"/>
        <w:right w:val="single" w:sz="4" w:space="0" w:color="FCB942" w:themeColor="accent5"/>
      </w:tblBorders>
    </w:tblPr>
    <w:tblStylePr w:type="firstRow">
      <w:pPr>
        <w:jc w:val="left"/>
      </w:pPr>
      <w:rPr>
        <w:b/>
        <w:bCs/>
        <w:color w:val="FFFFFF" w:themeColor="background1"/>
      </w:rPr>
      <w:tblPr/>
      <w:tcPr>
        <w:shd w:val="clear" w:color="auto" w:fill="FCB942" w:themeFill="accent5"/>
        <w:vAlign w:val="bottom"/>
      </w:tcPr>
    </w:tblStylePr>
    <w:tblStylePr w:type="lastRow">
      <w:rPr>
        <w:b/>
        <w:bCs/>
      </w:rPr>
      <w:tblPr/>
      <w:tcPr>
        <w:tcBorders>
          <w:top w:val="double" w:sz="4" w:space="0" w:color="FCB9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942" w:themeColor="accent5"/>
          <w:right w:val="single" w:sz="4" w:space="0" w:color="FCB942" w:themeColor="accent5"/>
        </w:tcBorders>
      </w:tcPr>
    </w:tblStylePr>
    <w:tblStylePr w:type="band1Horz">
      <w:tblPr/>
      <w:tcPr>
        <w:tcBorders>
          <w:top w:val="single" w:sz="4" w:space="0" w:color="FCB942" w:themeColor="accent5"/>
          <w:bottom w:val="single" w:sz="4" w:space="0" w:color="FCB9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942" w:themeColor="accent5"/>
          <w:left w:val="nil"/>
        </w:tcBorders>
      </w:tcPr>
    </w:tblStylePr>
    <w:tblStylePr w:type="swCell">
      <w:tblPr/>
      <w:tcPr>
        <w:tcBorders>
          <w:top w:val="double" w:sz="4" w:space="0" w:color="FCB942" w:themeColor="accent5"/>
          <w:right w:val="nil"/>
        </w:tcBorders>
      </w:tcPr>
    </w:tblStylePr>
  </w:style>
  <w:style w:type="table" w:styleId="ListTable3-Accent6">
    <w:name w:val="List Table 3 Accent 6"/>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C3AA95" w:themeColor="accent6"/>
        <w:left w:val="single" w:sz="4" w:space="0" w:color="C3AA95" w:themeColor="accent6"/>
        <w:bottom w:val="single" w:sz="4" w:space="0" w:color="C3AA95" w:themeColor="accent6"/>
        <w:right w:val="single" w:sz="4" w:space="0" w:color="C3AA95" w:themeColor="accent6"/>
      </w:tblBorders>
    </w:tblPr>
    <w:tblStylePr w:type="firstRow">
      <w:pPr>
        <w:jc w:val="left"/>
      </w:pPr>
      <w:rPr>
        <w:b/>
        <w:bCs/>
        <w:color w:val="FFFFFF" w:themeColor="background1"/>
      </w:rPr>
      <w:tblPr/>
      <w:tcPr>
        <w:shd w:val="clear" w:color="auto" w:fill="C3AA95" w:themeFill="accent6"/>
        <w:vAlign w:val="bottom"/>
      </w:tcPr>
    </w:tblStylePr>
    <w:tblStylePr w:type="lastRow">
      <w:rPr>
        <w:b/>
        <w:bCs/>
      </w:rPr>
      <w:tblPr/>
      <w:tcPr>
        <w:tcBorders>
          <w:top w:val="double" w:sz="4" w:space="0" w:color="C3AA9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AA95" w:themeColor="accent6"/>
          <w:right w:val="single" w:sz="4" w:space="0" w:color="C3AA95" w:themeColor="accent6"/>
        </w:tcBorders>
      </w:tcPr>
    </w:tblStylePr>
    <w:tblStylePr w:type="band1Horz">
      <w:tblPr/>
      <w:tcPr>
        <w:tcBorders>
          <w:top w:val="single" w:sz="4" w:space="0" w:color="C3AA95" w:themeColor="accent6"/>
          <w:bottom w:val="single" w:sz="4" w:space="0" w:color="C3AA9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AA95" w:themeColor="accent6"/>
          <w:left w:val="nil"/>
        </w:tcBorders>
      </w:tcPr>
    </w:tblStylePr>
    <w:tblStylePr w:type="swCell">
      <w:tblPr/>
      <w:tcPr>
        <w:tcBorders>
          <w:top w:val="double" w:sz="4" w:space="0" w:color="C3AA95" w:themeColor="accent6"/>
          <w:right w:val="nil"/>
        </w:tcBorders>
      </w:tcPr>
    </w:tblStylePr>
  </w:style>
  <w:style w:type="table" w:styleId="ListTable4">
    <w:name w:val="List Table 4"/>
    <w:basedOn w:val="TableNormal"/>
    <w:uiPriority w:val="49"/>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F7AD80" w:themeColor="accent3" w:themeTint="99"/>
      </w:tblBorders>
    </w:tblPr>
    <w:tblStylePr w:type="firstRow">
      <w:pPr>
        <w:jc w:val="left"/>
      </w:pPr>
      <w:rPr>
        <w:b/>
        <w:bCs/>
        <w:color w:val="FFFFFF" w:themeColor="background1"/>
      </w:rPr>
      <w:tblPr/>
      <w:tcPr>
        <w:tcBorders>
          <w:top w:val="single" w:sz="4" w:space="0" w:color="F3772C" w:themeColor="accent3"/>
          <w:left w:val="single" w:sz="4" w:space="0" w:color="F3772C" w:themeColor="accent3"/>
          <w:bottom w:val="single" w:sz="4" w:space="0" w:color="F3772C" w:themeColor="accent3"/>
          <w:right w:val="single" w:sz="4" w:space="0" w:color="F3772C" w:themeColor="accent3"/>
          <w:insideH w:val="nil"/>
        </w:tcBorders>
        <w:shd w:val="clear" w:color="auto" w:fill="F3772C" w:themeFill="accent3"/>
        <w:vAlign w:val="bottom"/>
      </w:tcPr>
    </w:tblStylePr>
    <w:tblStylePr w:type="lastRow">
      <w:rPr>
        <w:b/>
        <w:bCs/>
      </w:rPr>
      <w:tblPr/>
      <w:tcPr>
        <w:tcBorders>
          <w:top w:val="doub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4-Accent4">
    <w:name w:val="List Table 4 Accent 4"/>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F489A8" w:themeColor="accent4" w:themeTint="99"/>
      </w:tblBorders>
    </w:tblPr>
    <w:tblStylePr w:type="firstRow">
      <w:pPr>
        <w:jc w:val="left"/>
      </w:pPr>
      <w:rPr>
        <w:b/>
        <w:bCs/>
        <w:color w:val="FFFFFF" w:themeColor="background1"/>
      </w:rPr>
      <w:tblPr/>
      <w:tcPr>
        <w:tcBorders>
          <w:top w:val="single" w:sz="4" w:space="0" w:color="EE3B6F" w:themeColor="accent4"/>
          <w:left w:val="single" w:sz="4" w:space="0" w:color="EE3B6F" w:themeColor="accent4"/>
          <w:bottom w:val="single" w:sz="4" w:space="0" w:color="EE3B6F" w:themeColor="accent4"/>
          <w:right w:val="single" w:sz="4" w:space="0" w:color="EE3B6F" w:themeColor="accent4"/>
          <w:insideH w:val="nil"/>
        </w:tcBorders>
        <w:shd w:val="clear" w:color="auto" w:fill="EE3B6F" w:themeFill="accent4"/>
        <w:vAlign w:val="bottom"/>
      </w:tcPr>
    </w:tblStylePr>
    <w:tblStylePr w:type="lastRow">
      <w:rPr>
        <w:b/>
        <w:bCs/>
      </w:rPr>
      <w:tblPr/>
      <w:tcPr>
        <w:tcBorders>
          <w:top w:val="doub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4-Accent6">
    <w:name w:val="List Table 4 Accent 6"/>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DBCBBF" w:themeColor="accent6" w:themeTint="99"/>
      </w:tblBorders>
    </w:tblPr>
    <w:tblStylePr w:type="firstRow">
      <w:pPr>
        <w:jc w:val="left"/>
      </w:pPr>
      <w:rPr>
        <w:b/>
        <w:bCs/>
        <w:color w:val="FFFFFF" w:themeColor="background1"/>
      </w:rPr>
      <w:tblPr/>
      <w:tcPr>
        <w:tcBorders>
          <w:top w:val="single" w:sz="4" w:space="0" w:color="C3AA95" w:themeColor="accent6"/>
          <w:left w:val="single" w:sz="4" w:space="0" w:color="C3AA95" w:themeColor="accent6"/>
          <w:bottom w:val="single" w:sz="4" w:space="0" w:color="C3AA95" w:themeColor="accent6"/>
          <w:right w:val="single" w:sz="4" w:space="0" w:color="C3AA95" w:themeColor="accent6"/>
          <w:insideH w:val="nil"/>
        </w:tcBorders>
        <w:shd w:val="clear" w:color="auto" w:fill="C3AA95" w:themeFill="accent6"/>
        <w:vAlign w:val="bottom"/>
      </w:tcPr>
    </w:tblStylePr>
    <w:tblStylePr w:type="lastRow">
      <w:rPr>
        <w:b/>
        <w:bCs/>
      </w:rPr>
      <w:tblPr/>
      <w:tcPr>
        <w:tcBorders>
          <w:top w:val="doub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5Dark">
    <w:name w:val="List Table 5 Dark"/>
    <w:basedOn w:val="TableNormal"/>
    <w:uiPriority w:val="50"/>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4FBFBE" w:themeColor="accent1"/>
        <w:left w:val="single" w:sz="24" w:space="0" w:color="4FBFBE" w:themeColor="accent1"/>
        <w:bottom w:val="single" w:sz="24" w:space="0" w:color="4FBFBE" w:themeColor="accent1"/>
        <w:right w:val="single" w:sz="24" w:space="0" w:color="4FBFBE" w:themeColor="accent1"/>
      </w:tblBorders>
    </w:tblPr>
    <w:tcPr>
      <w:shd w:val="clear" w:color="auto" w:fill="4FBFBE"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B7D432" w:themeColor="accent2"/>
        <w:left w:val="single" w:sz="24" w:space="0" w:color="B7D432" w:themeColor="accent2"/>
        <w:bottom w:val="single" w:sz="24" w:space="0" w:color="B7D432" w:themeColor="accent2"/>
        <w:right w:val="single" w:sz="24" w:space="0" w:color="B7D432" w:themeColor="accent2"/>
      </w:tblBorders>
    </w:tblPr>
    <w:tcPr>
      <w:shd w:val="clear" w:color="auto" w:fill="B7D432"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F3772C" w:themeColor="accent3"/>
        <w:left w:val="single" w:sz="24" w:space="0" w:color="F3772C" w:themeColor="accent3"/>
        <w:bottom w:val="single" w:sz="24" w:space="0" w:color="F3772C" w:themeColor="accent3"/>
        <w:right w:val="single" w:sz="24" w:space="0" w:color="F3772C" w:themeColor="accent3"/>
      </w:tblBorders>
    </w:tblPr>
    <w:tcPr>
      <w:shd w:val="clear" w:color="auto" w:fill="F3772C"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EE3B6F" w:themeColor="accent4"/>
        <w:left w:val="single" w:sz="24" w:space="0" w:color="EE3B6F" w:themeColor="accent4"/>
        <w:bottom w:val="single" w:sz="24" w:space="0" w:color="EE3B6F" w:themeColor="accent4"/>
        <w:right w:val="single" w:sz="24" w:space="0" w:color="EE3B6F" w:themeColor="accent4"/>
      </w:tblBorders>
    </w:tblPr>
    <w:tcPr>
      <w:shd w:val="clear" w:color="auto" w:fill="EE3B6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FCB942" w:themeColor="accent5"/>
        <w:left w:val="single" w:sz="24" w:space="0" w:color="FCB942" w:themeColor="accent5"/>
        <w:bottom w:val="single" w:sz="24" w:space="0" w:color="FCB942" w:themeColor="accent5"/>
        <w:right w:val="single" w:sz="24" w:space="0" w:color="FCB942" w:themeColor="accent5"/>
      </w:tblBorders>
    </w:tblPr>
    <w:tcPr>
      <w:shd w:val="clear" w:color="auto" w:fill="FCB942"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C3AA95" w:themeColor="accent6"/>
        <w:left w:val="single" w:sz="24" w:space="0" w:color="C3AA95" w:themeColor="accent6"/>
        <w:bottom w:val="single" w:sz="24" w:space="0" w:color="C3AA95" w:themeColor="accent6"/>
        <w:right w:val="single" w:sz="24" w:space="0" w:color="C3AA95" w:themeColor="accent6"/>
      </w:tblBorders>
    </w:tblPr>
    <w:tcPr>
      <w:shd w:val="clear" w:color="auto" w:fill="C3AA95"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677C"/>
    <w:pPr>
      <w:spacing w:before="60" w:after="0" w:line="240" w:lineRule="auto"/>
    </w:pPr>
    <w:rPr>
      <w:rFonts w:eastAsiaTheme="minorHAnsi"/>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D677C"/>
    <w:pPr>
      <w:spacing w:before="60" w:after="0" w:line="240" w:lineRule="auto"/>
    </w:pPr>
    <w:rPr>
      <w:rFonts w:eastAsiaTheme="minorHAnsi"/>
      <w:color w:val="369492" w:themeColor="accent1" w:themeShade="BF"/>
      <w:sz w:val="18"/>
      <w:szCs w:val="18"/>
    </w:rPr>
    <w:tblPr>
      <w:tblStyleRowBandSize w:val="1"/>
      <w:tblStyleColBandSize w:val="1"/>
      <w:tblBorders>
        <w:top w:val="single" w:sz="4" w:space="0" w:color="4FBFBE" w:themeColor="accent1"/>
        <w:bottom w:val="single" w:sz="4" w:space="0" w:color="4FBFBE" w:themeColor="accent1"/>
      </w:tblBorders>
    </w:tblPr>
    <w:tblStylePr w:type="firstRow">
      <w:pPr>
        <w:jc w:val="left"/>
      </w:pPr>
      <w:rPr>
        <w:b/>
        <w:bCs/>
      </w:rPr>
      <w:tblPr/>
      <w:tcPr>
        <w:tcBorders>
          <w:bottom w:val="single" w:sz="4" w:space="0" w:color="4FBFBE" w:themeColor="accent1"/>
        </w:tcBorders>
        <w:vAlign w:val="bottom"/>
      </w:tcPr>
    </w:tblStylePr>
    <w:tblStylePr w:type="lastRow">
      <w:rPr>
        <w:b/>
        <w:bCs/>
      </w:rPr>
      <w:tblPr/>
      <w:tcPr>
        <w:tcBorders>
          <w:top w:val="double" w:sz="4" w:space="0" w:color="4FBFBE" w:themeColor="accent1"/>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6Colorful-Accent2">
    <w:name w:val="List Table 6 Colorful Accent 2"/>
    <w:basedOn w:val="TableNormal"/>
    <w:uiPriority w:val="51"/>
    <w:locked/>
    <w:rsid w:val="00DD677C"/>
    <w:pPr>
      <w:spacing w:before="60" w:after="0" w:line="240" w:lineRule="auto"/>
    </w:pPr>
    <w:rPr>
      <w:rFonts w:eastAsiaTheme="minorHAnsi"/>
      <w:color w:val="8AA122" w:themeColor="accent2" w:themeShade="BF"/>
      <w:sz w:val="18"/>
      <w:szCs w:val="18"/>
    </w:rPr>
    <w:tblPr>
      <w:tblStyleRowBandSize w:val="1"/>
      <w:tblStyleColBandSize w:val="1"/>
      <w:tblBorders>
        <w:top w:val="single" w:sz="4" w:space="0" w:color="B7D432" w:themeColor="accent2"/>
        <w:bottom w:val="single" w:sz="4" w:space="0" w:color="B7D432" w:themeColor="accent2"/>
      </w:tblBorders>
    </w:tblPr>
    <w:tblStylePr w:type="firstRow">
      <w:pPr>
        <w:jc w:val="left"/>
      </w:pPr>
      <w:rPr>
        <w:b/>
        <w:bCs/>
      </w:rPr>
      <w:tblPr/>
      <w:tcPr>
        <w:tcBorders>
          <w:bottom w:val="single" w:sz="4" w:space="0" w:color="B7D432" w:themeColor="accent2"/>
        </w:tcBorders>
        <w:vAlign w:val="bottom"/>
      </w:tcPr>
    </w:tblStylePr>
    <w:tblStylePr w:type="lastRow">
      <w:rPr>
        <w:b/>
        <w:bCs/>
      </w:rPr>
      <w:tblPr/>
      <w:tcPr>
        <w:tcBorders>
          <w:top w:val="double" w:sz="4" w:space="0" w:color="B7D432" w:themeColor="accent2"/>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6Colorful-Accent3">
    <w:name w:val="List Table 6 Colorful Accent 3"/>
    <w:basedOn w:val="TableNormal"/>
    <w:uiPriority w:val="51"/>
    <w:locked/>
    <w:rsid w:val="00DD677C"/>
    <w:pPr>
      <w:spacing w:before="60" w:after="0" w:line="240" w:lineRule="auto"/>
    </w:pPr>
    <w:rPr>
      <w:rFonts w:eastAsiaTheme="minorHAnsi"/>
      <w:color w:val="CB530B" w:themeColor="accent3" w:themeShade="BF"/>
      <w:sz w:val="18"/>
      <w:szCs w:val="18"/>
    </w:rPr>
    <w:tblPr>
      <w:tblStyleRowBandSize w:val="1"/>
      <w:tblStyleColBandSize w:val="1"/>
      <w:tblBorders>
        <w:top w:val="single" w:sz="4" w:space="0" w:color="F3772C" w:themeColor="accent3"/>
        <w:bottom w:val="single" w:sz="4" w:space="0" w:color="F3772C" w:themeColor="accent3"/>
      </w:tblBorders>
    </w:tblPr>
    <w:tblStylePr w:type="firstRow">
      <w:pPr>
        <w:jc w:val="left"/>
      </w:pPr>
      <w:rPr>
        <w:b/>
        <w:bCs/>
      </w:rPr>
      <w:tblPr/>
      <w:tcPr>
        <w:tcBorders>
          <w:bottom w:val="single" w:sz="4" w:space="0" w:color="F3772C" w:themeColor="accent3"/>
        </w:tcBorders>
        <w:vAlign w:val="bottom"/>
      </w:tcPr>
    </w:tblStylePr>
    <w:tblStylePr w:type="lastRow">
      <w:rPr>
        <w:b/>
        <w:bCs/>
      </w:rPr>
      <w:tblPr/>
      <w:tcPr>
        <w:tcBorders>
          <w:top w:val="double" w:sz="4" w:space="0" w:color="F3772C" w:themeColor="accent3"/>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6Colorful-Accent4">
    <w:name w:val="List Table 6 Colorful Accent 4"/>
    <w:basedOn w:val="TableNormal"/>
    <w:uiPriority w:val="51"/>
    <w:locked/>
    <w:rsid w:val="00DD677C"/>
    <w:pPr>
      <w:spacing w:before="60" w:after="0" w:line="240" w:lineRule="auto"/>
    </w:pPr>
    <w:rPr>
      <w:rFonts w:eastAsiaTheme="minorHAnsi"/>
      <w:color w:val="CC1148" w:themeColor="accent4" w:themeShade="BF"/>
      <w:sz w:val="18"/>
      <w:szCs w:val="18"/>
    </w:rPr>
    <w:tblPr>
      <w:tblStyleRowBandSize w:val="1"/>
      <w:tblStyleColBandSize w:val="1"/>
      <w:tblBorders>
        <w:top w:val="single" w:sz="4" w:space="0" w:color="EE3B6F" w:themeColor="accent4"/>
        <w:bottom w:val="single" w:sz="4" w:space="0" w:color="EE3B6F" w:themeColor="accent4"/>
      </w:tblBorders>
    </w:tblPr>
    <w:tblStylePr w:type="firstRow">
      <w:pPr>
        <w:jc w:val="left"/>
      </w:pPr>
      <w:rPr>
        <w:b/>
        <w:bCs/>
      </w:rPr>
      <w:tblPr/>
      <w:tcPr>
        <w:tcBorders>
          <w:bottom w:val="single" w:sz="4" w:space="0" w:color="EE3B6F" w:themeColor="accent4"/>
        </w:tcBorders>
        <w:vAlign w:val="bottom"/>
      </w:tcPr>
    </w:tblStylePr>
    <w:tblStylePr w:type="lastRow">
      <w:rPr>
        <w:b/>
        <w:bCs/>
      </w:rPr>
      <w:tblPr/>
      <w:tcPr>
        <w:tcBorders>
          <w:top w:val="double" w:sz="4" w:space="0" w:color="EE3B6F" w:themeColor="accent4"/>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6Colorful-Accent5">
    <w:name w:val="List Table 6 Colorful Accent 5"/>
    <w:basedOn w:val="TableNormal"/>
    <w:uiPriority w:val="51"/>
    <w:rsid w:val="00DD677C"/>
    <w:pPr>
      <w:spacing w:before="60" w:after="0" w:line="240" w:lineRule="auto"/>
    </w:pPr>
    <w:rPr>
      <w:rFonts w:eastAsiaTheme="minorHAnsi"/>
      <w:color w:val="EA9703" w:themeColor="accent5" w:themeShade="BF"/>
      <w:sz w:val="18"/>
      <w:szCs w:val="18"/>
    </w:rPr>
    <w:tblPr>
      <w:tblStyleRowBandSize w:val="1"/>
      <w:tblStyleColBandSize w:val="1"/>
      <w:tblBorders>
        <w:top w:val="single" w:sz="4" w:space="0" w:color="FCB942" w:themeColor="accent5"/>
        <w:bottom w:val="single" w:sz="4" w:space="0" w:color="FCB942" w:themeColor="accent5"/>
      </w:tblBorders>
    </w:tblPr>
    <w:tblStylePr w:type="firstRow">
      <w:pPr>
        <w:jc w:val="left"/>
      </w:pPr>
      <w:rPr>
        <w:b/>
        <w:bCs/>
      </w:rPr>
      <w:tblPr/>
      <w:tcPr>
        <w:tcBorders>
          <w:bottom w:val="single" w:sz="4" w:space="0" w:color="FCB942" w:themeColor="accent5"/>
        </w:tcBorders>
        <w:vAlign w:val="bottom"/>
      </w:tcPr>
    </w:tblStylePr>
    <w:tblStylePr w:type="lastRow">
      <w:rPr>
        <w:b/>
        <w:bCs/>
      </w:rPr>
      <w:tblPr/>
      <w:tcPr>
        <w:tcBorders>
          <w:top w:val="double" w:sz="4" w:space="0" w:color="FCB942" w:themeColor="accent5"/>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6Colorful-Accent6">
    <w:name w:val="List Table 6 Colorful Accent 6"/>
    <w:basedOn w:val="TableNormal"/>
    <w:uiPriority w:val="51"/>
    <w:locked/>
    <w:rsid w:val="00DD677C"/>
    <w:pPr>
      <w:spacing w:before="60" w:after="0" w:line="240" w:lineRule="auto"/>
    </w:pPr>
    <w:rPr>
      <w:rFonts w:eastAsiaTheme="minorHAnsi"/>
      <w:color w:val="A37D5D" w:themeColor="accent6" w:themeShade="BF"/>
      <w:sz w:val="18"/>
      <w:szCs w:val="18"/>
    </w:rPr>
    <w:tblPr>
      <w:tblStyleRowBandSize w:val="1"/>
      <w:tblStyleColBandSize w:val="1"/>
      <w:tblBorders>
        <w:top w:val="single" w:sz="4" w:space="0" w:color="C3AA95" w:themeColor="accent6"/>
        <w:bottom w:val="single" w:sz="4" w:space="0" w:color="C3AA95" w:themeColor="accent6"/>
      </w:tblBorders>
    </w:tblPr>
    <w:tblStylePr w:type="firstRow">
      <w:pPr>
        <w:jc w:val="left"/>
      </w:pPr>
      <w:rPr>
        <w:b/>
        <w:bCs/>
      </w:rPr>
      <w:tblPr/>
      <w:tcPr>
        <w:tcBorders>
          <w:bottom w:val="single" w:sz="4" w:space="0" w:color="C3AA95" w:themeColor="accent6"/>
        </w:tcBorders>
        <w:vAlign w:val="bottom"/>
      </w:tcPr>
    </w:tblStylePr>
    <w:tblStylePr w:type="lastRow">
      <w:rPr>
        <w:b/>
        <w:bCs/>
      </w:rPr>
      <w:tblPr/>
      <w:tcPr>
        <w:tcBorders>
          <w:top w:val="double" w:sz="4" w:space="0" w:color="C3AA95" w:themeColor="accent6"/>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7Colorful">
    <w:name w:val="List Table 7 Colorful"/>
    <w:basedOn w:val="TableNormal"/>
    <w:uiPriority w:val="52"/>
    <w:rsid w:val="00DD677C"/>
    <w:pPr>
      <w:spacing w:before="60" w:after="0" w:line="240" w:lineRule="auto"/>
    </w:pPr>
    <w:rPr>
      <w:rFonts w:eastAsiaTheme="minorHAnsi"/>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D677C"/>
    <w:pPr>
      <w:spacing w:before="60" w:after="0" w:line="240" w:lineRule="auto"/>
    </w:pPr>
    <w:rPr>
      <w:rFonts w:eastAsiaTheme="minorHAnsi"/>
      <w:color w:val="369492"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FBFBE"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FBF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BF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BFBE" w:themeColor="accent1"/>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D677C"/>
    <w:pPr>
      <w:spacing w:before="60" w:after="0" w:line="240" w:lineRule="auto"/>
    </w:pPr>
    <w:rPr>
      <w:rFonts w:eastAsiaTheme="minorHAnsi"/>
      <w:color w:val="8AA122"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B7D432"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B7D4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4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432" w:themeColor="accent2"/>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D677C"/>
    <w:pPr>
      <w:spacing w:before="60" w:after="0" w:line="240" w:lineRule="auto"/>
    </w:pPr>
    <w:rPr>
      <w:rFonts w:ascii="Arial" w:eastAsiaTheme="minorHAnsi"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65FAFF" w:themeColor="text2" w:themeTint="66"/>
        <w:left w:val="single" w:sz="4" w:space="0" w:color="65FAFF" w:themeColor="text2" w:themeTint="66"/>
        <w:bottom w:val="single" w:sz="4" w:space="0" w:color="65FAFF" w:themeColor="text2" w:themeTint="66"/>
        <w:right w:val="single" w:sz="4" w:space="0" w:color="65FAFF" w:themeColor="text2" w:themeTint="66"/>
        <w:insideH w:val="single" w:sz="4" w:space="0" w:color="65FAFF" w:themeColor="text2" w:themeTint="66"/>
        <w:insideV w:val="single" w:sz="4" w:space="0" w:color="65FAFF" w:themeColor="text2" w:themeTint="66"/>
      </w:tblBorders>
    </w:tblPr>
    <w:tblStylePr w:type="firstRow">
      <w:pPr>
        <w:jc w:val="left"/>
      </w:pPr>
      <w:rPr>
        <w:b/>
        <w:bCs/>
      </w:rPr>
      <w:tblPr/>
      <w:tcPr>
        <w:tcBorders>
          <w:bottom w:val="single" w:sz="12" w:space="0" w:color="4FBFBE" w:themeColor="accent1"/>
        </w:tcBorders>
      </w:tcPr>
    </w:tblStylePr>
    <w:tblStylePr w:type="lastRow">
      <w:rPr>
        <w:b/>
        <w:bCs/>
      </w:rPr>
      <w:tblPr/>
      <w:tcPr>
        <w:tcBorders>
          <w:top w:val="double" w:sz="2" w:space="0" w:color="18F8FF" w:themeColor="text2" w:themeTint="99"/>
        </w:tcBorders>
      </w:tcPr>
    </w:tblStylePr>
    <w:tblStylePr w:type="firstCol">
      <w:rPr>
        <w:b/>
        <w:bCs/>
      </w:rPr>
    </w:tblStylePr>
    <w:tblStylePr w:type="lastCol">
      <w:rPr>
        <w:b/>
        <w:bCs/>
      </w:rPr>
    </w:tblStylePr>
    <w:tblStylePr w:type="band1Horz">
      <w:tblPr/>
      <w:tcPr>
        <w:tcBorders>
          <w:top w:val="single" w:sz="2" w:space="0" w:color="18F8FF" w:themeColor="text2" w:themeTint="99"/>
          <w:left w:val="single" w:sz="2" w:space="0" w:color="18F8FF" w:themeColor="text2" w:themeTint="99"/>
          <w:bottom w:val="single" w:sz="2" w:space="0" w:color="18F8FF" w:themeColor="text2" w:themeTint="99"/>
          <w:right w:val="single" w:sz="2" w:space="0" w:color="18F8FF" w:themeColor="text2" w:themeTint="99"/>
          <w:insideH w:val="single" w:sz="2" w:space="0" w:color="18F8FF" w:themeColor="text2" w:themeTint="99"/>
          <w:insideV w:val="single" w:sz="2" w:space="0" w:color="18F8FF" w:themeColor="text2" w:themeTint="99"/>
          <w:tl2br w:val="nil"/>
          <w:tr2bl w:val="nil"/>
        </w:tcBorders>
      </w:tcPr>
    </w:tblStylePr>
    <w:tblStylePr w:type="band2Horz">
      <w:tblPr/>
      <w:tcPr>
        <w:tcBorders>
          <w:top w:val="single" w:sz="4" w:space="0" w:color="18F8FF" w:themeColor="text2" w:themeTint="99"/>
          <w:left w:val="single" w:sz="4" w:space="0" w:color="18F8FF" w:themeColor="text2" w:themeTint="99"/>
          <w:bottom w:val="single" w:sz="4" w:space="0" w:color="18F8FF" w:themeColor="text2" w:themeTint="99"/>
          <w:right w:val="single" w:sz="4" w:space="0" w:color="18F8FF" w:themeColor="text2" w:themeTint="99"/>
          <w:insideH w:val="single" w:sz="4" w:space="0" w:color="18F8FF" w:themeColor="text2" w:themeTint="99"/>
          <w:insideV w:val="single" w:sz="4" w:space="0" w:color="18F8FF" w:themeColor="text2" w:themeTint="99"/>
          <w:tl2br w:val="nil"/>
          <w:tr2bl w:val="nil"/>
        </w:tcBorders>
      </w:tcPr>
    </w:tblStylePr>
  </w:style>
  <w:style w:type="table" w:styleId="GridTable1Light-Accent2">
    <w:name w:val="Grid Table 1 Light Accent 2"/>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E2EDAC" w:themeColor="accent2" w:themeTint="66"/>
        <w:left w:val="single" w:sz="4" w:space="0" w:color="E2EDAC" w:themeColor="accent2" w:themeTint="66"/>
        <w:bottom w:val="single" w:sz="4" w:space="0" w:color="E2EDAC" w:themeColor="accent2" w:themeTint="66"/>
        <w:right w:val="single" w:sz="4" w:space="0" w:color="E2EDAC" w:themeColor="accent2" w:themeTint="66"/>
        <w:insideH w:val="single" w:sz="4" w:space="0" w:color="E2EDAC" w:themeColor="accent2" w:themeTint="66"/>
        <w:insideV w:val="single" w:sz="4" w:space="0" w:color="E2EDAC" w:themeColor="accent2" w:themeTint="66"/>
      </w:tblBorders>
    </w:tblPr>
    <w:tblStylePr w:type="firstRow">
      <w:pPr>
        <w:jc w:val="left"/>
      </w:pPr>
      <w:rPr>
        <w:b/>
        <w:bCs/>
      </w:rPr>
      <w:tblPr/>
      <w:tcPr>
        <w:tcBorders>
          <w:bottom w:val="single" w:sz="12" w:space="0" w:color="D3E583" w:themeColor="accent2" w:themeTint="99"/>
        </w:tcBorders>
        <w:vAlign w:val="bottom"/>
      </w:tcPr>
    </w:tblStylePr>
    <w:tblStylePr w:type="lastRow">
      <w:rPr>
        <w:b/>
        <w:bCs/>
      </w:rPr>
      <w:tblPr/>
      <w:tcPr>
        <w:tcBorders>
          <w:top w:val="double" w:sz="2" w:space="0" w:color="D3E5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AC8AA" w:themeColor="accent3" w:themeTint="66"/>
        <w:left w:val="single" w:sz="4" w:space="0" w:color="FAC8AA" w:themeColor="accent3" w:themeTint="66"/>
        <w:bottom w:val="single" w:sz="4" w:space="0" w:color="FAC8AA" w:themeColor="accent3" w:themeTint="66"/>
        <w:right w:val="single" w:sz="4" w:space="0" w:color="FAC8AA" w:themeColor="accent3" w:themeTint="66"/>
        <w:insideH w:val="single" w:sz="4" w:space="0" w:color="FAC8AA" w:themeColor="accent3" w:themeTint="66"/>
        <w:insideV w:val="single" w:sz="4" w:space="0" w:color="FAC8AA" w:themeColor="accent3" w:themeTint="66"/>
      </w:tblBorders>
    </w:tblPr>
    <w:tblStylePr w:type="firstRow">
      <w:pPr>
        <w:jc w:val="left"/>
      </w:pPr>
      <w:rPr>
        <w:b/>
        <w:bCs/>
      </w:rPr>
      <w:tblPr/>
      <w:tcPr>
        <w:tcBorders>
          <w:bottom w:val="single" w:sz="12" w:space="0" w:color="F7AD80" w:themeColor="accent3" w:themeTint="99"/>
        </w:tcBorders>
        <w:vAlign w:val="bottom"/>
      </w:tcPr>
    </w:tblStylePr>
    <w:tblStylePr w:type="lastRow">
      <w:rPr>
        <w:b/>
        <w:bCs/>
      </w:rPr>
      <w:tblPr/>
      <w:tcPr>
        <w:tcBorders>
          <w:top w:val="double" w:sz="2" w:space="0" w:color="F7AD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8B0C5" w:themeColor="accent4" w:themeTint="66"/>
        <w:left w:val="single" w:sz="4" w:space="0" w:color="F8B0C5" w:themeColor="accent4" w:themeTint="66"/>
        <w:bottom w:val="single" w:sz="4" w:space="0" w:color="F8B0C5" w:themeColor="accent4" w:themeTint="66"/>
        <w:right w:val="single" w:sz="4" w:space="0" w:color="F8B0C5" w:themeColor="accent4" w:themeTint="66"/>
        <w:insideH w:val="single" w:sz="4" w:space="0" w:color="F8B0C5" w:themeColor="accent4" w:themeTint="66"/>
        <w:insideV w:val="single" w:sz="4" w:space="0" w:color="F8B0C5" w:themeColor="accent4" w:themeTint="66"/>
      </w:tblBorders>
    </w:tblPr>
    <w:tblStylePr w:type="firstRow">
      <w:pPr>
        <w:jc w:val="left"/>
      </w:pPr>
      <w:rPr>
        <w:b/>
        <w:bCs/>
      </w:rPr>
      <w:tblPr/>
      <w:tcPr>
        <w:tcBorders>
          <w:bottom w:val="single" w:sz="12" w:space="0" w:color="F489A8" w:themeColor="accent4" w:themeTint="99"/>
        </w:tcBorders>
        <w:vAlign w:val="bottom"/>
      </w:tcPr>
    </w:tblStylePr>
    <w:tblStylePr w:type="lastRow">
      <w:rPr>
        <w:b/>
        <w:bCs/>
      </w:rPr>
      <w:tblPr/>
      <w:tcPr>
        <w:tcBorders>
          <w:top w:val="double" w:sz="2" w:space="0" w:color="F48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DE2B3" w:themeColor="accent5" w:themeTint="66"/>
        <w:left w:val="single" w:sz="4" w:space="0" w:color="FDE2B3" w:themeColor="accent5" w:themeTint="66"/>
        <w:bottom w:val="single" w:sz="4" w:space="0" w:color="FDE2B3" w:themeColor="accent5" w:themeTint="66"/>
        <w:right w:val="single" w:sz="4" w:space="0" w:color="FDE2B3" w:themeColor="accent5" w:themeTint="66"/>
        <w:insideH w:val="single" w:sz="4" w:space="0" w:color="FDE2B3" w:themeColor="accent5" w:themeTint="66"/>
        <w:insideV w:val="single" w:sz="4" w:space="0" w:color="FDE2B3" w:themeColor="accent5" w:themeTint="66"/>
      </w:tblBorders>
    </w:tblPr>
    <w:tblStylePr w:type="firstRow">
      <w:pPr>
        <w:jc w:val="left"/>
      </w:pPr>
      <w:rPr>
        <w:b/>
        <w:bCs/>
      </w:rPr>
      <w:tblPr/>
      <w:tcPr>
        <w:tcBorders>
          <w:bottom w:val="single" w:sz="12" w:space="0" w:color="FDD48D" w:themeColor="accent5" w:themeTint="99"/>
        </w:tcBorders>
        <w:vAlign w:val="bottom"/>
      </w:tcPr>
    </w:tblStylePr>
    <w:tblStylePr w:type="lastRow">
      <w:rPr>
        <w:b/>
        <w:bCs/>
      </w:rPr>
      <w:tblPr/>
      <w:tcPr>
        <w:tcBorders>
          <w:top w:val="double" w:sz="2" w:space="0" w:color="FDD4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E7DCD4" w:themeColor="accent6" w:themeTint="66"/>
        <w:left w:val="single" w:sz="4" w:space="0" w:color="E7DCD4" w:themeColor="accent6" w:themeTint="66"/>
        <w:bottom w:val="single" w:sz="4" w:space="0" w:color="E7DCD4" w:themeColor="accent6" w:themeTint="66"/>
        <w:right w:val="single" w:sz="4" w:space="0" w:color="E7DCD4" w:themeColor="accent6" w:themeTint="66"/>
        <w:insideH w:val="single" w:sz="4" w:space="0" w:color="E7DCD4" w:themeColor="accent6" w:themeTint="66"/>
        <w:insideV w:val="single" w:sz="4" w:space="0" w:color="E7DCD4" w:themeColor="accent6" w:themeTint="66"/>
      </w:tblBorders>
    </w:tblPr>
    <w:tblStylePr w:type="firstRow">
      <w:pPr>
        <w:jc w:val="left"/>
      </w:pPr>
      <w:rPr>
        <w:b/>
        <w:bCs/>
      </w:rPr>
      <w:tblPr/>
      <w:tcPr>
        <w:tcBorders>
          <w:bottom w:val="single" w:sz="12" w:space="0" w:color="DBCBBF" w:themeColor="accent6" w:themeTint="99"/>
        </w:tcBorders>
        <w:vAlign w:val="bottom"/>
      </w:tcPr>
    </w:tblStylePr>
    <w:tblStylePr w:type="lastRow">
      <w:rPr>
        <w:b/>
        <w:bCs/>
      </w:rPr>
      <w:tblPr/>
      <w:tcPr>
        <w:tcBorders>
          <w:top w:val="double" w:sz="2" w:space="0" w:color="DBCBBF" w:themeColor="accent6" w:themeTint="99"/>
        </w:tcBorders>
      </w:tcPr>
    </w:tblStylePr>
    <w:tblStylePr w:type="firstCol">
      <w:rPr>
        <w:b/>
        <w:bCs/>
      </w:rPr>
    </w:tblStylePr>
    <w:tblStylePr w:type="lastCol">
      <w:rPr>
        <w:b/>
        <w:bCs/>
      </w:rPr>
    </w:tblStylePr>
  </w:style>
  <w:style w:type="table" w:styleId="GridTable3">
    <w:name w:val="Grid Table 3"/>
    <w:basedOn w:val="TableNormal"/>
    <w:uiPriority w:val="48"/>
    <w:rsid w:val="00DD677C"/>
    <w:pPr>
      <w:spacing w:before="60" w:after="0" w:line="240" w:lineRule="auto"/>
    </w:pPr>
    <w:rPr>
      <w:rFonts w:ascii="Arial" w:eastAsiaTheme="minorHAnsi"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DD677C"/>
    <w:pPr>
      <w:spacing w:before="60" w:after="0" w:line="240" w:lineRule="auto"/>
    </w:pPr>
    <w:rPr>
      <w:rFonts w:ascii="Arial" w:eastAsiaTheme="minorHAnsi"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locked/>
    <w:rsid w:val="00DD677C"/>
    <w:pPr>
      <w:spacing w:before="60" w:after="0" w:line="240" w:lineRule="auto"/>
    </w:pPr>
    <w:rPr>
      <w:rFonts w:ascii="Arial" w:eastAsiaTheme="minorHAnsi" w:hAnsi="Arial"/>
      <w:sz w:val="18"/>
      <w:szCs w:val="18"/>
    </w:rPr>
    <w:tblPr>
      <w:tblStyleRowBandSize w:val="1"/>
      <w:tblStyleColBandSize w:val="1"/>
      <w:tblBorders>
        <w:top w:val="single" w:sz="2" w:space="0" w:color="F489A8" w:themeColor="accent4" w:themeTint="99"/>
        <w:bottom w:val="single" w:sz="2" w:space="0" w:color="F489A8" w:themeColor="accent4" w:themeTint="99"/>
        <w:insideH w:val="single" w:sz="2" w:space="0" w:color="F489A8" w:themeColor="accent4" w:themeTint="99"/>
        <w:insideV w:val="single" w:sz="2" w:space="0" w:color="F489A8" w:themeColor="accent4" w:themeTint="99"/>
      </w:tblBorders>
    </w:tblPr>
    <w:tblStylePr w:type="firstRow">
      <w:pPr>
        <w:jc w:val="left"/>
      </w:pPr>
      <w:rPr>
        <w:b/>
        <w:bCs/>
      </w:rPr>
      <w:tblPr/>
      <w:tcPr>
        <w:tcBorders>
          <w:top w:val="nil"/>
          <w:bottom w:val="single" w:sz="12" w:space="0" w:color="F489A8" w:themeColor="accent4" w:themeTint="99"/>
          <w:insideH w:val="nil"/>
          <w:insideV w:val="nil"/>
        </w:tcBorders>
        <w:shd w:val="clear" w:color="auto" w:fill="FFFFFF" w:themeFill="background1"/>
        <w:vAlign w:val="bottom"/>
      </w:tcPr>
    </w:tblStylePr>
    <w:tblStylePr w:type="lastRow">
      <w:rPr>
        <w:b/>
        <w:bCs/>
      </w:rPr>
      <w:tblPr/>
      <w:tcPr>
        <w:tcBorders>
          <w:top w:val="double" w:sz="2" w:space="0" w:color="F48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2-Accent5">
    <w:name w:val="Grid Table 2 Accent 5"/>
    <w:basedOn w:val="TableNormal"/>
    <w:uiPriority w:val="47"/>
    <w:rsid w:val="00DD677C"/>
    <w:pPr>
      <w:spacing w:before="60" w:after="0" w:line="240" w:lineRule="auto"/>
    </w:pPr>
    <w:rPr>
      <w:rFonts w:ascii="Arial" w:eastAsiaTheme="minorHAnsi" w:hAnsi="Arial"/>
      <w:sz w:val="18"/>
      <w:szCs w:val="18"/>
    </w:rPr>
    <w:tblPr>
      <w:tblStyleRowBandSize w:val="1"/>
      <w:tblStyleColBandSize w:val="1"/>
      <w:tblBorders>
        <w:top w:val="single" w:sz="2" w:space="0" w:color="FDD48D" w:themeColor="accent5" w:themeTint="99"/>
        <w:bottom w:val="single" w:sz="2" w:space="0" w:color="FDD48D" w:themeColor="accent5" w:themeTint="99"/>
        <w:insideH w:val="single" w:sz="2" w:space="0" w:color="FDD48D" w:themeColor="accent5" w:themeTint="99"/>
        <w:insideV w:val="single" w:sz="2" w:space="0" w:color="FDD48D" w:themeColor="accent5" w:themeTint="99"/>
      </w:tblBorders>
    </w:tblPr>
    <w:tblStylePr w:type="firstRow">
      <w:pPr>
        <w:jc w:val="left"/>
      </w:pPr>
      <w:rPr>
        <w:b/>
        <w:bCs/>
      </w:rPr>
      <w:tblPr/>
      <w:tcPr>
        <w:tcBorders>
          <w:top w:val="nil"/>
          <w:bottom w:val="single" w:sz="12" w:space="0" w:color="FDD48D" w:themeColor="accent5" w:themeTint="99"/>
          <w:insideH w:val="nil"/>
          <w:insideV w:val="nil"/>
        </w:tcBorders>
        <w:shd w:val="clear" w:color="auto" w:fill="FFFFFF" w:themeFill="background1"/>
        <w:vAlign w:val="bottom"/>
      </w:tcPr>
    </w:tblStylePr>
    <w:tblStylePr w:type="lastRow">
      <w:rPr>
        <w:b/>
        <w:bCs/>
      </w:rPr>
      <w:tblPr/>
      <w:tcPr>
        <w:tcBorders>
          <w:top w:val="double" w:sz="2" w:space="0" w:color="FDD4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2-Accent6">
    <w:name w:val="Grid Table 2 Accent 6"/>
    <w:basedOn w:val="TableNormal"/>
    <w:uiPriority w:val="47"/>
    <w:locked/>
    <w:rsid w:val="00DD677C"/>
    <w:pPr>
      <w:spacing w:before="60" w:after="0" w:line="240" w:lineRule="auto"/>
    </w:pPr>
    <w:rPr>
      <w:rFonts w:ascii="Arial" w:eastAsiaTheme="minorHAnsi" w:hAnsi="Arial"/>
      <w:sz w:val="18"/>
      <w:szCs w:val="18"/>
    </w:rPr>
    <w:tblPr>
      <w:tblStyleRowBandSize w:val="1"/>
      <w:tblStyleColBandSize w:val="1"/>
      <w:tblBorders>
        <w:top w:val="single" w:sz="2" w:space="0" w:color="DBCBBF" w:themeColor="accent6" w:themeTint="99"/>
        <w:bottom w:val="single" w:sz="2" w:space="0" w:color="DBCBBF" w:themeColor="accent6" w:themeTint="99"/>
        <w:insideH w:val="single" w:sz="2" w:space="0" w:color="DBCBBF" w:themeColor="accent6" w:themeTint="99"/>
        <w:insideV w:val="single" w:sz="2" w:space="0" w:color="DBCBBF" w:themeColor="accent6" w:themeTint="99"/>
      </w:tblBorders>
    </w:tblPr>
    <w:tblStylePr w:type="firstRow">
      <w:pPr>
        <w:jc w:val="left"/>
      </w:pPr>
      <w:rPr>
        <w:b/>
        <w:bCs/>
      </w:rPr>
      <w:tblPr/>
      <w:tcPr>
        <w:tcBorders>
          <w:top w:val="nil"/>
          <w:bottom w:val="single" w:sz="12" w:space="0" w:color="DBCBBF" w:themeColor="accent6" w:themeTint="99"/>
          <w:insideH w:val="nil"/>
          <w:insideV w:val="nil"/>
        </w:tcBorders>
        <w:shd w:val="clear" w:color="auto" w:fill="FFFFFF" w:themeFill="background1"/>
        <w:vAlign w:val="bottom"/>
      </w:tcPr>
    </w:tblStylePr>
    <w:tblStylePr w:type="lastRow">
      <w:rPr>
        <w:b/>
        <w:bCs/>
      </w:rPr>
      <w:tblPr/>
      <w:tcPr>
        <w:tcBorders>
          <w:top w:val="double" w:sz="2" w:space="0" w:color="DBCB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GridTable3-Accent3">
    <w:name w:val="Grid Table 3 Accent 3"/>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bottom w:val="single" w:sz="4" w:space="0" w:color="F7AD80" w:themeColor="accent3" w:themeTint="99"/>
        </w:tcBorders>
      </w:tcPr>
    </w:tblStylePr>
    <w:tblStylePr w:type="nwCell">
      <w:tblPr/>
      <w:tcPr>
        <w:tcBorders>
          <w:bottom w:val="single" w:sz="4" w:space="0" w:color="F7AD80" w:themeColor="accent3" w:themeTint="99"/>
        </w:tcBorders>
      </w:tcPr>
    </w:tblStylePr>
    <w:tblStylePr w:type="seCell">
      <w:tblPr/>
      <w:tcPr>
        <w:tcBorders>
          <w:top w:val="single" w:sz="4" w:space="0" w:color="F7AD80" w:themeColor="accent3" w:themeTint="99"/>
        </w:tcBorders>
      </w:tcPr>
    </w:tblStylePr>
    <w:tblStylePr w:type="swCell">
      <w:tblPr/>
      <w:tcPr>
        <w:tcBorders>
          <w:top w:val="single" w:sz="4" w:space="0" w:color="F7AD80" w:themeColor="accent3" w:themeTint="99"/>
        </w:tcBorders>
      </w:tcPr>
    </w:tblStylePr>
  </w:style>
  <w:style w:type="table" w:styleId="GridTable3-Accent4">
    <w:name w:val="Grid Table 3 Accent 4"/>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bottom w:val="single" w:sz="4" w:space="0" w:color="F489A8" w:themeColor="accent4" w:themeTint="99"/>
        </w:tcBorders>
      </w:tcPr>
    </w:tblStylePr>
    <w:tblStylePr w:type="nwCell">
      <w:tblPr/>
      <w:tcPr>
        <w:tcBorders>
          <w:bottom w:val="single" w:sz="4" w:space="0" w:color="F489A8" w:themeColor="accent4" w:themeTint="99"/>
        </w:tcBorders>
      </w:tcPr>
    </w:tblStylePr>
    <w:tblStylePr w:type="seCell">
      <w:tblPr/>
      <w:tcPr>
        <w:tcBorders>
          <w:top w:val="single" w:sz="4" w:space="0" w:color="F489A8" w:themeColor="accent4" w:themeTint="99"/>
        </w:tcBorders>
      </w:tcPr>
    </w:tblStylePr>
    <w:tblStylePr w:type="swCell">
      <w:tblPr/>
      <w:tcPr>
        <w:tcBorders>
          <w:top w:val="single" w:sz="4" w:space="0" w:color="F489A8" w:themeColor="accent4" w:themeTint="99"/>
        </w:tcBorders>
      </w:tcPr>
    </w:tblStylePr>
  </w:style>
  <w:style w:type="table" w:styleId="GridTable3-Accent5">
    <w:name w:val="Grid Table 3 Accent 5"/>
    <w:basedOn w:val="TableNormal"/>
    <w:uiPriority w:val="48"/>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bottom w:val="single" w:sz="4" w:space="0" w:color="FDD48D" w:themeColor="accent5" w:themeTint="99"/>
        </w:tcBorders>
      </w:tcPr>
    </w:tblStylePr>
    <w:tblStylePr w:type="nwCell">
      <w:tblPr/>
      <w:tcPr>
        <w:tcBorders>
          <w:bottom w:val="single" w:sz="4" w:space="0" w:color="FDD48D" w:themeColor="accent5" w:themeTint="99"/>
        </w:tcBorders>
      </w:tcPr>
    </w:tblStylePr>
    <w:tblStylePr w:type="seCell">
      <w:tblPr/>
      <w:tcPr>
        <w:tcBorders>
          <w:top w:val="single" w:sz="4" w:space="0" w:color="FDD48D" w:themeColor="accent5" w:themeTint="99"/>
        </w:tcBorders>
      </w:tcPr>
    </w:tblStylePr>
    <w:tblStylePr w:type="swCell">
      <w:tblPr/>
      <w:tcPr>
        <w:tcBorders>
          <w:top w:val="single" w:sz="4" w:space="0" w:color="FDD48D" w:themeColor="accent5" w:themeTint="99"/>
        </w:tcBorders>
      </w:tcPr>
    </w:tblStylePr>
  </w:style>
  <w:style w:type="table" w:styleId="PlainTable5">
    <w:name w:val="Plain Table 5"/>
    <w:basedOn w:val="TableNormal"/>
    <w:uiPriority w:val="45"/>
    <w:rsid w:val="00DD677C"/>
    <w:pPr>
      <w:spacing w:before="60" w:after="0" w:line="240" w:lineRule="auto"/>
    </w:pPr>
    <w:rPr>
      <w:rFonts w:ascii="Arial" w:eastAsiaTheme="minorHAnsi"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95D8D7" w:themeColor="accent1" w:themeTint="99"/>
        </w:tcBorders>
        <w:vAlign w:val="bottom"/>
      </w:tcPr>
    </w:tblStylePr>
    <w:tblStylePr w:type="lastRow">
      <w:rPr>
        <w:b/>
        <w:bCs/>
      </w:rPr>
      <w:tblPr/>
      <w:tcPr>
        <w:tcBorders>
          <w:top w:val="single" w:sz="4" w:space="0" w:color="95D8D7" w:themeColor="accent1" w:themeTint="99"/>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1Light-Accent2">
    <w:name w:val="List Table 1 Light Accent 2"/>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D3E583" w:themeColor="accent2" w:themeTint="99"/>
        </w:tcBorders>
        <w:vAlign w:val="bottom"/>
      </w:tcPr>
    </w:tblStylePr>
    <w:tblStylePr w:type="lastRow">
      <w:rPr>
        <w:b/>
        <w:bCs/>
      </w:rPr>
      <w:tblPr/>
      <w:tcPr>
        <w:tcBorders>
          <w:top w:val="sing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1Light-Accent3">
    <w:name w:val="List Table 1 Light Accent 3"/>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7AD80" w:themeColor="accent3" w:themeTint="99"/>
        </w:tcBorders>
        <w:vAlign w:val="bottom"/>
      </w:tcPr>
    </w:tblStylePr>
    <w:tblStylePr w:type="lastRow">
      <w:rPr>
        <w:b/>
        <w:bCs/>
      </w:rPr>
      <w:tblPr/>
      <w:tcPr>
        <w:tcBorders>
          <w:top w:val="sing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1Light-Accent4">
    <w:name w:val="List Table 1 Light Accent 4"/>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489A8" w:themeColor="accent4" w:themeTint="99"/>
        </w:tcBorders>
        <w:vAlign w:val="bottom"/>
      </w:tcPr>
    </w:tblStylePr>
    <w:tblStylePr w:type="lastRow">
      <w:rPr>
        <w:b/>
        <w:bCs/>
      </w:rPr>
      <w:tblPr/>
      <w:tcPr>
        <w:tcBorders>
          <w:top w:val="sing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1Light-Accent5">
    <w:name w:val="List Table 1 Light Accent 5"/>
    <w:basedOn w:val="TableNormal"/>
    <w:uiPriority w:val="46"/>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DD48D" w:themeColor="accent5" w:themeTint="99"/>
        </w:tcBorders>
        <w:vAlign w:val="bottom"/>
      </w:tcPr>
    </w:tblStylePr>
    <w:tblStylePr w:type="lastRow">
      <w:rPr>
        <w:b/>
        <w:bCs/>
      </w:rPr>
      <w:tblPr/>
      <w:tcPr>
        <w:tcBorders>
          <w:top w:val="sing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1Light-Accent6">
    <w:name w:val="List Table 1 Light Accent 6"/>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DBCBBF" w:themeColor="accent6" w:themeTint="99"/>
        </w:tcBorders>
        <w:vAlign w:val="bottom"/>
      </w:tcPr>
    </w:tblStylePr>
    <w:tblStylePr w:type="lastRow">
      <w:rPr>
        <w:b/>
        <w:bCs/>
      </w:rPr>
      <w:tblPr/>
      <w:tcPr>
        <w:tcBorders>
          <w:top w:val="sing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2">
    <w:name w:val="List Table 2"/>
    <w:basedOn w:val="TableNormal"/>
    <w:uiPriority w:val="47"/>
    <w:rsid w:val="00DD677C"/>
    <w:pPr>
      <w:spacing w:before="60" w:after="0" w:line="240" w:lineRule="auto"/>
    </w:pPr>
    <w:rPr>
      <w:rFonts w:eastAsiaTheme="minorHAnsi"/>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95D8D7" w:themeColor="accent1" w:themeTint="99"/>
        <w:bottom w:val="single" w:sz="4" w:space="0" w:color="95D8D7" w:themeColor="accent1" w:themeTint="99"/>
        <w:insideH w:val="single" w:sz="4" w:space="0" w:color="95D8D7"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2-Accent2">
    <w:name w:val="List Table 2 Accent 2"/>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D3E583" w:themeColor="accent2" w:themeTint="99"/>
        <w:bottom w:val="single" w:sz="4" w:space="0" w:color="D3E583" w:themeColor="accent2" w:themeTint="99"/>
        <w:insideH w:val="single" w:sz="4" w:space="0" w:color="D3E583"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2-Accent3">
    <w:name w:val="List Table 2 Accent 3"/>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F7AD80" w:themeColor="accent3" w:themeTint="99"/>
        <w:bottom w:val="single" w:sz="4" w:space="0" w:color="F7AD80" w:themeColor="accent3" w:themeTint="99"/>
        <w:insideH w:val="single" w:sz="4" w:space="0" w:color="F7AD80"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2-Accent4">
    <w:name w:val="List Table 2 Accent 4"/>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F489A8" w:themeColor="accent4" w:themeTint="99"/>
        <w:bottom w:val="single" w:sz="4" w:space="0" w:color="F489A8" w:themeColor="accent4" w:themeTint="99"/>
        <w:insideH w:val="single" w:sz="4" w:space="0" w:color="F489A8"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2-Accent5">
    <w:name w:val="List Table 2 Accent 5"/>
    <w:basedOn w:val="TableNormal"/>
    <w:uiPriority w:val="47"/>
    <w:rsid w:val="00DD677C"/>
    <w:pPr>
      <w:spacing w:before="60" w:after="0" w:line="240" w:lineRule="auto"/>
    </w:pPr>
    <w:rPr>
      <w:rFonts w:eastAsiaTheme="minorHAnsi"/>
      <w:sz w:val="18"/>
      <w:szCs w:val="18"/>
    </w:rPr>
    <w:tblPr>
      <w:tblStyleRowBandSize w:val="1"/>
      <w:tblStyleColBandSize w:val="1"/>
      <w:tblBorders>
        <w:top w:val="single" w:sz="4" w:space="0" w:color="FDD48D" w:themeColor="accent5" w:themeTint="99"/>
        <w:bottom w:val="single" w:sz="4" w:space="0" w:color="FDD48D" w:themeColor="accent5" w:themeTint="99"/>
        <w:insideH w:val="single" w:sz="4" w:space="0" w:color="FDD48D"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character" w:customStyle="1" w:styleId="BodyTextChar">
    <w:name w:val="Body Text Char"/>
    <w:basedOn w:val="DefaultParagraphFont"/>
    <w:link w:val="BodyText"/>
    <w:uiPriority w:val="99"/>
    <w:rsid w:val="001F6957"/>
    <w:rPr>
      <w:rFonts w:ascii="Arial" w:eastAsiaTheme="minorHAnsi" w:hAnsi="Arial"/>
      <w:sz w:val="20"/>
      <w:szCs w:val="18"/>
    </w:rPr>
  </w:style>
  <w:style w:type="paragraph" w:customStyle="1" w:styleId="Quote2">
    <w:name w:val="Quote 2"/>
    <w:basedOn w:val="Subtitle"/>
    <w:next w:val="Normal"/>
    <w:link w:val="Quote2Char"/>
    <w:uiPriority w:val="7"/>
    <w:qFormat/>
    <w:rsid w:val="00DD677C"/>
    <w:pPr>
      <w:spacing w:before="120"/>
      <w:ind w:left="1134" w:right="1134"/>
      <w:jc w:val="center"/>
    </w:pPr>
    <w:rPr>
      <w:rFonts w:ascii="Calibri" w:hAnsi="Calibri"/>
      <w:bCs/>
      <w:sz w:val="20"/>
      <w:szCs w:val="20"/>
      <w:lang w:eastAsia="en-AU"/>
    </w:rPr>
  </w:style>
  <w:style w:type="character" w:customStyle="1" w:styleId="Quote2Char">
    <w:name w:val="Quote 2 Char"/>
    <w:basedOn w:val="SubtitleChar"/>
    <w:link w:val="Quote2"/>
    <w:uiPriority w:val="7"/>
    <w:rsid w:val="00DD677C"/>
    <w:rPr>
      <w:rFonts w:ascii="Calibri" w:eastAsia="Times New Roman" w:hAnsi="Calibri" w:cs="Times New Roman"/>
      <w:bCs/>
      <w:color w:val="4FBFBE" w:themeColor="accent1"/>
      <w:sz w:val="20"/>
      <w:szCs w:val="20"/>
      <w:lang w:eastAsia="en-AU"/>
    </w:rPr>
  </w:style>
  <w:style w:type="paragraph" w:customStyle="1" w:styleId="Bullets1">
    <w:name w:val="Bullets 1"/>
    <w:basedOn w:val="Normal"/>
    <w:qFormat/>
    <w:rsid w:val="00DD677C"/>
    <w:pPr>
      <w:numPr>
        <w:numId w:val="3"/>
      </w:numPr>
      <w:spacing w:before="60" w:after="60" w:line="300" w:lineRule="auto"/>
    </w:pPr>
    <w:rPr>
      <w:rFonts w:eastAsia="Times New Roman" w:cs="Times New Roman"/>
      <w:szCs w:val="20"/>
    </w:rPr>
  </w:style>
  <w:style w:type="paragraph" w:customStyle="1" w:styleId="TableFormat">
    <w:name w:val="Table Format"/>
    <w:basedOn w:val="Body"/>
    <w:next w:val="Body"/>
    <w:uiPriority w:val="1"/>
    <w:qFormat/>
    <w:rsid w:val="00DD677C"/>
    <w:pPr>
      <w:spacing w:before="60" w:after="60" w:line="240" w:lineRule="auto"/>
      <w:jc w:val="right"/>
    </w:pPr>
    <w:rPr>
      <w:sz w:val="18"/>
    </w:rPr>
  </w:style>
  <w:style w:type="paragraph" w:styleId="Revision">
    <w:name w:val="Revision"/>
    <w:hidden/>
    <w:uiPriority w:val="99"/>
    <w:semiHidden/>
    <w:rsid w:val="00AD2ACB"/>
    <w:pPr>
      <w:spacing w:after="0"/>
    </w:pPr>
    <w:rPr>
      <w:rFonts w:ascii="Arial" w:hAnsi="Arial"/>
      <w:sz w:val="20"/>
    </w:rPr>
  </w:style>
  <w:style w:type="paragraph" w:customStyle="1" w:styleId="Body">
    <w:name w:val="Body"/>
    <w:basedOn w:val="Normal"/>
    <w:link w:val="BodyChar"/>
    <w:qFormat/>
    <w:rsid w:val="00E458CC"/>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E458CC"/>
    <w:rPr>
      <w:rFonts w:ascii="Arial" w:eastAsia="Times New Roman" w:hAnsi="Arial" w:cs="Times New Roman"/>
      <w:sz w:val="20"/>
      <w:szCs w:val="20"/>
    </w:rPr>
  </w:style>
  <w:style w:type="paragraph" w:customStyle="1" w:styleId="Bullets2">
    <w:name w:val="Bullets 2"/>
    <w:basedOn w:val="Normal"/>
    <w:qFormat/>
    <w:rsid w:val="00DD677C"/>
    <w:pPr>
      <w:numPr>
        <w:ilvl w:val="1"/>
        <w:numId w:val="3"/>
      </w:numPr>
      <w:spacing w:before="60" w:after="60" w:line="300" w:lineRule="auto"/>
    </w:pPr>
    <w:rPr>
      <w:rFonts w:eastAsia="Times New Roman" w:cs="Times New Roman"/>
      <w:szCs w:val="20"/>
    </w:rPr>
  </w:style>
  <w:style w:type="paragraph" w:customStyle="1" w:styleId="Bullets3">
    <w:name w:val="Bullets 3"/>
    <w:basedOn w:val="Normal"/>
    <w:qFormat/>
    <w:rsid w:val="00DD677C"/>
    <w:pPr>
      <w:numPr>
        <w:ilvl w:val="2"/>
        <w:numId w:val="3"/>
      </w:numPr>
      <w:spacing w:before="60" w:after="60" w:line="300" w:lineRule="auto"/>
    </w:pPr>
    <w:rPr>
      <w:rFonts w:eastAsia="Times New Roman" w:cs="Times New Roman"/>
      <w:szCs w:val="20"/>
    </w:rPr>
  </w:style>
  <w:style w:type="table" w:styleId="ListTable2-Accent6">
    <w:name w:val="List Table 2 Accent 6"/>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DBCBBF" w:themeColor="accent6" w:themeTint="99"/>
        <w:bottom w:val="single" w:sz="4" w:space="0" w:color="DBCBBF" w:themeColor="accent6" w:themeTint="99"/>
        <w:insideH w:val="single" w:sz="4" w:space="0" w:color="DBCBBF"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paragraph" w:customStyle="1" w:styleId="AppendixHeading">
    <w:name w:val="Appendix Heading"/>
    <w:basedOn w:val="MajorHeading"/>
    <w:next w:val="Body"/>
    <w:link w:val="AppendixHeadingChar"/>
    <w:qFormat/>
    <w:rsid w:val="00A60A4E"/>
    <w:pPr>
      <w:numPr>
        <w:numId w:val="23"/>
      </w:numPr>
    </w:pPr>
    <w:rPr>
      <w:rFonts w:cstheme="majorBidi"/>
    </w:rPr>
  </w:style>
  <w:style w:type="character" w:customStyle="1" w:styleId="AppendixHeadingChar">
    <w:name w:val="Appendix Heading Char"/>
    <w:basedOn w:val="Heading1Char"/>
    <w:link w:val="AppendixHeading"/>
    <w:rsid w:val="00A60A4E"/>
    <w:rPr>
      <w:rFonts w:ascii="Arial" w:eastAsiaTheme="minorHAnsi" w:hAnsi="Arial" w:cstheme="majorBidi"/>
      <w:color w:val="005A5D" w:themeColor="text2" w:themeShade="BF"/>
      <w:sz w:val="40"/>
      <w:szCs w:val="40"/>
    </w:rPr>
  </w:style>
  <w:style w:type="paragraph" w:styleId="TableofAuthorities">
    <w:name w:val="table of authorities"/>
    <w:basedOn w:val="Normal"/>
    <w:next w:val="Normal"/>
    <w:uiPriority w:val="99"/>
    <w:semiHidden/>
    <w:unhideWhenUsed/>
    <w:rsid w:val="00044F13"/>
    <w:pPr>
      <w:ind w:left="284" w:hanging="284"/>
    </w:pPr>
    <w:rPr>
      <w:rFonts w:ascii="Arial Nova" w:hAnsi="Arial Nova"/>
    </w:rPr>
  </w:style>
  <w:style w:type="paragraph" w:styleId="Bibliography">
    <w:name w:val="Bibliography"/>
    <w:basedOn w:val="Normal"/>
    <w:next w:val="Normal"/>
    <w:uiPriority w:val="37"/>
    <w:qFormat/>
    <w:rsid w:val="00DD677C"/>
    <w:pPr>
      <w:spacing w:before="120" w:after="120"/>
      <w:ind w:left="284" w:hanging="284"/>
    </w:pPr>
    <w:rPr>
      <w:rFonts w:cs="Arial"/>
    </w:rPr>
  </w:style>
  <w:style w:type="table" w:styleId="GridTable7Colorful-Accent6">
    <w:name w:val="Grid Table 7 Colorful Accent 6"/>
    <w:basedOn w:val="TableNormal"/>
    <w:uiPriority w:val="52"/>
    <w:locked/>
    <w:rsid w:val="00DD677C"/>
    <w:pPr>
      <w:spacing w:before="60" w:after="0" w:line="240" w:lineRule="auto"/>
    </w:pPr>
    <w:rPr>
      <w:rFonts w:eastAsiaTheme="minorHAnsi"/>
      <w:color w:val="A37D5D" w:themeColor="accent6" w:themeShade="BF"/>
      <w:sz w:val="18"/>
      <w:szCs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bottom w:val="single" w:sz="4" w:space="0" w:color="DBCBBF" w:themeColor="accent6" w:themeTint="99"/>
        </w:tcBorders>
      </w:tcPr>
    </w:tblStylePr>
    <w:tblStylePr w:type="nwCell">
      <w:tblPr/>
      <w:tcPr>
        <w:tcBorders>
          <w:bottom w:val="single" w:sz="4" w:space="0" w:color="DBCBBF" w:themeColor="accent6" w:themeTint="99"/>
        </w:tcBorders>
      </w:tcPr>
    </w:tblStylePr>
    <w:tblStylePr w:type="seCell">
      <w:tblPr/>
      <w:tcPr>
        <w:tcBorders>
          <w:top w:val="single" w:sz="4" w:space="0" w:color="DBCBBF" w:themeColor="accent6" w:themeTint="99"/>
        </w:tcBorders>
      </w:tcPr>
    </w:tblStylePr>
    <w:tblStylePr w:type="swCell">
      <w:tblPr/>
      <w:tcPr>
        <w:tcBorders>
          <w:top w:val="single" w:sz="4" w:space="0" w:color="DBCBBF" w:themeColor="accent6" w:themeTint="99"/>
        </w:tcBorders>
      </w:tcPr>
    </w:tblStylePr>
  </w:style>
  <w:style w:type="table" w:customStyle="1" w:styleId="SRC2ndPage">
    <w:name w:val="SRC 2nd Page"/>
    <w:basedOn w:val="TableNormal"/>
    <w:uiPriority w:val="99"/>
    <w:rsid w:val="002038DE"/>
    <w:pPr>
      <w:spacing w:after="0" w:line="240" w:lineRule="auto"/>
    </w:pPr>
    <w:rPr>
      <w:rFonts w:ascii="Arial" w:eastAsiaTheme="minorHAnsi" w:hAnsi="Arial"/>
      <w:sz w:val="18"/>
      <w:szCs w:val="18"/>
    </w:rPr>
    <w:tblPr/>
    <w:tblStylePr w:type="firstRow">
      <w:pPr>
        <w:jc w:val="left"/>
      </w:pPr>
      <w:tblPr/>
      <w:tcPr>
        <w:vAlign w:val="bottom"/>
      </w:tcPr>
    </w:tblStylePr>
  </w:style>
  <w:style w:type="character" w:customStyle="1" w:styleId="Heading6Char">
    <w:name w:val="Heading 6 Char"/>
    <w:basedOn w:val="DefaultParagraphFont"/>
    <w:link w:val="Heading6"/>
    <w:uiPriority w:val="9"/>
    <w:rsid w:val="00DD677C"/>
    <w:rPr>
      <w:rFonts w:asciiTheme="majorHAnsi" w:eastAsiaTheme="majorEastAsia" w:hAnsiTheme="majorHAnsi" w:cstheme="majorBidi"/>
      <w:i/>
      <w:iCs/>
      <w:caps/>
      <w:color w:val="246362" w:themeColor="accent1" w:themeShade="80"/>
      <w:sz w:val="20"/>
      <w:szCs w:val="18"/>
    </w:rPr>
  </w:style>
  <w:style w:type="character" w:customStyle="1" w:styleId="Heading7Char">
    <w:name w:val="Heading 7 Char"/>
    <w:basedOn w:val="DefaultParagraphFont"/>
    <w:link w:val="Heading7"/>
    <w:uiPriority w:val="9"/>
    <w:rsid w:val="00DD677C"/>
    <w:rPr>
      <w:rFonts w:asciiTheme="majorHAnsi" w:eastAsiaTheme="majorEastAsia" w:hAnsiTheme="majorHAnsi" w:cstheme="majorBidi"/>
      <w:b/>
      <w:bCs/>
      <w:color w:val="246362" w:themeColor="accent1" w:themeShade="80"/>
      <w:sz w:val="20"/>
      <w:szCs w:val="18"/>
    </w:rPr>
  </w:style>
  <w:style w:type="character" w:customStyle="1" w:styleId="Heading8Char">
    <w:name w:val="Heading 8 Char"/>
    <w:basedOn w:val="DefaultParagraphFont"/>
    <w:link w:val="Heading8"/>
    <w:uiPriority w:val="9"/>
    <w:semiHidden/>
    <w:rsid w:val="00DD677C"/>
    <w:rPr>
      <w:rFonts w:asciiTheme="majorHAnsi" w:eastAsiaTheme="majorEastAsia" w:hAnsiTheme="majorHAnsi" w:cstheme="majorBidi"/>
      <w:b/>
      <w:bCs/>
      <w:i/>
      <w:iCs/>
      <w:color w:val="246362" w:themeColor="accent1" w:themeShade="80"/>
      <w:sz w:val="20"/>
      <w:szCs w:val="18"/>
    </w:rPr>
  </w:style>
  <w:style w:type="character" w:customStyle="1" w:styleId="Heading9Char">
    <w:name w:val="Heading 9 Char"/>
    <w:basedOn w:val="DefaultParagraphFont"/>
    <w:link w:val="Heading9"/>
    <w:uiPriority w:val="9"/>
    <w:semiHidden/>
    <w:rsid w:val="00DD677C"/>
    <w:rPr>
      <w:rFonts w:asciiTheme="majorHAnsi" w:eastAsiaTheme="majorEastAsia" w:hAnsiTheme="majorHAnsi" w:cstheme="majorBidi"/>
      <w:i/>
      <w:iCs/>
      <w:color w:val="246362" w:themeColor="accent1" w:themeShade="80"/>
      <w:sz w:val="20"/>
      <w:szCs w:val="18"/>
    </w:rPr>
  </w:style>
  <w:style w:type="character" w:styleId="Strong">
    <w:name w:val="Strong"/>
    <w:basedOn w:val="DefaultParagraphFont"/>
    <w:uiPriority w:val="22"/>
    <w:qFormat/>
    <w:rsid w:val="00902782"/>
    <w:rPr>
      <w:b/>
      <w:bCs/>
    </w:rPr>
  </w:style>
  <w:style w:type="character" w:styleId="Emphasis">
    <w:name w:val="Emphasis"/>
    <w:basedOn w:val="DefaultParagraphFont"/>
    <w:uiPriority w:val="20"/>
    <w:rsid w:val="00902782"/>
    <w:rPr>
      <w:i/>
      <w:iCs/>
    </w:rPr>
  </w:style>
  <w:style w:type="paragraph" w:styleId="IntenseQuote">
    <w:name w:val="Intense Quote"/>
    <w:basedOn w:val="Normal"/>
    <w:next w:val="Normal"/>
    <w:link w:val="IntenseQuoteChar"/>
    <w:uiPriority w:val="30"/>
    <w:rsid w:val="00902782"/>
    <w:pPr>
      <w:spacing w:before="100" w:beforeAutospacing="1" w:after="240"/>
      <w:ind w:left="720"/>
      <w:jc w:val="center"/>
    </w:pPr>
    <w:rPr>
      <w:rFonts w:asciiTheme="majorHAnsi" w:eastAsiaTheme="majorEastAsia" w:hAnsiTheme="majorHAnsi" w:cstheme="majorBidi"/>
      <w:color w:val="007A7D" w:themeColor="text2"/>
      <w:spacing w:val="-6"/>
      <w:sz w:val="32"/>
      <w:szCs w:val="32"/>
    </w:rPr>
  </w:style>
  <w:style w:type="character" w:customStyle="1" w:styleId="IntenseQuoteChar">
    <w:name w:val="Intense Quote Char"/>
    <w:basedOn w:val="DefaultParagraphFont"/>
    <w:link w:val="IntenseQuote"/>
    <w:uiPriority w:val="30"/>
    <w:rsid w:val="00902782"/>
    <w:rPr>
      <w:rFonts w:asciiTheme="majorHAnsi" w:eastAsiaTheme="majorEastAsia" w:hAnsiTheme="majorHAnsi" w:cstheme="majorBidi"/>
      <w:color w:val="007A7D" w:themeColor="text2"/>
      <w:spacing w:val="-6"/>
      <w:sz w:val="32"/>
      <w:szCs w:val="32"/>
    </w:rPr>
  </w:style>
  <w:style w:type="character" w:styleId="SubtleEmphasis">
    <w:name w:val="Subtle Emphasis"/>
    <w:basedOn w:val="DefaultParagraphFont"/>
    <w:uiPriority w:val="19"/>
    <w:rsid w:val="00902782"/>
    <w:rPr>
      <w:i/>
      <w:iCs/>
      <w:color w:val="595959" w:themeColor="text1" w:themeTint="A6"/>
    </w:rPr>
  </w:style>
  <w:style w:type="character" w:styleId="IntenseEmphasis">
    <w:name w:val="Intense Emphasis"/>
    <w:basedOn w:val="DefaultParagraphFont"/>
    <w:uiPriority w:val="21"/>
    <w:rsid w:val="00902782"/>
    <w:rPr>
      <w:b/>
      <w:bCs/>
      <w:i/>
      <w:iCs/>
    </w:rPr>
  </w:style>
  <w:style w:type="character" w:styleId="SubtleReference">
    <w:name w:val="Subtle Reference"/>
    <w:basedOn w:val="DefaultParagraphFont"/>
    <w:uiPriority w:val="31"/>
    <w:rsid w:val="00902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902782"/>
    <w:rPr>
      <w:b/>
      <w:bCs/>
      <w:smallCaps/>
      <w:color w:val="007A7D" w:themeColor="text2"/>
      <w:u w:val="single"/>
    </w:rPr>
  </w:style>
  <w:style w:type="paragraph" w:styleId="TOCHeading">
    <w:name w:val="TOC Heading"/>
    <w:basedOn w:val="Heading1"/>
    <w:next w:val="Normal"/>
    <w:uiPriority w:val="39"/>
    <w:unhideWhenUsed/>
    <w:qFormat/>
    <w:rsid w:val="001D7906"/>
    <w:pPr>
      <w:ind w:left="1134" w:hanging="1134"/>
      <w:outlineLvl w:val="9"/>
    </w:pPr>
  </w:style>
  <w:style w:type="paragraph" w:customStyle="1" w:styleId="Bullets-noindent">
    <w:name w:val="Bullets - no indent"/>
    <w:basedOn w:val="Body"/>
    <w:uiPriority w:val="1"/>
    <w:qFormat/>
    <w:rsid w:val="00DD677C"/>
    <w:pPr>
      <w:numPr>
        <w:numId w:val="2"/>
      </w:numPr>
      <w:spacing w:before="60" w:after="60"/>
    </w:pPr>
  </w:style>
  <w:style w:type="table" w:customStyle="1" w:styleId="SRC1">
    <w:name w:val="SRC 1"/>
    <w:basedOn w:val="TableNormal"/>
    <w:uiPriority w:val="99"/>
    <w:rsid w:val="00463C20"/>
    <w:pPr>
      <w:spacing w:before="60" w:after="60" w:line="240" w:lineRule="auto"/>
    </w:pPr>
    <w:rPr>
      <w:rFonts w:ascii="Arial" w:eastAsiaTheme="minorHAnsi" w:hAnsi="Arial"/>
      <w:sz w:val="18"/>
    </w:rPr>
    <w:tblPr>
      <w:tblStyleRowBandSize w:val="1"/>
      <w:tblStyleColBandSize w:val="1"/>
      <w:tblBorders>
        <w:bottom w:val="single" w:sz="4" w:space="0" w:color="4FBFB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4FBFB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DBF2F2"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paragraph" w:customStyle="1" w:styleId="Appendix1">
    <w:name w:val="Appendix 1"/>
    <w:basedOn w:val="Heading1"/>
    <w:next w:val="Body"/>
    <w:uiPriority w:val="99"/>
    <w:qFormat/>
    <w:rsid w:val="000F1FC6"/>
    <w:pPr>
      <w:numPr>
        <w:numId w:val="1"/>
      </w:numPr>
    </w:pPr>
  </w:style>
  <w:style w:type="paragraph" w:customStyle="1" w:styleId="Appendix2">
    <w:name w:val="Appendix 2"/>
    <w:basedOn w:val="Heading2"/>
    <w:uiPriority w:val="99"/>
    <w:qFormat/>
    <w:rsid w:val="000F1FC6"/>
    <w:pPr>
      <w:numPr>
        <w:ilvl w:val="0"/>
        <w:numId w:val="22"/>
      </w:numPr>
    </w:pPr>
  </w:style>
  <w:style w:type="paragraph" w:customStyle="1" w:styleId="Appendix3">
    <w:name w:val="Appendix 3"/>
    <w:basedOn w:val="Normal"/>
    <w:next w:val="Body"/>
    <w:uiPriority w:val="99"/>
    <w:qFormat/>
    <w:rsid w:val="00A9284B"/>
    <w:pPr>
      <w:keepNext/>
      <w:numPr>
        <w:numId w:val="24"/>
      </w:numPr>
      <w:spacing w:before="240" w:after="120"/>
      <w:outlineLvl w:val="2"/>
    </w:pPr>
    <w:rPr>
      <w:color w:val="007A7D" w:themeColor="text2"/>
      <w:sz w:val="28"/>
    </w:rPr>
  </w:style>
  <w:style w:type="paragraph" w:customStyle="1" w:styleId="SubHeading20">
    <w:name w:val="Sub Heading 2"/>
    <w:basedOn w:val="SubHeading1"/>
    <w:next w:val="Body"/>
    <w:link w:val="SubHeading2Char0"/>
    <w:uiPriority w:val="3"/>
    <w:qFormat/>
    <w:rsid w:val="00DD677C"/>
    <w:rPr>
      <w:sz w:val="24"/>
      <w:szCs w:val="24"/>
    </w:rPr>
  </w:style>
  <w:style w:type="character" w:customStyle="1" w:styleId="SubHeading2Char0">
    <w:name w:val="Sub Heading 2 Char"/>
    <w:basedOn w:val="SubHeading1Char"/>
    <w:link w:val="SubHeading20"/>
    <w:uiPriority w:val="3"/>
    <w:rsid w:val="00DD677C"/>
    <w:rPr>
      <w:rFonts w:ascii="Arial" w:eastAsiaTheme="minorHAnsi" w:hAnsi="Arial"/>
      <w:bCs/>
      <w:color w:val="4FBFBE" w:themeColor="accent1"/>
      <w:sz w:val="24"/>
      <w:szCs w:val="24"/>
    </w:rPr>
  </w:style>
  <w:style w:type="paragraph" w:customStyle="1" w:styleId="NoParagraphStyle">
    <w:name w:val="[No Paragraph Style]"/>
    <w:autoRedefine/>
    <w:qFormat/>
    <w:rsid w:val="005A5905"/>
    <w:pPr>
      <w:widowControl w:val="0"/>
      <w:autoSpaceDE w:val="0"/>
      <w:autoSpaceDN w:val="0"/>
      <w:adjustRightInd w:val="0"/>
      <w:spacing w:after="0" w:line="288" w:lineRule="auto"/>
      <w:textAlignment w:val="center"/>
    </w:pPr>
    <w:rPr>
      <w:rFonts w:ascii="Calibri" w:hAnsi="Calibri" w:cs="MinionPro-Regular"/>
      <w:b/>
      <w:bCs/>
      <w:caps/>
      <w:color w:val="FFFFFF" w:themeColor="background1"/>
      <w:sz w:val="32"/>
      <w:szCs w:val="32"/>
      <w:lang w:val="en-GB"/>
    </w:rPr>
  </w:style>
  <w:style w:type="paragraph" w:customStyle="1" w:styleId="Intropullout">
    <w:name w:val="Intro/pull out"/>
    <w:autoRedefine/>
    <w:uiPriority w:val="99"/>
    <w:qFormat/>
    <w:rsid w:val="005A5905"/>
    <w:pPr>
      <w:widowControl w:val="0"/>
      <w:suppressAutoHyphens/>
      <w:autoSpaceDE w:val="0"/>
      <w:autoSpaceDN w:val="0"/>
      <w:adjustRightInd w:val="0"/>
      <w:spacing w:before="113" w:after="170" w:line="300" w:lineRule="atLeast"/>
      <w:textAlignment w:val="center"/>
    </w:pPr>
    <w:rPr>
      <w:rFonts w:ascii="Calibri" w:hAnsi="Calibri" w:cs="DINOT-Light"/>
      <w:color w:val="004459"/>
      <w:spacing w:val="-2"/>
      <w:sz w:val="23"/>
      <w:szCs w:val="23"/>
      <w:lang w:val="en-GB"/>
    </w:rPr>
  </w:style>
  <w:style w:type="paragraph" w:customStyle="1" w:styleId="Subhead2">
    <w:name w:val="Subhead 2"/>
    <w:autoRedefine/>
    <w:uiPriority w:val="99"/>
    <w:qFormat/>
    <w:rsid w:val="005A5905"/>
    <w:pPr>
      <w:keepNext/>
      <w:widowControl w:val="0"/>
      <w:tabs>
        <w:tab w:val="left" w:pos="170"/>
        <w:tab w:val="left" w:pos="340"/>
        <w:tab w:val="left" w:pos="510"/>
        <w:tab w:val="left" w:pos="680"/>
      </w:tabs>
      <w:suppressAutoHyphens/>
      <w:autoSpaceDE w:val="0"/>
      <w:autoSpaceDN w:val="0"/>
      <w:adjustRightInd w:val="0"/>
      <w:spacing w:before="227" w:after="0" w:line="280" w:lineRule="atLeast"/>
      <w:textAlignment w:val="center"/>
    </w:pPr>
    <w:rPr>
      <w:rFonts w:ascii="DINOT-Medium" w:hAnsi="DINOT-Medium" w:cs="DINOT-Medium"/>
      <w:color w:val="00777B"/>
      <w:spacing w:val="-1"/>
      <w:sz w:val="20"/>
      <w:szCs w:val="20"/>
      <w:lang w:val="en-GB"/>
    </w:rPr>
  </w:style>
  <w:style w:type="paragraph" w:customStyle="1" w:styleId="dashboard">
    <w:name w:val="dashboard #"/>
    <w:qFormat/>
    <w:rsid w:val="005A5905"/>
    <w:pPr>
      <w:spacing w:after="1920" w:line="240" w:lineRule="auto"/>
      <w:ind w:left="425"/>
    </w:pPr>
    <w:rPr>
      <w:rFonts w:asciiTheme="majorHAnsi" w:hAnsiTheme="majorHAnsi" w:cs="Times New Roman"/>
      <w:b/>
      <w:color w:val="FFFFFF"/>
      <w:sz w:val="20"/>
      <w:szCs w:val="20"/>
      <w:lang w:val="en-US"/>
    </w:rPr>
  </w:style>
  <w:style w:type="paragraph" w:customStyle="1" w:styleId="TablecolumnheadAPPX">
    <w:name w:val="Table column head APPX"/>
    <w:basedOn w:val="Normal"/>
    <w:qFormat/>
    <w:rsid w:val="005A5905"/>
    <w:pPr>
      <w:widowControl w:val="0"/>
      <w:suppressAutoHyphens/>
      <w:autoSpaceDE w:val="0"/>
      <w:autoSpaceDN w:val="0"/>
      <w:adjustRightInd w:val="0"/>
      <w:spacing w:before="113" w:line="288" w:lineRule="auto"/>
      <w:textAlignment w:val="center"/>
    </w:pPr>
    <w:rPr>
      <w:rFonts w:ascii="Arial-BoldMT" w:eastAsiaTheme="minorEastAsia" w:hAnsi="Arial-BoldMT" w:cs="Arial-BoldMT"/>
      <w:b/>
      <w:bCs/>
      <w:color w:val="000000"/>
      <w:sz w:val="18"/>
      <w:lang w:val="en-GB"/>
    </w:rPr>
  </w:style>
  <w:style w:type="paragraph" w:customStyle="1" w:styleId="TableAPPXbulletALPHA">
    <w:name w:val="Table APPX bullet ALPHA"/>
    <w:basedOn w:val="Normal"/>
    <w:qFormat/>
    <w:rsid w:val="005A5905"/>
    <w:pPr>
      <w:widowControl w:val="0"/>
      <w:numPr>
        <w:numId w:val="8"/>
      </w:numPr>
      <w:tabs>
        <w:tab w:val="left" w:pos="283"/>
      </w:tabs>
      <w:suppressAutoHyphens/>
      <w:autoSpaceDE w:val="0"/>
      <w:autoSpaceDN w:val="0"/>
      <w:adjustRightInd w:val="0"/>
      <w:spacing w:before="43" w:line="288" w:lineRule="auto"/>
      <w:textAlignment w:val="center"/>
    </w:pPr>
    <w:rPr>
      <w:rFonts w:ascii="ArialMT" w:eastAsiaTheme="minorEastAsia" w:hAnsi="ArialMT" w:cs="ArialMT"/>
      <w:color w:val="000000"/>
      <w:sz w:val="18"/>
      <w:lang w:val="en-GB"/>
    </w:rPr>
  </w:style>
  <w:style w:type="paragraph" w:customStyle="1" w:styleId="Body01">
    <w:name w:val="Body 01"/>
    <w:uiPriority w:val="99"/>
    <w:rsid w:val="005A5905"/>
    <w:pPr>
      <w:spacing w:before="240" w:after="0" w:line="240" w:lineRule="atLeast"/>
    </w:pPr>
    <w:rPr>
      <w:rFonts w:asciiTheme="majorHAnsi" w:hAnsiTheme="majorHAnsi" w:cs="Gotham-Light"/>
      <w:color w:val="000A23"/>
      <w:spacing w:val="-2"/>
      <w:sz w:val="20"/>
      <w:szCs w:val="18"/>
      <w:lang w:val="en-GB"/>
    </w:rPr>
  </w:style>
  <w:style w:type="character" w:customStyle="1" w:styleId="Body02BOLD">
    <w:name w:val="Body 02 BOLD"/>
    <w:uiPriority w:val="1"/>
    <w:qFormat/>
    <w:rsid w:val="005A5905"/>
    <w:rPr>
      <w:rFonts w:ascii="Arial" w:hAnsi="Arial" w:cs="Arial"/>
      <w:b/>
      <w:sz w:val="20"/>
      <w:szCs w:val="20"/>
      <w:lang w:val="en-GB"/>
    </w:rPr>
  </w:style>
  <w:style w:type="paragraph" w:customStyle="1" w:styleId="Bodyruleabove">
    <w:name w:val="Body rule above"/>
    <w:basedOn w:val="Normal"/>
    <w:uiPriority w:val="99"/>
    <w:rsid w:val="005A5905"/>
    <w:pPr>
      <w:widowControl w:val="0"/>
      <w:suppressAutoHyphens/>
      <w:autoSpaceDE w:val="0"/>
      <w:autoSpaceDN w:val="0"/>
      <w:adjustRightInd w:val="0"/>
      <w:spacing w:before="227" w:line="240" w:lineRule="atLeast"/>
      <w:textAlignment w:val="center"/>
    </w:pPr>
    <w:rPr>
      <w:rFonts w:ascii="Gotham-Light" w:eastAsiaTheme="minorEastAsia" w:hAnsi="Gotham-Light" w:cs="Gotham-Light"/>
      <w:color w:val="000A23"/>
      <w:spacing w:val="-2"/>
      <w:sz w:val="18"/>
      <w:lang w:val="en-GB"/>
    </w:rPr>
  </w:style>
  <w:style w:type="paragraph" w:customStyle="1" w:styleId="Bullet01">
    <w:name w:val="Bullet 01"/>
    <w:basedOn w:val="Body01"/>
    <w:uiPriority w:val="99"/>
    <w:rsid w:val="005A5905"/>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5A5905"/>
    <w:pPr>
      <w:widowControl w:val="0"/>
      <w:suppressAutoHyphens/>
      <w:autoSpaceDE w:val="0"/>
      <w:autoSpaceDN w:val="0"/>
      <w:adjustRightInd w:val="0"/>
      <w:spacing w:after="720" w:line="720" w:lineRule="atLeast"/>
      <w:ind w:left="426"/>
      <w:textAlignment w:val="center"/>
    </w:pPr>
    <w:rPr>
      <w:rFonts w:asciiTheme="majorHAnsi" w:hAnsiTheme="majorHAnsi" w:cs="CaeciliaLTStd-Heavy"/>
      <w:color w:val="FFFFFF" w:themeColor="background1"/>
      <w:spacing w:val="-6"/>
      <w:sz w:val="62"/>
      <w:szCs w:val="62"/>
      <w:lang w:val="en-GB"/>
    </w:rPr>
  </w:style>
  <w:style w:type="paragraph" w:customStyle="1" w:styleId="Intropara">
    <w:name w:val="Intro para"/>
    <w:qFormat/>
    <w:rsid w:val="005A5905"/>
    <w:pPr>
      <w:spacing w:after="0" w:line="220" w:lineRule="exact"/>
    </w:pPr>
    <w:rPr>
      <w:rFonts w:asciiTheme="majorHAnsi" w:hAnsiTheme="majorHAnsi" w:cs="CaeciliaLTStd-Heavy"/>
      <w:sz w:val="24"/>
      <w:szCs w:val="21"/>
      <w:lang w:val="en-GB"/>
    </w:rPr>
  </w:style>
  <w:style w:type="paragraph" w:customStyle="1" w:styleId="tablesub01">
    <w:name w:val="table sub 01"/>
    <w:basedOn w:val="Bodyruleabove"/>
    <w:uiPriority w:val="99"/>
    <w:rsid w:val="005A5905"/>
    <w:rPr>
      <w:rFonts w:ascii="Calibri" w:hAnsi="Calibri" w:cs="Gotham-Medium"/>
      <w:sz w:val="22"/>
    </w:rPr>
  </w:style>
  <w:style w:type="paragraph" w:customStyle="1" w:styleId="tablesubhead">
    <w:name w:val="table subhead"/>
    <w:qFormat/>
    <w:rsid w:val="005A5905"/>
    <w:pPr>
      <w:spacing w:after="0" w:line="240" w:lineRule="auto"/>
    </w:pPr>
    <w:rPr>
      <w:rFonts w:asciiTheme="majorHAnsi" w:hAnsiTheme="majorHAnsi" w:cs="Gotham-Book"/>
      <w:b/>
      <w:spacing w:val="-4"/>
      <w:sz w:val="20"/>
      <w:szCs w:val="18"/>
      <w:lang w:val="en-GB"/>
    </w:rPr>
  </w:style>
  <w:style w:type="paragraph" w:customStyle="1" w:styleId="Tabletext">
    <w:name w:val="Table text"/>
    <w:link w:val="TabletextChar"/>
    <w:qFormat/>
    <w:rsid w:val="005A5905"/>
    <w:pPr>
      <w:spacing w:after="0" w:line="240" w:lineRule="auto"/>
    </w:pPr>
    <w:rPr>
      <w:rFonts w:ascii="Arial" w:hAnsi="Arial" w:cs="Gotham-Light"/>
      <w:color w:val="000A23"/>
      <w:spacing w:val="-2"/>
      <w:sz w:val="18"/>
      <w:szCs w:val="18"/>
      <w:lang w:val="en-GB"/>
    </w:rPr>
  </w:style>
  <w:style w:type="paragraph" w:customStyle="1" w:styleId="Sub03">
    <w:name w:val="Sub 03"/>
    <w:basedOn w:val="tablesub01"/>
    <w:qFormat/>
    <w:rsid w:val="005A5905"/>
  </w:style>
  <w:style w:type="paragraph" w:customStyle="1" w:styleId="Sub1">
    <w:name w:val="Sub 1"/>
    <w:basedOn w:val="Normal"/>
    <w:uiPriority w:val="99"/>
    <w:rsid w:val="005A5905"/>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eastAsiaTheme="minorEastAsia" w:hAnsi="Calibri" w:cs="CaeciliaLTStd-Heavy"/>
      <w:b/>
      <w:spacing w:val="-4"/>
      <w:sz w:val="24"/>
      <w:szCs w:val="21"/>
      <w:lang w:val="en-GB"/>
    </w:rPr>
  </w:style>
  <w:style w:type="paragraph" w:customStyle="1" w:styleId="Sub1nounderline">
    <w:name w:val="Sub 1 no underline"/>
    <w:basedOn w:val="Normal"/>
    <w:link w:val="Sub1nounderlineChar"/>
    <w:qFormat/>
    <w:rsid w:val="005A5905"/>
    <w:pPr>
      <w:widowControl w:val="0"/>
      <w:suppressAutoHyphens/>
      <w:autoSpaceDE w:val="0"/>
      <w:autoSpaceDN w:val="0"/>
      <w:adjustRightInd w:val="0"/>
      <w:spacing w:before="240" w:after="60" w:line="260" w:lineRule="atLeast"/>
      <w:textAlignment w:val="center"/>
    </w:pPr>
    <w:rPr>
      <w:rFonts w:asciiTheme="majorHAnsi" w:eastAsiaTheme="minorEastAsia" w:hAnsiTheme="majorHAnsi" w:cs="Gotham-Book"/>
      <w:b/>
      <w:spacing w:val="-4"/>
      <w:sz w:val="24"/>
      <w:szCs w:val="24"/>
      <w:lang w:val="en-GB"/>
    </w:rPr>
  </w:style>
  <w:style w:type="paragraph" w:customStyle="1" w:styleId="Tablecolumnheader">
    <w:name w:val="Table column header"/>
    <w:basedOn w:val="Sub1"/>
    <w:qFormat/>
    <w:rsid w:val="005A5905"/>
    <w:pPr>
      <w:spacing w:before="100" w:beforeAutospacing="1"/>
    </w:pPr>
  </w:style>
  <w:style w:type="paragraph" w:customStyle="1" w:styleId="Programtitle">
    <w:name w:val="Program title"/>
    <w:basedOn w:val="Header"/>
    <w:next w:val="NoParagraphStyle"/>
    <w:qFormat/>
    <w:rsid w:val="005A5905"/>
    <w:pPr>
      <w:tabs>
        <w:tab w:val="clear" w:pos="4513"/>
        <w:tab w:val="clear" w:pos="9026"/>
        <w:tab w:val="center" w:pos="4320"/>
        <w:tab w:val="right" w:pos="8640"/>
      </w:tabs>
      <w:spacing w:after="180"/>
    </w:pPr>
    <w:rPr>
      <w:rFonts w:eastAsiaTheme="minorEastAsia" w:cs="Arial"/>
      <w:caps/>
      <w:color w:val="FFFFFF" w:themeColor="background1"/>
      <w:sz w:val="26"/>
      <w:szCs w:val="26"/>
      <w:lang w:val="en-GB"/>
    </w:rPr>
  </w:style>
  <w:style w:type="paragraph" w:customStyle="1" w:styleId="Featuretext">
    <w:name w:val="Feature text"/>
    <w:basedOn w:val="Normal"/>
    <w:qFormat/>
    <w:rsid w:val="005A5905"/>
    <w:pPr>
      <w:widowControl w:val="0"/>
      <w:tabs>
        <w:tab w:val="left" w:pos="510"/>
        <w:tab w:val="left" w:pos="680"/>
      </w:tabs>
      <w:suppressAutoHyphens/>
      <w:autoSpaceDE w:val="0"/>
      <w:autoSpaceDN w:val="0"/>
      <w:adjustRightInd w:val="0"/>
      <w:spacing w:before="57" w:line="240" w:lineRule="atLeast"/>
      <w:textAlignment w:val="center"/>
    </w:pPr>
    <w:rPr>
      <w:rFonts w:eastAsiaTheme="minorEastAsia" w:cs="VIC-Regular"/>
      <w:color w:val="00455B"/>
      <w:spacing w:val="4"/>
      <w:sz w:val="18"/>
      <w:lang w:val="en-GB"/>
    </w:rPr>
  </w:style>
  <w:style w:type="paragraph" w:customStyle="1" w:styleId="Followerdocumenttitle">
    <w:name w:val="Follower document title"/>
    <w:basedOn w:val="Normal"/>
    <w:qFormat/>
    <w:rsid w:val="005A5905"/>
    <w:pPr>
      <w:keepNext/>
      <w:keepLines/>
      <w:spacing w:after="120"/>
      <w:outlineLvl w:val="0"/>
    </w:pPr>
    <w:rPr>
      <w:rFonts w:eastAsiaTheme="majorEastAsia" w:cs="Arial"/>
      <w:b/>
      <w:bCs/>
      <w:caps/>
      <w:color w:val="00455B"/>
      <w:sz w:val="22"/>
      <w:szCs w:val="32"/>
      <w:lang w:val="en-US"/>
    </w:rPr>
  </w:style>
  <w:style w:type="character" w:customStyle="1" w:styleId="Teal">
    <w:name w:val="Teal"/>
    <w:uiPriority w:val="1"/>
    <w:qFormat/>
    <w:rsid w:val="005A5905"/>
    <w:rPr>
      <w:color w:val="009096"/>
    </w:rPr>
  </w:style>
  <w:style w:type="paragraph" w:customStyle="1" w:styleId="Subtitle03">
    <w:name w:val="Subtitle 03"/>
    <w:basedOn w:val="NoParagraphStyle"/>
    <w:autoRedefine/>
    <w:qFormat/>
    <w:rsid w:val="005A5905"/>
    <w:pPr>
      <w:spacing w:before="80" w:line="240" w:lineRule="exact"/>
    </w:pPr>
    <w:rPr>
      <w:rFonts w:ascii="Arial" w:hAnsi="Arial" w:cs="Arial"/>
      <w:b w:val="0"/>
      <w:color w:val="000000"/>
      <w:sz w:val="19"/>
      <w:szCs w:val="19"/>
    </w:rPr>
  </w:style>
  <w:style w:type="character" w:customStyle="1" w:styleId="Italic">
    <w:name w:val="Italic"/>
    <w:basedOn w:val="DefaultParagraphFont"/>
    <w:uiPriority w:val="1"/>
    <w:qFormat/>
    <w:rsid w:val="005A5905"/>
    <w:rPr>
      <w:i/>
    </w:rPr>
  </w:style>
  <w:style w:type="paragraph" w:customStyle="1" w:styleId="DocumentTitle1">
    <w:name w:val="Document Title 1"/>
    <w:basedOn w:val="NoParagraphStyle"/>
    <w:uiPriority w:val="99"/>
    <w:rsid w:val="005A5905"/>
    <w:pPr>
      <w:suppressAutoHyphens/>
      <w:spacing w:after="181" w:line="1240" w:lineRule="atLeast"/>
    </w:pPr>
    <w:rPr>
      <w:rFonts w:ascii="Arial" w:hAnsi="Arial" w:cs="Arial"/>
      <w:caps w:val="0"/>
      <w:color w:val="auto"/>
      <w:spacing w:val="-10"/>
      <w:sz w:val="48"/>
      <w:szCs w:val="48"/>
    </w:rPr>
  </w:style>
  <w:style w:type="paragraph" w:customStyle="1" w:styleId="DocumentTitle3">
    <w:name w:val="Document Title 3"/>
    <w:basedOn w:val="NoParagraphStyle"/>
    <w:uiPriority w:val="99"/>
    <w:rsid w:val="005A5905"/>
    <w:pPr>
      <w:suppressAutoHyphens/>
      <w:spacing w:after="80" w:line="640" w:lineRule="atLeast"/>
    </w:pPr>
    <w:rPr>
      <w:rFonts w:ascii="ArialMT" w:hAnsi="ArialMT" w:cs="ArialMT"/>
      <w:b w:val="0"/>
      <w:bCs w:val="0"/>
      <w:color w:val="000000"/>
      <w:spacing w:val="2"/>
    </w:rPr>
  </w:style>
  <w:style w:type="paragraph" w:customStyle="1" w:styleId="H0ChapterTitle">
    <w:name w:val="H0 Chapter Title"/>
    <w:basedOn w:val="NoParagraphStyle"/>
    <w:uiPriority w:val="99"/>
    <w:rsid w:val="005A5905"/>
    <w:pPr>
      <w:suppressAutoHyphens/>
      <w:spacing w:after="850" w:line="480" w:lineRule="atLeast"/>
    </w:pPr>
    <w:rPr>
      <w:rFonts w:ascii="Arial-Black" w:hAnsi="Arial-Black" w:cs="Arial-Black"/>
      <w:b w:val="0"/>
      <w:bCs w:val="0"/>
      <w:caps w:val="0"/>
      <w:color w:val="000000"/>
      <w:sz w:val="36"/>
      <w:szCs w:val="36"/>
    </w:rPr>
  </w:style>
  <w:style w:type="paragraph" w:customStyle="1" w:styleId="Bodycopy">
    <w:name w:val="Body copy"/>
    <w:basedOn w:val="NoParagraphStyle"/>
    <w:uiPriority w:val="99"/>
    <w:rsid w:val="005A5905"/>
    <w:pPr>
      <w:suppressAutoHyphens/>
      <w:spacing w:before="142" w:line="290" w:lineRule="atLeast"/>
    </w:pPr>
    <w:rPr>
      <w:rFonts w:ascii="ArialMT" w:hAnsi="ArialMT" w:cs="ArialMT"/>
      <w:b w:val="0"/>
      <w:bCs w:val="0"/>
      <w:caps w:val="0"/>
      <w:color w:val="000000"/>
      <w:sz w:val="20"/>
      <w:szCs w:val="20"/>
    </w:rPr>
  </w:style>
  <w:style w:type="paragraph" w:customStyle="1" w:styleId="H1Bodycopyheader">
    <w:name w:val="H1 Body copy header"/>
    <w:basedOn w:val="NoParagraphStyle"/>
    <w:uiPriority w:val="99"/>
    <w:rsid w:val="005A5905"/>
    <w:pPr>
      <w:keepNext/>
      <w:keepLines/>
      <w:suppressAutoHyphens/>
      <w:spacing w:before="340"/>
      <w:ind w:left="567" w:hanging="567"/>
    </w:pPr>
    <w:rPr>
      <w:rFonts w:ascii="ArialMT" w:hAnsi="ArialMT" w:cs="ArialMT"/>
      <w:b w:val="0"/>
      <w:bCs w:val="0"/>
      <w:caps w:val="0"/>
      <w:color w:val="314753"/>
      <w:sz w:val="26"/>
      <w:szCs w:val="26"/>
    </w:rPr>
  </w:style>
  <w:style w:type="paragraph" w:customStyle="1" w:styleId="TableTITLETABLES">
    <w:name w:val="Table TITLE (TABLES)"/>
    <w:basedOn w:val="NoParagraphStyle"/>
    <w:uiPriority w:val="99"/>
    <w:rsid w:val="005A5905"/>
    <w:pPr>
      <w:keepNext/>
      <w:suppressAutoHyphens/>
      <w:spacing w:before="397"/>
    </w:pPr>
    <w:rPr>
      <w:rFonts w:ascii="ArialMT" w:hAnsi="ArialMT" w:cs="ArialMT"/>
      <w:b w:val="0"/>
      <w:bCs w:val="0"/>
      <w:caps w:val="0"/>
      <w:color w:val="314753"/>
      <w:sz w:val="20"/>
      <w:szCs w:val="20"/>
    </w:rPr>
  </w:style>
  <w:style w:type="paragraph" w:customStyle="1" w:styleId="TableSPACETABLES">
    <w:name w:val="Table SPACE (TABLES)"/>
    <w:basedOn w:val="NoParagraphStyle"/>
    <w:uiPriority w:val="99"/>
    <w:rsid w:val="005A5905"/>
    <w:pPr>
      <w:suppressAutoHyphens/>
      <w:spacing w:before="113" w:after="227"/>
    </w:pPr>
    <w:rPr>
      <w:rFonts w:ascii="Arial-BoldMT" w:hAnsi="Arial-BoldMT" w:cs="Arial-BoldMT"/>
      <w:caps w:val="0"/>
      <w:color w:val="000000"/>
      <w:sz w:val="18"/>
      <w:szCs w:val="18"/>
      <w:lang w:val="en-US"/>
    </w:rPr>
  </w:style>
  <w:style w:type="paragraph" w:customStyle="1" w:styleId="FigTITLE">
    <w:name w:val="Fig TITLE"/>
    <w:basedOn w:val="TableTITLETABLES"/>
    <w:uiPriority w:val="99"/>
    <w:rsid w:val="005A5905"/>
    <w:pPr>
      <w:spacing w:after="57"/>
    </w:pPr>
  </w:style>
  <w:style w:type="paragraph" w:customStyle="1" w:styleId="FigSPACE">
    <w:name w:val="Fig SPACE"/>
    <w:basedOn w:val="NoParagraphStyle"/>
    <w:uiPriority w:val="99"/>
    <w:rsid w:val="005A5905"/>
    <w:pPr>
      <w:suppressAutoHyphens/>
      <w:spacing w:before="170" w:after="227"/>
    </w:pPr>
    <w:rPr>
      <w:rFonts w:ascii="Arial-BoldMT" w:hAnsi="Arial-BoldMT" w:cs="Arial-BoldMT"/>
      <w:caps w:val="0"/>
      <w:color w:val="000000"/>
      <w:sz w:val="18"/>
      <w:szCs w:val="18"/>
      <w:lang w:val="en-US"/>
    </w:rPr>
  </w:style>
  <w:style w:type="paragraph" w:customStyle="1" w:styleId="TableTextTABLES">
    <w:name w:val="Table Text (TABLES)"/>
    <w:basedOn w:val="NoParagraphStyle"/>
    <w:uiPriority w:val="99"/>
    <w:rsid w:val="005A5905"/>
    <w:pPr>
      <w:suppressAutoHyphens/>
      <w:spacing w:before="85"/>
    </w:pPr>
    <w:rPr>
      <w:rFonts w:ascii="ArialMT" w:hAnsi="ArialMT" w:cs="ArialMT"/>
      <w:b w:val="0"/>
      <w:bCs w:val="0"/>
      <w:caps w:val="0"/>
      <w:color w:val="000000"/>
      <w:sz w:val="17"/>
      <w:szCs w:val="17"/>
    </w:rPr>
  </w:style>
  <w:style w:type="paragraph" w:customStyle="1" w:styleId="TablecolumnheadTABLES">
    <w:name w:val="Table column head (TABLES)"/>
    <w:basedOn w:val="TableTextTABLES"/>
    <w:uiPriority w:val="99"/>
    <w:rsid w:val="005A5905"/>
    <w:pPr>
      <w:spacing w:before="0" w:line="240" w:lineRule="auto"/>
    </w:pPr>
    <w:rPr>
      <w:rFonts w:ascii="Arial Black" w:hAnsi="Arial Black" w:cs="Arial-BoldMT"/>
      <w:bCs/>
    </w:rPr>
  </w:style>
  <w:style w:type="paragraph" w:customStyle="1" w:styleId="Footnote">
    <w:name w:val="Footnote"/>
    <w:basedOn w:val="NoParagraphStyle"/>
    <w:uiPriority w:val="99"/>
    <w:rsid w:val="005A5905"/>
    <w:pPr>
      <w:tabs>
        <w:tab w:val="left" w:pos="170"/>
      </w:tabs>
      <w:suppressAutoHyphens/>
      <w:spacing w:before="28"/>
    </w:pPr>
    <w:rPr>
      <w:rFonts w:ascii="ArialMT" w:hAnsi="ArialMT" w:cs="ArialMT"/>
      <w:b w:val="0"/>
      <w:bCs w:val="0"/>
      <w:caps w:val="0"/>
      <w:color w:val="000000"/>
      <w:sz w:val="16"/>
      <w:szCs w:val="16"/>
    </w:rPr>
  </w:style>
  <w:style w:type="character" w:customStyle="1" w:styleId="Kitalic">
    <w:name w:val="K italic"/>
    <w:uiPriority w:val="99"/>
    <w:rsid w:val="005A5905"/>
  </w:style>
  <w:style w:type="paragraph" w:customStyle="1" w:styleId="TabletotalTABLES">
    <w:name w:val="Table total (TABLES)"/>
    <w:basedOn w:val="TableTextTABLES"/>
    <w:uiPriority w:val="99"/>
    <w:rsid w:val="005A5905"/>
    <w:rPr>
      <w:rFonts w:ascii="Arial-BoldMT" w:hAnsi="Arial-BoldMT" w:cs="Arial-BoldMT"/>
      <w:b/>
      <w:bCs/>
    </w:rPr>
  </w:style>
  <w:style w:type="paragraph" w:customStyle="1" w:styleId="TablefooterTABLES">
    <w:name w:val="Table footer (TABLES)"/>
    <w:basedOn w:val="TableTextTABLES"/>
    <w:uiPriority w:val="99"/>
    <w:rsid w:val="005A5905"/>
    <w:pPr>
      <w:tabs>
        <w:tab w:val="left" w:pos="227"/>
      </w:tabs>
      <w:spacing w:before="28"/>
    </w:pPr>
    <w:rPr>
      <w:sz w:val="14"/>
      <w:szCs w:val="14"/>
    </w:rPr>
  </w:style>
  <w:style w:type="paragraph" w:customStyle="1" w:styleId="Tablecolumnhead2TABLES">
    <w:name w:val="Table column head 2 (TABLES)"/>
    <w:basedOn w:val="TablecolumnheadTABLES"/>
    <w:uiPriority w:val="99"/>
    <w:rsid w:val="005A5905"/>
  </w:style>
  <w:style w:type="character" w:customStyle="1" w:styleId="AtleticoMED">
    <w:name w:val="Atletico MED"/>
    <w:uiPriority w:val="99"/>
    <w:rsid w:val="005A5905"/>
  </w:style>
  <w:style w:type="paragraph" w:customStyle="1" w:styleId="ListingsContents">
    <w:name w:val="Listings (Contents)"/>
    <w:basedOn w:val="NoParagraphStyle"/>
    <w:uiPriority w:val="99"/>
    <w:rsid w:val="005A5905"/>
    <w:pPr>
      <w:tabs>
        <w:tab w:val="left" w:pos="283"/>
        <w:tab w:val="left" w:pos="2268"/>
        <w:tab w:val="right" w:pos="7370"/>
      </w:tabs>
      <w:suppressAutoHyphens/>
      <w:spacing w:after="113"/>
    </w:pPr>
    <w:rPr>
      <w:rFonts w:ascii="ArialMT" w:hAnsi="ArialMT" w:cs="ArialMT"/>
      <w:b w:val="0"/>
      <w:bCs w:val="0"/>
      <w:caps w:val="0"/>
      <w:color w:val="000000"/>
      <w:spacing w:val="-1"/>
      <w:sz w:val="20"/>
      <w:szCs w:val="20"/>
    </w:rPr>
  </w:style>
  <w:style w:type="character" w:customStyle="1" w:styleId="KlavikaMED">
    <w:name w:val="Klavika MED"/>
    <w:uiPriority w:val="99"/>
    <w:rsid w:val="005A5905"/>
  </w:style>
  <w:style w:type="paragraph" w:customStyle="1" w:styleId="Bullettier1">
    <w:name w:val="Bullet tier 1"/>
    <w:basedOn w:val="Bodycopy"/>
    <w:uiPriority w:val="99"/>
    <w:rsid w:val="005A5905"/>
    <w:pPr>
      <w:spacing w:before="71"/>
      <w:ind w:left="227" w:hanging="227"/>
    </w:pPr>
  </w:style>
  <w:style w:type="character" w:customStyle="1" w:styleId="Superscript">
    <w:name w:val="Superscript"/>
    <w:uiPriority w:val="99"/>
    <w:rsid w:val="005A5905"/>
    <w:rPr>
      <w:vertAlign w:val="superscript"/>
    </w:rPr>
  </w:style>
  <w:style w:type="paragraph" w:customStyle="1" w:styleId="TableBULLETTABLES">
    <w:name w:val="Table BULLET (TABLES)"/>
    <w:basedOn w:val="TableTextTABLES"/>
    <w:uiPriority w:val="99"/>
    <w:rsid w:val="005A5905"/>
    <w:pPr>
      <w:tabs>
        <w:tab w:val="left" w:pos="170"/>
      </w:tabs>
      <w:spacing w:before="57"/>
      <w:ind w:left="170" w:hanging="170"/>
    </w:pPr>
  </w:style>
  <w:style w:type="character" w:customStyle="1" w:styleId="Aunderline">
    <w:name w:val="A underline"/>
    <w:uiPriority w:val="99"/>
    <w:rsid w:val="005A5905"/>
    <w:rPr>
      <w:u w:val="thick"/>
    </w:rPr>
  </w:style>
  <w:style w:type="character" w:customStyle="1" w:styleId="Aitalic">
    <w:name w:val="A italic"/>
    <w:uiPriority w:val="99"/>
    <w:rsid w:val="005A5905"/>
  </w:style>
  <w:style w:type="paragraph" w:customStyle="1" w:styleId="TableTEXTAPPXTABLES">
    <w:name w:val="Table TEXT APPX (TABLES)"/>
    <w:basedOn w:val="TableTextTABLES"/>
    <w:uiPriority w:val="99"/>
    <w:rsid w:val="005A5905"/>
    <w:pPr>
      <w:tabs>
        <w:tab w:val="left" w:pos="283"/>
      </w:tabs>
      <w:spacing w:before="43"/>
    </w:pPr>
  </w:style>
  <w:style w:type="paragraph" w:customStyle="1" w:styleId="Footerrunning">
    <w:name w:val="Footer (running)"/>
    <w:basedOn w:val="NoParagraphStyle"/>
    <w:uiPriority w:val="99"/>
    <w:rsid w:val="005A5905"/>
    <w:pPr>
      <w:suppressAutoHyphens/>
      <w:spacing w:after="80"/>
    </w:pPr>
    <w:rPr>
      <w:rFonts w:ascii="ArialMT" w:hAnsi="ArialMT" w:cs="ArialMT"/>
      <w:b w:val="0"/>
      <w:bCs w:val="0"/>
      <w:caps w:val="0"/>
      <w:color w:val="000000"/>
      <w:spacing w:val="1"/>
      <w:sz w:val="18"/>
      <w:szCs w:val="18"/>
    </w:rPr>
  </w:style>
  <w:style w:type="paragraph" w:customStyle="1" w:styleId="Tabletitle">
    <w:name w:val="Table title"/>
    <w:basedOn w:val="Normal"/>
    <w:qFormat/>
    <w:rsid w:val="0081215D"/>
    <w:pPr>
      <w:keepNext/>
      <w:widowControl w:val="0"/>
      <w:suppressAutoHyphens/>
      <w:autoSpaceDE w:val="0"/>
      <w:autoSpaceDN w:val="0"/>
      <w:adjustRightInd w:val="0"/>
      <w:spacing w:before="240" w:after="120"/>
      <w:ind w:left="1134" w:hanging="1134"/>
      <w:textAlignment w:val="center"/>
    </w:pPr>
    <w:rPr>
      <w:rFonts w:eastAsiaTheme="minorEastAsia" w:cs="Arial"/>
      <w:b/>
      <w:color w:val="000000" w:themeColor="text1"/>
      <w:szCs w:val="20"/>
      <w:lang w:val="en-GB"/>
    </w:rPr>
  </w:style>
  <w:style w:type="character" w:customStyle="1" w:styleId="KlavikaREGDKorange">
    <w:name w:val="Klavika REG DK orange"/>
    <w:uiPriority w:val="99"/>
    <w:rsid w:val="005A5905"/>
    <w:rPr>
      <w:color w:val="000000"/>
    </w:rPr>
  </w:style>
  <w:style w:type="character" w:customStyle="1" w:styleId="TabletextBOLD">
    <w:name w:val="Table text BOLD"/>
    <w:basedOn w:val="DefaultParagraphFont"/>
    <w:uiPriority w:val="1"/>
    <w:qFormat/>
    <w:rsid w:val="005A5905"/>
    <w:rPr>
      <w:rFonts w:ascii="Arial" w:hAnsi="Arial" w:cs="Arial-BoldMT"/>
      <w:b/>
      <w:bCs/>
      <w:i w:val="0"/>
      <w:color w:val="000000"/>
      <w:sz w:val="17"/>
      <w:szCs w:val="17"/>
      <w:lang w:val="en-GB"/>
    </w:rPr>
  </w:style>
  <w:style w:type="paragraph" w:customStyle="1" w:styleId="DocumentTitle2">
    <w:name w:val="Document Title 2"/>
    <w:basedOn w:val="Normal"/>
    <w:qFormat/>
    <w:rsid w:val="005A5905"/>
    <w:rPr>
      <w:rFonts w:ascii="ArialMT" w:eastAsiaTheme="minorEastAsia" w:hAnsi="ArialMT" w:cs="ArialMT"/>
      <w:bCs/>
      <w:color w:val="000000"/>
      <w:sz w:val="48"/>
      <w:szCs w:val="48"/>
      <w:lang w:val="en-US"/>
    </w:rPr>
  </w:style>
  <w:style w:type="paragraph" w:styleId="BalloonText">
    <w:name w:val="Balloon Text"/>
    <w:basedOn w:val="Normal"/>
    <w:link w:val="BalloonTextChar"/>
    <w:uiPriority w:val="99"/>
    <w:semiHidden/>
    <w:unhideWhenUsed/>
    <w:rsid w:val="005A5905"/>
    <w:rPr>
      <w:rFonts w:ascii="Lucida Grande" w:eastAsiaTheme="minorEastAsia" w:hAnsi="Lucida Grande" w:cs="Lucida Grande"/>
      <w:sz w:val="18"/>
      <w:lang w:val="en-US"/>
    </w:rPr>
  </w:style>
  <w:style w:type="character" w:customStyle="1" w:styleId="BalloonTextChar">
    <w:name w:val="Balloon Text Char"/>
    <w:basedOn w:val="DefaultParagraphFont"/>
    <w:link w:val="BalloonText"/>
    <w:uiPriority w:val="99"/>
    <w:semiHidden/>
    <w:rsid w:val="005A5905"/>
    <w:rPr>
      <w:rFonts w:ascii="Lucida Grande" w:hAnsi="Lucida Grande" w:cs="Lucida Grande"/>
      <w:sz w:val="18"/>
      <w:szCs w:val="18"/>
      <w:lang w:val="en-US"/>
    </w:rPr>
  </w:style>
  <w:style w:type="paragraph" w:styleId="TOC4">
    <w:name w:val="toc 4"/>
    <w:basedOn w:val="Normal"/>
    <w:next w:val="Normal"/>
    <w:autoRedefine/>
    <w:uiPriority w:val="39"/>
    <w:unhideWhenUsed/>
    <w:rsid w:val="005A5905"/>
    <w:pPr>
      <w:pBdr>
        <w:between w:val="double" w:sz="6" w:space="0" w:color="auto"/>
      </w:pBdr>
      <w:ind w:left="480"/>
    </w:pPr>
    <w:rPr>
      <w:rFonts w:eastAsiaTheme="minorEastAsia"/>
      <w:szCs w:val="20"/>
      <w:lang w:val="en-US"/>
    </w:rPr>
  </w:style>
  <w:style w:type="paragraph" w:styleId="TOC5">
    <w:name w:val="toc 5"/>
    <w:basedOn w:val="Normal"/>
    <w:next w:val="Normal"/>
    <w:autoRedefine/>
    <w:uiPriority w:val="39"/>
    <w:unhideWhenUsed/>
    <w:rsid w:val="005A5905"/>
    <w:pPr>
      <w:pBdr>
        <w:between w:val="double" w:sz="6" w:space="0" w:color="auto"/>
      </w:pBdr>
      <w:ind w:left="720"/>
    </w:pPr>
    <w:rPr>
      <w:rFonts w:eastAsiaTheme="minorEastAsia"/>
      <w:szCs w:val="20"/>
      <w:lang w:val="en-US"/>
    </w:rPr>
  </w:style>
  <w:style w:type="paragraph" w:styleId="TOC6">
    <w:name w:val="toc 6"/>
    <w:basedOn w:val="Normal"/>
    <w:next w:val="Normal"/>
    <w:autoRedefine/>
    <w:uiPriority w:val="39"/>
    <w:unhideWhenUsed/>
    <w:rsid w:val="005A5905"/>
    <w:pPr>
      <w:pBdr>
        <w:between w:val="double" w:sz="6" w:space="0" w:color="auto"/>
      </w:pBdr>
      <w:ind w:left="960"/>
    </w:pPr>
    <w:rPr>
      <w:rFonts w:eastAsiaTheme="minorEastAsia"/>
      <w:szCs w:val="20"/>
      <w:lang w:val="en-US"/>
    </w:rPr>
  </w:style>
  <w:style w:type="paragraph" w:styleId="TOC7">
    <w:name w:val="toc 7"/>
    <w:basedOn w:val="Normal"/>
    <w:next w:val="Normal"/>
    <w:autoRedefine/>
    <w:uiPriority w:val="39"/>
    <w:unhideWhenUsed/>
    <w:rsid w:val="005A5905"/>
    <w:pPr>
      <w:pBdr>
        <w:between w:val="double" w:sz="6" w:space="0" w:color="auto"/>
      </w:pBdr>
      <w:ind w:left="1200"/>
    </w:pPr>
    <w:rPr>
      <w:rFonts w:eastAsiaTheme="minorEastAsia"/>
      <w:szCs w:val="20"/>
      <w:lang w:val="en-US"/>
    </w:rPr>
  </w:style>
  <w:style w:type="paragraph" w:styleId="TOC8">
    <w:name w:val="toc 8"/>
    <w:basedOn w:val="Normal"/>
    <w:next w:val="Normal"/>
    <w:autoRedefine/>
    <w:uiPriority w:val="39"/>
    <w:unhideWhenUsed/>
    <w:rsid w:val="005A5905"/>
    <w:pPr>
      <w:pBdr>
        <w:between w:val="double" w:sz="6" w:space="0" w:color="auto"/>
      </w:pBdr>
      <w:ind w:left="1440"/>
    </w:pPr>
    <w:rPr>
      <w:rFonts w:eastAsiaTheme="minorEastAsia"/>
      <w:szCs w:val="20"/>
      <w:lang w:val="en-US"/>
    </w:rPr>
  </w:style>
  <w:style w:type="paragraph" w:styleId="TOC9">
    <w:name w:val="toc 9"/>
    <w:basedOn w:val="Normal"/>
    <w:next w:val="Normal"/>
    <w:autoRedefine/>
    <w:uiPriority w:val="39"/>
    <w:unhideWhenUsed/>
    <w:rsid w:val="005A5905"/>
    <w:pPr>
      <w:pBdr>
        <w:between w:val="double" w:sz="6" w:space="0" w:color="auto"/>
      </w:pBdr>
      <w:ind w:left="1680"/>
    </w:pPr>
    <w:rPr>
      <w:rFonts w:eastAsiaTheme="minorEastAsia"/>
      <w:szCs w:val="20"/>
      <w:lang w:val="en-US"/>
    </w:rPr>
  </w:style>
  <w:style w:type="character" w:customStyle="1" w:styleId="Mention1">
    <w:name w:val="Mention1"/>
    <w:basedOn w:val="DefaultParagraphFont"/>
    <w:uiPriority w:val="99"/>
    <w:semiHidden/>
    <w:unhideWhenUsed/>
    <w:rsid w:val="005A5905"/>
    <w:rPr>
      <w:color w:val="2B579A"/>
      <w:shd w:val="clear" w:color="auto" w:fill="E6E6E6"/>
    </w:rPr>
  </w:style>
  <w:style w:type="character" w:styleId="FollowedHyperlink">
    <w:name w:val="FollowedHyperlink"/>
    <w:basedOn w:val="DefaultParagraphFont"/>
    <w:uiPriority w:val="99"/>
    <w:semiHidden/>
    <w:unhideWhenUsed/>
    <w:rsid w:val="005A5905"/>
    <w:rPr>
      <w:color w:val="4B7CCA" w:themeColor="followedHyperlink"/>
      <w:u w:val="single"/>
    </w:rPr>
  </w:style>
  <w:style w:type="paragraph" w:customStyle="1" w:styleId="p1">
    <w:name w:val="p1"/>
    <w:basedOn w:val="Normal"/>
    <w:rsid w:val="005A5905"/>
    <w:pPr>
      <w:spacing w:before="107" w:line="218" w:lineRule="atLeast"/>
    </w:pPr>
    <w:rPr>
      <w:rFonts w:ascii="Klavika Regular" w:hAnsi="Klavika Regular" w:cs="Times New Roman"/>
      <w:sz w:val="15"/>
      <w:szCs w:val="15"/>
      <w:lang w:val="en-GB" w:eastAsia="en-GB"/>
    </w:rPr>
  </w:style>
  <w:style w:type="paragraph" w:customStyle="1" w:styleId="p2">
    <w:name w:val="p2"/>
    <w:basedOn w:val="Normal"/>
    <w:rsid w:val="005A5905"/>
    <w:pPr>
      <w:spacing w:before="255"/>
    </w:pPr>
    <w:rPr>
      <w:rFonts w:ascii="Klavika Regular" w:hAnsi="Klavika Regular" w:cs="Times New Roman"/>
      <w:color w:val="3F5966"/>
      <w:szCs w:val="20"/>
      <w:lang w:val="en-GB" w:eastAsia="en-GB"/>
    </w:rPr>
  </w:style>
  <w:style w:type="paragraph" w:customStyle="1" w:styleId="p3">
    <w:name w:val="p3"/>
    <w:basedOn w:val="Normal"/>
    <w:rsid w:val="005A5905"/>
    <w:pPr>
      <w:spacing w:before="299"/>
    </w:pPr>
    <w:rPr>
      <w:rFonts w:ascii="Atletico" w:hAnsi="Atletico" w:cs="Times New Roman"/>
      <w:color w:val="3F5966"/>
      <w:sz w:val="15"/>
      <w:szCs w:val="15"/>
      <w:lang w:val="en-GB" w:eastAsia="en-GB"/>
    </w:rPr>
  </w:style>
  <w:style w:type="paragraph" w:customStyle="1" w:styleId="p4">
    <w:name w:val="p4"/>
    <w:basedOn w:val="Normal"/>
    <w:rsid w:val="005A5905"/>
    <w:rPr>
      <w:rFonts w:ascii="Klavika Regular" w:hAnsi="Klavika Regular" w:cs="Times New Roman"/>
      <w:sz w:val="18"/>
      <w:lang w:val="en-GB" w:eastAsia="en-GB"/>
    </w:rPr>
  </w:style>
  <w:style w:type="paragraph" w:customStyle="1" w:styleId="p5">
    <w:name w:val="p5"/>
    <w:basedOn w:val="Normal"/>
    <w:rsid w:val="005A5905"/>
    <w:pPr>
      <w:spacing w:before="63"/>
      <w:jc w:val="center"/>
    </w:pPr>
    <w:rPr>
      <w:rFonts w:ascii="Atletico" w:hAnsi="Atletico" w:cs="Times New Roman"/>
      <w:sz w:val="13"/>
      <w:szCs w:val="13"/>
      <w:lang w:val="en-GB" w:eastAsia="en-GB"/>
    </w:rPr>
  </w:style>
  <w:style w:type="paragraph" w:customStyle="1" w:styleId="p6">
    <w:name w:val="p6"/>
    <w:basedOn w:val="Normal"/>
    <w:rsid w:val="005A5905"/>
    <w:pPr>
      <w:spacing w:before="63"/>
    </w:pPr>
    <w:rPr>
      <w:rFonts w:ascii="Atletico" w:hAnsi="Atletico" w:cs="Times New Roman"/>
      <w:sz w:val="13"/>
      <w:szCs w:val="13"/>
      <w:lang w:val="en-GB" w:eastAsia="en-GB"/>
    </w:rPr>
  </w:style>
  <w:style w:type="paragraph" w:customStyle="1" w:styleId="p7">
    <w:name w:val="p7"/>
    <w:basedOn w:val="Normal"/>
    <w:rsid w:val="005A5905"/>
    <w:pPr>
      <w:spacing w:before="86" w:after="170"/>
    </w:pPr>
    <w:rPr>
      <w:rFonts w:ascii="Atletico" w:hAnsi="Atletico" w:cs="Times New Roman"/>
      <w:sz w:val="15"/>
      <w:szCs w:val="15"/>
      <w:lang w:val="en-GB" w:eastAsia="en-GB"/>
    </w:rPr>
  </w:style>
  <w:style w:type="paragraph" w:customStyle="1" w:styleId="p8">
    <w:name w:val="p8"/>
    <w:basedOn w:val="Normal"/>
    <w:rsid w:val="005A5905"/>
    <w:pPr>
      <w:spacing w:before="107" w:line="218" w:lineRule="atLeast"/>
    </w:pPr>
    <w:rPr>
      <w:rFonts w:ascii="Klavika Regular" w:hAnsi="Klavika Regular" w:cs="Times New Roman"/>
      <w:sz w:val="15"/>
      <w:szCs w:val="15"/>
      <w:lang w:val="en-GB" w:eastAsia="en-GB"/>
    </w:rPr>
  </w:style>
  <w:style w:type="paragraph" w:customStyle="1" w:styleId="p9">
    <w:name w:val="p9"/>
    <w:basedOn w:val="Normal"/>
    <w:rsid w:val="005A5905"/>
    <w:pPr>
      <w:spacing w:before="299" w:after="44"/>
    </w:pPr>
    <w:rPr>
      <w:rFonts w:ascii="Atletico" w:hAnsi="Atletico" w:cs="Times New Roman"/>
      <w:color w:val="3F5966"/>
      <w:sz w:val="15"/>
      <w:szCs w:val="15"/>
      <w:lang w:val="en-GB" w:eastAsia="en-GB"/>
    </w:rPr>
  </w:style>
  <w:style w:type="paragraph" w:customStyle="1" w:styleId="p10">
    <w:name w:val="p10"/>
    <w:basedOn w:val="Normal"/>
    <w:rsid w:val="005A5905"/>
    <w:pPr>
      <w:spacing w:before="128" w:after="170"/>
    </w:pPr>
    <w:rPr>
      <w:rFonts w:ascii="Atletico" w:hAnsi="Atletico" w:cs="Times New Roman"/>
      <w:sz w:val="14"/>
      <w:szCs w:val="14"/>
      <w:lang w:val="en-GB" w:eastAsia="en-GB"/>
    </w:rPr>
  </w:style>
  <w:style w:type="character" w:customStyle="1" w:styleId="s1">
    <w:name w:val="s1"/>
    <w:basedOn w:val="DefaultParagraphFont"/>
    <w:rsid w:val="005A5905"/>
    <w:rPr>
      <w:spacing w:val="-2"/>
    </w:rPr>
  </w:style>
  <w:style w:type="character" w:customStyle="1" w:styleId="apple-converted-space">
    <w:name w:val="apple-converted-space"/>
    <w:basedOn w:val="DefaultParagraphFont"/>
    <w:rsid w:val="005A5905"/>
  </w:style>
  <w:style w:type="character" w:customStyle="1" w:styleId="s2">
    <w:name w:val="s2"/>
    <w:basedOn w:val="DefaultParagraphFont"/>
    <w:rsid w:val="005A5905"/>
    <w:rPr>
      <w:spacing w:val="-3"/>
    </w:rPr>
  </w:style>
  <w:style w:type="character" w:customStyle="1" w:styleId="apple-tab-span">
    <w:name w:val="apple-tab-span"/>
    <w:basedOn w:val="DefaultParagraphFont"/>
    <w:rsid w:val="005A5905"/>
  </w:style>
  <w:style w:type="paragraph" w:customStyle="1" w:styleId="p11">
    <w:name w:val="p11"/>
    <w:basedOn w:val="Normal"/>
    <w:rsid w:val="005A5905"/>
    <w:pPr>
      <w:spacing w:before="299" w:after="44"/>
    </w:pPr>
    <w:rPr>
      <w:rFonts w:ascii="Atletico" w:hAnsi="Atletico" w:cs="Times New Roman"/>
      <w:color w:val="3F5966"/>
      <w:sz w:val="15"/>
      <w:szCs w:val="15"/>
      <w:lang w:val="en-GB" w:eastAsia="en-GB"/>
    </w:rPr>
  </w:style>
  <w:style w:type="paragraph" w:customStyle="1" w:styleId="p12">
    <w:name w:val="p12"/>
    <w:basedOn w:val="Normal"/>
    <w:rsid w:val="005A5905"/>
    <w:pPr>
      <w:spacing w:before="128" w:after="170"/>
    </w:pPr>
    <w:rPr>
      <w:rFonts w:ascii="Atletico" w:hAnsi="Atletico" w:cs="Times New Roman"/>
      <w:sz w:val="14"/>
      <w:szCs w:val="14"/>
      <w:lang w:val="en-GB" w:eastAsia="en-GB"/>
    </w:rPr>
  </w:style>
  <w:style w:type="paragraph" w:customStyle="1" w:styleId="p13">
    <w:name w:val="p13"/>
    <w:basedOn w:val="Normal"/>
    <w:rsid w:val="005A5905"/>
    <w:pPr>
      <w:spacing w:before="213" w:after="44"/>
    </w:pPr>
    <w:rPr>
      <w:rFonts w:ascii="Atletico" w:hAnsi="Atletico" w:cs="Times New Roman"/>
      <w:color w:val="3F5966"/>
      <w:sz w:val="15"/>
      <w:szCs w:val="15"/>
      <w:lang w:val="en-GB" w:eastAsia="en-GB"/>
    </w:rPr>
  </w:style>
  <w:style w:type="paragraph" w:customStyle="1" w:styleId="Tabletextcentred">
    <w:name w:val="Table text centred"/>
    <w:basedOn w:val="Tabletext"/>
    <w:autoRedefine/>
    <w:qFormat/>
    <w:rsid w:val="005A5905"/>
    <w:pPr>
      <w:tabs>
        <w:tab w:val="left" w:pos="170"/>
      </w:tabs>
      <w:spacing w:line="190" w:lineRule="exact"/>
      <w:jc w:val="center"/>
    </w:pPr>
    <w:rPr>
      <w:rFonts w:asciiTheme="minorHAnsi" w:eastAsiaTheme="minorHAnsi" w:hAnsiTheme="minorHAnsi" w:cs="Times New Roman"/>
      <w:color w:val="auto"/>
      <w:spacing w:val="0"/>
      <w:szCs w:val="20"/>
      <w:lang w:eastAsia="en-GB"/>
    </w:rPr>
  </w:style>
  <w:style w:type="paragraph" w:customStyle="1" w:styleId="Note">
    <w:name w:val="Note"/>
    <w:basedOn w:val="Normal"/>
    <w:qFormat/>
    <w:rsid w:val="005A5905"/>
    <w:pPr>
      <w:spacing w:before="60"/>
    </w:pPr>
    <w:rPr>
      <w:rFonts w:asciiTheme="minorHAnsi" w:hAnsiTheme="minorHAnsi" w:cs="Times New Roman"/>
      <w:sz w:val="15"/>
      <w:szCs w:val="15"/>
      <w:lang w:val="en-GB" w:eastAsia="en-GB"/>
    </w:rPr>
  </w:style>
  <w:style w:type="paragraph" w:customStyle="1" w:styleId="Figspace0">
    <w:name w:val="Fig space"/>
    <w:qFormat/>
    <w:rsid w:val="005A5905"/>
    <w:pPr>
      <w:spacing w:after="360" w:line="240" w:lineRule="auto"/>
    </w:pPr>
    <w:rPr>
      <w:rFonts w:eastAsiaTheme="minorHAnsi" w:cs="Times New Roman"/>
      <w:b/>
      <w:sz w:val="21"/>
      <w:szCs w:val="20"/>
      <w:lang w:val="en-GB" w:eastAsia="en-GB"/>
    </w:rPr>
  </w:style>
  <w:style w:type="paragraph" w:customStyle="1" w:styleId="Heading31">
    <w:name w:val="Heading 31"/>
    <w:basedOn w:val="Normal"/>
    <w:next w:val="Normal"/>
    <w:uiPriority w:val="9"/>
    <w:unhideWhenUsed/>
    <w:qFormat/>
    <w:rsid w:val="005A5905"/>
    <w:pPr>
      <w:keepNext/>
      <w:keepLines/>
      <w:spacing w:before="360"/>
      <w:outlineLvl w:val="2"/>
    </w:pPr>
    <w:rPr>
      <w:rFonts w:eastAsia="MS Gothic" w:cs="Times New Roman"/>
      <w:b/>
      <w:bCs/>
      <w:szCs w:val="24"/>
      <w:lang w:val="en-US"/>
    </w:rPr>
  </w:style>
  <w:style w:type="paragraph" w:customStyle="1" w:styleId="DocTitle-1">
    <w:name w:val="Doc Title - 1"/>
    <w:basedOn w:val="NoParagraphStyle"/>
    <w:uiPriority w:val="99"/>
    <w:rsid w:val="005A5905"/>
    <w:rPr>
      <w:rFonts w:eastAsia="MS Mincho"/>
      <w:color w:val="FFFFFF"/>
    </w:rPr>
  </w:style>
  <w:style w:type="paragraph" w:customStyle="1" w:styleId="DocTitle-3tier">
    <w:name w:val="Doc Title - 3 tier"/>
    <w:basedOn w:val="NoParagraphStyle"/>
    <w:uiPriority w:val="99"/>
    <w:rsid w:val="005A5905"/>
    <w:rPr>
      <w:rFonts w:eastAsia="MS Mincho"/>
      <w:color w:val="FFFFFF"/>
    </w:rPr>
  </w:style>
  <w:style w:type="paragraph" w:customStyle="1" w:styleId="TablecolumnheadCENTRETABLES">
    <w:name w:val="Table column head CENTRE (TABLES)"/>
    <w:basedOn w:val="TableTextTABLES"/>
    <w:uiPriority w:val="99"/>
    <w:rsid w:val="005A5905"/>
    <w:pPr>
      <w:suppressAutoHyphens w:val="0"/>
      <w:spacing w:before="0"/>
    </w:pPr>
    <w:rPr>
      <w:rFonts w:ascii="Calibri" w:eastAsia="MS Mincho" w:hAnsi="Calibri" w:cs="MinionPro-Regular"/>
      <w:b/>
      <w:bCs/>
      <w:caps/>
      <w:color w:val="FFFFFF"/>
      <w:sz w:val="32"/>
      <w:szCs w:val="32"/>
    </w:rPr>
  </w:style>
  <w:style w:type="character" w:customStyle="1" w:styleId="KlavikaREGDKgreen">
    <w:name w:val="Klavika REG DK green"/>
    <w:uiPriority w:val="99"/>
    <w:rsid w:val="005A5905"/>
    <w:rPr>
      <w:color w:val="000000"/>
    </w:rPr>
  </w:style>
  <w:style w:type="paragraph" w:customStyle="1" w:styleId="H2Bodycopyheader">
    <w:name w:val="H2 Body copy header"/>
    <w:basedOn w:val="NoParagraphStyle"/>
    <w:uiPriority w:val="99"/>
    <w:rsid w:val="005A5905"/>
    <w:rPr>
      <w:rFonts w:eastAsia="MS Mincho"/>
      <w:color w:val="FFFFFF"/>
    </w:rPr>
  </w:style>
  <w:style w:type="paragraph" w:customStyle="1" w:styleId="TableTABLES">
    <w:name w:val="Table # (TABLES)"/>
    <w:basedOn w:val="TableTextTABLES"/>
    <w:uiPriority w:val="99"/>
    <w:rsid w:val="005A5905"/>
    <w:pPr>
      <w:suppressAutoHyphens w:val="0"/>
      <w:spacing w:before="0"/>
    </w:pPr>
    <w:rPr>
      <w:rFonts w:ascii="Calibri" w:eastAsia="MS Mincho" w:hAnsi="Calibri" w:cs="MinionPro-Regular"/>
      <w:b/>
      <w:bCs/>
      <w:caps/>
      <w:color w:val="FFFFFF"/>
      <w:sz w:val="32"/>
      <w:szCs w:val="32"/>
    </w:rPr>
  </w:style>
  <w:style w:type="paragraph" w:customStyle="1" w:styleId="TableTextC">
    <w:name w:val="Table Text C"/>
    <w:basedOn w:val="TableTextTABLES"/>
    <w:qFormat/>
    <w:rsid w:val="005A5905"/>
    <w:pPr>
      <w:suppressAutoHyphens w:val="0"/>
      <w:spacing w:before="0"/>
    </w:pPr>
    <w:rPr>
      <w:rFonts w:ascii="Calibri" w:eastAsia="MS Mincho" w:hAnsi="Calibri" w:cs="MinionPro-Regular"/>
      <w:b/>
      <w:bCs/>
      <w:caps/>
      <w:color w:val="FFFFFF"/>
      <w:sz w:val="32"/>
      <w:szCs w:val="32"/>
    </w:rPr>
  </w:style>
  <w:style w:type="paragraph" w:customStyle="1" w:styleId="CommentText1">
    <w:name w:val="Comment Text1"/>
    <w:basedOn w:val="Normal"/>
    <w:next w:val="CommentText"/>
    <w:uiPriority w:val="99"/>
    <w:semiHidden/>
    <w:unhideWhenUsed/>
    <w:rsid w:val="005A5905"/>
    <w:rPr>
      <w:sz w:val="24"/>
      <w:szCs w:val="24"/>
      <w:lang w:val="en-GB"/>
    </w:rPr>
  </w:style>
  <w:style w:type="paragraph" w:customStyle="1" w:styleId="CommentSubject1">
    <w:name w:val="Comment Subject1"/>
    <w:basedOn w:val="CommentText"/>
    <w:next w:val="CommentText"/>
    <w:uiPriority w:val="99"/>
    <w:semiHidden/>
    <w:unhideWhenUsed/>
    <w:rsid w:val="005A5905"/>
    <w:rPr>
      <w:rFonts w:ascii="Times New Roman" w:hAnsi="Times New Roman" w:cs="Times New Roman"/>
      <w:lang w:val="en-GB" w:eastAsia="en-GB"/>
    </w:rPr>
  </w:style>
  <w:style w:type="paragraph" w:customStyle="1" w:styleId="BalloonText1">
    <w:name w:val="Balloon Text1"/>
    <w:basedOn w:val="Normal"/>
    <w:next w:val="BalloonText"/>
    <w:uiPriority w:val="99"/>
    <w:semiHidden/>
    <w:unhideWhenUsed/>
    <w:rsid w:val="005A5905"/>
    <w:rPr>
      <w:rFonts w:ascii="Times New Roman" w:hAnsi="Times New Roman" w:cs="Times New Roman"/>
      <w:sz w:val="18"/>
      <w:lang w:val="en-GB"/>
    </w:rPr>
  </w:style>
  <w:style w:type="table" w:customStyle="1" w:styleId="QILTTableStylePH">
    <w:name w:val="QILT Table Style PH"/>
    <w:basedOn w:val="TableNormal"/>
    <w:uiPriority w:val="99"/>
    <w:rsid w:val="005A590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5A5905"/>
    <w:pPr>
      <w:spacing w:after="0" w:line="240" w:lineRule="auto"/>
    </w:pPr>
    <w:rPr>
      <w:rFonts w:ascii="Arial" w:eastAsia="MS Mincho" w:hAnsi="Arial"/>
      <w:sz w:val="20"/>
      <w:szCs w:val="24"/>
      <w:lang w:val="en-US"/>
    </w:rPr>
  </w:style>
  <w:style w:type="character" w:customStyle="1" w:styleId="Heading3Char1">
    <w:name w:val="Heading 3 Char1"/>
    <w:basedOn w:val="DefaultParagraphFont"/>
    <w:uiPriority w:val="9"/>
    <w:semiHidden/>
    <w:rsid w:val="005A5905"/>
    <w:rPr>
      <w:rFonts w:asciiTheme="majorHAnsi" w:eastAsiaTheme="majorEastAsia" w:hAnsiTheme="majorHAnsi" w:cstheme="majorBidi"/>
      <w:color w:val="236261" w:themeColor="accent1" w:themeShade="7F"/>
      <w:lang w:eastAsia="en-GB"/>
    </w:rPr>
  </w:style>
  <w:style w:type="character" w:customStyle="1" w:styleId="CommentTextChar1">
    <w:name w:val="Comment Text Char1"/>
    <w:basedOn w:val="DefaultParagraphFont"/>
    <w:uiPriority w:val="99"/>
    <w:semiHidden/>
    <w:rsid w:val="005A5905"/>
    <w:rPr>
      <w:rFonts w:ascii="Times New Roman" w:hAnsi="Times New Roman" w:cs="Times New Roman"/>
      <w:sz w:val="20"/>
      <w:szCs w:val="20"/>
      <w:lang w:eastAsia="en-GB"/>
    </w:rPr>
  </w:style>
  <w:style w:type="character" w:customStyle="1" w:styleId="CommentSubjectChar1">
    <w:name w:val="Comment Subject Char1"/>
    <w:basedOn w:val="CommentTextChar1"/>
    <w:uiPriority w:val="99"/>
    <w:semiHidden/>
    <w:rsid w:val="005A5905"/>
    <w:rPr>
      <w:rFonts w:ascii="Times New Roman" w:hAnsi="Times New Roman" w:cs="Times New Roman"/>
      <w:b/>
      <w:bCs/>
      <w:sz w:val="20"/>
      <w:szCs w:val="20"/>
      <w:lang w:eastAsia="en-GB"/>
    </w:rPr>
  </w:style>
  <w:style w:type="character" w:customStyle="1" w:styleId="BalloonTextChar1">
    <w:name w:val="Balloon Text Char1"/>
    <w:basedOn w:val="DefaultParagraphFont"/>
    <w:uiPriority w:val="99"/>
    <w:semiHidden/>
    <w:rsid w:val="005A5905"/>
    <w:rPr>
      <w:rFonts w:ascii="Segoe UI" w:hAnsi="Segoe UI" w:cs="Segoe UI"/>
      <w:sz w:val="18"/>
      <w:szCs w:val="18"/>
      <w:lang w:eastAsia="en-GB"/>
    </w:rPr>
  </w:style>
  <w:style w:type="table" w:customStyle="1" w:styleId="QILTTableStylePH1">
    <w:name w:val="QILT Table Style PH1"/>
    <w:basedOn w:val="TableNormal"/>
    <w:uiPriority w:val="99"/>
    <w:rsid w:val="005A5905"/>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TableGrid1">
    <w:name w:val="Table Grid1"/>
    <w:basedOn w:val="TableNormal"/>
    <w:next w:val="TableGrid"/>
    <w:uiPriority w:val="39"/>
    <w:rsid w:val="005A5905"/>
    <w:pPr>
      <w:spacing w:after="0" w:line="240" w:lineRule="auto"/>
    </w:pPr>
    <w:rPr>
      <w:rFonts w:eastAsia="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5A5905"/>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QILTTableStylePH3">
    <w:name w:val="QILT Table Style PH3"/>
    <w:basedOn w:val="TableNormal"/>
    <w:uiPriority w:val="99"/>
    <w:rsid w:val="005A5905"/>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UnresolvedMention1">
    <w:name w:val="Unresolved Mention1"/>
    <w:basedOn w:val="DefaultParagraphFont"/>
    <w:uiPriority w:val="99"/>
    <w:unhideWhenUsed/>
    <w:rsid w:val="005A5905"/>
    <w:rPr>
      <w:color w:val="605E5C"/>
      <w:shd w:val="clear" w:color="auto" w:fill="E1DFDD"/>
    </w:rPr>
  </w:style>
  <w:style w:type="paragraph" w:styleId="EndnoteText">
    <w:name w:val="endnote text"/>
    <w:basedOn w:val="Normal"/>
    <w:link w:val="EndnoteTextChar"/>
    <w:uiPriority w:val="99"/>
    <w:semiHidden/>
    <w:unhideWhenUsed/>
    <w:rsid w:val="005A5905"/>
    <w:rPr>
      <w:rFonts w:asciiTheme="minorHAnsi" w:eastAsiaTheme="minorEastAsia" w:hAnsiTheme="minorHAnsi"/>
      <w:szCs w:val="20"/>
      <w:lang w:val="en-US"/>
    </w:rPr>
  </w:style>
  <w:style w:type="character" w:customStyle="1" w:styleId="EndnoteTextChar">
    <w:name w:val="Endnote Text Char"/>
    <w:basedOn w:val="DefaultParagraphFont"/>
    <w:link w:val="EndnoteText"/>
    <w:uiPriority w:val="99"/>
    <w:semiHidden/>
    <w:rsid w:val="005A5905"/>
    <w:rPr>
      <w:sz w:val="20"/>
      <w:szCs w:val="20"/>
      <w:lang w:val="en-US"/>
    </w:rPr>
  </w:style>
  <w:style w:type="character" w:styleId="EndnoteReference">
    <w:name w:val="endnote reference"/>
    <w:basedOn w:val="DefaultParagraphFont"/>
    <w:uiPriority w:val="99"/>
    <w:semiHidden/>
    <w:unhideWhenUsed/>
    <w:rsid w:val="005A5905"/>
    <w:rPr>
      <w:vertAlign w:val="superscript"/>
    </w:rPr>
  </w:style>
  <w:style w:type="character" w:styleId="UnresolvedMention">
    <w:name w:val="Unresolved Mention"/>
    <w:basedOn w:val="DefaultParagraphFont"/>
    <w:uiPriority w:val="99"/>
    <w:unhideWhenUsed/>
    <w:rsid w:val="005A5905"/>
    <w:rPr>
      <w:color w:val="605E5C"/>
      <w:shd w:val="clear" w:color="auto" w:fill="E1DFDD"/>
    </w:rPr>
  </w:style>
  <w:style w:type="paragraph" w:customStyle="1" w:styleId="Style1">
    <w:name w:val="Style1"/>
    <w:basedOn w:val="Sub1nounderline"/>
    <w:link w:val="Style1Char"/>
    <w:qFormat/>
    <w:rsid w:val="005A5905"/>
    <w:rPr>
      <w:rFonts w:ascii="Arial" w:hAnsi="Arial"/>
      <w:b w:val="0"/>
      <w:sz w:val="20"/>
    </w:rPr>
  </w:style>
  <w:style w:type="character" w:customStyle="1" w:styleId="Sub1nounderlineChar">
    <w:name w:val="Sub 1 no underline Char"/>
    <w:basedOn w:val="DefaultParagraphFont"/>
    <w:link w:val="Sub1nounderline"/>
    <w:rsid w:val="005A5905"/>
    <w:rPr>
      <w:rFonts w:asciiTheme="majorHAnsi" w:hAnsiTheme="majorHAnsi" w:cs="Gotham-Book"/>
      <w:b/>
      <w:spacing w:val="-4"/>
      <w:sz w:val="24"/>
      <w:szCs w:val="24"/>
      <w:lang w:val="en-GB"/>
    </w:rPr>
  </w:style>
  <w:style w:type="character" w:customStyle="1" w:styleId="Style1Char">
    <w:name w:val="Style1 Char"/>
    <w:basedOn w:val="Sub1nounderlineChar"/>
    <w:link w:val="Style1"/>
    <w:rsid w:val="005A5905"/>
    <w:rPr>
      <w:rFonts w:ascii="Arial" w:hAnsi="Arial" w:cs="Gotham-Book"/>
      <w:b w:val="0"/>
      <w:spacing w:val="-4"/>
      <w:sz w:val="20"/>
      <w:szCs w:val="24"/>
      <w:lang w:val="en-GB"/>
    </w:rPr>
  </w:style>
  <w:style w:type="paragraph" w:customStyle="1" w:styleId="Footertable">
    <w:name w:val="Footer (table)"/>
    <w:link w:val="FootertableChar"/>
    <w:uiPriority w:val="99"/>
    <w:rsid w:val="005A5905"/>
    <w:pPr>
      <w:widowControl w:val="0"/>
      <w:suppressAutoHyphens/>
      <w:autoSpaceDE w:val="0"/>
      <w:autoSpaceDN w:val="0"/>
      <w:adjustRightInd w:val="0"/>
      <w:spacing w:after="0" w:line="240" w:lineRule="auto"/>
      <w:textAlignment w:val="center"/>
    </w:pPr>
    <w:rPr>
      <w:rFonts w:ascii="ArialMT" w:hAnsi="ArialMT" w:cs="ArialMT"/>
      <w:color w:val="000000"/>
      <w:spacing w:val="1"/>
      <w:sz w:val="16"/>
      <w:szCs w:val="16"/>
      <w:lang w:val="en-GB"/>
    </w:rPr>
  </w:style>
  <w:style w:type="paragraph" w:customStyle="1" w:styleId="Bullet1">
    <w:name w:val="Bullet 1"/>
    <w:basedOn w:val="BodyText"/>
    <w:qFormat/>
    <w:rsid w:val="005A5905"/>
    <w:pPr>
      <w:framePr w:wrap="around" w:hAnchor="text"/>
      <w:tabs>
        <w:tab w:val="left" w:pos="284"/>
        <w:tab w:val="left" w:pos="4872"/>
        <w:tab w:val="left" w:pos="11338"/>
      </w:tabs>
      <w:spacing w:before="120" w:after="0" w:line="230" w:lineRule="exact"/>
      <w:ind w:left="170" w:hanging="170"/>
    </w:pPr>
    <w:rPr>
      <w:rFonts w:ascii="Calibri" w:hAnsi="Calibri" w:cs="Calibri"/>
      <w:color w:val="000000"/>
      <w:sz w:val="18"/>
      <w:lang w:val="en-GB" w:eastAsia="en-GB"/>
    </w:rPr>
  </w:style>
  <w:style w:type="paragraph" w:customStyle="1" w:styleId="TablecolumnheadLTABLES">
    <w:name w:val="Table column head L (TABLES)"/>
    <w:basedOn w:val="Normal"/>
    <w:uiPriority w:val="99"/>
    <w:rsid w:val="005A5905"/>
    <w:pPr>
      <w:suppressAutoHyphens/>
      <w:autoSpaceDE w:val="0"/>
      <w:autoSpaceDN w:val="0"/>
      <w:adjustRightInd w:val="0"/>
      <w:spacing w:line="288" w:lineRule="auto"/>
      <w:textAlignment w:val="center"/>
    </w:pPr>
    <w:rPr>
      <w:rFonts w:ascii="Calibri-Bold" w:hAnsi="Calibri-Bold" w:cs="Calibri-Bold"/>
      <w:b/>
      <w:bCs/>
      <w:color w:val="000000"/>
      <w:sz w:val="18"/>
      <w:lang w:val="en-US"/>
    </w:rPr>
  </w:style>
  <w:style w:type="paragraph" w:customStyle="1" w:styleId="TabletextcentredTABLES">
    <w:name w:val="Table text centred (TABLES)"/>
    <w:basedOn w:val="TableTextTABLES"/>
    <w:uiPriority w:val="99"/>
    <w:rsid w:val="005A5905"/>
    <w:pPr>
      <w:widowControl/>
      <w:jc w:val="center"/>
    </w:pPr>
    <w:rPr>
      <w:rFonts w:ascii="Calibri-Light" w:eastAsiaTheme="minorHAnsi" w:hAnsi="Calibri-Light" w:cs="Calibri-Light"/>
    </w:rPr>
  </w:style>
  <w:style w:type="paragraph" w:customStyle="1" w:styleId="Heading0">
    <w:name w:val="Heading 0"/>
    <w:basedOn w:val="Heading1"/>
    <w:qFormat/>
    <w:rsid w:val="005A5905"/>
    <w:pPr>
      <w:keepNext/>
      <w:keepLines/>
      <w:pageBreakBefore w:val="0"/>
      <w:numPr>
        <w:numId w:val="0"/>
      </w:numPr>
      <w:spacing w:before="240" w:after="0"/>
    </w:pPr>
    <w:rPr>
      <w:rFonts w:asciiTheme="majorHAnsi" w:eastAsiaTheme="majorEastAsia" w:hAnsiTheme="majorHAnsi" w:cstheme="majorBidi"/>
      <w:color w:val="auto"/>
      <w:lang w:val="en-GB" w:eastAsia="en-GB"/>
    </w:rPr>
  </w:style>
  <w:style w:type="paragraph" w:customStyle="1" w:styleId="TabletextRangedLeft">
    <w:name w:val="Table text (Ranged Left)"/>
    <w:qFormat/>
    <w:rsid w:val="005A5905"/>
    <w:pPr>
      <w:spacing w:after="0" w:line="240" w:lineRule="auto"/>
    </w:pPr>
    <w:rPr>
      <w:rFonts w:ascii="ArialMT" w:hAnsi="ArialMT" w:cs="Gotham-Light"/>
      <w:spacing w:val="-2"/>
      <w:sz w:val="20"/>
      <w:szCs w:val="18"/>
      <w:lang w:val="en-GB"/>
    </w:rPr>
  </w:style>
  <w:style w:type="paragraph" w:customStyle="1" w:styleId="TablecolumnheaderL">
    <w:name w:val="Table column header L"/>
    <w:basedOn w:val="Normal"/>
    <w:qFormat/>
    <w:rsid w:val="005A5905"/>
    <w:pPr>
      <w:spacing w:line="190" w:lineRule="exact"/>
    </w:pPr>
    <w:rPr>
      <w:rFonts w:eastAsiaTheme="minorEastAsia" w:cs="Calibri"/>
      <w:b/>
      <w:spacing w:val="-2"/>
      <w:sz w:val="18"/>
      <w:lang w:val="en-US"/>
    </w:rPr>
  </w:style>
  <w:style w:type="paragraph" w:customStyle="1" w:styleId="TableHead-L1-LEFTalign">
    <w:name w:val="Table Head - L1 - LEFT align"/>
    <w:basedOn w:val="Body"/>
    <w:qFormat/>
    <w:rsid w:val="0081215D"/>
    <w:pPr>
      <w:ind w:left="1134" w:hanging="1134"/>
    </w:pPr>
    <w:rPr>
      <w:rFonts w:cs="Arial"/>
      <w:b/>
      <w:bCs/>
      <w:color w:val="000000" w:themeColor="text1"/>
    </w:rPr>
  </w:style>
  <w:style w:type="paragraph" w:customStyle="1" w:styleId="TablebulletALPHATABLES">
    <w:name w:val="Table bullet ALPHA (TABLES)"/>
    <w:basedOn w:val="Normal"/>
    <w:uiPriority w:val="99"/>
    <w:rsid w:val="005A5905"/>
    <w:pPr>
      <w:tabs>
        <w:tab w:val="left" w:pos="170"/>
      </w:tabs>
      <w:suppressAutoHyphens/>
      <w:autoSpaceDE w:val="0"/>
      <w:autoSpaceDN w:val="0"/>
      <w:adjustRightInd w:val="0"/>
      <w:spacing w:before="57" w:line="288" w:lineRule="auto"/>
      <w:ind w:left="227" w:hanging="227"/>
      <w:textAlignment w:val="center"/>
    </w:pPr>
    <w:rPr>
      <w:rFonts w:ascii="Calibri-Light" w:hAnsi="Calibri-Light" w:cs="Calibri-Light"/>
      <w:color w:val="000000"/>
      <w:sz w:val="17"/>
      <w:szCs w:val="17"/>
      <w:lang w:val="en-GB"/>
    </w:rPr>
  </w:style>
  <w:style w:type="paragraph" w:customStyle="1" w:styleId="Default">
    <w:name w:val="Default"/>
    <w:rsid w:val="005A590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FirstParagraph">
    <w:name w:val="First Paragraph"/>
    <w:basedOn w:val="BodyText"/>
    <w:next w:val="BodyText"/>
    <w:qFormat/>
    <w:rsid w:val="005A5905"/>
    <w:pPr>
      <w:framePr w:wrap="around" w:hAnchor="text"/>
      <w:spacing w:before="180" w:after="180" w:line="240" w:lineRule="auto"/>
    </w:pPr>
    <w:rPr>
      <w:rFonts w:ascii="Calibri" w:hAnsi="Calibri"/>
      <w:color w:val="000000"/>
      <w:sz w:val="24"/>
      <w:szCs w:val="24"/>
      <w:lang w:val="en-US"/>
    </w:rPr>
  </w:style>
  <w:style w:type="character" w:customStyle="1" w:styleId="UnresolvedMention2">
    <w:name w:val="Unresolved Mention2"/>
    <w:basedOn w:val="DefaultParagraphFont"/>
    <w:uiPriority w:val="99"/>
    <w:semiHidden/>
    <w:unhideWhenUsed/>
    <w:rsid w:val="005A5905"/>
    <w:rPr>
      <w:color w:val="605E5C"/>
      <w:shd w:val="clear" w:color="auto" w:fill="E1DFDD"/>
    </w:rPr>
  </w:style>
  <w:style w:type="paragraph" w:customStyle="1" w:styleId="Syntaxfont">
    <w:name w:val="Syntax font"/>
    <w:basedOn w:val="Body"/>
    <w:link w:val="SyntaxfontChar"/>
    <w:qFormat/>
    <w:rsid w:val="005A5905"/>
    <w:pPr>
      <w:spacing w:line="240" w:lineRule="auto"/>
      <w:contextualSpacing/>
    </w:pPr>
    <w:rPr>
      <w:lang w:bidi="en-US"/>
    </w:rPr>
  </w:style>
  <w:style w:type="character" w:customStyle="1" w:styleId="SyntaxfontChar">
    <w:name w:val="Syntax font Char"/>
    <w:basedOn w:val="BodyChar"/>
    <w:link w:val="Syntaxfont"/>
    <w:rsid w:val="005A5905"/>
    <w:rPr>
      <w:rFonts w:ascii="Arial" w:eastAsia="Times New Roman" w:hAnsi="Arial" w:cs="Times New Roman"/>
      <w:sz w:val="20"/>
      <w:szCs w:val="20"/>
      <w:lang w:bidi="en-US"/>
    </w:rPr>
  </w:style>
  <w:style w:type="table" w:customStyle="1" w:styleId="GridTable4-Accent21">
    <w:name w:val="Grid Table 4 - Accent 21"/>
    <w:basedOn w:val="TableNormal"/>
    <w:uiPriority w:val="49"/>
    <w:rsid w:val="005A5905"/>
    <w:pPr>
      <w:spacing w:after="0" w:line="240" w:lineRule="auto"/>
    </w:pPr>
    <w:rPr>
      <w:rFonts w:eastAsia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bCs/>
        <w:color w:val="FFFFFF" w:themeColor="background1"/>
        <w:sz w:val="20"/>
      </w:rPr>
      <w:tblPr/>
      <w:tcPr>
        <w:shd w:val="clear" w:color="auto" w:fill="EE3B6F" w:themeFill="accent4"/>
      </w:tcPr>
    </w:tblStylePr>
    <w:tblStylePr w:type="lastRow">
      <w:rPr>
        <w:rFonts w:asciiTheme="minorHAnsi" w:hAnsiTheme="minorHAnsi"/>
        <w:b/>
        <w:bCs/>
        <w:sz w:val="20"/>
      </w:rPr>
      <w:tblPr/>
      <w:tcPr>
        <w:tcBorders>
          <w:top w:val="double" w:sz="4" w:space="0" w:color="B7D432" w:themeColor="accent2"/>
        </w:tcBorders>
      </w:tcPr>
    </w:tblStylePr>
    <w:tblStylePr w:type="firstCol">
      <w:rPr>
        <w:rFonts w:asciiTheme="minorHAnsi" w:hAnsiTheme="minorHAnsi"/>
        <w:b/>
        <w:bCs/>
        <w:sz w:val="20"/>
      </w:rPr>
    </w:tblStylePr>
    <w:tblStylePr w:type="lastCol">
      <w:rPr>
        <w:rFonts w:asciiTheme="minorHAnsi" w:hAnsiTheme="minorHAnsi"/>
        <w:b/>
        <w:bCs/>
        <w:sz w:val="20"/>
      </w:rPr>
    </w:tblStylePr>
    <w:tblStylePr w:type="band1Vert">
      <w:rPr>
        <w:rFonts w:asciiTheme="minorHAnsi" w:hAnsiTheme="minorHAnsi"/>
        <w:sz w:val="20"/>
      </w:rPr>
      <w:tblPr/>
      <w:tcPr>
        <w:shd w:val="clear" w:color="auto" w:fill="FBD7E2" w:themeFill="accent4" w:themeFillTint="33"/>
      </w:tcPr>
    </w:tblStylePr>
    <w:tblStylePr w:type="band2Vert">
      <w:rPr>
        <w:rFonts w:asciiTheme="minorHAnsi" w:hAnsiTheme="minorHAnsi"/>
        <w:sz w:val="20"/>
      </w:rPr>
      <w:tblPr/>
      <w:tcPr>
        <w:tcBorders>
          <w:top w:val="nil"/>
          <w:left w:val="nil"/>
          <w:bottom w:val="nil"/>
          <w:right w:val="nil"/>
          <w:insideH w:val="nil"/>
          <w:insideV w:val="nil"/>
        </w:tcBorders>
        <w:shd w:val="clear" w:color="auto" w:fill="FFFFFF" w:themeFill="background1"/>
      </w:tcPr>
    </w:tblStylePr>
    <w:tblStylePr w:type="band1Horz">
      <w:rPr>
        <w:rFonts w:asciiTheme="minorHAnsi" w:hAnsiTheme="minorHAnsi"/>
        <w:sz w:val="20"/>
      </w:rPr>
      <w:tblPr/>
      <w:tcPr>
        <w:shd w:val="clear" w:color="auto" w:fill="FBD7E2" w:themeFill="accent4" w:themeFillTint="33"/>
      </w:tcPr>
    </w:tblStylePr>
    <w:tblStylePr w:type="band2Horz">
      <w:rPr>
        <w:rFonts w:asciiTheme="minorHAnsi" w:hAnsiTheme="minorHAnsi"/>
        <w:sz w:val="20"/>
      </w:rPr>
      <w:tblPr/>
      <w:tcPr>
        <w:shd w:val="clear" w:color="auto" w:fill="FFFFFF" w:themeFill="background1"/>
      </w:tcPr>
    </w:tblStylePr>
  </w:style>
  <w:style w:type="character" w:customStyle="1" w:styleId="TableHeadCharStyle">
    <w:name w:val="Table – Head Char Style"/>
    <w:uiPriority w:val="99"/>
    <w:rsid w:val="005A5905"/>
    <w:rPr>
      <w:sz w:val="18"/>
      <w:szCs w:val="18"/>
    </w:rPr>
  </w:style>
  <w:style w:type="paragraph" w:customStyle="1" w:styleId="Tabletitleupdate">
    <w:name w:val="Table title update"/>
    <w:basedOn w:val="Caption"/>
    <w:link w:val="TabletitleupdateChar"/>
    <w:qFormat/>
    <w:rsid w:val="005A5905"/>
    <w:pPr>
      <w:tabs>
        <w:tab w:val="clear" w:pos="1134"/>
      </w:tabs>
      <w:spacing w:before="0" w:after="200"/>
      <w:ind w:left="0" w:firstLine="0"/>
    </w:pPr>
    <w:rPr>
      <w:b w:val="0"/>
      <w:bCs w:val="0"/>
      <w:sz w:val="20"/>
      <w:szCs w:val="20"/>
      <w:lang w:val="en-US"/>
    </w:rPr>
  </w:style>
  <w:style w:type="paragraph" w:customStyle="1" w:styleId="Noteupdate">
    <w:name w:val="Note update"/>
    <w:basedOn w:val="Footertable"/>
    <w:link w:val="NoteupdateChar"/>
    <w:qFormat/>
    <w:rsid w:val="005A5905"/>
    <w:rPr>
      <w:rFonts w:ascii="Arial" w:hAnsi="Arial" w:cs="Arial"/>
    </w:rPr>
  </w:style>
  <w:style w:type="character" w:customStyle="1" w:styleId="TabletitleupdateChar">
    <w:name w:val="Table title update Char"/>
    <w:basedOn w:val="CaptionChar"/>
    <w:link w:val="Tabletitleupdate"/>
    <w:rsid w:val="005A5905"/>
    <w:rPr>
      <w:rFonts w:ascii="Arial" w:eastAsia="Times New Roman" w:hAnsi="Arial" w:cs="Arial"/>
      <w:b w:val="0"/>
      <w:bCs w:val="0"/>
      <w:color w:val="007A7D" w:themeColor="text2"/>
      <w:sz w:val="20"/>
      <w:szCs w:val="20"/>
      <w:lang w:val="en-US" w:eastAsia="en-AU"/>
    </w:rPr>
  </w:style>
  <w:style w:type="paragraph" w:customStyle="1" w:styleId="zz">
    <w:name w:val="zz"/>
    <w:basedOn w:val="BodyText"/>
    <w:link w:val="zzChar"/>
    <w:qFormat/>
    <w:rsid w:val="005A5905"/>
    <w:pPr>
      <w:framePr w:wrap="around" w:hAnchor="text"/>
      <w:tabs>
        <w:tab w:val="left" w:pos="284"/>
      </w:tabs>
      <w:spacing w:before="120" w:after="0" w:line="230" w:lineRule="exact"/>
      <w:jc w:val="center"/>
    </w:pPr>
    <w:rPr>
      <w:rFonts w:ascii="Calibri" w:hAnsi="Calibri" w:cs="Calibri"/>
      <w:b/>
      <w:bCs/>
      <w:color w:val="000000"/>
      <w:sz w:val="18"/>
      <w:lang w:val="en-GB" w:eastAsia="en-GB"/>
    </w:rPr>
  </w:style>
  <w:style w:type="character" w:customStyle="1" w:styleId="FootertableChar">
    <w:name w:val="Footer (table) Char"/>
    <w:basedOn w:val="DefaultParagraphFont"/>
    <w:link w:val="Footertable"/>
    <w:uiPriority w:val="99"/>
    <w:rsid w:val="005A5905"/>
    <w:rPr>
      <w:rFonts w:ascii="ArialMT" w:hAnsi="ArialMT" w:cs="ArialMT"/>
      <w:color w:val="000000"/>
      <w:spacing w:val="1"/>
      <w:sz w:val="16"/>
      <w:szCs w:val="16"/>
      <w:lang w:val="en-GB"/>
    </w:rPr>
  </w:style>
  <w:style w:type="character" w:customStyle="1" w:styleId="NoteupdateChar">
    <w:name w:val="Note update Char"/>
    <w:basedOn w:val="FootertableChar"/>
    <w:link w:val="Noteupdate"/>
    <w:rsid w:val="005A5905"/>
    <w:rPr>
      <w:rFonts w:ascii="Arial" w:hAnsi="Arial" w:cs="Arial"/>
      <w:color w:val="000000"/>
      <w:spacing w:val="1"/>
      <w:sz w:val="16"/>
      <w:szCs w:val="16"/>
      <w:lang w:val="en-GB"/>
    </w:rPr>
  </w:style>
  <w:style w:type="paragraph" w:customStyle="1" w:styleId="Tabletextupdate">
    <w:name w:val="Table text update"/>
    <w:basedOn w:val="BodyText"/>
    <w:link w:val="TabletextupdateChar"/>
    <w:qFormat/>
    <w:rsid w:val="005A5905"/>
    <w:pPr>
      <w:framePr w:wrap="around" w:hAnchor="text"/>
      <w:tabs>
        <w:tab w:val="left" w:pos="284"/>
      </w:tabs>
      <w:spacing w:before="120" w:after="0" w:line="230" w:lineRule="exact"/>
    </w:pPr>
    <w:rPr>
      <w:rFonts w:ascii="Calibri" w:hAnsi="Calibri" w:cs="Calibri"/>
      <w:color w:val="000000"/>
      <w:lang w:val="en-GB" w:eastAsia="en-GB"/>
    </w:rPr>
  </w:style>
  <w:style w:type="character" w:customStyle="1" w:styleId="zzChar">
    <w:name w:val="zz Char"/>
    <w:basedOn w:val="BodyTextChar"/>
    <w:link w:val="zz"/>
    <w:rsid w:val="005A5905"/>
    <w:rPr>
      <w:rFonts w:ascii="Calibri" w:eastAsiaTheme="minorHAnsi" w:hAnsi="Calibri" w:cs="Calibri"/>
      <w:b/>
      <w:bCs/>
      <w:color w:val="000000"/>
      <w:sz w:val="18"/>
      <w:szCs w:val="18"/>
      <w:lang w:val="en-GB" w:eastAsia="en-GB"/>
    </w:rPr>
  </w:style>
  <w:style w:type="paragraph" w:customStyle="1" w:styleId="Z">
    <w:name w:val="Z"/>
    <w:basedOn w:val="Tabletext"/>
    <w:link w:val="ZChar"/>
    <w:qFormat/>
    <w:rsid w:val="005A5905"/>
    <w:rPr>
      <w:rFonts w:cs="Arial"/>
      <w:szCs w:val="20"/>
    </w:rPr>
  </w:style>
  <w:style w:type="character" w:customStyle="1" w:styleId="TabletextupdateChar">
    <w:name w:val="Table text update Char"/>
    <w:basedOn w:val="BodyTextChar"/>
    <w:link w:val="Tabletextupdate"/>
    <w:rsid w:val="005A5905"/>
    <w:rPr>
      <w:rFonts w:ascii="Calibri" w:eastAsiaTheme="minorHAnsi" w:hAnsi="Calibri" w:cs="Calibri"/>
      <w:color w:val="000000"/>
      <w:sz w:val="20"/>
      <w:szCs w:val="18"/>
      <w:lang w:val="en-GB" w:eastAsia="en-GB"/>
    </w:rPr>
  </w:style>
  <w:style w:type="character" w:customStyle="1" w:styleId="TabletextChar">
    <w:name w:val="Table text Char"/>
    <w:basedOn w:val="DefaultParagraphFont"/>
    <w:link w:val="Tabletext"/>
    <w:rsid w:val="005A5905"/>
    <w:rPr>
      <w:rFonts w:ascii="Arial" w:hAnsi="Arial" w:cs="Gotham-Light"/>
      <w:color w:val="000A23"/>
      <w:spacing w:val="-2"/>
      <w:sz w:val="18"/>
      <w:szCs w:val="18"/>
      <w:lang w:val="en-GB"/>
    </w:rPr>
  </w:style>
  <w:style w:type="character" w:customStyle="1" w:styleId="ZChar">
    <w:name w:val="Z Char"/>
    <w:basedOn w:val="TabletextChar"/>
    <w:link w:val="Z"/>
    <w:rsid w:val="005A5905"/>
    <w:rPr>
      <w:rFonts w:ascii="Arial" w:hAnsi="Arial" w:cs="Arial"/>
      <w:color w:val="000A23"/>
      <w:spacing w:val="-2"/>
      <w:sz w:val="18"/>
      <w:szCs w:val="20"/>
      <w:lang w:val="en-GB"/>
    </w:rPr>
  </w:style>
  <w:style w:type="character" w:customStyle="1" w:styleId="cf01">
    <w:name w:val="cf01"/>
    <w:basedOn w:val="DefaultParagraphFont"/>
    <w:rsid w:val="005A5905"/>
    <w:rPr>
      <w:rFonts w:ascii="Segoe UI" w:hAnsi="Segoe UI" w:cs="Segoe UI" w:hint="default"/>
      <w:sz w:val="18"/>
      <w:szCs w:val="18"/>
    </w:rPr>
  </w:style>
  <w:style w:type="character" w:styleId="Mention">
    <w:name w:val="Mention"/>
    <w:basedOn w:val="DefaultParagraphFont"/>
    <w:uiPriority w:val="99"/>
    <w:unhideWhenUsed/>
    <w:rsid w:val="005A5905"/>
    <w:rPr>
      <w:color w:val="2B579A"/>
      <w:shd w:val="clear" w:color="auto" w:fill="E1DFDD"/>
    </w:rPr>
  </w:style>
  <w:style w:type="character" w:customStyle="1" w:styleId="A4">
    <w:name w:val="A4"/>
    <w:basedOn w:val="DefaultParagraphFont"/>
    <w:uiPriority w:val="99"/>
    <w:rsid w:val="005A5905"/>
    <w:rPr>
      <w:rFonts w:ascii="Lato" w:hAnsi="Lato" w:hint="default"/>
      <w:color w:val="000000"/>
    </w:rPr>
  </w:style>
  <w:style w:type="paragraph" w:customStyle="1" w:styleId="BasicParagraph">
    <w:name w:val="[Basic Paragraph]"/>
    <w:basedOn w:val="NoParagraphStyle"/>
    <w:uiPriority w:val="99"/>
    <w:rsid w:val="005A5905"/>
    <w:pPr>
      <w:widowControl/>
    </w:pPr>
    <w:rPr>
      <w:rFonts w:ascii="MinionPro-Regular" w:hAnsi="MinionPro-Regular"/>
      <w:b w:val="0"/>
      <w:bCs w:val="0"/>
      <w:caps w:val="0"/>
      <w:color w:val="000000"/>
      <w:sz w:val="24"/>
      <w:szCs w:val="24"/>
      <w:lang w:val="en-US"/>
    </w:rPr>
  </w:style>
  <w:style w:type="character" w:customStyle="1" w:styleId="Tableandchartnumber">
    <w:name w:val="Table and chart number"/>
    <w:uiPriority w:val="99"/>
    <w:rsid w:val="005A5905"/>
    <w:rPr>
      <w:rFonts w:ascii="Quicksand SemiBold" w:hAnsi="Quicksand SemiBold" w:cs="Quicksand SemiBold"/>
      <w:b/>
      <w:bCs/>
      <w:sz w:val="18"/>
      <w:szCs w:val="18"/>
    </w:rPr>
  </w:style>
  <w:style w:type="character" w:customStyle="1" w:styleId="Tableandchartdescription">
    <w:name w:val="Table and chart description"/>
    <w:basedOn w:val="Tableandchartnumber"/>
    <w:uiPriority w:val="99"/>
    <w:rsid w:val="005A5905"/>
    <w:rPr>
      <w:rFonts w:ascii="Quicksand" w:hAnsi="Quicksand" w:cs="Quicksand"/>
      <w:b/>
      <w:bCs/>
      <w:sz w:val="18"/>
      <w:szCs w:val="18"/>
    </w:rPr>
  </w:style>
  <w:style w:type="character" w:customStyle="1" w:styleId="normaltextrun">
    <w:name w:val="normaltextrun"/>
    <w:basedOn w:val="DefaultParagraphFont"/>
    <w:rsid w:val="005A5905"/>
  </w:style>
  <w:style w:type="character" w:customStyle="1" w:styleId="eop">
    <w:name w:val="eop"/>
    <w:basedOn w:val="DefaultParagraphFont"/>
    <w:rsid w:val="005A5905"/>
  </w:style>
  <w:style w:type="paragraph" w:customStyle="1" w:styleId="paragraph">
    <w:name w:val="paragraph"/>
    <w:basedOn w:val="Normal"/>
    <w:rsid w:val="005A59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msonormal0">
    <w:name w:val="msonormal"/>
    <w:basedOn w:val="Normal"/>
    <w:rsid w:val="005A590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5A5905"/>
    <w:pPr>
      <w:pBdr>
        <w:left w:val="single" w:sz="12" w:space="0" w:color="FFFFFF"/>
        <w:right w:val="single" w:sz="12" w:space="0" w:color="FFFFFF"/>
      </w:pBdr>
      <w:shd w:val="clear" w:color="000000" w:fill="1F698E"/>
      <w:spacing w:before="100" w:beforeAutospacing="1" w:after="100" w:afterAutospacing="1"/>
      <w:jc w:val="center"/>
      <w:textAlignment w:val="center"/>
    </w:pPr>
    <w:rPr>
      <w:rFonts w:ascii="Calibri" w:eastAsia="Times New Roman" w:hAnsi="Calibri" w:cs="Calibri"/>
      <w:b/>
      <w:bCs/>
      <w:color w:val="FFFFFF"/>
      <w:sz w:val="24"/>
      <w:szCs w:val="24"/>
      <w:lang w:eastAsia="en-AU"/>
    </w:rPr>
  </w:style>
  <w:style w:type="table" w:customStyle="1" w:styleId="SRC">
    <w:name w:val="SRC"/>
    <w:basedOn w:val="TableNormal"/>
    <w:uiPriority w:val="99"/>
    <w:rsid w:val="005A5905"/>
    <w:pPr>
      <w:spacing w:before="60" w:after="60" w:line="240" w:lineRule="auto"/>
    </w:pPr>
    <w:rPr>
      <w:rFonts w:ascii="Arial" w:eastAsiaTheme="minorHAnsi" w:hAnsi="Arial"/>
      <w:sz w:val="18"/>
    </w:rPr>
    <w:tblPr>
      <w:tblStyleRowBandSize w:val="1"/>
      <w:tblStyleColBandSize w:val="1"/>
      <w:tblBorders>
        <w:bottom w:val="single" w:sz="4" w:space="0" w:color="EE3B6F" w:themeColor="accent4"/>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BFBE" w:themeFill="accent1"/>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FBD7E2" w:themeFill="accent4" w:themeFillTint="33"/>
      </w:tcPr>
    </w:tblStylePr>
    <w:tblStylePr w:type="band2Horz">
      <w:pPr>
        <w:wordWrap/>
        <w:spacing w:beforeLines="0" w:before="60" w:beforeAutospacing="0" w:afterLines="0" w:after="60" w:afterAutospacing="0"/>
        <w:contextualSpacing w:val="0"/>
        <w:jc w:val="right"/>
      </w:pPr>
      <w:tblPr/>
      <w:tcPr>
        <w:vAlign w:val="center"/>
      </w:tcPr>
    </w:tblStylePr>
  </w:style>
  <w:style w:type="paragraph" w:customStyle="1" w:styleId="1ResponseFrame">
    <w:name w:val="1. Response Frame"/>
    <w:basedOn w:val="Normal"/>
    <w:rsid w:val="005A5905"/>
    <w:pPr>
      <w:ind w:left="1701" w:hanging="567"/>
    </w:pPr>
    <w:rPr>
      <w:rFonts w:cs="Arial"/>
      <w:szCs w:val="20"/>
    </w:rPr>
  </w:style>
  <w:style w:type="paragraph" w:customStyle="1" w:styleId="QNameText">
    <w:name w:val="Q Name &amp; Text"/>
    <w:basedOn w:val="Normal"/>
    <w:next w:val="Normal"/>
    <w:qFormat/>
    <w:rsid w:val="005A5905"/>
    <w:pPr>
      <w:spacing w:after="120"/>
      <w:ind w:left="1134" w:hanging="1134"/>
    </w:pPr>
    <w:rPr>
      <w:szCs w:val="22"/>
    </w:rPr>
  </w:style>
  <w:style w:type="paragraph" w:customStyle="1" w:styleId="FigureNote">
    <w:name w:val="Figure Note"/>
    <w:basedOn w:val="Normal"/>
    <w:link w:val="FigureNoteChar"/>
    <w:qFormat/>
    <w:rsid w:val="005A5905"/>
    <w:pPr>
      <w:spacing w:before="120"/>
      <w:jc w:val="both"/>
    </w:pPr>
    <w:rPr>
      <w:rFonts w:eastAsia="Calibri" w:cs="Times New Roman"/>
      <w:sz w:val="16"/>
      <w:szCs w:val="22"/>
      <w:lang w:val="en-GB"/>
    </w:rPr>
  </w:style>
  <w:style w:type="character" w:customStyle="1" w:styleId="FigureNoteChar">
    <w:name w:val="Figure Note Char"/>
    <w:basedOn w:val="DefaultParagraphFont"/>
    <w:link w:val="FigureNote"/>
    <w:rsid w:val="005A5905"/>
    <w:rPr>
      <w:rFonts w:ascii="Arial" w:eastAsia="Calibri" w:hAnsi="Arial" w:cs="Times New Roman"/>
      <w:sz w:val="16"/>
      <w:lang w:val="en-GB"/>
    </w:rPr>
  </w:style>
  <w:style w:type="character" w:customStyle="1" w:styleId="ui-provider">
    <w:name w:val="ui-provider"/>
    <w:basedOn w:val="DefaultParagraphFont"/>
    <w:rsid w:val="00B0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1537">
      <w:bodyDiv w:val="1"/>
      <w:marLeft w:val="0"/>
      <w:marRight w:val="0"/>
      <w:marTop w:val="0"/>
      <w:marBottom w:val="0"/>
      <w:divBdr>
        <w:top w:val="none" w:sz="0" w:space="0" w:color="auto"/>
        <w:left w:val="none" w:sz="0" w:space="0" w:color="auto"/>
        <w:bottom w:val="none" w:sz="0" w:space="0" w:color="auto"/>
        <w:right w:val="none" w:sz="0" w:space="0" w:color="auto"/>
      </w:divBdr>
    </w:div>
    <w:div w:id="129717099">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04493562">
      <w:bodyDiv w:val="1"/>
      <w:marLeft w:val="0"/>
      <w:marRight w:val="0"/>
      <w:marTop w:val="0"/>
      <w:marBottom w:val="0"/>
      <w:divBdr>
        <w:top w:val="none" w:sz="0" w:space="0" w:color="auto"/>
        <w:left w:val="none" w:sz="0" w:space="0" w:color="auto"/>
        <w:bottom w:val="none" w:sz="0" w:space="0" w:color="auto"/>
        <w:right w:val="none" w:sz="0" w:space="0" w:color="auto"/>
      </w:divBdr>
    </w:div>
    <w:div w:id="416098019">
      <w:bodyDiv w:val="1"/>
      <w:marLeft w:val="0"/>
      <w:marRight w:val="0"/>
      <w:marTop w:val="0"/>
      <w:marBottom w:val="0"/>
      <w:divBdr>
        <w:top w:val="none" w:sz="0" w:space="0" w:color="auto"/>
        <w:left w:val="none" w:sz="0" w:space="0" w:color="auto"/>
        <w:bottom w:val="none" w:sz="0" w:space="0" w:color="auto"/>
        <w:right w:val="none" w:sz="0" w:space="0" w:color="auto"/>
      </w:divBdr>
    </w:div>
    <w:div w:id="460684633">
      <w:bodyDiv w:val="1"/>
      <w:marLeft w:val="0"/>
      <w:marRight w:val="0"/>
      <w:marTop w:val="0"/>
      <w:marBottom w:val="0"/>
      <w:divBdr>
        <w:top w:val="none" w:sz="0" w:space="0" w:color="auto"/>
        <w:left w:val="none" w:sz="0" w:space="0" w:color="auto"/>
        <w:bottom w:val="none" w:sz="0" w:space="0" w:color="auto"/>
        <w:right w:val="none" w:sz="0" w:space="0" w:color="auto"/>
      </w:divBdr>
    </w:div>
    <w:div w:id="949824284">
      <w:bodyDiv w:val="1"/>
      <w:marLeft w:val="0"/>
      <w:marRight w:val="0"/>
      <w:marTop w:val="0"/>
      <w:marBottom w:val="0"/>
      <w:divBdr>
        <w:top w:val="none" w:sz="0" w:space="0" w:color="auto"/>
        <w:left w:val="none" w:sz="0" w:space="0" w:color="auto"/>
        <w:bottom w:val="none" w:sz="0" w:space="0" w:color="auto"/>
        <w:right w:val="none" w:sz="0" w:space="0" w:color="auto"/>
      </w:divBdr>
    </w:div>
    <w:div w:id="1117454572">
      <w:bodyDiv w:val="1"/>
      <w:marLeft w:val="0"/>
      <w:marRight w:val="0"/>
      <w:marTop w:val="0"/>
      <w:marBottom w:val="0"/>
      <w:divBdr>
        <w:top w:val="none" w:sz="0" w:space="0" w:color="auto"/>
        <w:left w:val="none" w:sz="0" w:space="0" w:color="auto"/>
        <w:bottom w:val="none" w:sz="0" w:space="0" w:color="auto"/>
        <w:right w:val="none" w:sz="0" w:space="0" w:color="auto"/>
      </w:divBdr>
    </w:div>
    <w:div w:id="1180772927">
      <w:bodyDiv w:val="1"/>
      <w:marLeft w:val="0"/>
      <w:marRight w:val="0"/>
      <w:marTop w:val="0"/>
      <w:marBottom w:val="0"/>
      <w:divBdr>
        <w:top w:val="none" w:sz="0" w:space="0" w:color="auto"/>
        <w:left w:val="none" w:sz="0" w:space="0" w:color="auto"/>
        <w:bottom w:val="none" w:sz="0" w:space="0" w:color="auto"/>
        <w:right w:val="none" w:sz="0" w:space="0" w:color="auto"/>
      </w:divBdr>
    </w:div>
    <w:div w:id="1562523193">
      <w:bodyDiv w:val="1"/>
      <w:marLeft w:val="0"/>
      <w:marRight w:val="0"/>
      <w:marTop w:val="0"/>
      <w:marBottom w:val="0"/>
      <w:divBdr>
        <w:top w:val="none" w:sz="0" w:space="0" w:color="auto"/>
        <w:left w:val="none" w:sz="0" w:space="0" w:color="auto"/>
        <w:bottom w:val="none" w:sz="0" w:space="0" w:color="auto"/>
        <w:right w:val="none" w:sz="0" w:space="0" w:color="auto"/>
      </w:divBdr>
    </w:div>
    <w:div w:id="1562715679">
      <w:bodyDiv w:val="1"/>
      <w:marLeft w:val="0"/>
      <w:marRight w:val="0"/>
      <w:marTop w:val="0"/>
      <w:marBottom w:val="0"/>
      <w:divBdr>
        <w:top w:val="none" w:sz="0" w:space="0" w:color="auto"/>
        <w:left w:val="none" w:sz="0" w:space="0" w:color="auto"/>
        <w:bottom w:val="none" w:sz="0" w:space="0" w:color="auto"/>
        <w:right w:val="none" w:sz="0" w:space="0" w:color="auto"/>
      </w:divBdr>
    </w:div>
    <w:div w:id="172603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eader" Target="header3.xml"/><Relationship Id="rId42" Type="http://schemas.openxmlformats.org/officeDocument/2006/relationships/footer" Target="footer7.xml"/><Relationship Id="rId47" Type="http://schemas.openxmlformats.org/officeDocument/2006/relationships/header" Target="header7.xml"/><Relationship Id="rId63" Type="http://schemas.openxmlformats.org/officeDocument/2006/relationships/chart" Target="charts/chart22.xml"/><Relationship Id="rId68" Type="http://schemas.openxmlformats.org/officeDocument/2006/relationships/chart" Target="charts/chart27.xml"/><Relationship Id="rId84" Type="http://schemas.openxmlformats.org/officeDocument/2006/relationships/header" Target="header16.xml"/><Relationship Id="rId89"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footer" Target="footer6.xml"/><Relationship Id="rId37" Type="http://schemas.openxmlformats.org/officeDocument/2006/relationships/chart" Target="charts/chart13.xml"/><Relationship Id="rId53" Type="http://schemas.openxmlformats.org/officeDocument/2006/relationships/footer" Target="footer11.xml"/><Relationship Id="rId58" Type="http://schemas.openxmlformats.org/officeDocument/2006/relationships/header" Target="header11.xml"/><Relationship Id="rId74" Type="http://schemas.openxmlformats.org/officeDocument/2006/relationships/header" Target="header14.xml"/><Relationship Id="rId79" Type="http://schemas.openxmlformats.org/officeDocument/2006/relationships/footer" Target="footer18.xm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1.xml"/><Relationship Id="rId43" Type="http://schemas.openxmlformats.org/officeDocument/2006/relationships/chart" Target="charts/chart17.xml"/><Relationship Id="rId48" Type="http://schemas.openxmlformats.org/officeDocument/2006/relationships/footer" Target="footer9.xml"/><Relationship Id="rId56" Type="http://schemas.openxmlformats.org/officeDocument/2006/relationships/footer" Target="footer12.xml"/><Relationship Id="rId64" Type="http://schemas.openxmlformats.org/officeDocument/2006/relationships/chart" Target="charts/chart23.xml"/><Relationship Id="rId69" Type="http://schemas.openxmlformats.org/officeDocument/2006/relationships/chart" Target="charts/chart28.xml"/><Relationship Id="rId77" Type="http://schemas.openxmlformats.org/officeDocument/2006/relationships/chart" Target="charts/chart32.xml"/><Relationship Id="rId8" Type="http://schemas.openxmlformats.org/officeDocument/2006/relationships/webSettings" Target="webSettings.xml"/><Relationship Id="rId51" Type="http://schemas.openxmlformats.org/officeDocument/2006/relationships/chart" Target="charts/chart19.xml"/><Relationship Id="rId72" Type="http://schemas.openxmlformats.org/officeDocument/2006/relationships/footer" Target="footer16.xml"/><Relationship Id="rId80" Type="http://schemas.openxmlformats.org/officeDocument/2006/relationships/chart" Target="charts/chart33.xml"/><Relationship Id="rId85"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yperlink" Target="www.qilt.edu.au" TargetMode="External"/><Relationship Id="rId17" Type="http://schemas.openxmlformats.org/officeDocument/2006/relationships/header" Target="header2.xml"/><Relationship Id="rId25" Type="http://schemas.openxmlformats.org/officeDocument/2006/relationships/chart" Target="charts/chart3.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footer" Target="footer8.xml"/><Relationship Id="rId59" Type="http://schemas.openxmlformats.org/officeDocument/2006/relationships/footer" Target="footer13.xml"/><Relationship Id="rId67" Type="http://schemas.openxmlformats.org/officeDocument/2006/relationships/chart" Target="charts/chart26.xml"/><Relationship Id="rId20" Type="http://schemas.openxmlformats.org/officeDocument/2006/relationships/chart" Target="charts/chart1.xml"/><Relationship Id="rId41" Type="http://schemas.openxmlformats.org/officeDocument/2006/relationships/header" Target="header5.xml"/><Relationship Id="rId54" Type="http://schemas.openxmlformats.org/officeDocument/2006/relationships/chart" Target="charts/chart20.xml"/><Relationship Id="rId62" Type="http://schemas.openxmlformats.org/officeDocument/2006/relationships/footer" Target="footer15.xml"/><Relationship Id="rId70" Type="http://schemas.openxmlformats.org/officeDocument/2006/relationships/chart" Target="charts/chart29.xml"/><Relationship Id="rId75" Type="http://schemas.openxmlformats.org/officeDocument/2006/relationships/footer" Target="footer17.xml"/><Relationship Id="rId83" Type="http://schemas.openxmlformats.org/officeDocument/2006/relationships/image" Target="media/image4.png"/><Relationship Id="rId88"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2.xml"/><Relationship Id="rId49" Type="http://schemas.openxmlformats.org/officeDocument/2006/relationships/header" Target="header8.xml"/><Relationship Id="rId57" Type="http://schemas.openxmlformats.org/officeDocument/2006/relationships/chart" Target="charts/chart2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chart" Target="charts/chart18.xml"/><Relationship Id="rId52" Type="http://schemas.openxmlformats.org/officeDocument/2006/relationships/header" Target="header9.xml"/><Relationship Id="rId60" Type="http://schemas.openxmlformats.org/officeDocument/2006/relationships/footer" Target="footer14.xml"/><Relationship Id="rId65" Type="http://schemas.openxmlformats.org/officeDocument/2006/relationships/chart" Target="charts/chart24.xml"/><Relationship Id="rId73" Type="http://schemas.openxmlformats.org/officeDocument/2006/relationships/chart" Target="charts/chart30.xml"/><Relationship Id="rId78" Type="http://schemas.openxmlformats.org/officeDocument/2006/relationships/header" Target="header15.xml"/><Relationship Id="rId81" Type="http://schemas.openxmlformats.org/officeDocument/2006/relationships/image" Target="media/image3.png"/><Relationship Id="rId86" Type="http://schemas.openxmlformats.org/officeDocument/2006/relationships/chart" Target="charts/chart3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qilt@srcentre.com.au" TargetMode="External"/><Relationship Id="rId18" Type="http://schemas.openxmlformats.org/officeDocument/2006/relationships/footer" Target="footer3.xml"/><Relationship Id="rId39" Type="http://schemas.openxmlformats.org/officeDocument/2006/relationships/chart" Target="charts/chart15.xml"/><Relationship Id="rId34" Type="http://schemas.openxmlformats.org/officeDocument/2006/relationships/chart" Target="charts/chart10.xml"/><Relationship Id="rId50" Type="http://schemas.openxmlformats.org/officeDocument/2006/relationships/footer" Target="footer10.xml"/><Relationship Id="rId55" Type="http://schemas.openxmlformats.org/officeDocument/2006/relationships/header" Target="header10.xml"/><Relationship Id="rId76" Type="http://schemas.openxmlformats.org/officeDocument/2006/relationships/chart" Target="charts/chart31.xml"/><Relationship Id="rId7" Type="http://schemas.openxmlformats.org/officeDocument/2006/relationships/settings" Target="settings.xml"/><Relationship Id="rId71"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chart" Target="charts/chart7.xml"/><Relationship Id="rId24" Type="http://schemas.openxmlformats.org/officeDocument/2006/relationships/image" Target="media/image2.emf"/><Relationship Id="rId40" Type="http://schemas.openxmlformats.org/officeDocument/2006/relationships/chart" Target="charts/chart16.xml"/><Relationship Id="rId45" Type="http://schemas.openxmlformats.org/officeDocument/2006/relationships/header" Target="header6.xml"/><Relationship Id="rId66" Type="http://schemas.openxmlformats.org/officeDocument/2006/relationships/chart" Target="charts/chart25.xml"/><Relationship Id="rId87" Type="http://schemas.openxmlformats.org/officeDocument/2006/relationships/footer" Target="footer20.xml"/><Relationship Id="rId61" Type="http://schemas.openxmlformats.org/officeDocument/2006/relationships/header" Target="header12.xml"/><Relationship Id="rId82" Type="http://schemas.openxmlformats.org/officeDocument/2006/relationships/chart" Target="charts/chart34.xml"/><Relationship Id="rId19"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nsse.indiana.edu/nsse/reports-data/report-builder/index.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srcentre.local\drives\z\Consulting\Jobs\QILT\SES\2023\11.%20Reporting\Analytical%20report\International%20Report\Workings\2023%20SES%20International%20Report%20tables%20and%20figures%20(2409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srcentre.local\drives\z\Consulting\Jobs\QILT\SES\2023\11.%20Reporting\Analytical%20report\International%20Report\Workings\2023%20SES%20International%20Report%20tables%20and%20figures%20(24090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srcentre.local\drives\k\QILT\SES\2023\11.%20Reporting\Analytical%20report\Workings\International%20report\2023%20SES%20International%20Report%20tables%20and%20figures%20(24062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srcentre.local\drives\k\QILT\SES\2023\11.%20Reporting\Analytical%20report\Workings\International%20report\2023%20SES%20International%20Report%20tables%20and%20figures%20(24062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srcentre.local\drives\k\QILT\SES\2023\11.%20Reporting\Analytical%20report\Workings\International%20report\2023%20SES%20International%20Report%20tables%20and%20figures%20(24062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srcentre.local\drives\k\QILT\SES\2023\11.%20Reporting\Analytical%20report\Workings\International%20report\2023%20SES%20International%20Report%20tables%20and%20figures%20(240627).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srcentre.local\drives\k\QILT\SES\2023\11.%20Reporting\Analytical%20report\Workings\International%20report\2023%20SES%20International%20Report%20tables%20and%20figures%20(24083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Volumes\srcentre.local\Consulting\Jobs\QILT\SES\2023\11.%20Reporting\Analytical%20report\International%20Report\Workings\2023%20SES%20International%20Report%20tables%20and%20figures%20(250825).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srcentre.local\drives\z\Consulting\Jobs\QILT\SES\2023\11.%20Reporting\Analytical%20report\International%20Report\Workings\2023%20SES%20International%20Report%20tables%20and%20figures%20(240903).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srcentre.local\drives\z\Consulting\Jobs\QILT\SES\2023\11.%20Reporting\Analytical%20report\International%20Report\Workings\2023%20SES%20International%20Report%20tables%20and%20figures%20(240903).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srcentre.local\drives\k\QILT\SES\2023\11.%20Reporting\Analytical%20report\International%20Report\Workings\2023%20SES%20International%20Report%20tables%20and%20figures%20(24083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srcentre.local\drives\k\QILT\SES\2023\11.%20Reporting\Analytical%20report\Workings\International%20report\2023%20SES%20International%20Report%20tables%20and%20figures%20(2406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'FOCUS_UG_ALL_14-YY_YEAR'!$B$2</c:f>
              <c:strCache>
                <c:ptCount val="1"/>
                <c:pt idx="0">
                  <c:v>Skills Development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10-4415-BC28-4A9751CCF302}"/>
                </c:ext>
              </c:extLst>
            </c:dLbl>
            <c:dLbl>
              <c:idx val="5"/>
              <c:layout>
                <c:manualLayout>
                  <c:x val="-1.9667714998373279E-2"/>
                  <c:y val="-1.2380738855248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10-4415-BC28-4A9751CCF302}"/>
                </c:ext>
              </c:extLst>
            </c:dLbl>
            <c:spPr>
              <a:noFill/>
              <a:ln>
                <a:noFill/>
              </a:ln>
              <a:effectLst/>
            </c:spPr>
            <c:txPr>
              <a:bodyPr rot="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'FOCUS_UG_ALL_14-YY_YEAR'!$B$9:$B$15</c:f>
              <c:numCache>
                <c:formatCode>0.0%</c:formatCode>
                <c:ptCount val="7"/>
                <c:pt idx="0">
                  <c:v>0.79400000000000004</c:v>
                </c:pt>
                <c:pt idx="1">
                  <c:v>0.79799999999999993</c:v>
                </c:pt>
                <c:pt idx="2">
                  <c:v>0.79700000000000004</c:v>
                </c:pt>
                <c:pt idx="3">
                  <c:v>0.75700000000000001</c:v>
                </c:pt>
                <c:pt idx="4">
                  <c:v>0.77099999999999991</c:v>
                </c:pt>
                <c:pt idx="5">
                  <c:v>0.81799999999999995</c:v>
                </c:pt>
                <c:pt idx="6">
                  <c:v>0.83400000000000007</c:v>
                </c:pt>
              </c:numCache>
            </c:numRef>
          </c:val>
          <c:smooth val="0"/>
          <c:extLst>
            <c:ext xmlns:c16="http://schemas.microsoft.com/office/drawing/2014/chart" uri="{C3380CC4-5D6E-409C-BE32-E72D297353CC}">
              <c16:uniqueId val="{00000003-7A10-4415-BC28-4A9751CCF302}"/>
            </c:ext>
          </c:extLst>
        </c:ser>
        <c:ser>
          <c:idx val="1"/>
          <c:order val="1"/>
          <c:tx>
            <c:strRef>
              <c:f>'FOCUS_UG_ALL_14-YY_YEAR'!$C$2</c:f>
              <c:strCache>
                <c:ptCount val="1"/>
                <c:pt idx="0">
                  <c:v>Peer Engagement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6"/>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5-7A10-4415-BC28-4A9751CCF302}"/>
              </c:ext>
            </c:extLst>
          </c:dPt>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10-4415-BC28-4A9751CCF302}"/>
                </c:ext>
              </c:extLst>
            </c:dLbl>
            <c:spPr>
              <a:noFill/>
              <a:ln>
                <a:noFill/>
              </a:ln>
              <a:effectLst/>
            </c:spPr>
            <c:txPr>
              <a:bodyPr rot="0" spcFirstLastPara="1" vertOverflow="ellipsis" vert="horz" wrap="square" anchor="ctr" anchorCtr="1"/>
              <a:lstStyle/>
              <a:p>
                <a:pPr>
                  <a:defRPr sz="900" b="0"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'FOCUS_UG_ALL_14-YY_YEAR'!$C$9:$C$15</c:f>
              <c:numCache>
                <c:formatCode>0.0%</c:formatCode>
                <c:ptCount val="7"/>
                <c:pt idx="0">
                  <c:v>0.57399999999999995</c:v>
                </c:pt>
                <c:pt idx="1">
                  <c:v>0.58200000000000007</c:v>
                </c:pt>
                <c:pt idx="2">
                  <c:v>0.59399999999999997</c:v>
                </c:pt>
                <c:pt idx="3">
                  <c:v>0.48700000000000004</c:v>
                </c:pt>
                <c:pt idx="4">
                  <c:v>0.48399999999999999</c:v>
                </c:pt>
                <c:pt idx="5">
                  <c:v>0.61499999999999999</c:v>
                </c:pt>
                <c:pt idx="6">
                  <c:v>0.69499999999999995</c:v>
                </c:pt>
              </c:numCache>
            </c:numRef>
          </c:val>
          <c:smooth val="0"/>
          <c:extLst>
            <c:ext xmlns:c16="http://schemas.microsoft.com/office/drawing/2014/chart" uri="{C3380CC4-5D6E-409C-BE32-E72D297353CC}">
              <c16:uniqueId val="{00000007-7A10-4415-BC28-4A9751CCF302}"/>
            </c:ext>
          </c:extLst>
        </c:ser>
        <c:ser>
          <c:idx val="2"/>
          <c:order val="2"/>
          <c:tx>
            <c:strRef>
              <c:f>'FOCUS_UG_ALL_14-YY_YEAR'!$D$2</c:f>
              <c:strCache>
                <c:ptCount val="1"/>
                <c:pt idx="0">
                  <c:v>Teaching Quality and Engagement</c:v>
                </c:pt>
              </c:strCache>
            </c:strRef>
          </c:tx>
          <c:spPr>
            <a:ln w="28575" cap="rnd">
              <a:solidFill>
                <a:schemeClr val="accent5"/>
              </a:solidFill>
              <a:round/>
            </a:ln>
            <a:effectLst/>
          </c:spPr>
          <c:marker>
            <c:symbol val="circle"/>
            <c:size val="5"/>
            <c:spPr>
              <a:solidFill>
                <a:schemeClr val="accent5"/>
              </a:solidFill>
              <a:ln w="9525">
                <a:solidFill>
                  <a:schemeClr val="accent5">
                    <a:alpha val="95000"/>
                  </a:schemeClr>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10-4415-BC28-4A9751CCF302}"/>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10-4415-BC28-4A9751CCF302}"/>
                </c:ext>
              </c:extLst>
            </c:dLbl>
            <c:dLbl>
              <c:idx val="4"/>
              <c:layout>
                <c:manualLayout>
                  <c:x val="-1.9701093417134517E-2"/>
                  <c:y val="1.8872265966754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A10-4415-BC28-4A9751CCF302}"/>
                </c:ext>
              </c:extLst>
            </c:dLbl>
            <c:spPr>
              <a:noFill/>
              <a:ln>
                <a:noFill/>
              </a:ln>
              <a:effectLst/>
            </c:spPr>
            <c:txPr>
              <a:bodyPr rot="0" spcFirstLastPara="1" vertOverflow="ellipsis" vert="horz" wrap="square" anchor="ctr" anchorCtr="1"/>
              <a:lstStyle/>
              <a:p>
                <a:pPr>
                  <a:defRPr sz="900" b="0" i="0" u="none" strike="noStrike" kern="1200" baseline="0">
                    <a:solidFill>
                      <a:schemeClr val="accent5">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'FOCUS_UG_ALL_14-YY_YEAR'!$D$9:$D$15</c:f>
              <c:numCache>
                <c:formatCode>0.0%</c:formatCode>
                <c:ptCount val="7"/>
                <c:pt idx="0">
                  <c:v>0.77500000000000002</c:v>
                </c:pt>
                <c:pt idx="1">
                  <c:v>0.78799999999999992</c:v>
                </c:pt>
                <c:pt idx="2">
                  <c:v>0.78500000000000003</c:v>
                </c:pt>
                <c:pt idx="3">
                  <c:v>0.73799999999999999</c:v>
                </c:pt>
                <c:pt idx="4">
                  <c:v>0.75900000000000001</c:v>
                </c:pt>
                <c:pt idx="5">
                  <c:v>0.80200000000000005</c:v>
                </c:pt>
                <c:pt idx="6">
                  <c:v>0.82499999999999996</c:v>
                </c:pt>
              </c:numCache>
            </c:numRef>
          </c:val>
          <c:smooth val="0"/>
          <c:extLst>
            <c:ext xmlns:c16="http://schemas.microsoft.com/office/drawing/2014/chart" uri="{C3380CC4-5D6E-409C-BE32-E72D297353CC}">
              <c16:uniqueId val="{0000000C-7A10-4415-BC28-4A9751CCF302}"/>
            </c:ext>
          </c:extLst>
        </c:ser>
        <c:ser>
          <c:idx val="3"/>
          <c:order val="3"/>
          <c:tx>
            <c:strRef>
              <c:f>'FOCUS_UG_ALL_14-YY_YEAR'!$E$2</c:f>
              <c:strCache>
                <c:ptCount val="1"/>
                <c:pt idx="0">
                  <c:v>Student Support and Services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6"/>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0E-7A10-4415-BC28-4A9751CCF302}"/>
              </c:ext>
            </c:extLst>
          </c:dPt>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A10-4415-BC28-4A9751CCF302}"/>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A10-4415-BC28-4A9751CCF302}"/>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'FOCUS_UG_ALL_14-YY_YEAR'!$E$9:$E$15</c:f>
              <c:numCache>
                <c:formatCode>0.0%</c:formatCode>
                <c:ptCount val="7"/>
                <c:pt idx="0">
                  <c:v>0.72199999999999998</c:v>
                </c:pt>
                <c:pt idx="1">
                  <c:v>0.71099999999999997</c:v>
                </c:pt>
                <c:pt idx="2">
                  <c:v>0.73499999999999999</c:v>
                </c:pt>
                <c:pt idx="3">
                  <c:v>0.70700000000000007</c:v>
                </c:pt>
                <c:pt idx="4">
                  <c:v>0.70599999999999996</c:v>
                </c:pt>
                <c:pt idx="5">
                  <c:v>0.75</c:v>
                </c:pt>
                <c:pt idx="6">
                  <c:v>0.78099999999999992</c:v>
                </c:pt>
              </c:numCache>
            </c:numRef>
          </c:val>
          <c:smooth val="0"/>
          <c:extLst>
            <c:ext xmlns:c16="http://schemas.microsoft.com/office/drawing/2014/chart" uri="{C3380CC4-5D6E-409C-BE32-E72D297353CC}">
              <c16:uniqueId val="{00000011-7A10-4415-BC28-4A9751CCF302}"/>
            </c:ext>
          </c:extLst>
        </c:ser>
        <c:ser>
          <c:idx val="4"/>
          <c:order val="4"/>
          <c:tx>
            <c:strRef>
              <c:f>'FOCUS_UG_ALL_14-YY_YEAR'!$F$2</c:f>
              <c:strCache>
                <c:ptCount val="1"/>
                <c:pt idx="0">
                  <c:v>Learning Resources</c:v>
                </c:pt>
              </c:strCache>
            </c:strRef>
          </c:tx>
          <c:spPr>
            <a:ln w="28575" cap="rnd">
              <a:solidFill>
                <a:schemeClr val="accent3"/>
              </a:solidFill>
              <a:round/>
            </a:ln>
            <a:effectLst/>
          </c:spPr>
          <c:marker>
            <c:symbol val="circle"/>
            <c:size val="5"/>
            <c:spPr>
              <a:solidFill>
                <a:schemeClr val="accent3">
                  <a:alpha val="93000"/>
                </a:schemeClr>
              </a:solidFill>
              <a:ln w="9525">
                <a:solidFill>
                  <a:schemeClr val="accent3"/>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A10-4415-BC28-4A9751CCF302}"/>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A10-4415-BC28-4A9751CCF302}"/>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'FOCUS_UG_ALL_14-YY_YEAR'!$F$9:$F$15</c:f>
              <c:numCache>
                <c:formatCode>0.0%</c:formatCode>
                <c:ptCount val="7"/>
                <c:pt idx="0">
                  <c:v>0.82599999999999996</c:v>
                </c:pt>
                <c:pt idx="1">
                  <c:v>0.83499999999999996</c:v>
                </c:pt>
                <c:pt idx="2">
                  <c:v>0.83</c:v>
                </c:pt>
                <c:pt idx="3">
                  <c:v>0.71599999999999997</c:v>
                </c:pt>
                <c:pt idx="4">
                  <c:v>0.7390000000000001</c:v>
                </c:pt>
                <c:pt idx="5">
                  <c:v>0.83799999999999997</c:v>
                </c:pt>
                <c:pt idx="6">
                  <c:v>0.84499999999999997</c:v>
                </c:pt>
              </c:numCache>
            </c:numRef>
          </c:val>
          <c:smooth val="0"/>
          <c:extLst>
            <c:ext xmlns:c16="http://schemas.microsoft.com/office/drawing/2014/chart" uri="{C3380CC4-5D6E-409C-BE32-E72D297353CC}">
              <c16:uniqueId val="{00000015-7A10-4415-BC28-4A9751CCF302}"/>
            </c:ext>
          </c:extLst>
        </c:ser>
        <c:ser>
          <c:idx val="5"/>
          <c:order val="5"/>
          <c:tx>
            <c:strRef>
              <c:f>'FOCUS_UG_ALL_14-YY_YEAR'!$G$2</c:f>
              <c:strCache>
                <c:ptCount val="1"/>
                <c:pt idx="0">
                  <c:v>Quality of entire educational experience</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A10-4415-BC28-4A9751CCF302}"/>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A10-4415-BC28-4A9751CCF302}"/>
                </c:ext>
              </c:extLst>
            </c:dLbl>
            <c:spPr>
              <a:noFill/>
              <a:ln>
                <a:noFill/>
              </a:ln>
              <a:effectLst/>
            </c:spPr>
            <c:txPr>
              <a:bodyPr rot="0" spcFirstLastPara="1" vertOverflow="ellipsis" vert="horz" wrap="square" anchor="ctr" anchorCtr="1"/>
              <a:lstStyle/>
              <a:p>
                <a:pPr>
                  <a:defRPr sz="900" b="0" i="0" u="none" strike="noStrike" kern="1200" baseline="0">
                    <a:solidFill>
                      <a:schemeClr val="tx2">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'FOCUS_UG_ALL_14-YY_YEAR'!$A$9:$A$15</c:f>
              <c:strCache>
                <c:ptCount val="7"/>
                <c:pt idx="0">
                  <c:v>2017</c:v>
                </c:pt>
                <c:pt idx="1">
                  <c:v>2018</c:v>
                </c:pt>
                <c:pt idx="2">
                  <c:v>2019</c:v>
                </c:pt>
                <c:pt idx="3">
                  <c:v>2020</c:v>
                </c:pt>
                <c:pt idx="4">
                  <c:v>2021</c:v>
                </c:pt>
                <c:pt idx="5">
                  <c:v>2022 </c:v>
                </c:pt>
                <c:pt idx="6">
                  <c:v>2023</c:v>
                </c:pt>
              </c:strCache>
            </c:strRef>
          </c:cat>
          <c:val>
            <c:numRef>
              <c:f>'FOCUS_UG_ALL_14-YY_YEAR'!$G$9:$G$15</c:f>
              <c:numCache>
                <c:formatCode>0.0%</c:formatCode>
                <c:ptCount val="7"/>
                <c:pt idx="0">
                  <c:v>0.747</c:v>
                </c:pt>
                <c:pt idx="1">
                  <c:v>0.76200000000000001</c:v>
                </c:pt>
                <c:pt idx="2">
                  <c:v>0.753</c:v>
                </c:pt>
                <c:pt idx="3">
                  <c:v>0.63</c:v>
                </c:pt>
                <c:pt idx="4">
                  <c:v>0.67200000000000004</c:v>
                </c:pt>
                <c:pt idx="5">
                  <c:v>0.74400000000000011</c:v>
                </c:pt>
                <c:pt idx="6">
                  <c:v>0.75800000000000001</c:v>
                </c:pt>
              </c:numCache>
            </c:numRef>
          </c:val>
          <c:smooth val="0"/>
          <c:extLst>
            <c:ext xmlns:c16="http://schemas.microsoft.com/office/drawing/2014/chart" uri="{C3380CC4-5D6E-409C-BE32-E72D297353CC}">
              <c16:uniqueId val="{00000018-7A10-4415-BC28-4A9751CCF302}"/>
            </c:ext>
          </c:extLst>
        </c:ser>
        <c:dLbls>
          <c:dLblPos val="t"/>
          <c:showLegendKey val="0"/>
          <c:showVal val="1"/>
          <c:showCatName val="0"/>
          <c:showSerName val="0"/>
          <c:showPercent val="0"/>
          <c:showBubbleSize val="0"/>
        </c:dLbls>
        <c:marker val="1"/>
        <c:smooth val="0"/>
        <c:axId val="916666480"/>
        <c:axId val="916666896"/>
      </c:lineChart>
      <c:catAx>
        <c:axId val="91666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6666896"/>
        <c:crosses val="autoZero"/>
        <c:auto val="1"/>
        <c:lblAlgn val="ctr"/>
        <c:lblOffset val="100"/>
        <c:noMultiLvlLbl val="0"/>
      </c:catAx>
      <c:valAx>
        <c:axId val="916666896"/>
        <c:scaling>
          <c:orientation val="minMax"/>
          <c:max val="0.9"/>
          <c:min val="0.4"/>
        </c:scaling>
        <c:delete val="1"/>
        <c:axPos val="l"/>
        <c:numFmt formatCode="0.0%" sourceLinked="1"/>
        <c:majorTickMark val="out"/>
        <c:minorTickMark val="none"/>
        <c:tickLblPos val="nextTo"/>
        <c:crossAx val="916666480"/>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Peer Engagement</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Pt>
            <c:idx val="4"/>
            <c:marker>
              <c:symbol val="circle"/>
              <c:size val="5"/>
              <c:spPr>
                <a:solidFill>
                  <a:srgbClr val="EE3B6F"/>
                </a:solidFill>
                <a:ln w="9525">
                  <a:solidFill>
                    <a:srgbClr val="EE3B6F"/>
                  </a:solidFill>
                </a:ln>
                <a:effectLst/>
              </c:spPr>
            </c:marker>
            <c:bubble3D val="0"/>
            <c:spPr>
              <a:ln w="28575" cap="rnd">
                <a:solidFill>
                  <a:srgbClr val="EE3B6F"/>
                </a:solidFill>
                <a:prstDash val="sysDash"/>
                <a:round/>
              </a:ln>
              <a:effectLst/>
            </c:spPr>
            <c:extLst>
              <c:ext xmlns:c16="http://schemas.microsoft.com/office/drawing/2014/chart" uri="{C3380CC4-5D6E-409C-BE32-E72D297353CC}">
                <c16:uniqueId val="{00000003-AC31-4E1C-907D-4127E3BB5BED}"/>
              </c:ext>
            </c:extLst>
          </c:dPt>
          <c:dLbls>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FOCUS_PGC_ALL_6Y_E942!$I$32:$N$32</c:f>
              <c:numCache>
                <c:formatCode>General</c:formatCode>
                <c:ptCount val="5"/>
                <c:pt idx="0">
                  <c:v>2019</c:v>
                </c:pt>
                <c:pt idx="1">
                  <c:v>2020</c:v>
                </c:pt>
                <c:pt idx="2">
                  <c:v>2021</c:v>
                </c:pt>
                <c:pt idx="3">
                  <c:v>2022</c:v>
                </c:pt>
                <c:pt idx="4">
                  <c:v>2023</c:v>
                </c:pt>
              </c:numCache>
            </c:numRef>
          </c:cat>
          <c:val>
            <c:numRef>
              <c:f>FOCUS_PGC_ALL_6Y_E942!$I$34:$N$34</c:f>
              <c:numCache>
                <c:formatCode>0.0%</c:formatCode>
                <c:ptCount val="5"/>
                <c:pt idx="0">
                  <c:v>0.46200000000000002</c:v>
                </c:pt>
                <c:pt idx="1">
                  <c:v>0.36200000000000004</c:v>
                </c:pt>
                <c:pt idx="2">
                  <c:v>0.373</c:v>
                </c:pt>
                <c:pt idx="3">
                  <c:v>0.41299999999999998</c:v>
                </c:pt>
                <c:pt idx="4">
                  <c:v>0.39600000000000002</c:v>
                </c:pt>
              </c:numCache>
            </c:numRef>
          </c:val>
          <c:smooth val="0"/>
          <c:extLst>
            <c:ext xmlns:c16="http://schemas.microsoft.com/office/drawing/2014/chart" uri="{C3380CC4-5D6E-409C-BE32-E72D297353CC}">
              <c16:uniqueId val="{00000000-AC31-4E1C-907D-4127E3BB5BED}"/>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Pt>
            <c:idx val="4"/>
            <c:marker>
              <c:symbol val="circle"/>
              <c:size val="5"/>
              <c:spPr>
                <a:solidFill>
                  <a:srgbClr val="F3772C"/>
                </a:solidFill>
                <a:ln w="9525">
                  <a:solidFill>
                    <a:srgbClr val="F3772C"/>
                  </a:solidFill>
                </a:ln>
                <a:effectLst/>
              </c:spPr>
            </c:marker>
            <c:bubble3D val="0"/>
            <c:spPr>
              <a:ln w="28575" cap="rnd">
                <a:solidFill>
                  <a:srgbClr val="F3772C"/>
                </a:solidFill>
                <a:prstDash val="sysDash"/>
                <a:round/>
              </a:ln>
              <a:effectLst/>
            </c:spPr>
            <c:extLst>
              <c:ext xmlns:c16="http://schemas.microsoft.com/office/drawing/2014/chart" uri="{C3380CC4-5D6E-409C-BE32-E72D297353CC}">
                <c16:uniqueId val="{00000002-AC31-4E1C-907D-4127E3BB5BED}"/>
              </c:ext>
            </c:extLst>
          </c:dPt>
          <c:dLbls>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FOCUS_PGC_ALL_6Y_E942!$I$32:$N$32</c:f>
              <c:numCache>
                <c:formatCode>General</c:formatCode>
                <c:ptCount val="5"/>
                <c:pt idx="0">
                  <c:v>2019</c:v>
                </c:pt>
                <c:pt idx="1">
                  <c:v>2020</c:v>
                </c:pt>
                <c:pt idx="2">
                  <c:v>2021</c:v>
                </c:pt>
                <c:pt idx="3">
                  <c:v>2022</c:v>
                </c:pt>
                <c:pt idx="4">
                  <c:v>2023</c:v>
                </c:pt>
              </c:numCache>
            </c:numRef>
          </c:cat>
          <c:val>
            <c:numRef>
              <c:f>FOCUS_PGC_ALL_6Y_E942!$I$35:$N$35</c:f>
              <c:numCache>
                <c:formatCode>0.0%</c:formatCode>
                <c:ptCount val="5"/>
                <c:pt idx="0">
                  <c:v>0.60599999999999998</c:v>
                </c:pt>
                <c:pt idx="1">
                  <c:v>0.47899999999999998</c:v>
                </c:pt>
                <c:pt idx="2">
                  <c:v>0.48799999999999999</c:v>
                </c:pt>
                <c:pt idx="3">
                  <c:v>0.622</c:v>
                </c:pt>
                <c:pt idx="4">
                  <c:v>0.74299999999999999</c:v>
                </c:pt>
              </c:numCache>
            </c:numRef>
          </c:val>
          <c:smooth val="0"/>
          <c:extLst>
            <c:ext xmlns:c16="http://schemas.microsoft.com/office/drawing/2014/chart" uri="{C3380CC4-5D6E-409C-BE32-E72D297353CC}">
              <c16:uniqueId val="{00000001-AC31-4E1C-907D-4127E3BB5BED}"/>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0.9"/>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Teaching Quality and Engagement</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DF-4791-898D-F9CD707A4264}"/>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DF-4791-898D-F9CD707A4264}"/>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FOCUS_PGC_ALL_6Y_E942!$O$32:$T$32</c:f>
              <c:numCache>
                <c:formatCode>General</c:formatCode>
                <c:ptCount val="5"/>
                <c:pt idx="0">
                  <c:v>2019</c:v>
                </c:pt>
                <c:pt idx="1">
                  <c:v>2020</c:v>
                </c:pt>
                <c:pt idx="2">
                  <c:v>2021</c:v>
                </c:pt>
                <c:pt idx="3">
                  <c:v>2022</c:v>
                </c:pt>
                <c:pt idx="4">
                  <c:v>2023</c:v>
                </c:pt>
              </c:numCache>
            </c:numRef>
          </c:cat>
          <c:val>
            <c:numRef>
              <c:f>FOCUS_PGC_ALL_6Y_E942!$O$34:$T$34</c:f>
              <c:numCache>
                <c:formatCode>0.0%</c:formatCode>
                <c:ptCount val="5"/>
                <c:pt idx="0">
                  <c:v>0.81400000000000006</c:v>
                </c:pt>
                <c:pt idx="1">
                  <c:v>0.81599999999999995</c:v>
                </c:pt>
                <c:pt idx="2">
                  <c:v>0.81400000000000006</c:v>
                </c:pt>
                <c:pt idx="3">
                  <c:v>0.81799999999999995</c:v>
                </c:pt>
                <c:pt idx="4">
                  <c:v>0.81099999999999994</c:v>
                </c:pt>
              </c:numCache>
            </c:numRef>
          </c:val>
          <c:smooth val="0"/>
          <c:extLst>
            <c:ext xmlns:c16="http://schemas.microsoft.com/office/drawing/2014/chart" uri="{C3380CC4-5D6E-409C-BE32-E72D297353CC}">
              <c16:uniqueId val="{00000002-0EDF-4791-898D-F9CD707A4264}"/>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DF-4791-898D-F9CD707A4264}"/>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DF-4791-898D-F9CD707A4264}"/>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FOCUS_PGC_ALL_6Y_E942!$O$32:$T$32</c:f>
              <c:numCache>
                <c:formatCode>General</c:formatCode>
                <c:ptCount val="5"/>
                <c:pt idx="0">
                  <c:v>2019</c:v>
                </c:pt>
                <c:pt idx="1">
                  <c:v>2020</c:v>
                </c:pt>
                <c:pt idx="2">
                  <c:v>2021</c:v>
                </c:pt>
                <c:pt idx="3">
                  <c:v>2022</c:v>
                </c:pt>
                <c:pt idx="4">
                  <c:v>2023</c:v>
                </c:pt>
              </c:numCache>
            </c:numRef>
          </c:cat>
          <c:val>
            <c:numRef>
              <c:f>FOCUS_PGC_ALL_6Y_E942!$O$35:$T$35</c:f>
              <c:numCache>
                <c:formatCode>0.0%</c:formatCode>
                <c:ptCount val="5"/>
                <c:pt idx="0">
                  <c:v>0.79700000000000004</c:v>
                </c:pt>
                <c:pt idx="1">
                  <c:v>0.747</c:v>
                </c:pt>
                <c:pt idx="2">
                  <c:v>0.77900000000000003</c:v>
                </c:pt>
                <c:pt idx="3">
                  <c:v>0.82599999999999996</c:v>
                </c:pt>
                <c:pt idx="4">
                  <c:v>0.84099999999999997</c:v>
                </c:pt>
              </c:numCache>
            </c:numRef>
          </c:val>
          <c:smooth val="0"/>
          <c:extLst>
            <c:ext xmlns:c16="http://schemas.microsoft.com/office/drawing/2014/chart" uri="{C3380CC4-5D6E-409C-BE32-E72D297353CC}">
              <c16:uniqueId val="{00000005-0EDF-4791-898D-F9CD707A4264}"/>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Student Support and Services</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Pt>
            <c:idx val="4"/>
            <c:marker>
              <c:symbol val="circle"/>
              <c:size val="5"/>
              <c:spPr>
                <a:solidFill>
                  <a:srgbClr val="EE3B6F"/>
                </a:solidFill>
                <a:ln w="9525">
                  <a:solidFill>
                    <a:srgbClr val="EE3B6F"/>
                  </a:solidFill>
                </a:ln>
                <a:effectLst/>
              </c:spPr>
            </c:marker>
            <c:bubble3D val="0"/>
            <c:spPr>
              <a:ln w="28575" cap="rnd">
                <a:solidFill>
                  <a:srgbClr val="EE3B6F"/>
                </a:solidFill>
                <a:prstDash val="sysDash"/>
                <a:round/>
              </a:ln>
              <a:effectLst/>
            </c:spPr>
            <c:extLst>
              <c:ext xmlns:c16="http://schemas.microsoft.com/office/drawing/2014/chart" uri="{C3380CC4-5D6E-409C-BE32-E72D297353CC}">
                <c16:uniqueId val="{00000002-47DD-47A5-9B4D-2DEDB833E62F}"/>
              </c:ext>
            </c:extLst>
          </c:dPt>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DD-47A5-9B4D-2DEDB833E62F}"/>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DD-47A5-9B4D-2DEDB833E62F}"/>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DD-47A5-9B4D-2DEDB833E62F}"/>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FOCUS_PGC_ALL_6Y_E942!$U$32:$Z$32</c:f>
              <c:numCache>
                <c:formatCode>General</c:formatCode>
                <c:ptCount val="5"/>
                <c:pt idx="0">
                  <c:v>2019</c:v>
                </c:pt>
                <c:pt idx="1">
                  <c:v>2020</c:v>
                </c:pt>
                <c:pt idx="2">
                  <c:v>2021</c:v>
                </c:pt>
                <c:pt idx="3">
                  <c:v>2022</c:v>
                </c:pt>
                <c:pt idx="4">
                  <c:v>2023</c:v>
                </c:pt>
              </c:numCache>
            </c:numRef>
          </c:cat>
          <c:val>
            <c:numRef>
              <c:f>FOCUS_PGC_ALL_6Y_E942!$U$34:$Z$34</c:f>
              <c:numCache>
                <c:formatCode>0.0%</c:formatCode>
                <c:ptCount val="5"/>
                <c:pt idx="0">
                  <c:v>0.73199999999999998</c:v>
                </c:pt>
                <c:pt idx="1">
                  <c:v>0.76500000000000001</c:v>
                </c:pt>
                <c:pt idx="2">
                  <c:v>0.745</c:v>
                </c:pt>
                <c:pt idx="3">
                  <c:v>0.74199999999999999</c:v>
                </c:pt>
                <c:pt idx="4">
                  <c:v>0.67200000000000004</c:v>
                </c:pt>
              </c:numCache>
            </c:numRef>
          </c:val>
          <c:smooth val="0"/>
          <c:extLst>
            <c:ext xmlns:c16="http://schemas.microsoft.com/office/drawing/2014/chart" uri="{C3380CC4-5D6E-409C-BE32-E72D297353CC}">
              <c16:uniqueId val="{00000003-47DD-47A5-9B4D-2DEDB833E62F}"/>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Pt>
            <c:idx val="4"/>
            <c:marker>
              <c:symbol val="circle"/>
              <c:size val="5"/>
              <c:spPr>
                <a:solidFill>
                  <a:srgbClr val="F3772C"/>
                </a:solidFill>
                <a:ln w="9525">
                  <a:solidFill>
                    <a:srgbClr val="F3772C"/>
                  </a:solidFill>
                </a:ln>
                <a:effectLst/>
              </c:spPr>
            </c:marker>
            <c:bubble3D val="0"/>
            <c:spPr>
              <a:ln w="28575" cap="rnd">
                <a:solidFill>
                  <a:srgbClr val="F3772C"/>
                </a:solidFill>
                <a:prstDash val="sysDash"/>
                <a:round/>
              </a:ln>
              <a:effectLst/>
            </c:spPr>
            <c:extLst>
              <c:ext xmlns:c16="http://schemas.microsoft.com/office/drawing/2014/chart" uri="{C3380CC4-5D6E-409C-BE32-E72D297353CC}">
                <c16:uniqueId val="{00000006-47DD-47A5-9B4D-2DEDB833E62F}"/>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DD-47A5-9B4D-2DEDB833E62F}"/>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DD-47A5-9B4D-2DEDB833E62F}"/>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DD-47A5-9B4D-2DEDB833E62F}"/>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FOCUS_PGC_ALL_6Y_E942!$U$32:$Z$32</c:f>
              <c:numCache>
                <c:formatCode>General</c:formatCode>
                <c:ptCount val="5"/>
                <c:pt idx="0">
                  <c:v>2019</c:v>
                </c:pt>
                <c:pt idx="1">
                  <c:v>2020</c:v>
                </c:pt>
                <c:pt idx="2">
                  <c:v>2021</c:v>
                </c:pt>
                <c:pt idx="3">
                  <c:v>2022</c:v>
                </c:pt>
                <c:pt idx="4">
                  <c:v>2023</c:v>
                </c:pt>
              </c:numCache>
            </c:numRef>
          </c:cat>
          <c:val>
            <c:numRef>
              <c:f>FOCUS_PGC_ALL_6Y_E942!$U$35:$Z$35</c:f>
              <c:numCache>
                <c:formatCode>0.0%</c:formatCode>
                <c:ptCount val="5"/>
                <c:pt idx="0">
                  <c:v>0.75800000000000001</c:v>
                </c:pt>
                <c:pt idx="1">
                  <c:v>0.72099999999999997</c:v>
                </c:pt>
                <c:pt idx="2">
                  <c:v>0.72599999999999998</c:v>
                </c:pt>
                <c:pt idx="3">
                  <c:v>0.76900000000000002</c:v>
                </c:pt>
                <c:pt idx="4">
                  <c:v>0.80400000000000005</c:v>
                </c:pt>
              </c:numCache>
            </c:numRef>
          </c:val>
          <c:smooth val="0"/>
          <c:extLst>
            <c:ext xmlns:c16="http://schemas.microsoft.com/office/drawing/2014/chart" uri="{C3380CC4-5D6E-409C-BE32-E72D297353CC}">
              <c16:uniqueId val="{00000007-47DD-47A5-9B4D-2DEDB833E62F}"/>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Learning Resources</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89-450D-B902-34609FB2DCB7}"/>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89-450D-B902-34609FB2DCB7}"/>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89-450D-B902-34609FB2DCB7}"/>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FOCUS_PGC_ALL_6Y_E942!$AB$32:$AG$32</c:f>
              <c:numCache>
                <c:formatCode>General</c:formatCode>
                <c:ptCount val="5"/>
                <c:pt idx="0">
                  <c:v>2019</c:v>
                </c:pt>
                <c:pt idx="1">
                  <c:v>2020</c:v>
                </c:pt>
                <c:pt idx="2">
                  <c:v>2021</c:v>
                </c:pt>
                <c:pt idx="3">
                  <c:v>2022</c:v>
                </c:pt>
                <c:pt idx="4">
                  <c:v>2023</c:v>
                </c:pt>
              </c:numCache>
            </c:numRef>
          </c:cat>
          <c:val>
            <c:numRef>
              <c:f>FOCUS_PGC_ALL_6Y_E942!$AB$34:$AG$34</c:f>
              <c:numCache>
                <c:formatCode>0.0%</c:formatCode>
                <c:ptCount val="5"/>
                <c:pt idx="0">
                  <c:v>0.81400000000000006</c:v>
                </c:pt>
                <c:pt idx="1">
                  <c:v>0.76700000000000002</c:v>
                </c:pt>
                <c:pt idx="2">
                  <c:v>0.78700000000000003</c:v>
                </c:pt>
                <c:pt idx="3">
                  <c:v>0.80700000000000005</c:v>
                </c:pt>
                <c:pt idx="4">
                  <c:v>0.79700000000000004</c:v>
                </c:pt>
              </c:numCache>
            </c:numRef>
          </c:val>
          <c:smooth val="0"/>
          <c:extLst>
            <c:ext xmlns:c16="http://schemas.microsoft.com/office/drawing/2014/chart" uri="{C3380CC4-5D6E-409C-BE32-E72D297353CC}">
              <c16:uniqueId val="{00000003-5789-450D-B902-34609FB2DCB7}"/>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89-450D-B902-34609FB2DCB7}"/>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89-450D-B902-34609FB2DCB7}"/>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89-450D-B902-34609FB2DCB7}"/>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FOCUS_PGC_ALL_6Y_E942!$AB$32:$AG$32</c:f>
              <c:numCache>
                <c:formatCode>General</c:formatCode>
                <c:ptCount val="5"/>
                <c:pt idx="0">
                  <c:v>2019</c:v>
                </c:pt>
                <c:pt idx="1">
                  <c:v>2020</c:v>
                </c:pt>
                <c:pt idx="2">
                  <c:v>2021</c:v>
                </c:pt>
                <c:pt idx="3">
                  <c:v>2022</c:v>
                </c:pt>
                <c:pt idx="4">
                  <c:v>2023</c:v>
                </c:pt>
              </c:numCache>
            </c:numRef>
          </c:cat>
          <c:val>
            <c:numRef>
              <c:f>FOCUS_PGC_ALL_6Y_E942!$AB$35:$AG$35</c:f>
              <c:numCache>
                <c:formatCode>0.0%</c:formatCode>
                <c:ptCount val="5"/>
                <c:pt idx="0">
                  <c:v>0.83700000000000008</c:v>
                </c:pt>
                <c:pt idx="1">
                  <c:v>0.70499999999999996</c:v>
                </c:pt>
                <c:pt idx="2">
                  <c:v>0.75800000000000001</c:v>
                </c:pt>
                <c:pt idx="3">
                  <c:v>0.8640000000000001</c:v>
                </c:pt>
                <c:pt idx="4">
                  <c:v>0.877</c:v>
                </c:pt>
              </c:numCache>
            </c:numRef>
          </c:val>
          <c:smooth val="0"/>
          <c:extLst>
            <c:ext xmlns:c16="http://schemas.microsoft.com/office/drawing/2014/chart" uri="{C3380CC4-5D6E-409C-BE32-E72D297353CC}">
              <c16:uniqueId val="{00000007-5789-450D-B902-34609FB2DCB7}"/>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Quality of entire educational experience</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B6-481F-B73A-CDCD70B544AA}"/>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FOCUS_PGC_ALL_6Y_E942!$AG$32:$AL$32</c:f>
              <c:numCache>
                <c:formatCode>General</c:formatCode>
                <c:ptCount val="5"/>
                <c:pt idx="0">
                  <c:v>2019</c:v>
                </c:pt>
                <c:pt idx="1">
                  <c:v>2020</c:v>
                </c:pt>
                <c:pt idx="2">
                  <c:v>2021</c:v>
                </c:pt>
                <c:pt idx="3">
                  <c:v>2022</c:v>
                </c:pt>
                <c:pt idx="4">
                  <c:v>2023</c:v>
                </c:pt>
              </c:numCache>
            </c:numRef>
          </c:cat>
          <c:val>
            <c:numRef>
              <c:f>FOCUS_PGC_ALL_6Y_E942!$AG$34:$AL$34</c:f>
              <c:numCache>
                <c:formatCode>0.0%</c:formatCode>
                <c:ptCount val="5"/>
                <c:pt idx="0">
                  <c:v>0.77300000000000002</c:v>
                </c:pt>
                <c:pt idx="1">
                  <c:v>0.73799999999999999</c:v>
                </c:pt>
                <c:pt idx="2">
                  <c:v>0.75700000000000001</c:v>
                </c:pt>
                <c:pt idx="3">
                  <c:v>0.7659999999999999</c:v>
                </c:pt>
                <c:pt idx="4">
                  <c:v>0.77099999999999991</c:v>
                </c:pt>
              </c:numCache>
            </c:numRef>
          </c:val>
          <c:smooth val="0"/>
          <c:extLst>
            <c:ext xmlns:c16="http://schemas.microsoft.com/office/drawing/2014/chart" uri="{C3380CC4-5D6E-409C-BE32-E72D297353CC}">
              <c16:uniqueId val="{00000001-40B6-481F-B73A-CDCD70B544AA}"/>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B6-481F-B73A-CDCD70B544AA}"/>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FOCUS_PGC_ALL_6Y_E942!$AG$32:$AL$32</c:f>
              <c:numCache>
                <c:formatCode>General</c:formatCode>
                <c:ptCount val="5"/>
                <c:pt idx="0">
                  <c:v>2019</c:v>
                </c:pt>
                <c:pt idx="1">
                  <c:v>2020</c:v>
                </c:pt>
                <c:pt idx="2">
                  <c:v>2021</c:v>
                </c:pt>
                <c:pt idx="3">
                  <c:v>2022</c:v>
                </c:pt>
                <c:pt idx="4">
                  <c:v>2023</c:v>
                </c:pt>
              </c:numCache>
            </c:numRef>
          </c:cat>
          <c:val>
            <c:numRef>
              <c:f>FOCUS_PGC_ALL_6Y_E942!$AG$35:$AL$35</c:f>
              <c:numCache>
                <c:formatCode>0.0%</c:formatCode>
                <c:ptCount val="5"/>
                <c:pt idx="0">
                  <c:v>0.748</c:v>
                </c:pt>
                <c:pt idx="1">
                  <c:v>0.63700000000000001</c:v>
                </c:pt>
                <c:pt idx="2">
                  <c:v>0.69099999999999995</c:v>
                </c:pt>
                <c:pt idx="3">
                  <c:v>0.76900000000000002</c:v>
                </c:pt>
                <c:pt idx="4">
                  <c:v>0.77</c:v>
                </c:pt>
              </c:numCache>
            </c:numRef>
          </c:val>
          <c:smooth val="0"/>
          <c:extLst>
            <c:ext xmlns:c16="http://schemas.microsoft.com/office/drawing/2014/chart" uri="{C3380CC4-5D6E-409C-BE32-E72D297353CC}">
              <c16:uniqueId val="{00000003-40B6-481F-B73A-CDCD70B544AA}"/>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1"/>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a:t>Undergraduate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E7-4977-918D-A3D5735760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E7-4977-918D-A3D5735760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E7-4977-918D-A3D5735760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E7-4977-918D-A3D5735760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E7-4977-918D-A3D5735760ED}"/>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DEE7-4977-918D-A3D5735760ED}"/>
              </c:ext>
            </c:extLst>
          </c:dPt>
          <c:dLbls>
            <c:dLbl>
              <c:idx val="0"/>
              <c:layout>
                <c:manualLayout>
                  <c:x val="-2.2787694644891759E-2"/>
                  <c:y val="4.165815192700995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9791112799088493"/>
                      <c:h val="0.19131447352667666"/>
                    </c:manualLayout>
                  </c15:layout>
                </c:ext>
                <c:ext xmlns:c16="http://schemas.microsoft.com/office/drawing/2014/chart" uri="{C3380CC4-5D6E-409C-BE32-E72D297353CC}">
                  <c16:uniqueId val="{00000001-DEE7-4977-918D-A3D5735760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'Callout_Source country'!$I$5:$I$10</c:f>
              <c:strCache>
                <c:ptCount val="6"/>
                <c:pt idx="0">
                  <c:v>China (excludes SARs and Taiwan)</c:v>
                </c:pt>
                <c:pt idx="1">
                  <c:v>Nepal</c:v>
                </c:pt>
                <c:pt idx="2">
                  <c:v>India</c:v>
                </c:pt>
                <c:pt idx="3">
                  <c:v>Vietnam</c:v>
                </c:pt>
                <c:pt idx="4">
                  <c:v>Malaysia</c:v>
                </c:pt>
                <c:pt idx="5">
                  <c:v>Other</c:v>
                </c:pt>
              </c:strCache>
            </c:strRef>
          </c:cat>
          <c:val>
            <c:numRef>
              <c:f>'Callout_Source country'!$J$5:$J$10</c:f>
              <c:numCache>
                <c:formatCode>0.0%</c:formatCode>
                <c:ptCount val="6"/>
                <c:pt idx="0">
                  <c:v>0.18879234862261737</c:v>
                </c:pt>
                <c:pt idx="1">
                  <c:v>0.15831481107294404</c:v>
                </c:pt>
                <c:pt idx="2">
                  <c:v>0.1178352529130464</c:v>
                </c:pt>
                <c:pt idx="3">
                  <c:v>6.5737185963494302E-2</c:v>
                </c:pt>
                <c:pt idx="4">
                  <c:v>4.2163400013470735E-2</c:v>
                </c:pt>
                <c:pt idx="5">
                  <c:v>0.42715700141442714</c:v>
                </c:pt>
              </c:numCache>
            </c:numRef>
          </c:val>
          <c:extLst>
            <c:ext xmlns:c16="http://schemas.microsoft.com/office/drawing/2014/chart" uri="{C3380CC4-5D6E-409C-BE32-E72D297353CC}">
              <c16:uniqueId val="{0000000C-DEE7-4977-918D-A3D5735760E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a:t>Postgraduate coursework</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14-4874-98A2-A6B403EF5E5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814-4874-98A2-A6B403EF5E53}"/>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A814-4874-98A2-A6B403EF5E5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814-4874-98A2-A6B403EF5E53}"/>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A814-4874-98A2-A6B403EF5E53}"/>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A814-4874-98A2-A6B403EF5E53}"/>
              </c:ext>
            </c:extLst>
          </c:dPt>
          <c:dLbls>
            <c:dLbl>
              <c:idx val="0"/>
              <c:layout>
                <c:manualLayout>
                  <c:x val="4.1758001860097767E-2"/>
                  <c:y val="8.748161062245890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4103639152967635"/>
                      <c:h val="0.30795683970039045"/>
                    </c:manualLayout>
                  </c15:layout>
                </c:ext>
                <c:ext xmlns:c16="http://schemas.microsoft.com/office/drawing/2014/chart" uri="{C3380CC4-5D6E-409C-BE32-E72D297353CC}">
                  <c16:uniqueId val="{00000001-A814-4874-98A2-A6B403EF5E53}"/>
                </c:ext>
              </c:extLst>
            </c:dLbl>
            <c:dLbl>
              <c:idx val="3"/>
              <c:layout>
                <c:manualLayout>
                  <c:x val="1.5191796429927804E-2"/>
                  <c:y val="1.249739637575505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14-4874-98A2-A6B403EF5E53}"/>
                </c:ext>
              </c:extLst>
            </c:dLbl>
            <c:dLbl>
              <c:idx val="4"/>
              <c:layout>
                <c:manualLayout>
                  <c:x val="-1.7090770983668808E-2"/>
                  <c:y val="-4.1657987919183504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2086987987116879"/>
                      <c:h val="0.10622786919391794"/>
                    </c:manualLayout>
                  </c15:layout>
                </c:ext>
                <c:ext xmlns:c16="http://schemas.microsoft.com/office/drawing/2014/chart" uri="{C3380CC4-5D6E-409C-BE32-E72D297353CC}">
                  <c16:uniqueId val="{00000009-A814-4874-98A2-A6B403EF5E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'Callout_Source country'!$J$33:$J$38</c:f>
              <c:strCache>
                <c:ptCount val="6"/>
                <c:pt idx="0">
                  <c:v>China (excludes SARs and Taiwan)</c:v>
                </c:pt>
                <c:pt idx="1">
                  <c:v>India</c:v>
                </c:pt>
                <c:pt idx="2">
                  <c:v>Nepal</c:v>
                </c:pt>
                <c:pt idx="3">
                  <c:v>Bhutan</c:v>
                </c:pt>
                <c:pt idx="4">
                  <c:v>Philippines</c:v>
                </c:pt>
                <c:pt idx="5">
                  <c:v>Other</c:v>
                </c:pt>
              </c:strCache>
            </c:strRef>
          </c:cat>
          <c:val>
            <c:numRef>
              <c:f>'Callout_Source country'!$K$33:$K$38</c:f>
              <c:numCache>
                <c:formatCode>###0.0%</c:formatCode>
                <c:ptCount val="6"/>
                <c:pt idx="0">
                  <c:v>0.23682888915460962</c:v>
                </c:pt>
                <c:pt idx="1">
                  <c:v>0.21623819203635058</c:v>
                </c:pt>
                <c:pt idx="2">
                  <c:v>8.9178524452947508E-2</c:v>
                </c:pt>
                <c:pt idx="3">
                  <c:v>5.5195504005739568E-2</c:v>
                </c:pt>
                <c:pt idx="4">
                  <c:v>3.8239866076766708E-2</c:v>
                </c:pt>
                <c:pt idx="5" formatCode="0.0%">
                  <c:v>0.36431902427358609</c:v>
                </c:pt>
              </c:numCache>
            </c:numRef>
          </c:val>
          <c:extLst>
            <c:ext xmlns:c16="http://schemas.microsoft.com/office/drawing/2014/chart" uri="{C3380CC4-5D6E-409C-BE32-E72D297353CC}">
              <c16:uniqueId val="{0000000C-A814-4874-98A2-A6B403EF5E5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'CHAR_UG_ALL_1Y_AREA (2)'!$F$4</c:f>
              <c:strCache>
                <c:ptCount val="1"/>
                <c:pt idx="0">
                  <c:v>%</c:v>
                </c:pt>
              </c:strCache>
            </c:strRef>
          </c:tx>
          <c:spPr>
            <a:ln w="12700">
              <a:solidFill>
                <a:schemeClr val="bg1"/>
              </a:solidFill>
            </a:ln>
          </c:spPr>
          <c:dPt>
            <c:idx val="0"/>
            <c:bubble3D val="0"/>
            <c:spPr>
              <a:solidFill>
                <a:schemeClr val="accent1"/>
              </a:solidFill>
              <a:ln w="12700">
                <a:solidFill>
                  <a:schemeClr val="bg1"/>
                </a:solidFill>
              </a:ln>
              <a:effectLst/>
            </c:spPr>
            <c:extLst>
              <c:ext xmlns:c16="http://schemas.microsoft.com/office/drawing/2014/chart" uri="{C3380CC4-5D6E-409C-BE32-E72D297353CC}">
                <c16:uniqueId val="{00000001-DF79-44B1-82D8-C22CA27857F7}"/>
              </c:ext>
            </c:extLst>
          </c:dPt>
          <c:dPt>
            <c:idx val="1"/>
            <c:bubble3D val="0"/>
            <c:spPr>
              <a:solidFill>
                <a:schemeClr val="accent2"/>
              </a:solidFill>
              <a:ln w="12700">
                <a:solidFill>
                  <a:schemeClr val="bg1"/>
                </a:solidFill>
              </a:ln>
              <a:effectLst/>
            </c:spPr>
            <c:extLst>
              <c:ext xmlns:c16="http://schemas.microsoft.com/office/drawing/2014/chart" uri="{C3380CC4-5D6E-409C-BE32-E72D297353CC}">
                <c16:uniqueId val="{00000003-DF79-44B1-82D8-C22CA27857F7}"/>
              </c:ext>
            </c:extLst>
          </c:dPt>
          <c:dPt>
            <c:idx val="2"/>
            <c:bubble3D val="0"/>
            <c:spPr>
              <a:solidFill>
                <a:schemeClr val="accent3"/>
              </a:solidFill>
              <a:ln w="12700">
                <a:solidFill>
                  <a:schemeClr val="bg1"/>
                </a:solidFill>
              </a:ln>
              <a:effectLst/>
            </c:spPr>
            <c:extLst>
              <c:ext xmlns:c16="http://schemas.microsoft.com/office/drawing/2014/chart" uri="{C3380CC4-5D6E-409C-BE32-E72D297353CC}">
                <c16:uniqueId val="{00000005-DF79-44B1-82D8-C22CA27857F7}"/>
              </c:ext>
            </c:extLst>
          </c:dPt>
          <c:dPt>
            <c:idx val="3"/>
            <c:bubble3D val="0"/>
            <c:spPr>
              <a:solidFill>
                <a:schemeClr val="accent4"/>
              </a:solidFill>
              <a:ln w="12700">
                <a:solidFill>
                  <a:schemeClr val="bg1"/>
                </a:solidFill>
              </a:ln>
              <a:effectLst/>
            </c:spPr>
            <c:extLst>
              <c:ext xmlns:c16="http://schemas.microsoft.com/office/drawing/2014/chart" uri="{C3380CC4-5D6E-409C-BE32-E72D297353CC}">
                <c16:uniqueId val="{00000007-DF79-44B1-82D8-C22CA27857F7}"/>
              </c:ext>
            </c:extLst>
          </c:dPt>
          <c:dPt>
            <c:idx val="4"/>
            <c:bubble3D val="0"/>
            <c:spPr>
              <a:solidFill>
                <a:schemeClr val="accent5"/>
              </a:solidFill>
              <a:ln w="12700">
                <a:solidFill>
                  <a:schemeClr val="bg1"/>
                </a:solidFill>
              </a:ln>
              <a:effectLst/>
            </c:spPr>
            <c:extLst>
              <c:ext xmlns:c16="http://schemas.microsoft.com/office/drawing/2014/chart" uri="{C3380CC4-5D6E-409C-BE32-E72D297353CC}">
                <c16:uniqueId val="{00000009-DF79-44B1-82D8-C22CA27857F7}"/>
              </c:ext>
            </c:extLst>
          </c:dPt>
          <c:dPt>
            <c:idx val="5"/>
            <c:bubble3D val="0"/>
            <c:spPr>
              <a:solidFill>
                <a:schemeClr val="accent6"/>
              </a:solidFill>
              <a:ln w="12700">
                <a:solidFill>
                  <a:schemeClr val="bg1"/>
                </a:solidFill>
              </a:ln>
              <a:effectLst/>
            </c:spPr>
            <c:extLst>
              <c:ext xmlns:c16="http://schemas.microsoft.com/office/drawing/2014/chart" uri="{C3380CC4-5D6E-409C-BE32-E72D297353CC}">
                <c16:uniqueId val="{0000000B-DF79-44B1-82D8-C22CA27857F7}"/>
              </c:ext>
            </c:extLst>
          </c:dPt>
          <c:dPt>
            <c:idx val="6"/>
            <c:bubble3D val="0"/>
            <c:spPr>
              <a:solidFill>
                <a:schemeClr val="accent1">
                  <a:lumMod val="60000"/>
                </a:schemeClr>
              </a:solidFill>
              <a:ln w="12700">
                <a:solidFill>
                  <a:schemeClr val="bg1"/>
                </a:solidFill>
              </a:ln>
              <a:effectLst/>
            </c:spPr>
            <c:extLst>
              <c:ext xmlns:c16="http://schemas.microsoft.com/office/drawing/2014/chart" uri="{C3380CC4-5D6E-409C-BE32-E72D297353CC}">
                <c16:uniqueId val="{0000000D-DF79-44B1-82D8-C22CA27857F7}"/>
              </c:ext>
            </c:extLst>
          </c:dPt>
          <c:dPt>
            <c:idx val="7"/>
            <c:bubble3D val="0"/>
            <c:spPr>
              <a:solidFill>
                <a:schemeClr val="accent2">
                  <a:lumMod val="60000"/>
                </a:schemeClr>
              </a:solidFill>
              <a:ln w="12700">
                <a:solidFill>
                  <a:schemeClr val="bg1"/>
                </a:solidFill>
              </a:ln>
              <a:effectLst/>
            </c:spPr>
            <c:extLst>
              <c:ext xmlns:c16="http://schemas.microsoft.com/office/drawing/2014/chart" uri="{C3380CC4-5D6E-409C-BE32-E72D297353CC}">
                <c16:uniqueId val="{0000000F-DF79-44B1-82D8-C22CA27857F7}"/>
              </c:ext>
            </c:extLst>
          </c:dPt>
          <c:dPt>
            <c:idx val="8"/>
            <c:bubble3D val="0"/>
            <c:spPr>
              <a:solidFill>
                <a:schemeClr val="accent3">
                  <a:lumMod val="60000"/>
                </a:schemeClr>
              </a:solidFill>
              <a:ln w="12700">
                <a:solidFill>
                  <a:schemeClr val="bg1"/>
                </a:solidFill>
              </a:ln>
              <a:effectLst/>
            </c:spPr>
            <c:extLst>
              <c:ext xmlns:c16="http://schemas.microsoft.com/office/drawing/2014/chart" uri="{C3380CC4-5D6E-409C-BE32-E72D297353CC}">
                <c16:uniqueId val="{00000011-DF79-44B1-82D8-C22CA27857F7}"/>
              </c:ext>
            </c:extLst>
          </c:dPt>
          <c:dPt>
            <c:idx val="9"/>
            <c:bubble3D val="0"/>
            <c:spPr>
              <a:solidFill>
                <a:sysClr val="window" lastClr="FFFFFF">
                  <a:lumMod val="75000"/>
                </a:sysClr>
              </a:solidFill>
              <a:ln w="12700">
                <a:solidFill>
                  <a:schemeClr val="bg1"/>
                </a:solidFill>
              </a:ln>
              <a:effectLst/>
            </c:spPr>
            <c:extLst>
              <c:ext xmlns:c16="http://schemas.microsoft.com/office/drawing/2014/chart" uri="{C3380CC4-5D6E-409C-BE32-E72D297353CC}">
                <c16:uniqueId val="{00000013-DF79-44B1-82D8-C22CA27857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'CHAR_UG_ALL_1Y_AREA (2)'!$B$5:$B$14</c:f>
              <c:strCache>
                <c:ptCount val="10"/>
                <c:pt idx="0">
                  <c:v>Business and management</c:v>
                </c:pt>
                <c:pt idx="1">
                  <c:v>Computing and information systems</c:v>
                </c:pt>
                <c:pt idx="2">
                  <c:v>Nursing</c:v>
                </c:pt>
                <c:pt idx="3">
                  <c:v>Science and mathematics</c:v>
                </c:pt>
                <c:pt idx="4">
                  <c:v>Engineering</c:v>
                </c:pt>
                <c:pt idx="5">
                  <c:v>Social work</c:v>
                </c:pt>
                <c:pt idx="6">
                  <c:v>Humanities, culture and social sciences</c:v>
                </c:pt>
                <c:pt idx="7">
                  <c:v>Health services and support</c:v>
                </c:pt>
                <c:pt idx="8">
                  <c:v>Teacher education</c:v>
                </c:pt>
                <c:pt idx="9">
                  <c:v>All other study areas</c:v>
                </c:pt>
              </c:strCache>
            </c:strRef>
          </c:cat>
          <c:val>
            <c:numRef>
              <c:f>'CHAR_UG_ALL_1Y_AREA (2)'!$F$5:$F$14</c:f>
              <c:numCache>
                <c:formatCode>0.0%</c:formatCode>
                <c:ptCount val="10"/>
                <c:pt idx="0">
                  <c:v>0.24399999999999999</c:v>
                </c:pt>
                <c:pt idx="1">
                  <c:v>0.155</c:v>
                </c:pt>
                <c:pt idx="2">
                  <c:v>0.11599999999999999</c:v>
                </c:pt>
                <c:pt idx="3">
                  <c:v>7.8E-2</c:v>
                </c:pt>
                <c:pt idx="4">
                  <c:v>6.8000000000000005E-2</c:v>
                </c:pt>
                <c:pt idx="5">
                  <c:v>5.2000000000000005E-2</c:v>
                </c:pt>
                <c:pt idx="6">
                  <c:v>4.8000000000000001E-2</c:v>
                </c:pt>
                <c:pt idx="7">
                  <c:v>4.0999999999999995E-2</c:v>
                </c:pt>
                <c:pt idx="8">
                  <c:v>3.7999999999999999E-2</c:v>
                </c:pt>
                <c:pt idx="9">
                  <c:v>0.16200000000000001</c:v>
                </c:pt>
              </c:numCache>
            </c:numRef>
          </c:val>
          <c:extLst>
            <c:ext xmlns:c16="http://schemas.microsoft.com/office/drawing/2014/chart" uri="{C3380CC4-5D6E-409C-BE32-E72D297353CC}">
              <c16:uniqueId val="{00000014-DF79-44B1-82D8-C22CA27857F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lumMod val="95000"/>
      </a:sysClr>
    </a:solidFill>
    <a:ln w="9525" cap="flat" cmpd="sng" algn="ctr">
      <a:no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9525"/>
          </c:spPr>
          <c:dPt>
            <c:idx val="0"/>
            <c:bubble3D val="0"/>
            <c:spPr>
              <a:solidFill>
                <a:schemeClr val="accent1"/>
              </a:solidFill>
              <a:ln w="9525">
                <a:solidFill>
                  <a:schemeClr val="lt1"/>
                </a:solidFill>
              </a:ln>
              <a:effectLst/>
            </c:spPr>
            <c:extLst>
              <c:ext xmlns:c16="http://schemas.microsoft.com/office/drawing/2014/chart" uri="{C3380CC4-5D6E-409C-BE32-E72D297353CC}">
                <c16:uniqueId val="{00000001-DA62-412A-832D-01B95C4F5CBD}"/>
              </c:ext>
            </c:extLst>
          </c:dPt>
          <c:dPt>
            <c:idx val="1"/>
            <c:bubble3D val="0"/>
            <c:spPr>
              <a:solidFill>
                <a:schemeClr val="accent2"/>
              </a:solidFill>
              <a:ln w="9525">
                <a:solidFill>
                  <a:schemeClr val="lt1"/>
                </a:solidFill>
              </a:ln>
              <a:effectLst/>
            </c:spPr>
            <c:extLst>
              <c:ext xmlns:c16="http://schemas.microsoft.com/office/drawing/2014/chart" uri="{C3380CC4-5D6E-409C-BE32-E72D297353CC}">
                <c16:uniqueId val="{00000003-DA62-412A-832D-01B95C4F5CBD}"/>
              </c:ext>
            </c:extLst>
          </c:dPt>
          <c:dPt>
            <c:idx val="2"/>
            <c:bubble3D val="0"/>
            <c:spPr>
              <a:solidFill>
                <a:schemeClr val="accent3"/>
              </a:solidFill>
              <a:ln w="9525">
                <a:solidFill>
                  <a:schemeClr val="lt1"/>
                </a:solidFill>
              </a:ln>
              <a:effectLst/>
            </c:spPr>
            <c:extLst>
              <c:ext xmlns:c16="http://schemas.microsoft.com/office/drawing/2014/chart" uri="{C3380CC4-5D6E-409C-BE32-E72D297353CC}">
                <c16:uniqueId val="{00000005-DA62-412A-832D-01B95C4F5CBD}"/>
              </c:ext>
            </c:extLst>
          </c:dPt>
          <c:dPt>
            <c:idx val="3"/>
            <c:bubble3D val="0"/>
            <c:spPr>
              <a:solidFill>
                <a:schemeClr val="accent4"/>
              </a:solidFill>
              <a:ln w="9525">
                <a:solidFill>
                  <a:schemeClr val="lt1"/>
                </a:solidFill>
              </a:ln>
              <a:effectLst/>
            </c:spPr>
            <c:extLst>
              <c:ext xmlns:c16="http://schemas.microsoft.com/office/drawing/2014/chart" uri="{C3380CC4-5D6E-409C-BE32-E72D297353CC}">
                <c16:uniqueId val="{00000007-DA62-412A-832D-01B95C4F5CBD}"/>
              </c:ext>
            </c:extLst>
          </c:dPt>
          <c:dPt>
            <c:idx val="4"/>
            <c:bubble3D val="0"/>
            <c:spPr>
              <a:solidFill>
                <a:schemeClr val="accent5"/>
              </a:solidFill>
              <a:ln w="9525">
                <a:solidFill>
                  <a:schemeClr val="lt1"/>
                </a:solidFill>
              </a:ln>
              <a:effectLst/>
            </c:spPr>
            <c:extLst>
              <c:ext xmlns:c16="http://schemas.microsoft.com/office/drawing/2014/chart" uri="{C3380CC4-5D6E-409C-BE32-E72D297353CC}">
                <c16:uniqueId val="{00000009-DA62-412A-832D-01B95C4F5CBD}"/>
              </c:ext>
            </c:extLst>
          </c:dPt>
          <c:dPt>
            <c:idx val="5"/>
            <c:bubble3D val="0"/>
            <c:spPr>
              <a:solidFill>
                <a:schemeClr val="accent3">
                  <a:lumMod val="50000"/>
                </a:schemeClr>
              </a:solidFill>
              <a:ln w="9525">
                <a:solidFill>
                  <a:schemeClr val="lt1"/>
                </a:solidFill>
              </a:ln>
              <a:effectLst/>
            </c:spPr>
            <c:extLst>
              <c:ext xmlns:c16="http://schemas.microsoft.com/office/drawing/2014/chart" uri="{C3380CC4-5D6E-409C-BE32-E72D297353CC}">
                <c16:uniqueId val="{0000000B-DA62-412A-832D-01B95C4F5CBD}"/>
              </c:ext>
            </c:extLst>
          </c:dPt>
          <c:dPt>
            <c:idx val="6"/>
            <c:bubble3D val="0"/>
            <c:spPr>
              <a:solidFill>
                <a:schemeClr val="accent1">
                  <a:lumMod val="60000"/>
                </a:schemeClr>
              </a:solidFill>
              <a:ln w="9525">
                <a:solidFill>
                  <a:schemeClr val="lt1"/>
                </a:solidFill>
              </a:ln>
              <a:effectLst/>
            </c:spPr>
            <c:extLst>
              <c:ext xmlns:c16="http://schemas.microsoft.com/office/drawing/2014/chart" uri="{C3380CC4-5D6E-409C-BE32-E72D297353CC}">
                <c16:uniqueId val="{0000000D-DA62-412A-832D-01B95C4F5CBD}"/>
              </c:ext>
            </c:extLst>
          </c:dPt>
          <c:dPt>
            <c:idx val="7"/>
            <c:bubble3D val="0"/>
            <c:spPr>
              <a:solidFill>
                <a:schemeClr val="bg1">
                  <a:lumMod val="75000"/>
                </a:schemeClr>
              </a:solidFill>
              <a:ln w="9525">
                <a:solidFill>
                  <a:schemeClr val="lt1"/>
                </a:solidFill>
              </a:ln>
              <a:effectLst/>
            </c:spPr>
            <c:extLst>
              <c:ext xmlns:c16="http://schemas.microsoft.com/office/drawing/2014/chart" uri="{C3380CC4-5D6E-409C-BE32-E72D297353CC}">
                <c16:uniqueId val="{0000000F-DA62-412A-832D-01B95C4F5C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CHAR_PGC_ALL_1Y_AREA!$B$5:$B$12</c:f>
              <c:strCache>
                <c:ptCount val="8"/>
                <c:pt idx="0">
                  <c:v>Business and management</c:v>
                </c:pt>
                <c:pt idx="1">
                  <c:v>Computing and information systems</c:v>
                </c:pt>
                <c:pt idx="2">
                  <c:v>Engineering</c:v>
                </c:pt>
                <c:pt idx="3">
                  <c:v>Teacher education</c:v>
                </c:pt>
                <c:pt idx="4">
                  <c:v>Humanities, culture and social sciences</c:v>
                </c:pt>
                <c:pt idx="5">
                  <c:v>Science and mathematics</c:v>
                </c:pt>
                <c:pt idx="6">
                  <c:v>Health services and support</c:v>
                </c:pt>
                <c:pt idx="7">
                  <c:v>All other study areas</c:v>
                </c:pt>
              </c:strCache>
            </c:strRef>
          </c:cat>
          <c:val>
            <c:numRef>
              <c:f>CHAR_PGC_ALL_1Y_AREA!$F$5:$F$12</c:f>
              <c:numCache>
                <c:formatCode>0.0%</c:formatCode>
                <c:ptCount val="8"/>
                <c:pt idx="0">
                  <c:v>0.36200000000000004</c:v>
                </c:pt>
                <c:pt idx="1">
                  <c:v>0.17199999999999999</c:v>
                </c:pt>
                <c:pt idx="2">
                  <c:v>8.3000000000000004E-2</c:v>
                </c:pt>
                <c:pt idx="3">
                  <c:v>6.7000000000000004E-2</c:v>
                </c:pt>
                <c:pt idx="4">
                  <c:v>0.05</c:v>
                </c:pt>
                <c:pt idx="5">
                  <c:v>4.5999999999999999E-2</c:v>
                </c:pt>
                <c:pt idx="6">
                  <c:v>3.9E-2</c:v>
                </c:pt>
                <c:pt idx="7">
                  <c:v>0.18199999999999997</c:v>
                </c:pt>
              </c:numCache>
            </c:numRef>
          </c:val>
          <c:extLst>
            <c:ext xmlns:c16="http://schemas.microsoft.com/office/drawing/2014/chart" uri="{C3380CC4-5D6E-409C-BE32-E72D297353CC}">
              <c16:uniqueId val="{00000010-DA62-412A-832D-01B95C4F5CB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solidFill>
            <a:ln>
              <a:noFill/>
            </a:ln>
            <a:effectLst/>
          </c:spPr>
          <c:invertIfNegative val="0"/>
          <c:dPt>
            <c:idx val="26"/>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1-2F45-4140-BAA3-A4B98495CE69}"/>
              </c:ext>
            </c:extLst>
          </c:dPt>
          <c:errBars>
            <c:errBarType val="both"/>
            <c:errValType val="cust"/>
            <c:noEndCap val="0"/>
            <c:plus>
              <c:numRef>
                <c:f>QOE_UG_UNI_1Y_INST_FIG!$G$7:$G$47</c:f>
                <c:numCache>
                  <c:formatCode>General</c:formatCode>
                  <c:ptCount val="41"/>
                  <c:pt idx="0">
                    <c:v>3.7999999999999972</c:v>
                  </c:pt>
                  <c:pt idx="1">
                    <c:v>2.5</c:v>
                  </c:pt>
                  <c:pt idx="2">
                    <c:v>4.2000000000000028</c:v>
                  </c:pt>
                  <c:pt idx="3">
                    <c:v>4.2999999999999972</c:v>
                  </c:pt>
                  <c:pt idx="4">
                    <c:v>1.5</c:v>
                  </c:pt>
                  <c:pt idx="5">
                    <c:v>2.0999999999999943</c:v>
                  </c:pt>
                  <c:pt idx="6">
                    <c:v>2</c:v>
                  </c:pt>
                  <c:pt idx="7">
                    <c:v>3.2999999999999972</c:v>
                  </c:pt>
                  <c:pt idx="8">
                    <c:v>4.2000000000000028</c:v>
                  </c:pt>
                  <c:pt idx="9">
                    <c:v>2.8999999999999915</c:v>
                  </c:pt>
                  <c:pt idx="10">
                    <c:v>2.0999999999999943</c:v>
                  </c:pt>
                  <c:pt idx="11">
                    <c:v>3.5</c:v>
                  </c:pt>
                  <c:pt idx="12">
                    <c:v>2.0999999999999943</c:v>
                  </c:pt>
                  <c:pt idx="13">
                    <c:v>3.0999999999999943</c:v>
                  </c:pt>
                  <c:pt idx="14">
                    <c:v>4.0999999999999943</c:v>
                  </c:pt>
                  <c:pt idx="15">
                    <c:v>1.7999999999999972</c:v>
                  </c:pt>
                  <c:pt idx="16">
                    <c:v>2.9000000000000057</c:v>
                  </c:pt>
                  <c:pt idx="17">
                    <c:v>3.4000000000000057</c:v>
                  </c:pt>
                  <c:pt idx="18">
                    <c:v>2.7999999999999972</c:v>
                  </c:pt>
                  <c:pt idx="19">
                    <c:v>2.9000000000000057</c:v>
                  </c:pt>
                  <c:pt idx="20">
                    <c:v>2.0999999999999943</c:v>
                  </c:pt>
                  <c:pt idx="21">
                    <c:v>5.6000000000000085</c:v>
                  </c:pt>
                  <c:pt idx="22">
                    <c:v>2</c:v>
                  </c:pt>
                  <c:pt idx="23">
                    <c:v>2.2999999999999972</c:v>
                  </c:pt>
                  <c:pt idx="24">
                    <c:v>3.0999999999999943</c:v>
                  </c:pt>
                  <c:pt idx="25">
                    <c:v>2</c:v>
                  </c:pt>
                  <c:pt idx="26">
                    <c:v>0.39999999999999147</c:v>
                  </c:pt>
                  <c:pt idx="27">
                    <c:v>1.9000000000000057</c:v>
                  </c:pt>
                  <c:pt idx="28">
                    <c:v>2.0999999999999943</c:v>
                  </c:pt>
                  <c:pt idx="29">
                    <c:v>2</c:v>
                  </c:pt>
                  <c:pt idx="30">
                    <c:v>1.7000000000000028</c:v>
                  </c:pt>
                  <c:pt idx="31">
                    <c:v>1.2999999999999972</c:v>
                  </c:pt>
                  <c:pt idx="32">
                    <c:v>2.2000000000000028</c:v>
                  </c:pt>
                  <c:pt idx="33">
                    <c:v>2.9000000000000057</c:v>
                  </c:pt>
                  <c:pt idx="34">
                    <c:v>2.7000000000000028</c:v>
                  </c:pt>
                  <c:pt idx="35">
                    <c:v>2.2000000000000028</c:v>
                  </c:pt>
                  <c:pt idx="36">
                    <c:v>3.1000000000000085</c:v>
                  </c:pt>
                  <c:pt idx="37">
                    <c:v>3.7999999999999972</c:v>
                  </c:pt>
                  <c:pt idx="38">
                    <c:v>1.2000000000000028</c:v>
                  </c:pt>
                  <c:pt idx="39">
                    <c:v>3.5999999999999943</c:v>
                  </c:pt>
                  <c:pt idx="40">
                    <c:v>2</c:v>
                  </c:pt>
                </c:numCache>
              </c:numRef>
            </c:plus>
            <c:minus>
              <c:numRef>
                <c:f>QOE_UG_UNI_1Y_INST_FIG!$F$7:$F$47</c:f>
                <c:numCache>
                  <c:formatCode>General</c:formatCode>
                  <c:ptCount val="41"/>
                  <c:pt idx="0">
                    <c:v>5.9000000000000057</c:v>
                  </c:pt>
                  <c:pt idx="1">
                    <c:v>3.2999999999999972</c:v>
                  </c:pt>
                  <c:pt idx="2">
                    <c:v>6.5</c:v>
                  </c:pt>
                  <c:pt idx="3">
                    <c:v>7.2000000000000028</c:v>
                  </c:pt>
                  <c:pt idx="4">
                    <c:v>1.7999999999999972</c:v>
                  </c:pt>
                  <c:pt idx="5">
                    <c:v>2.4000000000000057</c:v>
                  </c:pt>
                  <c:pt idx="6">
                    <c:v>2.2000000000000028</c:v>
                  </c:pt>
                  <c:pt idx="7">
                    <c:v>4.2000000000000028</c:v>
                  </c:pt>
                  <c:pt idx="8">
                    <c:v>5.5</c:v>
                  </c:pt>
                  <c:pt idx="9">
                    <c:v>3.4000000000000057</c:v>
                  </c:pt>
                  <c:pt idx="10">
                    <c:v>2.3000000000000114</c:v>
                  </c:pt>
                  <c:pt idx="11">
                    <c:v>4.5</c:v>
                  </c:pt>
                  <c:pt idx="12">
                    <c:v>2.2999999999999972</c:v>
                  </c:pt>
                  <c:pt idx="13">
                    <c:v>3.9000000000000057</c:v>
                  </c:pt>
                  <c:pt idx="14">
                    <c:v>5.1000000000000085</c:v>
                  </c:pt>
                  <c:pt idx="15">
                    <c:v>2</c:v>
                  </c:pt>
                  <c:pt idx="16">
                    <c:v>3.4000000000000057</c:v>
                  </c:pt>
                  <c:pt idx="17">
                    <c:v>3.9000000000000057</c:v>
                  </c:pt>
                  <c:pt idx="18">
                    <c:v>3.2000000000000028</c:v>
                  </c:pt>
                  <c:pt idx="19">
                    <c:v>3.2000000000000028</c:v>
                  </c:pt>
                  <c:pt idx="20">
                    <c:v>2.3000000000000114</c:v>
                  </c:pt>
                  <c:pt idx="21">
                    <c:v>7.5999999999999943</c:v>
                  </c:pt>
                  <c:pt idx="22">
                    <c:v>2.0999999999999943</c:v>
                  </c:pt>
                  <c:pt idx="23">
                    <c:v>2.5999999999999943</c:v>
                  </c:pt>
                  <c:pt idx="24">
                    <c:v>3.5</c:v>
                  </c:pt>
                  <c:pt idx="25">
                    <c:v>2.0999999999999943</c:v>
                  </c:pt>
                  <c:pt idx="26">
                    <c:v>0.40000000000000568</c:v>
                  </c:pt>
                  <c:pt idx="27">
                    <c:v>1.8999999999999915</c:v>
                  </c:pt>
                  <c:pt idx="28">
                    <c:v>2.3000000000000114</c:v>
                  </c:pt>
                  <c:pt idx="29">
                    <c:v>2.1000000000000085</c:v>
                  </c:pt>
                  <c:pt idx="30">
                    <c:v>1.9000000000000057</c:v>
                  </c:pt>
                  <c:pt idx="31">
                    <c:v>1.4000000000000057</c:v>
                  </c:pt>
                  <c:pt idx="32">
                    <c:v>2.4000000000000057</c:v>
                  </c:pt>
                  <c:pt idx="33">
                    <c:v>3.0999999999999943</c:v>
                  </c:pt>
                  <c:pt idx="34">
                    <c:v>3</c:v>
                  </c:pt>
                  <c:pt idx="35">
                    <c:v>2.2999999999999972</c:v>
                  </c:pt>
                  <c:pt idx="36">
                    <c:v>3.2999999999999972</c:v>
                  </c:pt>
                  <c:pt idx="37">
                    <c:v>4.2999999999999972</c:v>
                  </c:pt>
                  <c:pt idx="38">
                    <c:v>1.2999999999999972</c:v>
                  </c:pt>
                  <c:pt idx="39">
                    <c:v>4</c:v>
                  </c:pt>
                  <c:pt idx="40">
                    <c:v>2</c:v>
                  </c:pt>
                </c:numCache>
              </c:numRef>
            </c:minus>
            <c:spPr>
              <a:noFill/>
              <a:ln w="9525" cap="flat" cmpd="sng" algn="ctr">
                <a:solidFill>
                  <a:schemeClr val="tx1">
                    <a:lumMod val="65000"/>
                    <a:lumOff val="35000"/>
                  </a:schemeClr>
                </a:solidFill>
                <a:round/>
              </a:ln>
              <a:effectLst/>
            </c:spPr>
          </c:errBars>
          <c:cat>
            <c:strRef>
              <c:f>QOE_UG_UNI_1Y_INST_FIG!$B$7:$B$47</c:f>
              <c:strCache>
                <c:ptCount val="41"/>
                <c:pt idx="0">
                  <c:v>Bond University</c:v>
                </c:pt>
                <c:pt idx="1">
                  <c:v>James Cook University</c:v>
                </c:pt>
                <c:pt idx="2">
                  <c:v>The University of Notre Dame Australia</c:v>
                </c:pt>
                <c:pt idx="3">
                  <c:v>University of New England</c:v>
                </c:pt>
                <c:pt idx="4">
                  <c:v>Australian Catholic University</c:v>
                </c:pt>
                <c:pt idx="5">
                  <c:v>Deakin University</c:v>
                </c:pt>
                <c:pt idx="6">
                  <c:v>Edith Cowan University</c:v>
                </c:pt>
                <c:pt idx="7">
                  <c:v>University of Southern Queensland</c:v>
                </c:pt>
                <c:pt idx="8">
                  <c:v>Central Queensland University</c:v>
                </c:pt>
                <c:pt idx="9">
                  <c:v>Federation University Australia</c:v>
                </c:pt>
                <c:pt idx="10">
                  <c:v>Victoria University</c:v>
                </c:pt>
                <c:pt idx="11">
                  <c:v>Charles Darwin University</c:v>
                </c:pt>
                <c:pt idx="12">
                  <c:v>Curtin University</c:v>
                </c:pt>
                <c:pt idx="13">
                  <c:v>University of the Sunshine Coast</c:v>
                </c:pt>
                <c:pt idx="14">
                  <c:v>Southern Cross University</c:v>
                </c:pt>
                <c:pt idx="15">
                  <c:v>Griffith University</c:v>
                </c:pt>
                <c:pt idx="16">
                  <c:v>Murdoch University</c:v>
                </c:pt>
                <c:pt idx="17">
                  <c:v>University of Newcastle</c:v>
                </c:pt>
                <c:pt idx="18">
                  <c:v>Flinders University</c:v>
                </c:pt>
                <c:pt idx="19">
                  <c:v>Western Sydney University</c:v>
                </c:pt>
                <c:pt idx="20">
                  <c:v>Torrens University</c:v>
                </c:pt>
                <c:pt idx="21">
                  <c:v>Charles Sturt University</c:v>
                </c:pt>
                <c:pt idx="22">
                  <c:v>The University of Western Australia</c:v>
                </c:pt>
                <c:pt idx="23">
                  <c:v>University of Technology Sydney</c:v>
                </c:pt>
                <c:pt idx="24">
                  <c:v>University of Wollongong</c:v>
                </c:pt>
                <c:pt idx="25">
                  <c:v>Swinburne University of Technology</c:v>
                </c:pt>
                <c:pt idx="26">
                  <c:v>All Universities</c:v>
                </c:pt>
                <c:pt idx="27">
                  <c:v>The University of Queensland</c:v>
                </c:pt>
                <c:pt idx="28">
                  <c:v>Queensland University of Technology</c:v>
                </c:pt>
                <c:pt idx="29">
                  <c:v>RMIT University</c:v>
                </c:pt>
                <c:pt idx="30">
                  <c:v>Macquarie University</c:v>
                </c:pt>
                <c:pt idx="31">
                  <c:v>University of New South Wales</c:v>
                </c:pt>
                <c:pt idx="32">
                  <c:v>The University of South Australia</c:v>
                </c:pt>
                <c:pt idx="33">
                  <c:v>La Trobe University</c:v>
                </c:pt>
                <c:pt idx="34">
                  <c:v>The University of Adelaide</c:v>
                </c:pt>
                <c:pt idx="35">
                  <c:v>The University of Melbourne</c:v>
                </c:pt>
                <c:pt idx="36">
                  <c:v>University of Canberra</c:v>
                </c:pt>
                <c:pt idx="37">
                  <c:v>University of Tasmania</c:v>
                </c:pt>
                <c:pt idx="38">
                  <c:v>Monash University</c:v>
                </c:pt>
                <c:pt idx="39">
                  <c:v>The Australian National University</c:v>
                </c:pt>
                <c:pt idx="40">
                  <c:v>The University of Sydney</c:v>
                </c:pt>
              </c:strCache>
            </c:strRef>
          </c:cat>
          <c:val>
            <c:numRef>
              <c:f>QOE_UG_UNI_1Y_INST_FIG!$C$7:$C$47</c:f>
              <c:numCache>
                <c:formatCode>General</c:formatCode>
                <c:ptCount val="41"/>
                <c:pt idx="0">
                  <c:v>86.5</c:v>
                </c:pt>
                <c:pt idx="1">
                  <c:v>84.3</c:v>
                </c:pt>
                <c:pt idx="2">
                  <c:v>84</c:v>
                </c:pt>
                <c:pt idx="3">
                  <c:v>83.9</c:v>
                </c:pt>
                <c:pt idx="4">
                  <c:v>83.2</c:v>
                </c:pt>
                <c:pt idx="5">
                  <c:v>82.4</c:v>
                </c:pt>
                <c:pt idx="6">
                  <c:v>82.2</c:v>
                </c:pt>
                <c:pt idx="7">
                  <c:v>82.2</c:v>
                </c:pt>
                <c:pt idx="8">
                  <c:v>81.599999999999994</c:v>
                </c:pt>
                <c:pt idx="9">
                  <c:v>80.400000000000006</c:v>
                </c:pt>
                <c:pt idx="10">
                  <c:v>80.400000000000006</c:v>
                </c:pt>
                <c:pt idx="11">
                  <c:v>79.5</c:v>
                </c:pt>
                <c:pt idx="12">
                  <c:v>79.5</c:v>
                </c:pt>
                <c:pt idx="13">
                  <c:v>79.400000000000006</c:v>
                </c:pt>
                <c:pt idx="14">
                  <c:v>79.2</c:v>
                </c:pt>
                <c:pt idx="15">
                  <c:v>78.5</c:v>
                </c:pt>
                <c:pt idx="16">
                  <c:v>78.5</c:v>
                </c:pt>
                <c:pt idx="17">
                  <c:v>78</c:v>
                </c:pt>
                <c:pt idx="18">
                  <c:v>77.7</c:v>
                </c:pt>
                <c:pt idx="19">
                  <c:v>77.3</c:v>
                </c:pt>
                <c:pt idx="20">
                  <c:v>76.900000000000006</c:v>
                </c:pt>
                <c:pt idx="21">
                  <c:v>76.8</c:v>
                </c:pt>
                <c:pt idx="22">
                  <c:v>76.599999999999994</c:v>
                </c:pt>
                <c:pt idx="23">
                  <c:v>76</c:v>
                </c:pt>
                <c:pt idx="24">
                  <c:v>75.900000000000006</c:v>
                </c:pt>
                <c:pt idx="25">
                  <c:v>75.3</c:v>
                </c:pt>
                <c:pt idx="26">
                  <c:v>75.2</c:v>
                </c:pt>
                <c:pt idx="27">
                  <c:v>75.099999999999994</c:v>
                </c:pt>
                <c:pt idx="28">
                  <c:v>74.900000000000006</c:v>
                </c:pt>
                <c:pt idx="29">
                  <c:v>74.900000000000006</c:v>
                </c:pt>
                <c:pt idx="30">
                  <c:v>74.5</c:v>
                </c:pt>
                <c:pt idx="31">
                  <c:v>74</c:v>
                </c:pt>
                <c:pt idx="32">
                  <c:v>73</c:v>
                </c:pt>
                <c:pt idx="33">
                  <c:v>71.3</c:v>
                </c:pt>
                <c:pt idx="34">
                  <c:v>71.3</c:v>
                </c:pt>
                <c:pt idx="35">
                  <c:v>71.2</c:v>
                </c:pt>
                <c:pt idx="36">
                  <c:v>70.8</c:v>
                </c:pt>
                <c:pt idx="37">
                  <c:v>70.8</c:v>
                </c:pt>
                <c:pt idx="38">
                  <c:v>70.2</c:v>
                </c:pt>
                <c:pt idx="39">
                  <c:v>69.5</c:v>
                </c:pt>
                <c:pt idx="40">
                  <c:v>67.5</c:v>
                </c:pt>
              </c:numCache>
            </c:numRef>
          </c:val>
          <c:extLst>
            <c:ext xmlns:c16="http://schemas.microsoft.com/office/drawing/2014/chart" uri="{C3380CC4-5D6E-409C-BE32-E72D297353CC}">
              <c16:uniqueId val="{00000002-2F45-4140-BAA3-A4B98495CE69}"/>
            </c:ext>
          </c:extLst>
        </c:ser>
        <c:dLbls>
          <c:showLegendKey val="0"/>
          <c:showVal val="0"/>
          <c:showCatName val="0"/>
          <c:showSerName val="0"/>
          <c:showPercent val="0"/>
          <c:showBubbleSize val="0"/>
        </c:dLbls>
        <c:gapWidth val="150"/>
        <c:overlap val="-27"/>
        <c:axId val="1069104592"/>
        <c:axId val="901762015"/>
      </c:barChart>
      <c:catAx>
        <c:axId val="106910459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762015"/>
        <c:crosses val="autoZero"/>
        <c:auto val="1"/>
        <c:lblAlgn val="ctr"/>
        <c:lblOffset val="100"/>
        <c:noMultiLvlLbl val="0"/>
      </c:catAx>
      <c:valAx>
        <c:axId val="9017620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 positive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910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'FOCUS_PGC_ALL_17-YY_YEAR'!$B$2</c:f>
              <c:strCache>
                <c:ptCount val="1"/>
                <c:pt idx="0">
                  <c:v>Skills Development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88-48BF-B6C8-68C98CA1B165}"/>
                </c:ext>
              </c:extLst>
            </c:dLbl>
            <c:spPr>
              <a:noFill/>
              <a:ln>
                <a:noFill/>
              </a:ln>
              <a:effectLst/>
            </c:spPr>
            <c:txPr>
              <a:bodyPr rot="0" spcFirstLastPara="1" vertOverflow="ellipsis" vert="horz" wrap="square" anchor="ctr" anchorCtr="1"/>
              <a:lstStyle/>
              <a:p>
                <a:pPr>
                  <a:defRPr sz="800" b="0" i="0" u="none" strike="noStrike" kern="1200" baseline="0">
                    <a:solidFill>
                      <a:schemeClr val="accen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'FOCUS_PGC_ALL_17-YY_YEAR'!$B$9:$B$15</c:f>
              <c:numCache>
                <c:formatCode>0.0%</c:formatCode>
                <c:ptCount val="7"/>
                <c:pt idx="0">
                  <c:v>0.82200000000000006</c:v>
                </c:pt>
                <c:pt idx="1">
                  <c:v>0.82</c:v>
                </c:pt>
                <c:pt idx="2">
                  <c:v>0.82</c:v>
                </c:pt>
                <c:pt idx="3">
                  <c:v>0.77599999999999991</c:v>
                </c:pt>
                <c:pt idx="4">
                  <c:v>0.79599999999999993</c:v>
                </c:pt>
                <c:pt idx="5">
                  <c:v>0.84099999999999997</c:v>
                </c:pt>
                <c:pt idx="6">
                  <c:v>0.85499999999999998</c:v>
                </c:pt>
              </c:numCache>
            </c:numRef>
          </c:val>
          <c:smooth val="0"/>
          <c:extLst>
            <c:ext xmlns:c16="http://schemas.microsoft.com/office/drawing/2014/chart" uri="{C3380CC4-5D6E-409C-BE32-E72D297353CC}">
              <c16:uniqueId val="{00000002-0888-48BF-B6C8-68C98CA1B165}"/>
            </c:ext>
          </c:extLst>
        </c:ser>
        <c:ser>
          <c:idx val="1"/>
          <c:order val="1"/>
          <c:tx>
            <c:strRef>
              <c:f>'FOCUS_PGC_ALL_17-YY_YEAR'!$C$2</c:f>
              <c:strCache>
                <c:ptCount val="1"/>
                <c:pt idx="0">
                  <c:v>Peer Engagement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6"/>
            <c:marker>
              <c:symbol val="circle"/>
              <c:size val="5"/>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4-0888-48BF-B6C8-68C98CA1B165}"/>
              </c:ext>
            </c:extLst>
          </c:dPt>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88-48BF-B6C8-68C98CA1B165}"/>
                </c:ext>
              </c:extLst>
            </c:dLbl>
            <c:spPr>
              <a:noFill/>
              <a:ln>
                <a:noFill/>
              </a:ln>
              <a:effectLst/>
            </c:spPr>
            <c:txPr>
              <a:bodyPr rot="0" spcFirstLastPara="1" vertOverflow="ellipsis" vert="horz" wrap="square" anchor="ctr" anchorCtr="1"/>
              <a:lstStyle/>
              <a:p>
                <a:pPr>
                  <a:defRPr sz="800" b="0"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'FOCUS_PGC_ALL_17-YY_YEAR'!$C$9:$C$15</c:f>
              <c:numCache>
                <c:formatCode>0.0%</c:formatCode>
                <c:ptCount val="7"/>
                <c:pt idx="0">
                  <c:v>0.59399999999999997</c:v>
                </c:pt>
                <c:pt idx="1">
                  <c:v>0.59499999999999997</c:v>
                </c:pt>
                <c:pt idx="2">
                  <c:v>0.60599999999999998</c:v>
                </c:pt>
                <c:pt idx="3">
                  <c:v>0.47899999999999998</c:v>
                </c:pt>
                <c:pt idx="4">
                  <c:v>0.48799999999999999</c:v>
                </c:pt>
                <c:pt idx="5">
                  <c:v>0.622</c:v>
                </c:pt>
                <c:pt idx="6">
                  <c:v>0.74299999999999999</c:v>
                </c:pt>
              </c:numCache>
            </c:numRef>
          </c:val>
          <c:smooth val="0"/>
          <c:extLst>
            <c:ext xmlns:c16="http://schemas.microsoft.com/office/drawing/2014/chart" uri="{C3380CC4-5D6E-409C-BE32-E72D297353CC}">
              <c16:uniqueId val="{00000006-0888-48BF-B6C8-68C98CA1B165}"/>
            </c:ext>
          </c:extLst>
        </c:ser>
        <c:ser>
          <c:idx val="2"/>
          <c:order val="2"/>
          <c:tx>
            <c:strRef>
              <c:f>'FOCUS_PGC_ALL_17-YY_YEAR'!$D$2</c:f>
              <c:strCache>
                <c:ptCount val="1"/>
                <c:pt idx="0">
                  <c:v>Teaching Quality and Engagement</c:v>
                </c:pt>
              </c:strCache>
            </c:strRef>
          </c:tx>
          <c:spPr>
            <a:ln w="28575" cap="rnd">
              <a:solidFill>
                <a:schemeClr val="accent5"/>
              </a:solidFill>
              <a:round/>
            </a:ln>
            <a:effectLst/>
          </c:spPr>
          <c:marker>
            <c:symbol val="circle"/>
            <c:size val="5"/>
            <c:spPr>
              <a:solidFill>
                <a:schemeClr val="accent5"/>
              </a:solidFill>
              <a:ln w="9525">
                <a:solidFill>
                  <a:schemeClr val="accent5">
                    <a:alpha val="95000"/>
                  </a:schemeClr>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88-48BF-B6C8-68C98CA1B165}"/>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88-48BF-B6C8-68C98CA1B165}"/>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88-48BF-B6C8-68C98CA1B165}"/>
                </c:ext>
              </c:extLst>
            </c:dLbl>
            <c:dLbl>
              <c:idx val="4"/>
              <c:layout>
                <c:manualLayout>
                  <c:x val="-1.9701093417134517E-2"/>
                  <c:y val="1.88722659667541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88-48BF-B6C8-68C98CA1B165}"/>
                </c:ext>
              </c:extLst>
            </c:dLbl>
            <c:spPr>
              <a:noFill/>
              <a:ln>
                <a:noFill/>
              </a:ln>
              <a:effectLst/>
            </c:spPr>
            <c:txPr>
              <a:bodyPr rot="0" spcFirstLastPara="1" vertOverflow="ellipsis" vert="horz" wrap="square" anchor="ctr" anchorCtr="1"/>
              <a:lstStyle/>
              <a:p>
                <a:pPr>
                  <a:defRPr sz="800" b="0" i="0" u="none" strike="noStrike" kern="1200" baseline="0">
                    <a:solidFill>
                      <a:schemeClr val="accent5">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'FOCUS_PGC_ALL_17-YY_YEAR'!$D$9:$D$15</c:f>
              <c:numCache>
                <c:formatCode>0.0%</c:formatCode>
                <c:ptCount val="7"/>
                <c:pt idx="0">
                  <c:v>0.80099999999999993</c:v>
                </c:pt>
                <c:pt idx="1">
                  <c:v>0.79700000000000004</c:v>
                </c:pt>
                <c:pt idx="2">
                  <c:v>0.79700000000000004</c:v>
                </c:pt>
                <c:pt idx="3">
                  <c:v>0.747</c:v>
                </c:pt>
                <c:pt idx="4">
                  <c:v>0.77900000000000003</c:v>
                </c:pt>
                <c:pt idx="5">
                  <c:v>0.82599999999999996</c:v>
                </c:pt>
                <c:pt idx="6">
                  <c:v>0.84099999999999997</c:v>
                </c:pt>
              </c:numCache>
            </c:numRef>
          </c:val>
          <c:smooth val="0"/>
          <c:extLst>
            <c:ext xmlns:c16="http://schemas.microsoft.com/office/drawing/2014/chart" uri="{C3380CC4-5D6E-409C-BE32-E72D297353CC}">
              <c16:uniqueId val="{0000000C-0888-48BF-B6C8-68C98CA1B165}"/>
            </c:ext>
          </c:extLst>
        </c:ser>
        <c:ser>
          <c:idx val="3"/>
          <c:order val="3"/>
          <c:tx>
            <c:strRef>
              <c:f>'FOCUS_PGC_ALL_17-YY_YEAR'!$E$2</c:f>
              <c:strCache>
                <c:ptCount val="1"/>
                <c:pt idx="0">
                  <c:v>Student Support and Services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6"/>
            <c:marker>
              <c:symbol val="circle"/>
              <c:size val="5"/>
              <c:spPr>
                <a:solidFill>
                  <a:schemeClr val="accent4"/>
                </a:solidFill>
                <a:ln w="9525">
                  <a:solidFill>
                    <a:schemeClr val="accent4"/>
                  </a:solidFill>
                </a:ln>
                <a:effectLst/>
              </c:spPr>
            </c:marker>
            <c:bubble3D val="0"/>
            <c:spPr>
              <a:ln w="28575" cap="rnd">
                <a:solidFill>
                  <a:schemeClr val="accent4"/>
                </a:solidFill>
                <a:prstDash val="sysDash"/>
                <a:round/>
              </a:ln>
              <a:effectLst/>
            </c:spPr>
            <c:extLst>
              <c:ext xmlns:c16="http://schemas.microsoft.com/office/drawing/2014/chart" uri="{C3380CC4-5D6E-409C-BE32-E72D297353CC}">
                <c16:uniqueId val="{0000000E-0888-48BF-B6C8-68C98CA1B165}"/>
              </c:ext>
            </c:extLst>
          </c:dPt>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88-48BF-B6C8-68C98CA1B165}"/>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888-48BF-B6C8-68C98CA1B165}"/>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888-48BF-B6C8-68C98CA1B165}"/>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88-48BF-B6C8-68C98CA1B165}"/>
                </c:ext>
              </c:extLst>
            </c:dLbl>
            <c:spPr>
              <a:noFill/>
              <a:ln>
                <a:noFill/>
              </a:ln>
              <a:effectLst/>
            </c:spPr>
            <c:txPr>
              <a:bodyPr rot="0" spcFirstLastPara="1" vertOverflow="ellipsis" vert="horz" wrap="square" anchor="ctr" anchorCtr="1"/>
              <a:lstStyle/>
              <a:p>
                <a:pPr>
                  <a:defRPr sz="800" b="0" i="0" u="none" strike="noStrike" kern="1200" baseline="0">
                    <a:solidFill>
                      <a:schemeClr val="accent4">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'FOCUS_PGC_ALL_17-YY_YEAR'!$E$9:$E$15</c:f>
              <c:numCache>
                <c:formatCode>0.0%</c:formatCode>
                <c:ptCount val="7"/>
                <c:pt idx="0">
                  <c:v>0.74199999999999999</c:v>
                </c:pt>
                <c:pt idx="1">
                  <c:v>0.7340000000000001</c:v>
                </c:pt>
                <c:pt idx="2">
                  <c:v>0.75800000000000001</c:v>
                </c:pt>
                <c:pt idx="3">
                  <c:v>0.72099999999999997</c:v>
                </c:pt>
                <c:pt idx="4">
                  <c:v>0.72599999999999998</c:v>
                </c:pt>
                <c:pt idx="5">
                  <c:v>0.76900000000000002</c:v>
                </c:pt>
                <c:pt idx="6">
                  <c:v>0.80400000000000005</c:v>
                </c:pt>
              </c:numCache>
            </c:numRef>
          </c:val>
          <c:smooth val="0"/>
          <c:extLst>
            <c:ext xmlns:c16="http://schemas.microsoft.com/office/drawing/2014/chart" uri="{C3380CC4-5D6E-409C-BE32-E72D297353CC}">
              <c16:uniqueId val="{00000013-0888-48BF-B6C8-68C98CA1B165}"/>
            </c:ext>
          </c:extLst>
        </c:ser>
        <c:ser>
          <c:idx val="4"/>
          <c:order val="4"/>
          <c:tx>
            <c:strRef>
              <c:f>'FOCUS_PGC_ALL_17-YY_YEAR'!$F$2</c:f>
              <c:strCache>
                <c:ptCount val="1"/>
                <c:pt idx="0">
                  <c:v>Learning Resources</c:v>
                </c:pt>
              </c:strCache>
            </c:strRef>
          </c:tx>
          <c:spPr>
            <a:ln w="28575" cap="rnd">
              <a:solidFill>
                <a:schemeClr val="accent3"/>
              </a:solidFill>
              <a:round/>
            </a:ln>
            <a:effectLst/>
          </c:spPr>
          <c:marker>
            <c:symbol val="circle"/>
            <c:size val="5"/>
            <c:spPr>
              <a:solidFill>
                <a:schemeClr val="accent3">
                  <a:alpha val="93000"/>
                </a:schemeClr>
              </a:solidFill>
              <a:ln w="9525">
                <a:solidFill>
                  <a:schemeClr val="accent3"/>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888-48BF-B6C8-68C98CA1B165}"/>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888-48BF-B6C8-68C98CA1B165}"/>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888-48BF-B6C8-68C98CA1B165}"/>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accent3">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'FOCUS_PGC_ALL_17-YY_YEAR'!$F$9:$F$15</c:f>
              <c:numCache>
                <c:formatCode>0.0%</c:formatCode>
                <c:ptCount val="7"/>
                <c:pt idx="0">
                  <c:v>0.83200000000000007</c:v>
                </c:pt>
                <c:pt idx="1">
                  <c:v>0.83799999999999997</c:v>
                </c:pt>
                <c:pt idx="2">
                  <c:v>0.83700000000000008</c:v>
                </c:pt>
                <c:pt idx="3">
                  <c:v>0.70499999999999996</c:v>
                </c:pt>
                <c:pt idx="4">
                  <c:v>0.75800000000000001</c:v>
                </c:pt>
                <c:pt idx="5">
                  <c:v>0.8640000000000001</c:v>
                </c:pt>
                <c:pt idx="6">
                  <c:v>0.877</c:v>
                </c:pt>
              </c:numCache>
            </c:numRef>
          </c:val>
          <c:smooth val="0"/>
          <c:extLst>
            <c:ext xmlns:c16="http://schemas.microsoft.com/office/drawing/2014/chart" uri="{C3380CC4-5D6E-409C-BE32-E72D297353CC}">
              <c16:uniqueId val="{00000018-0888-48BF-B6C8-68C98CA1B165}"/>
            </c:ext>
          </c:extLst>
        </c:ser>
        <c:ser>
          <c:idx val="5"/>
          <c:order val="5"/>
          <c:tx>
            <c:strRef>
              <c:f>'FOCUS_PGC_ALL_17-YY_YEAR'!$G$2</c:f>
              <c:strCache>
                <c:ptCount val="1"/>
                <c:pt idx="0">
                  <c:v>Quality of entire educational experience</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888-48BF-B6C8-68C98CA1B165}"/>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888-48BF-B6C8-68C98CA1B16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888-48BF-B6C8-68C98CA1B165}"/>
                </c:ext>
              </c:extLst>
            </c:dLbl>
            <c:spPr>
              <a:noFill/>
              <a:ln>
                <a:noFill/>
              </a:ln>
              <a:effectLst/>
            </c:spPr>
            <c:txPr>
              <a:bodyPr rot="0" spcFirstLastPara="1" vertOverflow="ellipsis" vert="horz" wrap="square" anchor="ctr" anchorCtr="1"/>
              <a:lstStyle/>
              <a:p>
                <a:pPr>
                  <a:defRPr sz="800" b="0" i="0" u="none" strike="noStrike" kern="1200" baseline="0">
                    <a:solidFill>
                      <a:schemeClr val="tx2">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'FOCUS_PGC_ALL_17-YY_YEAR'!$A$9:$A$15</c:f>
              <c:strCache>
                <c:ptCount val="7"/>
                <c:pt idx="0">
                  <c:v>2017</c:v>
                </c:pt>
                <c:pt idx="1">
                  <c:v>2018</c:v>
                </c:pt>
                <c:pt idx="2">
                  <c:v>2019</c:v>
                </c:pt>
                <c:pt idx="3">
                  <c:v>2020</c:v>
                </c:pt>
                <c:pt idx="4">
                  <c:v>2021</c:v>
                </c:pt>
                <c:pt idx="5">
                  <c:v>2022 </c:v>
                </c:pt>
                <c:pt idx="6">
                  <c:v>2023</c:v>
                </c:pt>
              </c:strCache>
            </c:strRef>
          </c:cat>
          <c:val>
            <c:numRef>
              <c:f>'FOCUS_PGC_ALL_17-YY_YEAR'!$G$9:$G$15</c:f>
              <c:numCache>
                <c:formatCode>0.0%</c:formatCode>
                <c:ptCount val="7"/>
                <c:pt idx="0">
                  <c:v>0.747</c:v>
                </c:pt>
                <c:pt idx="1">
                  <c:v>0.75099999999999989</c:v>
                </c:pt>
                <c:pt idx="2">
                  <c:v>0.748</c:v>
                </c:pt>
                <c:pt idx="3">
                  <c:v>0.63700000000000001</c:v>
                </c:pt>
                <c:pt idx="4">
                  <c:v>0.69099999999999995</c:v>
                </c:pt>
                <c:pt idx="5">
                  <c:v>0.76900000000000002</c:v>
                </c:pt>
                <c:pt idx="6">
                  <c:v>0.77</c:v>
                </c:pt>
              </c:numCache>
            </c:numRef>
          </c:val>
          <c:smooth val="0"/>
          <c:extLst>
            <c:ext xmlns:c16="http://schemas.microsoft.com/office/drawing/2014/chart" uri="{C3380CC4-5D6E-409C-BE32-E72D297353CC}">
              <c16:uniqueId val="{0000001C-0888-48BF-B6C8-68C98CA1B165}"/>
            </c:ext>
          </c:extLst>
        </c:ser>
        <c:dLbls>
          <c:dLblPos val="t"/>
          <c:showLegendKey val="0"/>
          <c:showVal val="1"/>
          <c:showCatName val="0"/>
          <c:showSerName val="0"/>
          <c:showPercent val="0"/>
          <c:showBubbleSize val="0"/>
        </c:dLbls>
        <c:marker val="1"/>
        <c:smooth val="0"/>
        <c:axId val="916666480"/>
        <c:axId val="916666896"/>
      </c:lineChart>
      <c:catAx>
        <c:axId val="91666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6666896"/>
        <c:crosses val="autoZero"/>
        <c:auto val="1"/>
        <c:lblAlgn val="ctr"/>
        <c:lblOffset val="100"/>
        <c:noMultiLvlLbl val="0"/>
      </c:catAx>
      <c:valAx>
        <c:axId val="916666896"/>
        <c:scaling>
          <c:orientation val="minMax"/>
          <c:max val="0.9"/>
          <c:min val="0.4"/>
        </c:scaling>
        <c:delete val="1"/>
        <c:axPos val="l"/>
        <c:numFmt formatCode="0.0%" sourceLinked="1"/>
        <c:majorTickMark val="out"/>
        <c:minorTickMark val="none"/>
        <c:tickLblPos val="nextTo"/>
        <c:crossAx val="916666480"/>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3772C"/>
            </a:solidFill>
            <a:ln>
              <a:solidFill>
                <a:srgbClr val="F3772C"/>
              </a:solidFill>
            </a:ln>
            <a:effectLst/>
          </c:spPr>
          <c:invertIfNegative val="0"/>
          <c:dPt>
            <c:idx val="21"/>
            <c:invertIfNegative val="0"/>
            <c:bubble3D val="0"/>
            <c:spPr>
              <a:solidFill>
                <a:srgbClr val="F3772C"/>
              </a:solidFill>
              <a:ln>
                <a:solidFill>
                  <a:srgbClr val="F3772C"/>
                </a:solidFill>
              </a:ln>
              <a:effectLst/>
            </c:spPr>
            <c:extLst>
              <c:ext xmlns:c16="http://schemas.microsoft.com/office/drawing/2014/chart" uri="{C3380CC4-5D6E-409C-BE32-E72D297353CC}">
                <c16:uniqueId val="{00000001-2665-43D6-AE76-D239E87D906E}"/>
              </c:ext>
            </c:extLst>
          </c:dPt>
          <c:dPt>
            <c:idx val="23"/>
            <c:invertIfNegative val="0"/>
            <c:bubble3D val="0"/>
            <c:spPr>
              <a:solidFill>
                <a:srgbClr val="F3772C">
                  <a:lumMod val="40000"/>
                  <a:lumOff val="60000"/>
                </a:srgbClr>
              </a:solidFill>
              <a:ln>
                <a:solidFill>
                  <a:srgbClr val="F3772C">
                    <a:lumMod val="40000"/>
                    <a:lumOff val="60000"/>
                  </a:srgbClr>
                </a:solidFill>
              </a:ln>
              <a:effectLst/>
            </c:spPr>
            <c:extLst>
              <c:ext xmlns:c16="http://schemas.microsoft.com/office/drawing/2014/chart" uri="{C3380CC4-5D6E-409C-BE32-E72D297353CC}">
                <c16:uniqueId val="{00000003-2665-43D6-AE76-D239E87D906E}"/>
              </c:ext>
            </c:extLst>
          </c:dPt>
          <c:errBars>
            <c:errBarType val="both"/>
            <c:errValType val="cust"/>
            <c:noEndCap val="0"/>
            <c:plus>
              <c:numRef>
                <c:f>QOE_PGC_UNI_1Y_INST_FIG!$G$8:$G$47</c:f>
                <c:numCache>
                  <c:formatCode>General</c:formatCode>
                  <c:ptCount val="40"/>
                  <c:pt idx="0">
                    <c:v>0.80000000000001137</c:v>
                  </c:pt>
                  <c:pt idx="1">
                    <c:v>3</c:v>
                  </c:pt>
                  <c:pt idx="2">
                    <c:v>2.8999999999999915</c:v>
                  </c:pt>
                  <c:pt idx="3">
                    <c:v>5.7000000000000028</c:v>
                  </c:pt>
                  <c:pt idx="4">
                    <c:v>4.4000000000000057</c:v>
                  </c:pt>
                  <c:pt idx="5">
                    <c:v>1</c:v>
                  </c:pt>
                  <c:pt idx="6">
                    <c:v>2.7999999999999972</c:v>
                  </c:pt>
                  <c:pt idx="7">
                    <c:v>1.7999999999999972</c:v>
                  </c:pt>
                  <c:pt idx="8">
                    <c:v>1.8999999999999915</c:v>
                  </c:pt>
                  <c:pt idx="9">
                    <c:v>1.7000000000000028</c:v>
                  </c:pt>
                  <c:pt idx="10">
                    <c:v>1.4000000000000057</c:v>
                  </c:pt>
                  <c:pt idx="11">
                    <c:v>2.7999999999999972</c:v>
                  </c:pt>
                  <c:pt idx="12">
                    <c:v>1.7000000000000028</c:v>
                  </c:pt>
                  <c:pt idx="13">
                    <c:v>2.2999999999999972</c:v>
                  </c:pt>
                  <c:pt idx="14">
                    <c:v>1.5</c:v>
                  </c:pt>
                  <c:pt idx="15">
                    <c:v>1.9000000000000057</c:v>
                  </c:pt>
                  <c:pt idx="16">
                    <c:v>1.9000000000000057</c:v>
                  </c:pt>
                  <c:pt idx="17">
                    <c:v>0.90000000000000568</c:v>
                  </c:pt>
                  <c:pt idx="18">
                    <c:v>2</c:v>
                  </c:pt>
                  <c:pt idx="19">
                    <c:v>1.3999999999999915</c:v>
                  </c:pt>
                  <c:pt idx="20">
                    <c:v>1.4000000000000057</c:v>
                  </c:pt>
                  <c:pt idx="21">
                    <c:v>1.5</c:v>
                  </c:pt>
                  <c:pt idx="22">
                    <c:v>2</c:v>
                  </c:pt>
                  <c:pt idx="23">
                    <c:v>0.29999999999999716</c:v>
                  </c:pt>
                  <c:pt idx="24">
                    <c:v>2.0999999999999943</c:v>
                  </c:pt>
                  <c:pt idx="25">
                    <c:v>1.5</c:v>
                  </c:pt>
                  <c:pt idx="26">
                    <c:v>1.7000000000000028</c:v>
                  </c:pt>
                  <c:pt idx="27">
                    <c:v>1.2999999999999972</c:v>
                  </c:pt>
                  <c:pt idx="28">
                    <c:v>2</c:v>
                  </c:pt>
                  <c:pt idx="29">
                    <c:v>2</c:v>
                  </c:pt>
                  <c:pt idx="30">
                    <c:v>2.5</c:v>
                  </c:pt>
                  <c:pt idx="31">
                    <c:v>1.9000000000000057</c:v>
                  </c:pt>
                  <c:pt idx="32">
                    <c:v>3.2999999999999972</c:v>
                  </c:pt>
                  <c:pt idx="33">
                    <c:v>1.8999999999999915</c:v>
                  </c:pt>
                  <c:pt idx="34">
                    <c:v>1</c:v>
                  </c:pt>
                  <c:pt idx="35">
                    <c:v>7.0999999999999943</c:v>
                  </c:pt>
                  <c:pt idx="36">
                    <c:v>3.0999999999999943</c:v>
                  </c:pt>
                  <c:pt idx="37">
                    <c:v>2</c:v>
                  </c:pt>
                  <c:pt idx="38">
                    <c:v>1.5</c:v>
                  </c:pt>
                  <c:pt idx="39">
                    <c:v>2.4000000000000057</c:v>
                  </c:pt>
                </c:numCache>
              </c:numRef>
            </c:plus>
            <c:minus>
              <c:numRef>
                <c:f>QOE_PGC_UNI_1Y_INST_FIG!$F$8:$F$47</c:f>
                <c:numCache>
                  <c:formatCode>General</c:formatCode>
                  <c:ptCount val="40"/>
                  <c:pt idx="0">
                    <c:v>0.89999999999999147</c:v>
                  </c:pt>
                  <c:pt idx="1">
                    <c:v>4.2000000000000028</c:v>
                  </c:pt>
                  <c:pt idx="2">
                    <c:v>3.5</c:v>
                  </c:pt>
                  <c:pt idx="3">
                    <c:v>9</c:v>
                  </c:pt>
                  <c:pt idx="4">
                    <c:v>10.299999999999997</c:v>
                  </c:pt>
                  <c:pt idx="5">
                    <c:v>1.2000000000000028</c:v>
                  </c:pt>
                  <c:pt idx="6">
                    <c:v>3.6000000000000085</c:v>
                  </c:pt>
                  <c:pt idx="7">
                    <c:v>2</c:v>
                  </c:pt>
                  <c:pt idx="8">
                    <c:v>2.2000000000000028</c:v>
                  </c:pt>
                  <c:pt idx="9">
                    <c:v>2</c:v>
                  </c:pt>
                  <c:pt idx="10">
                    <c:v>1.5</c:v>
                  </c:pt>
                  <c:pt idx="11">
                    <c:v>3.2999999999999972</c:v>
                  </c:pt>
                  <c:pt idx="12">
                    <c:v>1.9000000000000057</c:v>
                  </c:pt>
                  <c:pt idx="13">
                    <c:v>2.7000000000000028</c:v>
                  </c:pt>
                  <c:pt idx="14">
                    <c:v>1.6999999999999886</c:v>
                  </c:pt>
                  <c:pt idx="15">
                    <c:v>2.2999999999999972</c:v>
                  </c:pt>
                  <c:pt idx="16">
                    <c:v>2.0999999999999943</c:v>
                  </c:pt>
                  <c:pt idx="17">
                    <c:v>1</c:v>
                  </c:pt>
                  <c:pt idx="18">
                    <c:v>2.2000000000000028</c:v>
                  </c:pt>
                  <c:pt idx="19">
                    <c:v>1.5</c:v>
                  </c:pt>
                  <c:pt idx="20">
                    <c:v>1.5</c:v>
                  </c:pt>
                  <c:pt idx="21">
                    <c:v>1.5999999999999943</c:v>
                  </c:pt>
                  <c:pt idx="22">
                    <c:v>2.2000000000000028</c:v>
                  </c:pt>
                  <c:pt idx="23">
                    <c:v>0.30000000000001137</c:v>
                  </c:pt>
                  <c:pt idx="24">
                    <c:v>2.2000000000000028</c:v>
                  </c:pt>
                  <c:pt idx="25">
                    <c:v>1.5999999999999943</c:v>
                  </c:pt>
                  <c:pt idx="26">
                    <c:v>1.8999999999999915</c:v>
                  </c:pt>
                  <c:pt idx="27">
                    <c:v>1.2000000000000028</c:v>
                  </c:pt>
                  <c:pt idx="28">
                    <c:v>2.1000000000000085</c:v>
                  </c:pt>
                  <c:pt idx="29">
                    <c:v>2.1000000000000085</c:v>
                  </c:pt>
                  <c:pt idx="30">
                    <c:v>2.7000000000000028</c:v>
                  </c:pt>
                  <c:pt idx="31">
                    <c:v>2</c:v>
                  </c:pt>
                  <c:pt idx="32">
                    <c:v>3.8000000000000114</c:v>
                  </c:pt>
                  <c:pt idx="33">
                    <c:v>2</c:v>
                  </c:pt>
                  <c:pt idx="34">
                    <c:v>0.89999999999999147</c:v>
                  </c:pt>
                  <c:pt idx="35">
                    <c:v>10.200000000000003</c:v>
                  </c:pt>
                  <c:pt idx="36">
                    <c:v>3.4000000000000057</c:v>
                  </c:pt>
                  <c:pt idx="37">
                    <c:v>2</c:v>
                  </c:pt>
                  <c:pt idx="38">
                    <c:v>1.5</c:v>
                  </c:pt>
                  <c:pt idx="39">
                    <c:v>2.5</c:v>
                  </c:pt>
                </c:numCache>
              </c:numRef>
            </c:minus>
            <c:spPr>
              <a:noFill/>
              <a:ln w="9525" cap="flat" cmpd="sng" algn="ctr">
                <a:solidFill>
                  <a:schemeClr val="tx1">
                    <a:lumMod val="65000"/>
                    <a:lumOff val="35000"/>
                  </a:schemeClr>
                </a:solidFill>
                <a:round/>
              </a:ln>
              <a:effectLst/>
            </c:spPr>
          </c:errBars>
          <c:cat>
            <c:strRef>
              <c:f>QOE_PGC_UNI_1Y_INST_FIG!$B$8:$B$47</c:f>
              <c:strCache>
                <c:ptCount val="40"/>
                <c:pt idx="0">
                  <c:v>Edith Cowan University</c:v>
                </c:pt>
                <c:pt idx="1">
                  <c:v>Australian Catholic University</c:v>
                </c:pt>
                <c:pt idx="2">
                  <c:v>Bond University</c:v>
                </c:pt>
                <c:pt idx="3">
                  <c:v>Charles Sturt University</c:v>
                </c:pt>
                <c:pt idx="4">
                  <c:v>University of the Sunshine Coast</c:v>
                </c:pt>
                <c:pt idx="5">
                  <c:v>Murdoch University</c:v>
                </c:pt>
                <c:pt idx="6">
                  <c:v>University of Southern Queensland</c:v>
                </c:pt>
                <c:pt idx="7">
                  <c:v>RMIT University</c:v>
                </c:pt>
                <c:pt idx="8">
                  <c:v>Deakin University</c:v>
                </c:pt>
                <c:pt idx="9">
                  <c:v>James Cook University</c:v>
                </c:pt>
                <c:pt idx="10">
                  <c:v>Torrens University</c:v>
                </c:pt>
                <c:pt idx="11">
                  <c:v>University of Newcastle</c:v>
                </c:pt>
                <c:pt idx="12">
                  <c:v>Central Queensland University</c:v>
                </c:pt>
                <c:pt idx="13">
                  <c:v>Federation University Australia</c:v>
                </c:pt>
                <c:pt idx="14">
                  <c:v>Griffith University</c:v>
                </c:pt>
                <c:pt idx="15">
                  <c:v>University of Canberra</c:v>
                </c:pt>
                <c:pt idx="16">
                  <c:v>University of Technology Sydney</c:v>
                </c:pt>
                <c:pt idx="17">
                  <c:v>University of New South Wales</c:v>
                </c:pt>
                <c:pt idx="18">
                  <c:v>Queensland University of Technology</c:v>
                </c:pt>
                <c:pt idx="19">
                  <c:v>Curtin University</c:v>
                </c:pt>
                <c:pt idx="20">
                  <c:v>The University of Queensland</c:v>
                </c:pt>
                <c:pt idx="21">
                  <c:v>The University of Western Australia</c:v>
                </c:pt>
                <c:pt idx="22">
                  <c:v>Western Sydney University</c:v>
                </c:pt>
                <c:pt idx="23">
                  <c:v>All Universities</c:v>
                </c:pt>
                <c:pt idx="24">
                  <c:v>Swinburne University of Technology</c:v>
                </c:pt>
                <c:pt idx="25">
                  <c:v>Macquarie University</c:v>
                </c:pt>
                <c:pt idx="26">
                  <c:v>La Trobe University</c:v>
                </c:pt>
                <c:pt idx="27">
                  <c:v>Monash University</c:v>
                </c:pt>
                <c:pt idx="28">
                  <c:v>Flinders University</c:v>
                </c:pt>
                <c:pt idx="29">
                  <c:v>The University of South Australia</c:v>
                </c:pt>
                <c:pt idx="30">
                  <c:v>Charles Darwin University</c:v>
                </c:pt>
                <c:pt idx="31">
                  <c:v>Victoria University</c:v>
                </c:pt>
                <c:pt idx="32">
                  <c:v>Southern Cross University</c:v>
                </c:pt>
                <c:pt idx="33">
                  <c:v>University of Wollongong</c:v>
                </c:pt>
                <c:pt idx="34">
                  <c:v>The University of Melbourne</c:v>
                </c:pt>
                <c:pt idx="35">
                  <c:v>The University of Notre Dame Australia</c:v>
                </c:pt>
                <c:pt idx="36">
                  <c:v>University of Tasmania</c:v>
                </c:pt>
                <c:pt idx="37">
                  <c:v>The Australian National University</c:v>
                </c:pt>
                <c:pt idx="38">
                  <c:v>The University of Sydney</c:v>
                </c:pt>
                <c:pt idx="39">
                  <c:v>The University of Adelaide</c:v>
                </c:pt>
              </c:strCache>
            </c:strRef>
          </c:cat>
          <c:val>
            <c:numRef>
              <c:f>QOE_PGC_UNI_1Y_INST_FIG!$C$8:$C$47</c:f>
              <c:numCache>
                <c:formatCode>General</c:formatCode>
                <c:ptCount val="40"/>
                <c:pt idx="0">
                  <c:v>85.6</c:v>
                </c:pt>
                <c:pt idx="1">
                  <c:v>84.2</c:v>
                </c:pt>
                <c:pt idx="2">
                  <c:v>82.7</c:v>
                </c:pt>
                <c:pt idx="3">
                  <c:v>82</c:v>
                </c:pt>
                <c:pt idx="4">
                  <c:v>80.8</c:v>
                </c:pt>
                <c:pt idx="5">
                  <c:v>80.2</c:v>
                </c:pt>
                <c:pt idx="6">
                  <c:v>80.2</c:v>
                </c:pt>
                <c:pt idx="7">
                  <c:v>79.3</c:v>
                </c:pt>
                <c:pt idx="8">
                  <c:v>79.2</c:v>
                </c:pt>
                <c:pt idx="9">
                  <c:v>79.099999999999994</c:v>
                </c:pt>
                <c:pt idx="10">
                  <c:v>79.099999999999994</c:v>
                </c:pt>
                <c:pt idx="11">
                  <c:v>79</c:v>
                </c:pt>
                <c:pt idx="12">
                  <c:v>78.7</c:v>
                </c:pt>
                <c:pt idx="13">
                  <c:v>78.2</c:v>
                </c:pt>
                <c:pt idx="14">
                  <c:v>78.099999999999994</c:v>
                </c:pt>
                <c:pt idx="15">
                  <c:v>77.8</c:v>
                </c:pt>
                <c:pt idx="16">
                  <c:v>77.8</c:v>
                </c:pt>
                <c:pt idx="17">
                  <c:v>77.599999999999994</c:v>
                </c:pt>
                <c:pt idx="18">
                  <c:v>76.7</c:v>
                </c:pt>
                <c:pt idx="19">
                  <c:v>76.2</c:v>
                </c:pt>
                <c:pt idx="20">
                  <c:v>76.099999999999994</c:v>
                </c:pt>
                <c:pt idx="21">
                  <c:v>76</c:v>
                </c:pt>
                <c:pt idx="22">
                  <c:v>76</c:v>
                </c:pt>
                <c:pt idx="23">
                  <c:v>75.900000000000006</c:v>
                </c:pt>
                <c:pt idx="24">
                  <c:v>75.7</c:v>
                </c:pt>
                <c:pt idx="25">
                  <c:v>75.5</c:v>
                </c:pt>
                <c:pt idx="26">
                  <c:v>75.099999999999994</c:v>
                </c:pt>
                <c:pt idx="27">
                  <c:v>75</c:v>
                </c:pt>
                <c:pt idx="28">
                  <c:v>74.900000000000006</c:v>
                </c:pt>
                <c:pt idx="29">
                  <c:v>74.7</c:v>
                </c:pt>
                <c:pt idx="30">
                  <c:v>74.400000000000006</c:v>
                </c:pt>
                <c:pt idx="31">
                  <c:v>74.3</c:v>
                </c:pt>
                <c:pt idx="32">
                  <c:v>73.900000000000006</c:v>
                </c:pt>
                <c:pt idx="33">
                  <c:v>72.900000000000006</c:v>
                </c:pt>
                <c:pt idx="34">
                  <c:v>72.599999999999994</c:v>
                </c:pt>
                <c:pt idx="35">
                  <c:v>72.2</c:v>
                </c:pt>
                <c:pt idx="36">
                  <c:v>70.900000000000006</c:v>
                </c:pt>
                <c:pt idx="37">
                  <c:v>69.900000000000006</c:v>
                </c:pt>
                <c:pt idx="38">
                  <c:v>68.7</c:v>
                </c:pt>
                <c:pt idx="39">
                  <c:v>64</c:v>
                </c:pt>
              </c:numCache>
            </c:numRef>
          </c:val>
          <c:extLst>
            <c:ext xmlns:c16="http://schemas.microsoft.com/office/drawing/2014/chart" uri="{C3380CC4-5D6E-409C-BE32-E72D297353CC}">
              <c16:uniqueId val="{00000004-2665-43D6-AE76-D239E87D906E}"/>
            </c:ext>
          </c:extLst>
        </c:ser>
        <c:dLbls>
          <c:showLegendKey val="0"/>
          <c:showVal val="0"/>
          <c:showCatName val="0"/>
          <c:showSerName val="0"/>
          <c:showPercent val="0"/>
          <c:showBubbleSize val="0"/>
        </c:dLbls>
        <c:gapWidth val="150"/>
        <c:overlap val="-27"/>
        <c:axId val="1069104592"/>
        <c:axId val="901762015"/>
      </c:barChart>
      <c:catAx>
        <c:axId val="106910459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762015"/>
        <c:crosses val="autoZero"/>
        <c:auto val="1"/>
        <c:lblAlgn val="ctr"/>
        <c:lblOffset val="100"/>
        <c:noMultiLvlLbl val="0"/>
      </c:catAx>
      <c:valAx>
        <c:axId val="90176201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 positive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910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E3B6F"/>
            </a:solidFill>
            <a:ln>
              <a:noFill/>
            </a:ln>
            <a:effectLst/>
          </c:spPr>
          <c:invertIfNegative val="0"/>
          <c:dPt>
            <c:idx val="21"/>
            <c:invertIfNegative val="0"/>
            <c:bubble3D val="0"/>
            <c:spPr>
              <a:solidFill>
                <a:srgbClr val="EE3B6F"/>
              </a:solidFill>
              <a:ln>
                <a:noFill/>
              </a:ln>
              <a:effectLst/>
            </c:spPr>
            <c:extLst>
              <c:ext xmlns:c16="http://schemas.microsoft.com/office/drawing/2014/chart" uri="{C3380CC4-5D6E-409C-BE32-E72D297353CC}">
                <c16:uniqueId val="{00000001-01C4-4B8E-9B5B-958691351766}"/>
              </c:ext>
            </c:extLst>
          </c:dPt>
          <c:dPt>
            <c:idx val="23"/>
            <c:invertIfNegative val="0"/>
            <c:bubble3D val="0"/>
            <c:spPr>
              <a:solidFill>
                <a:srgbClr val="EE3B6F"/>
              </a:solidFill>
              <a:ln>
                <a:noFill/>
              </a:ln>
              <a:effectLst/>
            </c:spPr>
            <c:extLst>
              <c:ext xmlns:c16="http://schemas.microsoft.com/office/drawing/2014/chart" uri="{C3380CC4-5D6E-409C-BE32-E72D297353CC}">
                <c16:uniqueId val="{00000003-01C4-4B8E-9B5B-958691351766}"/>
              </c:ext>
            </c:extLst>
          </c:dPt>
          <c:dPt>
            <c:idx val="30"/>
            <c:invertIfNegative val="0"/>
            <c:bubble3D val="0"/>
            <c:spPr>
              <a:solidFill>
                <a:srgbClr val="EE3B6F">
                  <a:lumMod val="40000"/>
                  <a:lumOff val="60000"/>
                </a:srgbClr>
              </a:solidFill>
              <a:ln>
                <a:noFill/>
              </a:ln>
              <a:effectLst/>
            </c:spPr>
            <c:extLst>
              <c:ext xmlns:c16="http://schemas.microsoft.com/office/drawing/2014/chart" uri="{C3380CC4-5D6E-409C-BE32-E72D297353CC}">
                <c16:uniqueId val="{00000005-01C4-4B8E-9B5B-958691351766}"/>
              </c:ext>
            </c:extLst>
          </c:dPt>
          <c:errBars>
            <c:errBarType val="both"/>
            <c:errValType val="cust"/>
            <c:noEndCap val="0"/>
            <c:plus>
              <c:numRef>
                <c:f>QOE_UG_NUHEI_1YP_INST_FIG!$H$5:$H$62</c:f>
                <c:numCache>
                  <c:formatCode>General</c:formatCode>
                  <c:ptCount val="58"/>
                  <c:pt idx="0">
                    <c:v>0.59999999999999432</c:v>
                  </c:pt>
                  <c:pt idx="1">
                    <c:v>1.2999999999999972</c:v>
                  </c:pt>
                  <c:pt idx="2">
                    <c:v>3.1000000000000085</c:v>
                  </c:pt>
                  <c:pt idx="3">
                    <c:v>4.8999999999999915</c:v>
                  </c:pt>
                  <c:pt idx="4">
                    <c:v>4.5</c:v>
                  </c:pt>
                  <c:pt idx="5">
                    <c:v>5.0999999999999943</c:v>
                  </c:pt>
                  <c:pt idx="6">
                    <c:v>5.7000000000000028</c:v>
                  </c:pt>
                  <c:pt idx="7">
                    <c:v>6.3999999999999915</c:v>
                  </c:pt>
                  <c:pt idx="8">
                    <c:v>3.5999999999999943</c:v>
                  </c:pt>
                  <c:pt idx="9">
                    <c:v>2</c:v>
                  </c:pt>
                  <c:pt idx="10">
                    <c:v>4</c:v>
                  </c:pt>
                  <c:pt idx="11">
                    <c:v>4.3999999999999915</c:v>
                  </c:pt>
                  <c:pt idx="12">
                    <c:v>5</c:v>
                  </c:pt>
                  <c:pt idx="13">
                    <c:v>3.5999999999999943</c:v>
                  </c:pt>
                  <c:pt idx="14">
                    <c:v>5.1999999999999886</c:v>
                  </c:pt>
                  <c:pt idx="15">
                    <c:v>5.5</c:v>
                  </c:pt>
                  <c:pt idx="16">
                    <c:v>3.2000000000000028</c:v>
                  </c:pt>
                  <c:pt idx="17">
                    <c:v>1.5</c:v>
                  </c:pt>
                  <c:pt idx="18">
                    <c:v>2.4000000000000057</c:v>
                  </c:pt>
                  <c:pt idx="19">
                    <c:v>4.5999999999999943</c:v>
                  </c:pt>
                  <c:pt idx="20">
                    <c:v>2.2999999999999972</c:v>
                  </c:pt>
                  <c:pt idx="21">
                    <c:v>3.2000000000000028</c:v>
                  </c:pt>
                  <c:pt idx="22">
                    <c:v>4</c:v>
                  </c:pt>
                  <c:pt idx="23">
                    <c:v>2.5999999999999943</c:v>
                  </c:pt>
                  <c:pt idx="24">
                    <c:v>5</c:v>
                  </c:pt>
                  <c:pt idx="25">
                    <c:v>2.3999999999999915</c:v>
                  </c:pt>
                  <c:pt idx="26">
                    <c:v>7.0999999999999943</c:v>
                  </c:pt>
                  <c:pt idx="27">
                    <c:v>2.2999999999999972</c:v>
                  </c:pt>
                  <c:pt idx="28">
                    <c:v>2.7000000000000028</c:v>
                  </c:pt>
                  <c:pt idx="29">
                    <c:v>3.3999999999999915</c:v>
                  </c:pt>
                  <c:pt idx="30">
                    <c:v>0.5</c:v>
                  </c:pt>
                  <c:pt idx="31">
                    <c:v>3.4000000000000057</c:v>
                  </c:pt>
                  <c:pt idx="32">
                    <c:v>3.9000000000000057</c:v>
                  </c:pt>
                  <c:pt idx="33">
                    <c:v>4.2999999999999972</c:v>
                  </c:pt>
                  <c:pt idx="34">
                    <c:v>1.3999999999999915</c:v>
                  </c:pt>
                  <c:pt idx="35">
                    <c:v>2.5999999999999943</c:v>
                  </c:pt>
                  <c:pt idx="36">
                    <c:v>2.9000000000000057</c:v>
                  </c:pt>
                  <c:pt idx="37">
                    <c:v>3.8999999999999915</c:v>
                  </c:pt>
                  <c:pt idx="38">
                    <c:v>3.7000000000000028</c:v>
                  </c:pt>
                  <c:pt idx="39">
                    <c:v>5.4000000000000057</c:v>
                  </c:pt>
                  <c:pt idx="40">
                    <c:v>5</c:v>
                  </c:pt>
                  <c:pt idx="41">
                    <c:v>1.9000000000000057</c:v>
                  </c:pt>
                  <c:pt idx="42">
                    <c:v>5.1000000000000085</c:v>
                  </c:pt>
                  <c:pt idx="43">
                    <c:v>3.2999999999999972</c:v>
                  </c:pt>
                  <c:pt idx="44">
                    <c:v>6.7000000000000028</c:v>
                  </c:pt>
                  <c:pt idx="45">
                    <c:v>5</c:v>
                  </c:pt>
                  <c:pt idx="46">
                    <c:v>4.1000000000000085</c:v>
                  </c:pt>
                  <c:pt idx="47">
                    <c:v>7</c:v>
                  </c:pt>
                  <c:pt idx="48">
                    <c:v>2.4000000000000057</c:v>
                  </c:pt>
                  <c:pt idx="49">
                    <c:v>4.2000000000000028</c:v>
                  </c:pt>
                  <c:pt idx="50">
                    <c:v>3.5</c:v>
                  </c:pt>
                  <c:pt idx="51">
                    <c:v>3.2000000000000028</c:v>
                  </c:pt>
                  <c:pt idx="52">
                    <c:v>6.5</c:v>
                  </c:pt>
                  <c:pt idx="53">
                    <c:v>2.5</c:v>
                  </c:pt>
                  <c:pt idx="54">
                    <c:v>6.6000000000000085</c:v>
                  </c:pt>
                  <c:pt idx="55">
                    <c:v>11.900000000000006</c:v>
                  </c:pt>
                  <c:pt idx="56">
                    <c:v>4.4999999999999929</c:v>
                  </c:pt>
                  <c:pt idx="57">
                    <c:v>11.300000000000004</c:v>
                  </c:pt>
                </c:numCache>
              </c:numRef>
            </c:plus>
            <c:minus>
              <c:numRef>
                <c:f>QOE_UG_NUHEI_1YP_INST_FIG!$G$5:$G$62</c:f>
                <c:numCache>
                  <c:formatCode>General</c:formatCode>
                  <c:ptCount val="58"/>
                  <c:pt idx="0">
                    <c:v>2.5999999999999943</c:v>
                  </c:pt>
                  <c:pt idx="1">
                    <c:v>4.7999999999999972</c:v>
                  </c:pt>
                  <c:pt idx="2">
                    <c:v>5.3999999999999915</c:v>
                  </c:pt>
                  <c:pt idx="3">
                    <c:v>10.400000000000006</c:v>
                  </c:pt>
                  <c:pt idx="4">
                    <c:v>7.6000000000000085</c:v>
                  </c:pt>
                  <c:pt idx="5">
                    <c:v>9.4000000000000057</c:v>
                  </c:pt>
                  <c:pt idx="6">
                    <c:v>11.900000000000006</c:v>
                  </c:pt>
                  <c:pt idx="7">
                    <c:v>12.5</c:v>
                  </c:pt>
                  <c:pt idx="8">
                    <c:v>5.2000000000000028</c:v>
                  </c:pt>
                  <c:pt idx="9">
                    <c:v>2.3999999999999915</c:v>
                  </c:pt>
                  <c:pt idx="10">
                    <c:v>6.3000000000000114</c:v>
                  </c:pt>
                  <c:pt idx="11">
                    <c:v>6.2999999999999972</c:v>
                  </c:pt>
                  <c:pt idx="12">
                    <c:v>8.0999999999999943</c:v>
                  </c:pt>
                  <c:pt idx="13">
                    <c:v>4.9000000000000057</c:v>
                  </c:pt>
                  <c:pt idx="14">
                    <c:v>7.4000000000000057</c:v>
                  </c:pt>
                  <c:pt idx="15">
                    <c:v>8</c:v>
                  </c:pt>
                  <c:pt idx="16">
                    <c:v>4.0999999999999943</c:v>
                  </c:pt>
                  <c:pt idx="17">
                    <c:v>1.7999999999999972</c:v>
                  </c:pt>
                  <c:pt idx="18">
                    <c:v>3</c:v>
                  </c:pt>
                  <c:pt idx="19">
                    <c:v>6.2000000000000028</c:v>
                  </c:pt>
                  <c:pt idx="20">
                    <c:v>2.8000000000000114</c:v>
                  </c:pt>
                  <c:pt idx="21">
                    <c:v>3.7999999999999972</c:v>
                  </c:pt>
                  <c:pt idx="22">
                    <c:v>5.0999999999999943</c:v>
                  </c:pt>
                  <c:pt idx="23">
                    <c:v>3.2000000000000028</c:v>
                  </c:pt>
                  <c:pt idx="24">
                    <c:v>7.2000000000000028</c:v>
                  </c:pt>
                  <c:pt idx="25">
                    <c:v>2.7999999999999972</c:v>
                  </c:pt>
                  <c:pt idx="26">
                    <c:v>10.099999999999994</c:v>
                  </c:pt>
                  <c:pt idx="27">
                    <c:v>2.7000000000000028</c:v>
                  </c:pt>
                  <c:pt idx="28">
                    <c:v>3.0999999999999943</c:v>
                  </c:pt>
                  <c:pt idx="29">
                    <c:v>4.5</c:v>
                  </c:pt>
                  <c:pt idx="30">
                    <c:v>0.5</c:v>
                  </c:pt>
                  <c:pt idx="31">
                    <c:v>4.0999999999999943</c:v>
                  </c:pt>
                  <c:pt idx="32">
                    <c:v>4.7999999999999972</c:v>
                  </c:pt>
                  <c:pt idx="33">
                    <c:v>5.3000000000000114</c:v>
                  </c:pt>
                  <c:pt idx="34">
                    <c:v>1.5</c:v>
                  </c:pt>
                  <c:pt idx="35">
                    <c:v>3</c:v>
                  </c:pt>
                  <c:pt idx="36">
                    <c:v>3.2999999999999972</c:v>
                  </c:pt>
                  <c:pt idx="37">
                    <c:v>4.4000000000000057</c:v>
                  </c:pt>
                  <c:pt idx="38">
                    <c:v>4.6000000000000085</c:v>
                  </c:pt>
                  <c:pt idx="39">
                    <c:v>7.7000000000000028</c:v>
                  </c:pt>
                  <c:pt idx="40">
                    <c:v>6</c:v>
                  </c:pt>
                  <c:pt idx="41">
                    <c:v>2.1999999999999886</c:v>
                  </c:pt>
                  <c:pt idx="42">
                    <c:v>6.2999999999999972</c:v>
                  </c:pt>
                  <c:pt idx="43">
                    <c:v>3.7999999999999972</c:v>
                  </c:pt>
                  <c:pt idx="44">
                    <c:v>8.5999999999999943</c:v>
                  </c:pt>
                  <c:pt idx="45">
                    <c:v>5.8000000000000114</c:v>
                  </c:pt>
                  <c:pt idx="46">
                    <c:v>4.7999999999999972</c:v>
                  </c:pt>
                  <c:pt idx="47">
                    <c:v>9.6999999999999957</c:v>
                  </c:pt>
                  <c:pt idx="48">
                    <c:v>2.7000000000000028</c:v>
                  </c:pt>
                  <c:pt idx="49">
                    <c:v>4.7999999999999972</c:v>
                  </c:pt>
                  <c:pt idx="50">
                    <c:v>3.7999999999999972</c:v>
                  </c:pt>
                  <c:pt idx="51">
                    <c:v>3.5999999999999943</c:v>
                  </c:pt>
                  <c:pt idx="52">
                    <c:v>8.0000000000000071</c:v>
                  </c:pt>
                  <c:pt idx="53">
                    <c:v>2.7999999999999972</c:v>
                  </c:pt>
                  <c:pt idx="54">
                    <c:v>7.6999999999999957</c:v>
                  </c:pt>
                  <c:pt idx="55">
                    <c:v>14.399999999999999</c:v>
                  </c:pt>
                  <c:pt idx="56">
                    <c:v>4.8999999999999986</c:v>
                  </c:pt>
                  <c:pt idx="57">
                    <c:v>12.100000000000001</c:v>
                  </c:pt>
                </c:numCache>
              </c:numRef>
            </c:minus>
            <c:spPr>
              <a:noFill/>
              <a:ln w="9525" cap="flat" cmpd="sng" algn="ctr">
                <a:solidFill>
                  <a:schemeClr val="tx1">
                    <a:lumMod val="65000"/>
                    <a:lumOff val="35000"/>
                  </a:schemeClr>
                </a:solidFill>
                <a:round/>
              </a:ln>
              <a:effectLst/>
            </c:spPr>
          </c:errBars>
          <c:cat>
            <c:strRef>
              <c:f>QOE_UG_NUHEI_1YP_INST_FIG!$B$5:$B$62</c:f>
              <c:strCache>
                <c:ptCount val="58"/>
                <c:pt idx="0">
                  <c:v>Leaders Institute</c:v>
                </c:pt>
                <c:pt idx="1">
                  <c:v>Sheridan Institute of Higher Education</c:v>
                </c:pt>
                <c:pt idx="2">
                  <c:v>Box Hill Institute</c:v>
                </c:pt>
                <c:pt idx="3">
                  <c:v>Equals International</c:v>
                </c:pt>
                <c:pt idx="4">
                  <c:v>Chisholm Institute</c:v>
                </c:pt>
                <c:pt idx="5">
                  <c:v>ICHM</c:v>
                </c:pt>
                <c:pt idx="6">
                  <c:v>Collarts (Australian College of the Arts)</c:v>
                </c:pt>
                <c:pt idx="7">
                  <c:v>Western Sydney University International College </c:v>
                </c:pt>
                <c:pt idx="8">
                  <c:v>International College of Management, Sydney</c:v>
                </c:pt>
                <c:pt idx="9">
                  <c:v>Kaplan Business School</c:v>
                </c:pt>
                <c:pt idx="10">
                  <c:v>Sydney Institute of Business and Technology</c:v>
                </c:pt>
                <c:pt idx="11">
                  <c:v>UOW College</c:v>
                </c:pt>
                <c:pt idx="12">
                  <c:v>Australian School of Accounting</c:v>
                </c:pt>
                <c:pt idx="13">
                  <c:v>Stanley College</c:v>
                </c:pt>
                <c:pt idx="14">
                  <c:v>Universal Business School Sydney</c:v>
                </c:pt>
                <c:pt idx="15">
                  <c:v>Alphacrucis University College</c:v>
                </c:pt>
                <c:pt idx="16">
                  <c:v>Asia Pacific International College</c:v>
                </c:pt>
                <c:pt idx="17">
                  <c:v>King's Own Institute</c:v>
                </c:pt>
                <c:pt idx="18">
                  <c:v>Academies Australasia Polytechnic Pty Limited</c:v>
                </c:pt>
                <c:pt idx="19">
                  <c:v>Australia Advance Education Group Pty Ltd</c:v>
                </c:pt>
                <c:pt idx="20">
                  <c:v>Excelsia College</c:v>
                </c:pt>
                <c:pt idx="21">
                  <c:v>Deakin College</c:v>
                </c:pt>
                <c:pt idx="22">
                  <c:v>Holmes Institute</c:v>
                </c:pt>
                <c:pt idx="23">
                  <c:v>Curtin College</c:v>
                </c:pt>
                <c:pt idx="24">
                  <c:v>TAFE Queensland</c:v>
                </c:pt>
                <c:pt idx="25">
                  <c:v>Edith Cowan College</c:v>
                </c:pt>
                <c:pt idx="26">
                  <c:v>Polytechnic Institute Australia Pty Ltd</c:v>
                </c:pt>
                <c:pt idx="27">
                  <c:v>Australian Institute of Higher Education</c:v>
                </c:pt>
                <c:pt idx="28">
                  <c:v>La Trobe College Australia</c:v>
                </c:pt>
                <c:pt idx="29">
                  <c:v>The JMC Academy</c:v>
                </c:pt>
                <c:pt idx="30">
                  <c:v>All NUHEIs</c:v>
                </c:pt>
                <c:pt idx="31">
                  <c:v>Griffith College</c:v>
                </c:pt>
                <c:pt idx="32">
                  <c:v>Monash College </c:v>
                </c:pt>
                <c:pt idx="33">
                  <c:v>CIC Higher Education</c:v>
                </c:pt>
                <c:pt idx="34">
                  <c:v>Stott's College</c:v>
                </c:pt>
                <c:pt idx="35">
                  <c:v>VIT (Victorian Institute of Technology)</c:v>
                </c:pt>
                <c:pt idx="36">
                  <c:v>Wentworth Institute of Higher Education</c:v>
                </c:pt>
                <c:pt idx="37">
                  <c:v>Melbourne Polytechnic</c:v>
                </c:pt>
                <c:pt idx="38">
                  <c:v>Australian College of Applied Professions</c:v>
                </c:pt>
                <c:pt idx="39">
                  <c:v>Engineering Institute of Technology</c:v>
                </c:pt>
                <c:pt idx="40">
                  <c:v>William Angliss Institute</c:v>
                </c:pt>
                <c:pt idx="41">
                  <c:v>TAFE NSW</c:v>
                </c:pt>
                <c:pt idx="42">
                  <c:v>TAFE South Australia</c:v>
                </c:pt>
                <c:pt idx="43">
                  <c:v>Ikon Institute of Australia</c:v>
                </c:pt>
                <c:pt idx="44">
                  <c:v>The Australian Institute of Music</c:v>
                </c:pt>
                <c:pt idx="45">
                  <c:v>SAE Institute</c:v>
                </c:pt>
                <c:pt idx="46">
                  <c:v>South Australian Institute of Business and Technology</c:v>
                </c:pt>
                <c:pt idx="47">
                  <c:v>Endeavour College of Natural Health</c:v>
                </c:pt>
                <c:pt idx="48">
                  <c:v>Melbourne Institute of Technology</c:v>
                </c:pt>
                <c:pt idx="49">
                  <c:v>Holmesglen Institute</c:v>
                </c:pt>
                <c:pt idx="50">
                  <c:v>Crown Institute of Higher Education Pty Ltd</c:v>
                </c:pt>
                <c:pt idx="51">
                  <c:v>UTS College</c:v>
                </c:pt>
                <c:pt idx="52">
                  <c:v>Eynesbury College</c:v>
                </c:pt>
                <c:pt idx="53">
                  <c:v>SP Jain School of Management</c:v>
                </c:pt>
                <c:pt idx="54">
                  <c:v>Southern Cross Education Institute (Higher Education)</c:v>
                </c:pt>
                <c:pt idx="55">
                  <c:v>Ozford Institute of Higher Education</c:v>
                </c:pt>
                <c:pt idx="56">
                  <c:v>Academy of Information Technology</c:v>
                </c:pt>
                <c:pt idx="57">
                  <c:v>Le Cordon Bleu Australia</c:v>
                </c:pt>
              </c:strCache>
            </c:strRef>
          </c:cat>
          <c:val>
            <c:numRef>
              <c:f>QOE_UG_NUHEI_1YP_INST_FIG!$D$5:$D$62</c:f>
              <c:numCache>
                <c:formatCode>General</c:formatCode>
                <c:ptCount val="58"/>
                <c:pt idx="0">
                  <c:v>97.5</c:v>
                </c:pt>
                <c:pt idx="1">
                  <c:v>92.2</c:v>
                </c:pt>
                <c:pt idx="2">
                  <c:v>90.1</c:v>
                </c:pt>
                <c:pt idx="3">
                  <c:v>88.9</c:v>
                </c:pt>
                <c:pt idx="4">
                  <c:v>86.9</c:v>
                </c:pt>
                <c:pt idx="5">
                  <c:v>86.4</c:v>
                </c:pt>
                <c:pt idx="6">
                  <c:v>86.2</c:v>
                </c:pt>
                <c:pt idx="7">
                  <c:v>86.2</c:v>
                </c:pt>
                <c:pt idx="8">
                  <c:v>84.9</c:v>
                </c:pt>
                <c:pt idx="9">
                  <c:v>84.8</c:v>
                </c:pt>
                <c:pt idx="10">
                  <c:v>84.4</c:v>
                </c:pt>
                <c:pt idx="11">
                  <c:v>83.7</c:v>
                </c:pt>
                <c:pt idx="12">
                  <c:v>83.3</c:v>
                </c:pt>
                <c:pt idx="13">
                  <c:v>83.2</c:v>
                </c:pt>
                <c:pt idx="14">
                  <c:v>82.9</c:v>
                </c:pt>
                <c:pt idx="15">
                  <c:v>82.4</c:v>
                </c:pt>
                <c:pt idx="16">
                  <c:v>81.8</c:v>
                </c:pt>
                <c:pt idx="17">
                  <c:v>81.7</c:v>
                </c:pt>
                <c:pt idx="18">
                  <c:v>81.599999999999994</c:v>
                </c:pt>
                <c:pt idx="19">
                  <c:v>81.5</c:v>
                </c:pt>
                <c:pt idx="20">
                  <c:v>81.400000000000006</c:v>
                </c:pt>
                <c:pt idx="21">
                  <c:v>81.3</c:v>
                </c:pt>
                <c:pt idx="22">
                  <c:v>81.3</c:v>
                </c:pt>
                <c:pt idx="23">
                  <c:v>80.900000000000006</c:v>
                </c:pt>
                <c:pt idx="24">
                  <c:v>80.3</c:v>
                </c:pt>
                <c:pt idx="25">
                  <c:v>80.2</c:v>
                </c:pt>
                <c:pt idx="26">
                  <c:v>80</c:v>
                </c:pt>
                <c:pt idx="27">
                  <c:v>79.400000000000006</c:v>
                </c:pt>
                <c:pt idx="28">
                  <c:v>79.3</c:v>
                </c:pt>
                <c:pt idx="29">
                  <c:v>78.7</c:v>
                </c:pt>
                <c:pt idx="30">
                  <c:v>77.8</c:v>
                </c:pt>
                <c:pt idx="31">
                  <c:v>77.8</c:v>
                </c:pt>
                <c:pt idx="32">
                  <c:v>77.5</c:v>
                </c:pt>
                <c:pt idx="33">
                  <c:v>77.400000000000006</c:v>
                </c:pt>
                <c:pt idx="34">
                  <c:v>76.400000000000006</c:v>
                </c:pt>
                <c:pt idx="35">
                  <c:v>76.400000000000006</c:v>
                </c:pt>
                <c:pt idx="36">
                  <c:v>76.3</c:v>
                </c:pt>
                <c:pt idx="37">
                  <c:v>75.2</c:v>
                </c:pt>
                <c:pt idx="38">
                  <c:v>75.2</c:v>
                </c:pt>
                <c:pt idx="39">
                  <c:v>75</c:v>
                </c:pt>
                <c:pt idx="40">
                  <c:v>74.099999999999994</c:v>
                </c:pt>
                <c:pt idx="41">
                  <c:v>73.599999999999994</c:v>
                </c:pt>
                <c:pt idx="42">
                  <c:v>73.099999999999994</c:v>
                </c:pt>
                <c:pt idx="43">
                  <c:v>73</c:v>
                </c:pt>
                <c:pt idx="44">
                  <c:v>73</c:v>
                </c:pt>
                <c:pt idx="45">
                  <c:v>72.900000000000006</c:v>
                </c:pt>
                <c:pt idx="46">
                  <c:v>72.8</c:v>
                </c:pt>
                <c:pt idx="47">
                  <c:v>72.099999999999994</c:v>
                </c:pt>
                <c:pt idx="48">
                  <c:v>72</c:v>
                </c:pt>
                <c:pt idx="49">
                  <c:v>71.599999999999994</c:v>
                </c:pt>
                <c:pt idx="50">
                  <c:v>71.2</c:v>
                </c:pt>
                <c:pt idx="51">
                  <c:v>70.599999999999994</c:v>
                </c:pt>
                <c:pt idx="52">
                  <c:v>70.400000000000006</c:v>
                </c:pt>
                <c:pt idx="53">
                  <c:v>69.099999999999994</c:v>
                </c:pt>
                <c:pt idx="54">
                  <c:v>67.099999999999994</c:v>
                </c:pt>
                <c:pt idx="55">
                  <c:v>63</c:v>
                </c:pt>
                <c:pt idx="56">
                  <c:v>62.6</c:v>
                </c:pt>
                <c:pt idx="57">
                  <c:v>55.6</c:v>
                </c:pt>
              </c:numCache>
            </c:numRef>
          </c:val>
          <c:extLst>
            <c:ext xmlns:c16="http://schemas.microsoft.com/office/drawing/2014/chart" uri="{C3380CC4-5D6E-409C-BE32-E72D297353CC}">
              <c16:uniqueId val="{00000006-01C4-4B8E-9B5B-958691351766}"/>
            </c:ext>
          </c:extLst>
        </c:ser>
        <c:dLbls>
          <c:showLegendKey val="0"/>
          <c:showVal val="0"/>
          <c:showCatName val="0"/>
          <c:showSerName val="0"/>
          <c:showPercent val="0"/>
          <c:showBubbleSize val="0"/>
        </c:dLbls>
        <c:gapWidth val="150"/>
        <c:overlap val="-27"/>
        <c:axId val="1069104592"/>
        <c:axId val="901762015"/>
      </c:barChart>
      <c:catAx>
        <c:axId val="106910459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762015"/>
        <c:crosses val="autoZero"/>
        <c:auto val="1"/>
        <c:lblAlgn val="ctr"/>
        <c:lblOffset val="100"/>
        <c:noMultiLvlLbl val="0"/>
      </c:catAx>
      <c:valAx>
        <c:axId val="901762015"/>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 positive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910459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solidFill>
                <a:schemeClr val="accent3"/>
              </a:solidFill>
            </a:ln>
            <a:effectLst/>
          </c:spPr>
          <c:invertIfNegative val="0"/>
          <c:dPt>
            <c:idx val="12"/>
            <c:invertIfNegative val="0"/>
            <c:bubble3D val="0"/>
            <c:spPr>
              <a:solidFill>
                <a:schemeClr val="accent3">
                  <a:lumMod val="40000"/>
                  <a:lumOff val="60000"/>
                </a:schemeClr>
              </a:solidFill>
              <a:ln>
                <a:solidFill>
                  <a:schemeClr val="accent3">
                    <a:lumMod val="40000"/>
                    <a:lumOff val="60000"/>
                  </a:schemeClr>
                </a:solidFill>
              </a:ln>
              <a:effectLst/>
            </c:spPr>
            <c:extLst>
              <c:ext xmlns:c16="http://schemas.microsoft.com/office/drawing/2014/chart" uri="{C3380CC4-5D6E-409C-BE32-E72D297353CC}">
                <c16:uniqueId val="{00000001-ABAE-47B7-AFC0-8118467BB839}"/>
              </c:ext>
            </c:extLst>
          </c:dPt>
          <c:errBars>
            <c:errBarType val="both"/>
            <c:errValType val="cust"/>
            <c:noEndCap val="0"/>
            <c:plus>
              <c:numRef>
                <c:f>QOE_PGC_NUHEI_1YP_INST_FIG!$H$5:$H$30</c:f>
                <c:numCache>
                  <c:formatCode>General</c:formatCode>
                  <c:ptCount val="26"/>
                  <c:pt idx="0">
                    <c:v>1.1000000000000085</c:v>
                  </c:pt>
                  <c:pt idx="1">
                    <c:v>3.7000000000000028</c:v>
                  </c:pt>
                  <c:pt idx="2">
                    <c:v>2.6000000000000085</c:v>
                  </c:pt>
                  <c:pt idx="3">
                    <c:v>3.8999999999999915</c:v>
                  </c:pt>
                  <c:pt idx="4">
                    <c:v>2.4000000000000057</c:v>
                  </c:pt>
                  <c:pt idx="5">
                    <c:v>3</c:v>
                  </c:pt>
                  <c:pt idx="6">
                    <c:v>0.79999999999999716</c:v>
                  </c:pt>
                  <c:pt idx="7">
                    <c:v>2.5999999999999943</c:v>
                  </c:pt>
                  <c:pt idx="8">
                    <c:v>1.5</c:v>
                  </c:pt>
                  <c:pt idx="9">
                    <c:v>1.8000000000000114</c:v>
                  </c:pt>
                  <c:pt idx="10">
                    <c:v>1.5</c:v>
                  </c:pt>
                  <c:pt idx="11">
                    <c:v>3.5</c:v>
                  </c:pt>
                  <c:pt idx="12">
                    <c:v>0.5</c:v>
                  </c:pt>
                  <c:pt idx="13">
                    <c:v>2.2999999999999972</c:v>
                  </c:pt>
                  <c:pt idx="14">
                    <c:v>3.0999999999999943</c:v>
                  </c:pt>
                  <c:pt idx="15">
                    <c:v>5.7999999999999972</c:v>
                  </c:pt>
                  <c:pt idx="16">
                    <c:v>1.7000000000000028</c:v>
                  </c:pt>
                  <c:pt idx="17">
                    <c:v>2.4000000000000057</c:v>
                  </c:pt>
                  <c:pt idx="18">
                    <c:v>2.3999999999999915</c:v>
                  </c:pt>
                  <c:pt idx="19">
                    <c:v>2</c:v>
                  </c:pt>
                  <c:pt idx="20">
                    <c:v>6.5</c:v>
                  </c:pt>
                  <c:pt idx="21">
                    <c:v>3.5</c:v>
                  </c:pt>
                  <c:pt idx="22">
                    <c:v>3.8999999999999915</c:v>
                  </c:pt>
                  <c:pt idx="23">
                    <c:v>4.5999999999999943</c:v>
                  </c:pt>
                  <c:pt idx="24">
                    <c:v>9.8999999999999986</c:v>
                  </c:pt>
                  <c:pt idx="25">
                    <c:v>8.5</c:v>
                  </c:pt>
                </c:numCache>
              </c:numRef>
            </c:plus>
            <c:minus>
              <c:numRef>
                <c:f>QOE_PGC_NUHEI_1YP_INST_FIG!$G$5:$G$30</c:f>
                <c:numCache>
                  <c:formatCode>General</c:formatCode>
                  <c:ptCount val="26"/>
                  <c:pt idx="0">
                    <c:v>8.7000000000000028</c:v>
                  </c:pt>
                  <c:pt idx="1">
                    <c:v>9</c:v>
                  </c:pt>
                  <c:pt idx="2">
                    <c:v>4</c:v>
                  </c:pt>
                  <c:pt idx="3">
                    <c:v>7.7000000000000028</c:v>
                  </c:pt>
                  <c:pt idx="4">
                    <c:v>3.2999999999999972</c:v>
                  </c:pt>
                  <c:pt idx="5">
                    <c:v>6</c:v>
                  </c:pt>
                  <c:pt idx="6">
                    <c:v>0.79999999999999716</c:v>
                  </c:pt>
                  <c:pt idx="7">
                    <c:v>3.5</c:v>
                  </c:pt>
                  <c:pt idx="8">
                    <c:v>1.6999999999999886</c:v>
                  </c:pt>
                  <c:pt idx="9">
                    <c:v>2.3999999999999915</c:v>
                  </c:pt>
                  <c:pt idx="10">
                    <c:v>1.7000000000000028</c:v>
                  </c:pt>
                  <c:pt idx="11">
                    <c:v>4.7999999999999972</c:v>
                  </c:pt>
                  <c:pt idx="12">
                    <c:v>0.5</c:v>
                  </c:pt>
                  <c:pt idx="13">
                    <c:v>3.2999999999999972</c:v>
                  </c:pt>
                  <c:pt idx="14">
                    <c:v>4.2000000000000028</c:v>
                  </c:pt>
                  <c:pt idx="15">
                    <c:v>9.5999999999999943</c:v>
                  </c:pt>
                  <c:pt idx="16">
                    <c:v>1.8999999999999915</c:v>
                  </c:pt>
                  <c:pt idx="17">
                    <c:v>2.5999999999999943</c:v>
                  </c:pt>
                  <c:pt idx="18">
                    <c:v>2.7000000000000028</c:v>
                  </c:pt>
                  <c:pt idx="19">
                    <c:v>3.5</c:v>
                  </c:pt>
                  <c:pt idx="20">
                    <c:v>9.7000000000000028</c:v>
                  </c:pt>
                  <c:pt idx="21">
                    <c:v>4.3000000000000114</c:v>
                  </c:pt>
                  <c:pt idx="22">
                    <c:v>4.7000000000000028</c:v>
                  </c:pt>
                  <c:pt idx="23">
                    <c:v>5.1000000000000085</c:v>
                  </c:pt>
                  <c:pt idx="24">
                    <c:v>9.5</c:v>
                  </c:pt>
                  <c:pt idx="25">
                    <c:v>6.8999999999999986</c:v>
                  </c:pt>
                </c:numCache>
              </c:numRef>
            </c:minus>
            <c:spPr>
              <a:noFill/>
              <a:ln w="9525" cap="flat" cmpd="sng" algn="ctr">
                <a:solidFill>
                  <a:schemeClr val="tx1">
                    <a:lumMod val="65000"/>
                    <a:lumOff val="35000"/>
                  </a:schemeClr>
                </a:solidFill>
                <a:round/>
              </a:ln>
              <a:effectLst/>
            </c:spPr>
          </c:errBars>
          <c:cat>
            <c:strRef>
              <c:f>QOE_PGC_NUHEI_1YP_INST_FIG!$B$5:$B$30</c:f>
              <c:strCache>
                <c:ptCount val="26"/>
                <c:pt idx="0">
                  <c:v>Australian College of Theology Limited</c:v>
                </c:pt>
                <c:pt idx="1">
                  <c:v>Adelaide Institute of Higher Education</c:v>
                </c:pt>
                <c:pt idx="2">
                  <c:v>Asia Pacific International College</c:v>
                </c:pt>
                <c:pt idx="3">
                  <c:v>CIC Higher Education</c:v>
                </c:pt>
                <c:pt idx="4">
                  <c:v>Universal Business School Sydney</c:v>
                </c:pt>
                <c:pt idx="5">
                  <c:v>ICHM</c:v>
                </c:pt>
                <c:pt idx="6">
                  <c:v>Kaplan Business School</c:v>
                </c:pt>
                <c:pt idx="7">
                  <c:v>Polytechnic Institute Australia Pty Ltd</c:v>
                </c:pt>
                <c:pt idx="8">
                  <c:v>VIT (Victorian Institute of Technology)</c:v>
                </c:pt>
                <c:pt idx="9">
                  <c:v>International College of Management, Sydney</c:v>
                </c:pt>
                <c:pt idx="10">
                  <c:v>Holmes Institute</c:v>
                </c:pt>
                <c:pt idx="11">
                  <c:v>Australian Institute of Higher Education</c:v>
                </c:pt>
                <c:pt idx="12">
                  <c:v>All NUHEIs</c:v>
                </c:pt>
                <c:pt idx="13">
                  <c:v>Engineering Institute of Technology</c:v>
                </c:pt>
                <c:pt idx="14">
                  <c:v>Institute of Health &amp; Management Pty Ltd</c:v>
                </c:pt>
                <c:pt idx="15">
                  <c:v>Le Cordon Bleu Australia</c:v>
                </c:pt>
                <c:pt idx="16">
                  <c:v>King's Own Institute</c:v>
                </c:pt>
                <c:pt idx="17">
                  <c:v>Melbourne Institute of Technology</c:v>
                </c:pt>
                <c:pt idx="18">
                  <c:v>Australian College of Applied Professions</c:v>
                </c:pt>
                <c:pt idx="19">
                  <c:v>SP Jain School of Management</c:v>
                </c:pt>
                <c:pt idx="20">
                  <c:v>Ozford Institute of Higher Education</c:v>
                </c:pt>
                <c:pt idx="21">
                  <c:v>Wentworth Institute of Higher Education</c:v>
                </c:pt>
                <c:pt idx="22">
                  <c:v>Excelsia College</c:v>
                </c:pt>
                <c:pt idx="23">
                  <c:v>Chartered Accountants Australia and New Zealand</c:v>
                </c:pt>
                <c:pt idx="24">
                  <c:v>The JMC Academy</c:v>
                </c:pt>
                <c:pt idx="25">
                  <c:v>Southern Cross Education Institute (Higher Education)</c:v>
                </c:pt>
              </c:strCache>
            </c:strRef>
          </c:cat>
          <c:val>
            <c:numRef>
              <c:f>QOE_PGC_NUHEI_1YP_INST_FIG!$D$5:$D$30</c:f>
              <c:numCache>
                <c:formatCode>General</c:formatCode>
                <c:ptCount val="26"/>
                <c:pt idx="0">
                  <c:v>96.8</c:v>
                </c:pt>
                <c:pt idx="1">
                  <c:v>89.5</c:v>
                </c:pt>
                <c:pt idx="2">
                  <c:v>88.8</c:v>
                </c:pt>
                <c:pt idx="3">
                  <c:v>88.7</c:v>
                </c:pt>
                <c:pt idx="4">
                  <c:v>88</c:v>
                </c:pt>
                <c:pt idx="5">
                  <c:v>87.9</c:v>
                </c:pt>
                <c:pt idx="6">
                  <c:v>87.8</c:v>
                </c:pt>
                <c:pt idx="7">
                  <c:v>86.9</c:v>
                </c:pt>
                <c:pt idx="8">
                  <c:v>86.6</c:v>
                </c:pt>
                <c:pt idx="9">
                  <c:v>85.6</c:v>
                </c:pt>
                <c:pt idx="10">
                  <c:v>84.8</c:v>
                </c:pt>
                <c:pt idx="11">
                  <c:v>84.8</c:v>
                </c:pt>
                <c:pt idx="12">
                  <c:v>83.5</c:v>
                </c:pt>
                <c:pt idx="13">
                  <c:v>83</c:v>
                </c:pt>
                <c:pt idx="14">
                  <c:v>82.5</c:v>
                </c:pt>
                <c:pt idx="15">
                  <c:v>80.5</c:v>
                </c:pt>
                <c:pt idx="16">
                  <c:v>80.099999999999994</c:v>
                </c:pt>
                <c:pt idx="17">
                  <c:v>78.099999999999994</c:v>
                </c:pt>
                <c:pt idx="18">
                  <c:v>77.400000000000006</c:v>
                </c:pt>
                <c:pt idx="19">
                  <c:v>76.8</c:v>
                </c:pt>
                <c:pt idx="20">
                  <c:v>76.2</c:v>
                </c:pt>
                <c:pt idx="21">
                  <c:v>74.900000000000006</c:v>
                </c:pt>
                <c:pt idx="22">
                  <c:v>74.2</c:v>
                </c:pt>
                <c:pt idx="23">
                  <c:v>66.400000000000006</c:v>
                </c:pt>
                <c:pt idx="24">
                  <c:v>48.1</c:v>
                </c:pt>
                <c:pt idx="25">
                  <c:v>28.4</c:v>
                </c:pt>
              </c:numCache>
            </c:numRef>
          </c:val>
          <c:extLst>
            <c:ext xmlns:c16="http://schemas.microsoft.com/office/drawing/2014/chart" uri="{C3380CC4-5D6E-409C-BE32-E72D297353CC}">
              <c16:uniqueId val="{00000002-ABAE-47B7-AFC0-8118467BB839}"/>
            </c:ext>
          </c:extLst>
        </c:ser>
        <c:dLbls>
          <c:showLegendKey val="0"/>
          <c:showVal val="0"/>
          <c:showCatName val="0"/>
          <c:showSerName val="0"/>
          <c:showPercent val="0"/>
          <c:showBubbleSize val="0"/>
        </c:dLbls>
        <c:gapWidth val="219"/>
        <c:overlap val="-27"/>
        <c:axId val="1868307119"/>
        <c:axId val="1868319599"/>
      </c:barChart>
      <c:catAx>
        <c:axId val="1868307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68319599"/>
        <c:crosses val="autoZero"/>
        <c:auto val="1"/>
        <c:lblAlgn val="ctr"/>
        <c:lblOffset val="100"/>
        <c:noMultiLvlLbl val="0"/>
      </c:catAx>
      <c:valAx>
        <c:axId val="186831959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 positive rating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68307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'Considered leaving'!$L$4</c:f>
              <c:strCache>
                <c:ptCount val="1"/>
                <c:pt idx="0">
                  <c:v>Domestic</c:v>
                </c:pt>
              </c:strCache>
            </c:strRef>
          </c:tx>
          <c:spPr>
            <a:ln w="28575" cap="rnd">
              <a:solidFill>
                <a:srgbClr val="FCB942"/>
              </a:solidFill>
              <a:round/>
            </a:ln>
            <a:effectLst/>
          </c:spPr>
          <c:marker>
            <c:symbol val="circle"/>
            <c:size val="5"/>
            <c:spPr>
              <a:solidFill>
                <a:srgbClr val="FCB942"/>
              </a:solidFill>
              <a:ln w="9525">
                <a:solidFill>
                  <a:srgbClr val="FCB942"/>
                </a:solidFill>
              </a:ln>
              <a:effectLst/>
            </c:spPr>
          </c:marker>
          <c:dLbls>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FE-462D-986E-5B7A05660E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'Considered leaving'!$M$3:$S$3</c:f>
              <c:numCache>
                <c:formatCode>General</c:formatCode>
                <c:ptCount val="7"/>
                <c:pt idx="0">
                  <c:v>2017</c:v>
                </c:pt>
                <c:pt idx="1">
                  <c:v>2018</c:v>
                </c:pt>
                <c:pt idx="2">
                  <c:v>2019</c:v>
                </c:pt>
                <c:pt idx="3">
                  <c:v>2020</c:v>
                </c:pt>
                <c:pt idx="4">
                  <c:v>2021</c:v>
                </c:pt>
                <c:pt idx="5">
                  <c:v>2022</c:v>
                </c:pt>
                <c:pt idx="6">
                  <c:v>2023</c:v>
                </c:pt>
              </c:numCache>
            </c:numRef>
          </c:cat>
          <c:val>
            <c:numRef>
              <c:f>'Considered leaving'!$M$4:$S$4</c:f>
              <c:numCache>
                <c:formatCode>0.0%</c:formatCode>
                <c:ptCount val="7"/>
                <c:pt idx="0">
                  <c:v>0.20599999999999999</c:v>
                </c:pt>
                <c:pt idx="1">
                  <c:v>0.19900000000000001</c:v>
                </c:pt>
                <c:pt idx="2">
                  <c:v>0.20300000000000001</c:v>
                </c:pt>
                <c:pt idx="3">
                  <c:v>0.19800000000000001</c:v>
                </c:pt>
                <c:pt idx="4">
                  <c:v>0.19400000000000001</c:v>
                </c:pt>
                <c:pt idx="5">
                  <c:v>0.19600000000000001</c:v>
                </c:pt>
                <c:pt idx="6">
                  <c:v>0.19700000000000001</c:v>
                </c:pt>
              </c:numCache>
            </c:numRef>
          </c:val>
          <c:smooth val="0"/>
          <c:extLst>
            <c:ext xmlns:c16="http://schemas.microsoft.com/office/drawing/2014/chart" uri="{C3380CC4-5D6E-409C-BE32-E72D297353CC}">
              <c16:uniqueId val="{00000001-46FE-462D-986E-5B7A05660E5D}"/>
            </c:ext>
          </c:extLst>
        </c:ser>
        <c:ser>
          <c:idx val="2"/>
          <c:order val="1"/>
          <c:tx>
            <c:strRef>
              <c:f>'Considered leaving'!$L$5</c:f>
              <c:strCache>
                <c:ptCount val="1"/>
                <c:pt idx="0">
                  <c:v>International</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FE-462D-986E-5B7A05660E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lumMod val="7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'Considered leaving'!$M$3:$S$3</c:f>
              <c:numCache>
                <c:formatCode>General</c:formatCode>
                <c:ptCount val="7"/>
                <c:pt idx="0">
                  <c:v>2017</c:v>
                </c:pt>
                <c:pt idx="1">
                  <c:v>2018</c:v>
                </c:pt>
                <c:pt idx="2">
                  <c:v>2019</c:v>
                </c:pt>
                <c:pt idx="3">
                  <c:v>2020</c:v>
                </c:pt>
                <c:pt idx="4">
                  <c:v>2021</c:v>
                </c:pt>
                <c:pt idx="5">
                  <c:v>2022</c:v>
                </c:pt>
                <c:pt idx="6">
                  <c:v>2023</c:v>
                </c:pt>
              </c:numCache>
            </c:numRef>
          </c:cat>
          <c:val>
            <c:numRef>
              <c:f>'Considered leaving'!$M$5:$S$5</c:f>
              <c:numCache>
                <c:formatCode>0.0%</c:formatCode>
                <c:ptCount val="7"/>
                <c:pt idx="0">
                  <c:v>0.155</c:v>
                </c:pt>
                <c:pt idx="1">
                  <c:v>0.16300000000000001</c:v>
                </c:pt>
                <c:pt idx="2">
                  <c:v>0.16500000000000001</c:v>
                </c:pt>
                <c:pt idx="3">
                  <c:v>0.184</c:v>
                </c:pt>
                <c:pt idx="4">
                  <c:v>0.19500000000000001</c:v>
                </c:pt>
                <c:pt idx="5">
                  <c:v>0.14499999999999999</c:v>
                </c:pt>
                <c:pt idx="6">
                  <c:v>0.13900000000000001</c:v>
                </c:pt>
              </c:numCache>
            </c:numRef>
          </c:val>
          <c:smooth val="0"/>
          <c:extLst>
            <c:ext xmlns:c16="http://schemas.microsoft.com/office/drawing/2014/chart" uri="{C3380CC4-5D6E-409C-BE32-E72D297353CC}">
              <c16:uniqueId val="{00000003-46FE-462D-986E-5B7A05660E5D}"/>
            </c:ext>
          </c:extLst>
        </c:ser>
        <c:dLbls>
          <c:showLegendKey val="0"/>
          <c:showVal val="0"/>
          <c:showCatName val="0"/>
          <c:showSerName val="0"/>
          <c:showPercent val="0"/>
          <c:showBubbleSize val="0"/>
        </c:dLbls>
        <c:marker val="1"/>
        <c:smooth val="0"/>
        <c:axId val="484221856"/>
        <c:axId val="509291792"/>
      </c:lineChart>
      <c:catAx>
        <c:axId val="4842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291792"/>
        <c:crosses val="autoZero"/>
        <c:auto val="1"/>
        <c:lblAlgn val="ctr"/>
        <c:lblOffset val="100"/>
        <c:noMultiLvlLbl val="0"/>
      </c:catAx>
      <c:valAx>
        <c:axId val="509291792"/>
        <c:scaling>
          <c:orientation val="minMax"/>
        </c:scaling>
        <c:delete val="1"/>
        <c:axPos val="l"/>
        <c:numFmt formatCode="0.0%" sourceLinked="1"/>
        <c:majorTickMark val="none"/>
        <c:minorTickMark val="none"/>
        <c:tickLblPos val="nextTo"/>
        <c:crossAx val="484221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'Considered leaving'!$L$8</c:f>
              <c:strCache>
                <c:ptCount val="1"/>
                <c:pt idx="0">
                  <c:v>Domestic</c:v>
                </c:pt>
              </c:strCache>
            </c:strRef>
          </c:tx>
          <c:spPr>
            <a:ln w="28575" cap="rnd">
              <a:solidFill>
                <a:srgbClr val="FCB942"/>
              </a:solidFill>
              <a:round/>
            </a:ln>
            <a:effectLst/>
          </c:spPr>
          <c:marker>
            <c:symbol val="circle"/>
            <c:size val="5"/>
            <c:spPr>
              <a:solidFill>
                <a:srgbClr val="FCB942"/>
              </a:solidFill>
              <a:ln w="9525">
                <a:solidFill>
                  <a:srgbClr val="FCB942"/>
                </a:solidFill>
              </a:ln>
              <a:effectLst/>
            </c:spPr>
          </c:marker>
          <c:dLbls>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BE-41DB-B2D6-BA744BA4B1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'Considered leaving'!$M$7:$S$7</c:f>
              <c:numCache>
                <c:formatCode>General</c:formatCode>
                <c:ptCount val="7"/>
                <c:pt idx="0">
                  <c:v>2017</c:v>
                </c:pt>
                <c:pt idx="1">
                  <c:v>2018</c:v>
                </c:pt>
                <c:pt idx="2">
                  <c:v>2019</c:v>
                </c:pt>
                <c:pt idx="3">
                  <c:v>2020</c:v>
                </c:pt>
                <c:pt idx="4">
                  <c:v>2021</c:v>
                </c:pt>
                <c:pt idx="5">
                  <c:v>2022</c:v>
                </c:pt>
                <c:pt idx="6">
                  <c:v>2023</c:v>
                </c:pt>
              </c:numCache>
            </c:numRef>
          </c:cat>
          <c:val>
            <c:numRef>
              <c:f>'Considered leaving'!$M$8:$S$8</c:f>
              <c:numCache>
                <c:formatCode>0.0%</c:formatCode>
                <c:ptCount val="7"/>
                <c:pt idx="0">
                  <c:v>0.20599999999999999</c:v>
                </c:pt>
                <c:pt idx="1">
                  <c:v>0.19500000000000001</c:v>
                </c:pt>
                <c:pt idx="2">
                  <c:v>0.19700000000000001</c:v>
                </c:pt>
                <c:pt idx="3">
                  <c:v>0.20399999999999999</c:v>
                </c:pt>
                <c:pt idx="4">
                  <c:v>0.20200000000000001</c:v>
                </c:pt>
                <c:pt idx="5">
                  <c:v>0.20100000000000001</c:v>
                </c:pt>
                <c:pt idx="6">
                  <c:v>0.20699999999999999</c:v>
                </c:pt>
              </c:numCache>
            </c:numRef>
          </c:val>
          <c:smooth val="0"/>
          <c:extLst>
            <c:ext xmlns:c16="http://schemas.microsoft.com/office/drawing/2014/chart" uri="{C3380CC4-5D6E-409C-BE32-E72D297353CC}">
              <c16:uniqueId val="{00000001-DBBE-41DB-B2D6-BA744BA4B18E}"/>
            </c:ext>
          </c:extLst>
        </c:ser>
        <c:ser>
          <c:idx val="2"/>
          <c:order val="1"/>
          <c:tx>
            <c:strRef>
              <c:f>'Considered leaving'!$L$9</c:f>
              <c:strCache>
                <c:ptCount val="1"/>
                <c:pt idx="0">
                  <c:v>International</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BE-41DB-B2D6-BA744BA4B1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'Considered leaving'!$M$7:$S$7</c:f>
              <c:numCache>
                <c:formatCode>General</c:formatCode>
                <c:ptCount val="7"/>
                <c:pt idx="0">
                  <c:v>2017</c:v>
                </c:pt>
                <c:pt idx="1">
                  <c:v>2018</c:v>
                </c:pt>
                <c:pt idx="2">
                  <c:v>2019</c:v>
                </c:pt>
                <c:pt idx="3">
                  <c:v>2020</c:v>
                </c:pt>
                <c:pt idx="4">
                  <c:v>2021</c:v>
                </c:pt>
                <c:pt idx="5">
                  <c:v>2022</c:v>
                </c:pt>
                <c:pt idx="6">
                  <c:v>2023</c:v>
                </c:pt>
              </c:numCache>
            </c:numRef>
          </c:cat>
          <c:val>
            <c:numRef>
              <c:f>'Considered leaving'!$M$9:$S$9</c:f>
              <c:numCache>
                <c:formatCode>0.0%</c:formatCode>
                <c:ptCount val="7"/>
                <c:pt idx="0">
                  <c:v>0.14799999999999999</c:v>
                </c:pt>
                <c:pt idx="1">
                  <c:v>0.14899999999999999</c:v>
                </c:pt>
                <c:pt idx="2">
                  <c:v>0.154</c:v>
                </c:pt>
                <c:pt idx="3">
                  <c:v>0.20300000000000001</c:v>
                </c:pt>
                <c:pt idx="4">
                  <c:v>0.21099999999999999</c:v>
                </c:pt>
                <c:pt idx="5">
                  <c:v>0.13200000000000001</c:v>
                </c:pt>
                <c:pt idx="6">
                  <c:v>0.122</c:v>
                </c:pt>
              </c:numCache>
            </c:numRef>
          </c:val>
          <c:smooth val="0"/>
          <c:extLst>
            <c:ext xmlns:c16="http://schemas.microsoft.com/office/drawing/2014/chart" uri="{C3380CC4-5D6E-409C-BE32-E72D297353CC}">
              <c16:uniqueId val="{00000003-DBBE-41DB-B2D6-BA744BA4B18E}"/>
            </c:ext>
          </c:extLst>
        </c:ser>
        <c:dLbls>
          <c:showLegendKey val="0"/>
          <c:showVal val="0"/>
          <c:showCatName val="0"/>
          <c:showSerName val="0"/>
          <c:showPercent val="0"/>
          <c:showBubbleSize val="0"/>
        </c:dLbls>
        <c:marker val="1"/>
        <c:smooth val="0"/>
        <c:axId val="484221856"/>
        <c:axId val="509291792"/>
      </c:lineChart>
      <c:catAx>
        <c:axId val="4842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9291792"/>
        <c:crosses val="autoZero"/>
        <c:auto val="1"/>
        <c:lblAlgn val="ctr"/>
        <c:lblOffset val="100"/>
        <c:noMultiLvlLbl val="0"/>
      </c:catAx>
      <c:valAx>
        <c:axId val="509291792"/>
        <c:scaling>
          <c:orientation val="minMax"/>
        </c:scaling>
        <c:delete val="1"/>
        <c:axPos val="l"/>
        <c:numFmt formatCode="0.0%" sourceLinked="1"/>
        <c:majorTickMark val="none"/>
        <c:minorTickMark val="none"/>
        <c:tickLblPos val="nextTo"/>
        <c:crossAx val="484221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'Reasons considered leaving'!$G$176</c:f>
              <c:strCache>
                <c:ptCount val="1"/>
                <c:pt idx="0">
                  <c:v>Domestic</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considered leaving'!$D$177:$D$204</c:f>
              <c:strCache>
                <c:ptCount val="28"/>
                <c:pt idx="0">
                  <c:v> Financial difficulties</c:v>
                </c:pt>
                <c:pt idx="1">
                  <c:v> My stress levels</c:v>
                </c:pt>
                <c:pt idx="2">
                  <c:v> My mental health</c:v>
                </c:pt>
                <c:pt idx="3">
                  <c:v> Course expectations not met</c:v>
                </c:pt>
                <c:pt idx="4">
                  <c:v> Difficulty with study workload</c:v>
                </c:pt>
                <c:pt idx="5">
                  <c:v> Lack of academic support</c:v>
                </c:pt>
                <c:pt idx="6">
                  <c:v> Study/life balance</c:v>
                </c:pt>
                <c:pt idx="7">
                  <c:v> Low or failing grades</c:v>
                </c:pt>
                <c:pt idx="8">
                  <c:v> Lack of connection to my institution</c:v>
                </c:pt>
                <c:pt idx="9">
                  <c:v> Lack of career prospects</c:v>
                </c:pt>
                <c:pt idx="10">
                  <c:v> Moving to another institution</c:v>
                </c:pt>
                <c:pt idx="11">
                  <c:v> Boredom/lack of interest</c:v>
                </c:pt>
                <c:pt idx="12">
                  <c:v> Lack of administrative support</c:v>
                </c:pt>
                <c:pt idx="13">
                  <c:v> Quality concerns</c:v>
                </c:pt>
                <c:pt idx="14">
                  <c:v> Concerns about my institution's reputation</c:v>
                </c:pt>
                <c:pt idx="15">
                  <c:v> Commuting difficulties</c:v>
                </c:pt>
                <c:pt idx="16">
                  <c:v> My course is too difficult</c:v>
                </c:pt>
                <c:pt idx="17">
                  <c:v> To pursue a career or job offer</c:v>
                </c:pt>
                <c:pt idx="18">
                  <c:v> Social Reasons</c:v>
                </c:pt>
                <c:pt idx="19">
                  <c:v> Family caring responsibilities</c:v>
                </c:pt>
                <c:pt idx="20">
                  <c:v> My physical health</c:v>
                </c:pt>
                <c:pt idx="21">
                  <c:v> Paid work responsibilities</c:v>
                </c:pt>
                <c:pt idx="22">
                  <c:v> My English language skills</c:v>
                </c:pt>
                <c:pt idx="23">
                  <c:v> Gap year/deferral</c:v>
                </c:pt>
                <c:pt idx="24">
                  <c:v> Moving residence</c:v>
                </c:pt>
                <c:pt idx="25">
                  <c:v> Limited access to technology</c:v>
                </c:pt>
                <c:pt idx="26">
                  <c:v> To travel</c:v>
                </c:pt>
                <c:pt idx="27">
                  <c:v> Other reasons</c:v>
                </c:pt>
              </c:strCache>
            </c:strRef>
          </c:cat>
          <c:val>
            <c:numRef>
              <c:f>'Reasons considered leaving'!$G$177:$G$204</c:f>
              <c:numCache>
                <c:formatCode>0.0%</c:formatCode>
                <c:ptCount val="28"/>
                <c:pt idx="0">
                  <c:v>0.40369599167100467</c:v>
                </c:pt>
                <c:pt idx="1">
                  <c:v>0.46489923402989514</c:v>
                </c:pt>
                <c:pt idx="2">
                  <c:v>0.45181081282070351</c:v>
                </c:pt>
                <c:pt idx="3">
                  <c:v>0.28407823306313673</c:v>
                </c:pt>
                <c:pt idx="4">
                  <c:v>0.40072135048709751</c:v>
                </c:pt>
                <c:pt idx="5">
                  <c:v>0.23640960809102401</c:v>
                </c:pt>
                <c:pt idx="6">
                  <c:v>0.37112367070722097</c:v>
                </c:pt>
                <c:pt idx="7">
                  <c:v>0.15152078530527255</c:v>
                </c:pt>
                <c:pt idx="8">
                  <c:v>0.22317245482263701</c:v>
                </c:pt>
                <c:pt idx="9">
                  <c:v>0.13147914032869784</c:v>
                </c:pt>
                <c:pt idx="10">
                  <c:v>0.14044024689521825</c:v>
                </c:pt>
                <c:pt idx="11">
                  <c:v>0.21317022384174908</c:v>
                </c:pt>
                <c:pt idx="12">
                  <c:v>0.15256190971964007</c:v>
                </c:pt>
                <c:pt idx="13">
                  <c:v>0.13408195136461665</c:v>
                </c:pt>
                <c:pt idx="14">
                  <c:v>9.9613296646092059E-2</c:v>
                </c:pt>
                <c:pt idx="15">
                  <c:v>0.15947795047222429</c:v>
                </c:pt>
                <c:pt idx="16">
                  <c:v>5.9678738752138021E-2</c:v>
                </c:pt>
                <c:pt idx="17">
                  <c:v>8.9759797724399501E-2</c:v>
                </c:pt>
                <c:pt idx="18">
                  <c:v>0.10102625120844798</c:v>
                </c:pt>
                <c:pt idx="19">
                  <c:v>0.1969584293894549</c:v>
                </c:pt>
                <c:pt idx="20">
                  <c:v>0.12727745965642895</c:v>
                </c:pt>
                <c:pt idx="21">
                  <c:v>0.32107533278798245</c:v>
                </c:pt>
                <c:pt idx="22">
                  <c:v>9.1098386257157729E-3</c:v>
                </c:pt>
                <c:pt idx="23">
                  <c:v>0.12274113185097048</c:v>
                </c:pt>
                <c:pt idx="24">
                  <c:v>7.0759277162192311E-2</c:v>
                </c:pt>
                <c:pt idx="25">
                  <c:v>2.6288391462779802E-2</c:v>
                </c:pt>
                <c:pt idx="26">
                  <c:v>6.3954785454004612E-2</c:v>
                </c:pt>
                <c:pt idx="27">
                  <c:v>4.6850598646538261E-2</c:v>
                </c:pt>
              </c:numCache>
            </c:numRef>
          </c:val>
          <c:extLst>
            <c:ext xmlns:c16="http://schemas.microsoft.com/office/drawing/2014/chart" uri="{C3380CC4-5D6E-409C-BE32-E72D297353CC}">
              <c16:uniqueId val="{00000000-E0D1-4EE5-A028-134164372084}"/>
            </c:ext>
          </c:extLst>
        </c:ser>
        <c:ser>
          <c:idx val="1"/>
          <c:order val="1"/>
          <c:tx>
            <c:strRef>
              <c:f>'Reasons considered leaving'!$H$176</c:f>
              <c:strCache>
                <c:ptCount val="1"/>
                <c:pt idx="0">
                  <c:v>International</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considered leaving'!$D$177:$D$204</c:f>
              <c:strCache>
                <c:ptCount val="28"/>
                <c:pt idx="0">
                  <c:v> Financial difficulties</c:v>
                </c:pt>
                <c:pt idx="1">
                  <c:v> My stress levels</c:v>
                </c:pt>
                <c:pt idx="2">
                  <c:v> My mental health</c:v>
                </c:pt>
                <c:pt idx="3">
                  <c:v> Course expectations not met</c:v>
                </c:pt>
                <c:pt idx="4">
                  <c:v> Difficulty with study workload</c:v>
                </c:pt>
                <c:pt idx="5">
                  <c:v> Lack of academic support</c:v>
                </c:pt>
                <c:pt idx="6">
                  <c:v> Study/life balance</c:v>
                </c:pt>
                <c:pt idx="7">
                  <c:v> Low or failing grades</c:v>
                </c:pt>
                <c:pt idx="8">
                  <c:v> Lack of connection to my institution</c:v>
                </c:pt>
                <c:pt idx="9">
                  <c:v> Lack of career prospects</c:v>
                </c:pt>
                <c:pt idx="10">
                  <c:v> Moving to another institution</c:v>
                </c:pt>
                <c:pt idx="11">
                  <c:v> Boredom/lack of interest</c:v>
                </c:pt>
                <c:pt idx="12">
                  <c:v> Lack of administrative support</c:v>
                </c:pt>
                <c:pt idx="13">
                  <c:v> Quality concerns</c:v>
                </c:pt>
                <c:pt idx="14">
                  <c:v> Concerns about my institution's reputation</c:v>
                </c:pt>
                <c:pt idx="15">
                  <c:v> Commuting difficulties</c:v>
                </c:pt>
                <c:pt idx="16">
                  <c:v> My course is too difficult</c:v>
                </c:pt>
                <c:pt idx="17">
                  <c:v> To pursue a career or job offer</c:v>
                </c:pt>
                <c:pt idx="18">
                  <c:v> Social Reasons</c:v>
                </c:pt>
                <c:pt idx="19">
                  <c:v> Family caring responsibilities</c:v>
                </c:pt>
                <c:pt idx="20">
                  <c:v> My physical health</c:v>
                </c:pt>
                <c:pt idx="21">
                  <c:v> Paid work responsibilities</c:v>
                </c:pt>
                <c:pt idx="22">
                  <c:v> My English language skills</c:v>
                </c:pt>
                <c:pt idx="23">
                  <c:v> Gap year/deferral</c:v>
                </c:pt>
                <c:pt idx="24">
                  <c:v> Moving residence</c:v>
                </c:pt>
                <c:pt idx="25">
                  <c:v> Limited access to technology</c:v>
                </c:pt>
                <c:pt idx="26">
                  <c:v> To travel</c:v>
                </c:pt>
                <c:pt idx="27">
                  <c:v> Other reasons</c:v>
                </c:pt>
              </c:strCache>
            </c:strRef>
          </c:cat>
          <c:val>
            <c:numRef>
              <c:f>'Reasons considered leaving'!$H$177:$H$204</c:f>
              <c:numCache>
                <c:formatCode>0.0%</c:formatCode>
                <c:ptCount val="28"/>
                <c:pt idx="0">
                  <c:v>0.37426737370918223</c:v>
                </c:pt>
                <c:pt idx="1">
                  <c:v>0.34607870499581356</c:v>
                </c:pt>
                <c:pt idx="2">
                  <c:v>0.32403014233882221</c:v>
                </c:pt>
                <c:pt idx="3">
                  <c:v>0.27937482556516885</c:v>
                </c:pt>
                <c:pt idx="4">
                  <c:v>0.25537259279933017</c:v>
                </c:pt>
                <c:pt idx="5">
                  <c:v>0.21964833938040748</c:v>
                </c:pt>
                <c:pt idx="6">
                  <c:v>0.2174155735417248</c:v>
                </c:pt>
                <c:pt idx="7">
                  <c:v>0.1741557354172481</c:v>
                </c:pt>
                <c:pt idx="8">
                  <c:v>0.16857382082054145</c:v>
                </c:pt>
                <c:pt idx="9">
                  <c:v>0.16131733184482278</c:v>
                </c:pt>
                <c:pt idx="10">
                  <c:v>0.15964275746581078</c:v>
                </c:pt>
                <c:pt idx="11">
                  <c:v>0.15350265140943345</c:v>
                </c:pt>
                <c:pt idx="12">
                  <c:v>0.14987440692157411</c:v>
                </c:pt>
                <c:pt idx="13">
                  <c:v>0.12559307842590009</c:v>
                </c:pt>
                <c:pt idx="14">
                  <c:v>0.12084845101869941</c:v>
                </c:pt>
                <c:pt idx="15">
                  <c:v>0.11498744069215741</c:v>
                </c:pt>
                <c:pt idx="16">
                  <c:v>0.11359196204298075</c:v>
                </c:pt>
                <c:pt idx="17">
                  <c:v>9.9637175551214069E-2</c:v>
                </c:pt>
                <c:pt idx="18">
                  <c:v>9.8520792631872731E-2</c:v>
                </c:pt>
                <c:pt idx="19">
                  <c:v>8.986882500697739E-2</c:v>
                </c:pt>
                <c:pt idx="20">
                  <c:v>8.7077867708624052E-2</c:v>
                </c:pt>
                <c:pt idx="21">
                  <c:v>8.0658665922411388E-2</c:v>
                </c:pt>
                <c:pt idx="22">
                  <c:v>7.1448506837845385E-2</c:v>
                </c:pt>
                <c:pt idx="23">
                  <c:v>6.3075634942785369E-2</c:v>
                </c:pt>
                <c:pt idx="24">
                  <c:v>6.1121964833938038E-2</c:v>
                </c:pt>
                <c:pt idx="25">
                  <c:v>5.1074518559866035E-2</c:v>
                </c:pt>
                <c:pt idx="26">
                  <c:v>4.0468880826123363E-2</c:v>
                </c:pt>
                <c:pt idx="27">
                  <c:v>6.2796539212950045E-2</c:v>
                </c:pt>
              </c:numCache>
            </c:numRef>
          </c:val>
          <c:extLst>
            <c:ext xmlns:c16="http://schemas.microsoft.com/office/drawing/2014/chart" uri="{C3380CC4-5D6E-409C-BE32-E72D297353CC}">
              <c16:uniqueId val="{00000001-E0D1-4EE5-A028-134164372084}"/>
            </c:ext>
          </c:extLst>
        </c:ser>
        <c:dLbls>
          <c:showLegendKey val="0"/>
          <c:showVal val="0"/>
          <c:showCatName val="0"/>
          <c:showSerName val="0"/>
          <c:showPercent val="0"/>
          <c:showBubbleSize val="0"/>
        </c:dLbls>
        <c:gapWidth val="85"/>
        <c:overlap val="-20"/>
        <c:axId val="491195008"/>
        <c:axId val="491197408"/>
      </c:barChart>
      <c:catAx>
        <c:axId val="491195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1197408"/>
        <c:crosses val="autoZero"/>
        <c:auto val="1"/>
        <c:lblAlgn val="ctr"/>
        <c:lblOffset val="100"/>
        <c:noMultiLvlLbl val="0"/>
      </c:catAx>
      <c:valAx>
        <c:axId val="491197408"/>
        <c:scaling>
          <c:orientation val="minMax"/>
        </c:scaling>
        <c:delete val="0"/>
        <c:axPos val="t"/>
        <c:numFmt formatCode="0%" sourceLinked="0"/>
        <c:majorTickMark val="out"/>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1195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'Reasons considered leaving'!$G$176</c:f>
              <c:strCache>
                <c:ptCount val="1"/>
                <c:pt idx="0">
                  <c:v>Domestic</c:v>
                </c:pt>
              </c:strCache>
            </c:strRef>
          </c:tx>
          <c:spPr>
            <a:solidFill>
              <a:schemeClr val="accent5">
                <a:lumMod val="60000"/>
                <a:lumOff val="40000"/>
              </a:schemeClr>
            </a:solidFill>
            <a:ln>
              <a:solidFill>
                <a:schemeClr val="accent5">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considered leaving'!$D$210:$D$237</c:f>
              <c:strCache>
                <c:ptCount val="28"/>
                <c:pt idx="0">
                  <c:v> Financial difficulties</c:v>
                </c:pt>
                <c:pt idx="1">
                  <c:v> My stress levels</c:v>
                </c:pt>
                <c:pt idx="2">
                  <c:v> Course expectations not met</c:v>
                </c:pt>
                <c:pt idx="3">
                  <c:v> My mental health</c:v>
                </c:pt>
                <c:pt idx="4">
                  <c:v> Difficulty with study workload</c:v>
                </c:pt>
                <c:pt idx="5">
                  <c:v> Lack of career prospects</c:v>
                </c:pt>
                <c:pt idx="6">
                  <c:v> Study/life balance</c:v>
                </c:pt>
                <c:pt idx="7">
                  <c:v> Lack of academic support</c:v>
                </c:pt>
                <c:pt idx="8">
                  <c:v> Lack of administrative support</c:v>
                </c:pt>
                <c:pt idx="9">
                  <c:v> Lack of connection to my institution</c:v>
                </c:pt>
                <c:pt idx="10">
                  <c:v> Quality concerns</c:v>
                </c:pt>
                <c:pt idx="11">
                  <c:v> Low or failing grades</c:v>
                </c:pt>
                <c:pt idx="12">
                  <c:v> Boredom/lack of interest</c:v>
                </c:pt>
                <c:pt idx="13">
                  <c:v> Moving to another institution</c:v>
                </c:pt>
                <c:pt idx="14">
                  <c:v> To pursue a career or job offer</c:v>
                </c:pt>
                <c:pt idx="15">
                  <c:v> Concerns about my institution's reputation</c:v>
                </c:pt>
                <c:pt idx="16">
                  <c:v> Family caring responsibilities</c:v>
                </c:pt>
                <c:pt idx="17">
                  <c:v> My course is too difficult</c:v>
                </c:pt>
                <c:pt idx="18">
                  <c:v> Commuting difficulties</c:v>
                </c:pt>
                <c:pt idx="19">
                  <c:v> Paid work responsibilities</c:v>
                </c:pt>
                <c:pt idx="20">
                  <c:v> Social Reasons</c:v>
                </c:pt>
                <c:pt idx="21">
                  <c:v> My physical health</c:v>
                </c:pt>
                <c:pt idx="22">
                  <c:v> My English language skills</c:v>
                </c:pt>
                <c:pt idx="23">
                  <c:v> Moving residence</c:v>
                </c:pt>
                <c:pt idx="24">
                  <c:v> Limited access to technology</c:v>
                </c:pt>
                <c:pt idx="25">
                  <c:v> Gap year/deferral</c:v>
                </c:pt>
                <c:pt idx="26">
                  <c:v> To travel</c:v>
                </c:pt>
                <c:pt idx="27">
                  <c:v> Other reasons</c:v>
                </c:pt>
              </c:strCache>
            </c:strRef>
          </c:cat>
          <c:val>
            <c:numRef>
              <c:f>'Reasons considered leaving'!$G$210:$G$237</c:f>
              <c:numCache>
                <c:formatCode>0.0%</c:formatCode>
                <c:ptCount val="28"/>
                <c:pt idx="0">
                  <c:v>0.36334161893439965</c:v>
                </c:pt>
                <c:pt idx="1">
                  <c:v>0.40268021182319247</c:v>
                </c:pt>
                <c:pt idx="2">
                  <c:v>0.31362801253647465</c:v>
                </c:pt>
                <c:pt idx="3">
                  <c:v>0.30152383010915379</c:v>
                </c:pt>
                <c:pt idx="4">
                  <c:v>0.42742894196476816</c:v>
                </c:pt>
                <c:pt idx="5">
                  <c:v>8.5485788392953635E-2</c:v>
                </c:pt>
                <c:pt idx="6">
                  <c:v>0.36453042256565438</c:v>
                </c:pt>
                <c:pt idx="7">
                  <c:v>0.23160056197989842</c:v>
                </c:pt>
                <c:pt idx="8">
                  <c:v>0.14989733059548255</c:v>
                </c:pt>
                <c:pt idx="9">
                  <c:v>0.17594293742569977</c:v>
                </c:pt>
                <c:pt idx="10">
                  <c:v>0.17680752188479412</c:v>
                </c:pt>
                <c:pt idx="11">
                  <c:v>7.8461039662812065E-2</c:v>
                </c:pt>
                <c:pt idx="12">
                  <c:v>9.8238409164595267E-2</c:v>
                </c:pt>
                <c:pt idx="13">
                  <c:v>8.4080838646925324E-2</c:v>
                </c:pt>
                <c:pt idx="14">
                  <c:v>5.8143304874094887E-2</c:v>
                </c:pt>
                <c:pt idx="15">
                  <c:v>7.4570409596887502E-2</c:v>
                </c:pt>
                <c:pt idx="16">
                  <c:v>0.30087539176483302</c:v>
                </c:pt>
                <c:pt idx="17">
                  <c:v>5.2199286717821244E-2</c:v>
                </c:pt>
                <c:pt idx="18">
                  <c:v>5.6954501242840162E-2</c:v>
                </c:pt>
                <c:pt idx="19">
                  <c:v>0.42029612017723983</c:v>
                </c:pt>
                <c:pt idx="20">
                  <c:v>3.1125040527396518E-2</c:v>
                </c:pt>
                <c:pt idx="21">
                  <c:v>0.10904571490327461</c:v>
                </c:pt>
                <c:pt idx="22">
                  <c:v>7.2408948449151625E-3</c:v>
                </c:pt>
                <c:pt idx="23">
                  <c:v>5.4576893980330707E-2</c:v>
                </c:pt>
                <c:pt idx="24">
                  <c:v>2.4424510969415326E-2</c:v>
                </c:pt>
                <c:pt idx="25">
                  <c:v>3.944666594617962E-2</c:v>
                </c:pt>
                <c:pt idx="26">
                  <c:v>1.7291689181886956E-2</c:v>
                </c:pt>
                <c:pt idx="27">
                  <c:v>4.7119853020641957E-2</c:v>
                </c:pt>
              </c:numCache>
            </c:numRef>
          </c:val>
          <c:extLst>
            <c:ext xmlns:c16="http://schemas.microsoft.com/office/drawing/2014/chart" uri="{C3380CC4-5D6E-409C-BE32-E72D297353CC}">
              <c16:uniqueId val="{00000000-28B0-48EB-8949-B9412B9F95E6}"/>
            </c:ext>
          </c:extLst>
        </c:ser>
        <c:ser>
          <c:idx val="1"/>
          <c:order val="1"/>
          <c:tx>
            <c:strRef>
              <c:f>'Reasons considered leaving'!$H$176</c:f>
              <c:strCache>
                <c:ptCount val="1"/>
                <c:pt idx="0">
                  <c:v>International</c:v>
                </c:pt>
              </c:strCache>
            </c:strRef>
          </c:tx>
          <c:spPr>
            <a:solidFill>
              <a:schemeClr val="accent4">
                <a:lumMod val="40000"/>
                <a:lumOff val="60000"/>
              </a:schemeClr>
            </a:solidFill>
            <a:ln>
              <a:solidFill>
                <a:schemeClr val="accent4">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considered leaving'!$D$210:$D$237</c:f>
              <c:strCache>
                <c:ptCount val="28"/>
                <c:pt idx="0">
                  <c:v> Financial difficulties</c:v>
                </c:pt>
                <c:pt idx="1">
                  <c:v> My stress levels</c:v>
                </c:pt>
                <c:pt idx="2">
                  <c:v> Course expectations not met</c:v>
                </c:pt>
                <c:pt idx="3">
                  <c:v> My mental health</c:v>
                </c:pt>
                <c:pt idx="4">
                  <c:v> Difficulty with study workload</c:v>
                </c:pt>
                <c:pt idx="5">
                  <c:v> Lack of career prospects</c:v>
                </c:pt>
                <c:pt idx="6">
                  <c:v> Study/life balance</c:v>
                </c:pt>
                <c:pt idx="7">
                  <c:v> Lack of academic support</c:v>
                </c:pt>
                <c:pt idx="8">
                  <c:v> Lack of administrative support</c:v>
                </c:pt>
                <c:pt idx="9">
                  <c:v> Lack of connection to my institution</c:v>
                </c:pt>
                <c:pt idx="10">
                  <c:v> Quality concerns</c:v>
                </c:pt>
                <c:pt idx="11">
                  <c:v> Low or failing grades</c:v>
                </c:pt>
                <c:pt idx="12">
                  <c:v> Boredom/lack of interest</c:v>
                </c:pt>
                <c:pt idx="13">
                  <c:v> Moving to another institution</c:v>
                </c:pt>
                <c:pt idx="14">
                  <c:v> To pursue a career or job offer</c:v>
                </c:pt>
                <c:pt idx="15">
                  <c:v> Concerns about my institution's reputation</c:v>
                </c:pt>
                <c:pt idx="16">
                  <c:v> Family caring responsibilities</c:v>
                </c:pt>
                <c:pt idx="17">
                  <c:v> My course is too difficult</c:v>
                </c:pt>
                <c:pt idx="18">
                  <c:v> Commuting difficulties</c:v>
                </c:pt>
                <c:pt idx="19">
                  <c:v> Paid work responsibilities</c:v>
                </c:pt>
                <c:pt idx="20">
                  <c:v> Social Reasons</c:v>
                </c:pt>
                <c:pt idx="21">
                  <c:v> My physical health</c:v>
                </c:pt>
                <c:pt idx="22">
                  <c:v> My English language skills</c:v>
                </c:pt>
                <c:pt idx="23">
                  <c:v> Moving residence</c:v>
                </c:pt>
                <c:pt idx="24">
                  <c:v> Limited access to technology</c:v>
                </c:pt>
                <c:pt idx="25">
                  <c:v> Gap year/deferral</c:v>
                </c:pt>
                <c:pt idx="26">
                  <c:v> To travel</c:v>
                </c:pt>
                <c:pt idx="27">
                  <c:v> Other reasons</c:v>
                </c:pt>
              </c:strCache>
            </c:strRef>
          </c:cat>
          <c:val>
            <c:numRef>
              <c:f>'Reasons considered leaving'!$H$210:$H$237</c:f>
              <c:numCache>
                <c:formatCode>0.0%</c:formatCode>
                <c:ptCount val="28"/>
                <c:pt idx="0">
                  <c:v>0.36468245186988274</c:v>
                </c:pt>
                <c:pt idx="1">
                  <c:v>0.33724275282142069</c:v>
                </c:pt>
                <c:pt idx="2">
                  <c:v>0.33038282805930513</c:v>
                </c:pt>
                <c:pt idx="3">
                  <c:v>0.28546138526222614</c:v>
                </c:pt>
                <c:pt idx="4">
                  <c:v>0.2664306262447444</c:v>
                </c:pt>
                <c:pt idx="5">
                  <c:v>0.21398539499889357</c:v>
                </c:pt>
                <c:pt idx="6">
                  <c:v>0.21000221287895551</c:v>
                </c:pt>
                <c:pt idx="7">
                  <c:v>0.20358486390794422</c:v>
                </c:pt>
                <c:pt idx="8">
                  <c:v>0.15490152688647932</c:v>
                </c:pt>
                <c:pt idx="9">
                  <c:v>0.15401637530427087</c:v>
                </c:pt>
                <c:pt idx="10">
                  <c:v>0.14295198052666519</c:v>
                </c:pt>
                <c:pt idx="11">
                  <c:v>0.14007523788448772</c:v>
                </c:pt>
                <c:pt idx="12">
                  <c:v>0.12436379730028767</c:v>
                </c:pt>
                <c:pt idx="13">
                  <c:v>0.11484841779154681</c:v>
                </c:pt>
                <c:pt idx="14">
                  <c:v>0.11219296304492145</c:v>
                </c:pt>
                <c:pt idx="15">
                  <c:v>0.10068599247621154</c:v>
                </c:pt>
                <c:pt idx="16">
                  <c:v>9.8694401416242528E-2</c:v>
                </c:pt>
                <c:pt idx="17">
                  <c:v>9.6481522460721392E-2</c:v>
                </c:pt>
                <c:pt idx="18">
                  <c:v>9.0285461385262222E-2</c:v>
                </c:pt>
                <c:pt idx="19">
                  <c:v>8.5859703474219964E-2</c:v>
                </c:pt>
                <c:pt idx="20">
                  <c:v>7.722947554768754E-2</c:v>
                </c:pt>
                <c:pt idx="21">
                  <c:v>7.5237884487718523E-2</c:v>
                </c:pt>
                <c:pt idx="22">
                  <c:v>5.9305156007966361E-2</c:v>
                </c:pt>
                <c:pt idx="23">
                  <c:v>5.6649701261341008E-2</c:v>
                </c:pt>
                <c:pt idx="24">
                  <c:v>5.0453640185881832E-2</c:v>
                </c:pt>
                <c:pt idx="25">
                  <c:v>3.9389245408276166E-2</c:v>
                </c:pt>
                <c:pt idx="26">
                  <c:v>3.0980305377295861E-2</c:v>
                </c:pt>
                <c:pt idx="27">
                  <c:v>7.9221066607656557E-2</c:v>
                </c:pt>
              </c:numCache>
            </c:numRef>
          </c:val>
          <c:extLst>
            <c:ext xmlns:c16="http://schemas.microsoft.com/office/drawing/2014/chart" uri="{C3380CC4-5D6E-409C-BE32-E72D297353CC}">
              <c16:uniqueId val="{00000001-28B0-48EB-8949-B9412B9F95E6}"/>
            </c:ext>
          </c:extLst>
        </c:ser>
        <c:dLbls>
          <c:showLegendKey val="0"/>
          <c:showVal val="0"/>
          <c:showCatName val="0"/>
          <c:showSerName val="0"/>
          <c:showPercent val="0"/>
          <c:showBubbleSize val="0"/>
        </c:dLbls>
        <c:gapWidth val="85"/>
        <c:overlap val="-20"/>
        <c:axId val="491195008"/>
        <c:axId val="491197408"/>
      </c:barChart>
      <c:catAx>
        <c:axId val="491195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1197408"/>
        <c:crosses val="autoZero"/>
        <c:auto val="1"/>
        <c:lblAlgn val="ctr"/>
        <c:lblOffset val="100"/>
        <c:noMultiLvlLbl val="0"/>
      </c:catAx>
      <c:valAx>
        <c:axId val="491197408"/>
        <c:scaling>
          <c:orientation val="minMax"/>
          <c:max val="0.5"/>
        </c:scaling>
        <c:delete val="0"/>
        <c:axPos val="t"/>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91195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'Intl overall living exp'!$P$4</c:f>
              <c:strCache>
                <c:ptCount val="1"/>
                <c:pt idx="0">
                  <c:v>Undergraduate</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54-40C8-9CB4-A05E836C2CC5}"/>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54-40C8-9CB4-A05E836C2CC5}"/>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'Intl overall living exp'!$Q$3:$T$3</c:f>
              <c:numCache>
                <c:formatCode>General</c:formatCode>
                <c:ptCount val="4"/>
                <c:pt idx="0">
                  <c:v>2020</c:v>
                </c:pt>
                <c:pt idx="1">
                  <c:v>2021</c:v>
                </c:pt>
                <c:pt idx="2">
                  <c:v>2022</c:v>
                </c:pt>
                <c:pt idx="3">
                  <c:v>2023</c:v>
                </c:pt>
              </c:numCache>
            </c:numRef>
          </c:cat>
          <c:val>
            <c:numRef>
              <c:f>'Intl overall living exp'!$Q$4:$T$4</c:f>
              <c:numCache>
                <c:formatCode>0.0%</c:formatCode>
                <c:ptCount val="4"/>
                <c:pt idx="0">
                  <c:v>0.91500000000000004</c:v>
                </c:pt>
                <c:pt idx="1">
                  <c:v>0.93100000000000005</c:v>
                </c:pt>
                <c:pt idx="2">
                  <c:v>0.93599999999999994</c:v>
                </c:pt>
                <c:pt idx="3">
                  <c:v>0.93100000000000005</c:v>
                </c:pt>
              </c:numCache>
            </c:numRef>
          </c:val>
          <c:smooth val="0"/>
          <c:extLst>
            <c:ext xmlns:c16="http://schemas.microsoft.com/office/drawing/2014/chart" uri="{C3380CC4-5D6E-409C-BE32-E72D297353CC}">
              <c16:uniqueId val="{00000002-D954-40C8-9CB4-A05E836C2CC5}"/>
            </c:ext>
          </c:extLst>
        </c:ser>
        <c:ser>
          <c:idx val="2"/>
          <c:order val="1"/>
          <c:tx>
            <c:strRef>
              <c:f>'Intl overall living exp'!$P$5</c:f>
              <c:strCache>
                <c:ptCount val="1"/>
                <c:pt idx="0">
                  <c:v>Postgraduate coursework</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54-40C8-9CB4-A05E836C2CC5}"/>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54-40C8-9CB4-A05E836C2CC5}"/>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'Intl overall living exp'!$Q$3:$T$3</c:f>
              <c:numCache>
                <c:formatCode>General</c:formatCode>
                <c:ptCount val="4"/>
                <c:pt idx="0">
                  <c:v>2020</c:v>
                </c:pt>
                <c:pt idx="1">
                  <c:v>2021</c:v>
                </c:pt>
                <c:pt idx="2">
                  <c:v>2022</c:v>
                </c:pt>
                <c:pt idx="3">
                  <c:v>2023</c:v>
                </c:pt>
              </c:numCache>
            </c:numRef>
          </c:cat>
          <c:val>
            <c:numRef>
              <c:f>'Intl overall living exp'!$Q$5:$T$5</c:f>
              <c:numCache>
                <c:formatCode>0.0%</c:formatCode>
                <c:ptCount val="4"/>
                <c:pt idx="0">
                  <c:v>0.88300000000000001</c:v>
                </c:pt>
                <c:pt idx="1">
                  <c:v>0.91199999999999992</c:v>
                </c:pt>
                <c:pt idx="2">
                  <c:v>0.93799999999999994</c:v>
                </c:pt>
                <c:pt idx="3">
                  <c:v>0.93300000000000005</c:v>
                </c:pt>
              </c:numCache>
            </c:numRef>
          </c:val>
          <c:smooth val="0"/>
          <c:extLst>
            <c:ext xmlns:c16="http://schemas.microsoft.com/office/drawing/2014/chart" uri="{C3380CC4-5D6E-409C-BE32-E72D297353CC}">
              <c16:uniqueId val="{00000005-D954-40C8-9CB4-A05E836C2CC5}"/>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8"/>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Sheet7!$C$43</c:f>
              <c:strCache>
                <c:ptCount val="1"/>
                <c:pt idx="0">
                  <c:v>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Sheet7!$B$45:$B$52</c:f>
              <c:strCache>
                <c:ptCount val="8"/>
                <c:pt idx="0">
                  <c:v>Overall living experience</c:v>
                </c:pt>
                <c:pt idx="1">
                  <c:v>Personal safety on campus</c:v>
                </c:pt>
                <c:pt idx="2">
                  <c:v>Improving English skills</c:v>
                </c:pt>
                <c:pt idx="3">
                  <c:v>Personal safety off campus</c:v>
                </c:pt>
                <c:pt idx="4">
                  <c:v>Making friends</c:v>
                </c:pt>
                <c:pt idx="5">
                  <c:v>Employment while studying</c:v>
                </c:pt>
                <c:pt idx="6">
                  <c:v>Transport</c:v>
                </c:pt>
                <c:pt idx="7">
                  <c:v>Work experience</c:v>
                </c:pt>
              </c:strCache>
            </c:strRef>
          </c:cat>
          <c:val>
            <c:numRef>
              <c:f>Sheet7!$C$45:$C$52</c:f>
              <c:numCache>
                <c:formatCode>0.0%</c:formatCode>
                <c:ptCount val="8"/>
                <c:pt idx="0">
                  <c:v>0.93100000000000005</c:v>
                </c:pt>
                <c:pt idx="1">
                  <c:v>0.97599999999999998</c:v>
                </c:pt>
                <c:pt idx="2">
                  <c:v>0.95200000000000007</c:v>
                </c:pt>
                <c:pt idx="3">
                  <c:v>0.89500000000000002</c:v>
                </c:pt>
                <c:pt idx="4">
                  <c:v>0.84200000000000008</c:v>
                </c:pt>
                <c:pt idx="5">
                  <c:v>0.8</c:v>
                </c:pt>
                <c:pt idx="6">
                  <c:v>0.76300000000000001</c:v>
                </c:pt>
                <c:pt idx="7">
                  <c:v>0.745</c:v>
                </c:pt>
              </c:numCache>
            </c:numRef>
          </c:val>
          <c:extLst>
            <c:ext xmlns:c16="http://schemas.microsoft.com/office/drawing/2014/chart" uri="{C3380CC4-5D6E-409C-BE32-E72D297353CC}">
              <c16:uniqueId val="{00000000-86A8-4D59-938C-EF5BFD0BCB64}"/>
            </c:ext>
          </c:extLst>
        </c:ser>
        <c:ser>
          <c:idx val="1"/>
          <c:order val="1"/>
          <c:tx>
            <c:strRef>
              <c:f>Sheet7!$F$43</c:f>
              <c:strCache>
                <c:ptCount val="1"/>
                <c:pt idx="0">
                  <c:v>Postgraduate coursework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Sheet7!$B$45:$B$52</c:f>
              <c:strCache>
                <c:ptCount val="8"/>
                <c:pt idx="0">
                  <c:v>Overall living experience</c:v>
                </c:pt>
                <c:pt idx="1">
                  <c:v>Personal safety on campus</c:v>
                </c:pt>
                <c:pt idx="2">
                  <c:v>Improving English skills</c:v>
                </c:pt>
                <c:pt idx="3">
                  <c:v>Personal safety off campus</c:v>
                </c:pt>
                <c:pt idx="4">
                  <c:v>Making friends</c:v>
                </c:pt>
                <c:pt idx="5">
                  <c:v>Employment while studying</c:v>
                </c:pt>
                <c:pt idx="6">
                  <c:v>Transport</c:v>
                </c:pt>
                <c:pt idx="7">
                  <c:v>Work experience</c:v>
                </c:pt>
              </c:strCache>
            </c:strRef>
          </c:cat>
          <c:val>
            <c:numRef>
              <c:f>Sheet7!$F$45:$F$52</c:f>
              <c:numCache>
                <c:formatCode>0.0%</c:formatCode>
                <c:ptCount val="8"/>
                <c:pt idx="0">
                  <c:v>0.93200000000000005</c:v>
                </c:pt>
                <c:pt idx="1">
                  <c:v>0.98199999999999998</c:v>
                </c:pt>
                <c:pt idx="2">
                  <c:v>0.93400000000000005</c:v>
                </c:pt>
                <c:pt idx="3">
                  <c:v>0.90400000000000003</c:v>
                </c:pt>
                <c:pt idx="4">
                  <c:v>0.86299999999999999</c:v>
                </c:pt>
                <c:pt idx="5">
                  <c:v>0.755</c:v>
                </c:pt>
                <c:pt idx="6">
                  <c:v>0.78900000000000003</c:v>
                </c:pt>
                <c:pt idx="7">
                  <c:v>0.66200000000000003</c:v>
                </c:pt>
              </c:numCache>
            </c:numRef>
          </c:val>
          <c:extLst>
            <c:ext xmlns:c16="http://schemas.microsoft.com/office/drawing/2014/chart" uri="{C3380CC4-5D6E-409C-BE32-E72D297353CC}">
              <c16:uniqueId val="{00000001-86A8-4D59-938C-EF5BFD0BCB64}"/>
            </c:ext>
          </c:extLst>
        </c:ser>
        <c:dLbls>
          <c:showLegendKey val="0"/>
          <c:showVal val="0"/>
          <c:showCatName val="0"/>
          <c:showSerName val="0"/>
          <c:showPercent val="0"/>
          <c:showBubbleSize val="0"/>
        </c:dLbls>
        <c:gapWidth val="120"/>
        <c:overlap val="-27"/>
        <c:axId val="623416288"/>
        <c:axId val="623417728"/>
      </c:barChart>
      <c:catAx>
        <c:axId val="6234162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623417728"/>
        <c:crosses val="autoZero"/>
        <c:auto val="1"/>
        <c:lblAlgn val="ctr"/>
        <c:lblOffset val="100"/>
        <c:noMultiLvlLbl val="0"/>
      </c:catAx>
      <c:valAx>
        <c:axId val="623417728"/>
        <c:scaling>
          <c:orientation val="minMax"/>
        </c:scaling>
        <c:delete val="1"/>
        <c:axPos val="t"/>
        <c:numFmt formatCode="0.0%" sourceLinked="1"/>
        <c:majorTickMark val="none"/>
        <c:minorTickMark val="none"/>
        <c:tickLblPos val="nextTo"/>
        <c:crossAx val="623416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'Accommodation experience'!$K$29</c:f>
              <c:strCache>
                <c:ptCount val="1"/>
                <c:pt idx="0">
                  <c:v>Undergraduate</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85-45F0-9586-E7F1723CEAE5}"/>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85-45F0-9586-E7F1723CEAE5}"/>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'Accommodation experience'!$L$28:$O$28</c:f>
              <c:numCache>
                <c:formatCode>General</c:formatCode>
                <c:ptCount val="4"/>
                <c:pt idx="0">
                  <c:v>2020</c:v>
                </c:pt>
                <c:pt idx="1">
                  <c:v>2021</c:v>
                </c:pt>
                <c:pt idx="2">
                  <c:v>2022</c:v>
                </c:pt>
                <c:pt idx="3">
                  <c:v>2023</c:v>
                </c:pt>
              </c:numCache>
            </c:numRef>
          </c:cat>
          <c:val>
            <c:numRef>
              <c:f>'Accommodation experience'!$L$29:$O$29</c:f>
              <c:numCache>
                <c:formatCode>0.0%</c:formatCode>
                <c:ptCount val="4"/>
                <c:pt idx="0">
                  <c:v>0.90599999999999992</c:v>
                </c:pt>
                <c:pt idx="1">
                  <c:v>0.92799999999999994</c:v>
                </c:pt>
                <c:pt idx="2">
                  <c:v>0.91300000000000003</c:v>
                </c:pt>
                <c:pt idx="3">
                  <c:v>0.89399999999999991</c:v>
                </c:pt>
              </c:numCache>
            </c:numRef>
          </c:val>
          <c:smooth val="0"/>
          <c:extLst>
            <c:ext xmlns:c16="http://schemas.microsoft.com/office/drawing/2014/chart" uri="{C3380CC4-5D6E-409C-BE32-E72D297353CC}">
              <c16:uniqueId val="{00000002-C585-45F0-9586-E7F1723CEAE5}"/>
            </c:ext>
          </c:extLst>
        </c:ser>
        <c:ser>
          <c:idx val="2"/>
          <c:order val="1"/>
          <c:tx>
            <c:strRef>
              <c:f>'Accommodation experience'!$K$30</c:f>
              <c:strCache>
                <c:ptCount val="1"/>
                <c:pt idx="0">
                  <c:v>Postgraduate coursework</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85-45F0-9586-E7F1723CEAE5}"/>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85-45F0-9586-E7F1723CEAE5}"/>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'Accommodation experience'!$L$28:$O$28</c:f>
              <c:numCache>
                <c:formatCode>General</c:formatCode>
                <c:ptCount val="4"/>
                <c:pt idx="0">
                  <c:v>2020</c:v>
                </c:pt>
                <c:pt idx="1">
                  <c:v>2021</c:v>
                </c:pt>
                <c:pt idx="2">
                  <c:v>2022</c:v>
                </c:pt>
                <c:pt idx="3">
                  <c:v>2023</c:v>
                </c:pt>
              </c:numCache>
            </c:numRef>
          </c:cat>
          <c:val>
            <c:numRef>
              <c:f>'Accommodation experience'!$L$30:$O$30</c:f>
              <c:numCache>
                <c:formatCode>0.0%</c:formatCode>
                <c:ptCount val="4"/>
                <c:pt idx="0">
                  <c:v>0.89600000000000002</c:v>
                </c:pt>
                <c:pt idx="1">
                  <c:v>0.93100000000000005</c:v>
                </c:pt>
                <c:pt idx="2">
                  <c:v>0.92100000000000004</c:v>
                </c:pt>
                <c:pt idx="3">
                  <c:v>0.89100000000000001</c:v>
                </c:pt>
              </c:numCache>
            </c:numRef>
          </c:val>
          <c:smooth val="0"/>
          <c:extLst>
            <c:ext xmlns:c16="http://schemas.microsoft.com/office/drawing/2014/chart" uri="{C3380CC4-5D6E-409C-BE32-E72D297353CC}">
              <c16:uniqueId val="{00000005-C585-45F0-9586-E7F1723CEAE5}"/>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75000000000000011"/>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Skills</a:t>
            </a:r>
            <a:r>
              <a:rPr lang="en-AU" sz="1050" baseline="0">
                <a:solidFill>
                  <a:sysClr val="windowText" lastClr="000000"/>
                </a:solidFill>
              </a:rPr>
              <a:t> Development</a:t>
            </a:r>
            <a:endParaRPr lang="en-AU" sz="1050">
              <a:solidFill>
                <a:sysClr val="windowText" lastClr="000000"/>
              </a:solidFill>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AU"/>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9C-4DFB-B4A5-ADE112E73904}"/>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9C-4DFB-B4A5-ADE112E73904}"/>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(2)'!$D$32:$H$32</c:f>
              <c:numCache>
                <c:formatCode>General</c:formatCode>
                <c:ptCount val="5"/>
                <c:pt idx="0">
                  <c:v>2019</c:v>
                </c:pt>
                <c:pt idx="1">
                  <c:v>2020</c:v>
                </c:pt>
                <c:pt idx="2">
                  <c:v>2021</c:v>
                </c:pt>
                <c:pt idx="3">
                  <c:v>2022</c:v>
                </c:pt>
                <c:pt idx="4">
                  <c:v>2023</c:v>
                </c:pt>
              </c:numCache>
            </c:numRef>
          </c:cat>
          <c:val>
            <c:numRef>
              <c:f>'FOCUS_UG_ALL_6Y_E942 (2)'!$D$34:$H$34</c:f>
              <c:numCache>
                <c:formatCode>0.0%</c:formatCode>
                <c:ptCount val="5"/>
                <c:pt idx="0">
                  <c:v>0.81599999999999995</c:v>
                </c:pt>
                <c:pt idx="1">
                  <c:v>0.78599999999999992</c:v>
                </c:pt>
                <c:pt idx="2">
                  <c:v>0.79700000000000004</c:v>
                </c:pt>
                <c:pt idx="3">
                  <c:v>0.80200000000000005</c:v>
                </c:pt>
                <c:pt idx="4">
                  <c:v>0.80599999999999994</c:v>
                </c:pt>
              </c:numCache>
            </c:numRef>
          </c:val>
          <c:smooth val="0"/>
          <c:extLst>
            <c:ext xmlns:c16="http://schemas.microsoft.com/office/drawing/2014/chart" uri="{C3380CC4-5D6E-409C-BE32-E72D297353CC}">
              <c16:uniqueId val="{00000002-619C-4DFB-B4A5-ADE112E73904}"/>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9C-4DFB-B4A5-ADE112E73904}"/>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9C-4DFB-B4A5-ADE112E73904}"/>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(2)'!$D$32:$H$32</c:f>
              <c:numCache>
                <c:formatCode>General</c:formatCode>
                <c:ptCount val="5"/>
                <c:pt idx="0">
                  <c:v>2019</c:v>
                </c:pt>
                <c:pt idx="1">
                  <c:v>2020</c:v>
                </c:pt>
                <c:pt idx="2">
                  <c:v>2021</c:v>
                </c:pt>
                <c:pt idx="3">
                  <c:v>2022</c:v>
                </c:pt>
                <c:pt idx="4">
                  <c:v>2023</c:v>
                </c:pt>
              </c:numCache>
            </c:numRef>
          </c:cat>
          <c:val>
            <c:numRef>
              <c:f>'FOCUS_UG_ALL_6Y_E942 (2)'!$D$35:$H$35</c:f>
              <c:numCache>
                <c:formatCode>0.0%</c:formatCode>
                <c:ptCount val="5"/>
                <c:pt idx="0">
                  <c:v>0.79700000000000004</c:v>
                </c:pt>
                <c:pt idx="1">
                  <c:v>0.75700000000000001</c:v>
                </c:pt>
                <c:pt idx="2">
                  <c:v>0.77099999999999991</c:v>
                </c:pt>
                <c:pt idx="3">
                  <c:v>0.81799999999999995</c:v>
                </c:pt>
                <c:pt idx="4">
                  <c:v>0.83400000000000007</c:v>
                </c:pt>
              </c:numCache>
            </c:numRef>
          </c:val>
          <c:smooth val="0"/>
          <c:extLst>
            <c:ext xmlns:c16="http://schemas.microsoft.com/office/drawing/2014/chart" uri="{C3380CC4-5D6E-409C-BE32-E72D297353CC}">
              <c16:uniqueId val="{00000005-619C-4DFB-B4A5-ADE112E73904}"/>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1078279080662"/>
          <c:y val="0.15533613968316626"/>
          <c:w val="0.81299553942311831"/>
          <c:h val="0.78909202112421417"/>
        </c:manualLayout>
      </c:layout>
      <c:barChart>
        <c:barDir val="bar"/>
        <c:grouping val="percentStacked"/>
        <c:varyColors val="0"/>
        <c:ser>
          <c:idx val="0"/>
          <c:order val="0"/>
          <c:tx>
            <c:strRef>
              <c:f>'Accommodation types'!$F$22</c:f>
              <c:strCache>
                <c:ptCount val="1"/>
                <c:pt idx="0">
                  <c:v>Private rented house/flat/room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types'!$G$22:$K$22,'Accommodation types'!$Q$22)</c:f>
              <c:numCache>
                <c:formatCode>0.0%</c:formatCode>
                <c:ptCount val="6"/>
                <c:pt idx="0">
                  <c:v>0.59</c:v>
                </c:pt>
                <c:pt idx="1">
                  <c:v>0.57399999999999995</c:v>
                </c:pt>
                <c:pt idx="2">
                  <c:v>0.45799999999999996</c:v>
                </c:pt>
                <c:pt idx="3">
                  <c:v>0.45100000000000001</c:v>
                </c:pt>
                <c:pt idx="4">
                  <c:v>0.51500000000000001</c:v>
                </c:pt>
                <c:pt idx="5">
                  <c:v>0.52</c:v>
                </c:pt>
              </c:numCache>
            </c:numRef>
          </c:val>
          <c:extLst>
            <c:ext xmlns:c16="http://schemas.microsoft.com/office/drawing/2014/chart" uri="{C3380CC4-5D6E-409C-BE32-E72D297353CC}">
              <c16:uniqueId val="{00000000-5DEF-0143-A4E6-26E952FEA43F}"/>
            </c:ext>
          </c:extLst>
        </c:ser>
        <c:ser>
          <c:idx val="6"/>
          <c:order val="1"/>
          <c:tx>
            <c:strRef>
              <c:f>'Accommodation types'!$F$23</c:f>
              <c:strCache>
                <c:ptCount val="1"/>
                <c:pt idx="0">
                  <c:v>With friends or relatives in their accommodation</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types'!$G$23:$K$23,'Accommodation types'!$Q$23)</c:f>
              <c:numCache>
                <c:formatCode>0.0%</c:formatCode>
                <c:ptCount val="6"/>
                <c:pt idx="0">
                  <c:v>8.900000000000001E-2</c:v>
                </c:pt>
                <c:pt idx="1">
                  <c:v>0.316</c:v>
                </c:pt>
                <c:pt idx="2">
                  <c:v>0.27800000000000002</c:v>
                </c:pt>
                <c:pt idx="3">
                  <c:v>0.126</c:v>
                </c:pt>
                <c:pt idx="4">
                  <c:v>0.22600000000000001</c:v>
                </c:pt>
                <c:pt idx="5">
                  <c:v>0.193</c:v>
                </c:pt>
              </c:numCache>
            </c:numRef>
          </c:val>
          <c:extLst>
            <c:ext xmlns:c16="http://schemas.microsoft.com/office/drawing/2014/chart" uri="{C3380CC4-5D6E-409C-BE32-E72D297353CC}">
              <c16:uniqueId val="{00000001-5DEF-0143-A4E6-26E952FEA43F}"/>
            </c:ext>
          </c:extLst>
        </c:ser>
        <c:ser>
          <c:idx val="2"/>
          <c:order val="2"/>
          <c:tx>
            <c:strRef>
              <c:f>'Accommodation types'!$F$24</c:f>
              <c:strCache>
                <c:ptCount val="1"/>
                <c:pt idx="0">
                  <c:v>University or college halls of residence</c:v>
                </c:pt>
              </c:strCache>
            </c:strRef>
          </c:tx>
          <c:spPr>
            <a:solidFill>
              <a:schemeClr val="accent3"/>
            </a:solidFill>
            <a:ln>
              <a:noFill/>
            </a:ln>
            <a:effectLst/>
          </c:spPr>
          <c:invertIfNegative val="0"/>
          <c:dLbls>
            <c:dLbl>
              <c:idx val="1"/>
              <c:layout>
                <c:manualLayout>
                  <c:x val="-3.7809285350174642E-3"/>
                  <c:y val="-5.9750845340236579E-2"/>
                </c:manualLayout>
              </c:layout>
              <c:tx>
                <c:rich>
                  <a:bodyPr/>
                  <a:lstStyle/>
                  <a:p>
                    <a:fld id="{5446BA38-3606-41D1-989C-E4106C09504A}" type="VALUE">
                      <a:rPr lang="en-US">
                        <a:solidFill>
                          <a:schemeClr val="accent3"/>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DEF-0143-A4E6-26E952FEA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types'!$G$24:$K$24,'Accommodation types'!$Q$24)</c:f>
              <c:numCache>
                <c:formatCode>0.0%</c:formatCode>
                <c:ptCount val="6"/>
                <c:pt idx="0">
                  <c:v>9.1999999999999998E-2</c:v>
                </c:pt>
                <c:pt idx="1">
                  <c:v>1.1000000000000001E-2</c:v>
                </c:pt>
                <c:pt idx="2">
                  <c:v>8.199999999999999E-2</c:v>
                </c:pt>
                <c:pt idx="3">
                  <c:v>0.13900000000000001</c:v>
                </c:pt>
                <c:pt idx="4">
                  <c:v>5.5E-2</c:v>
                </c:pt>
                <c:pt idx="5">
                  <c:v>8.6999999999999994E-2</c:v>
                </c:pt>
              </c:numCache>
            </c:numRef>
          </c:val>
          <c:extLst>
            <c:ext xmlns:c16="http://schemas.microsoft.com/office/drawing/2014/chart" uri="{C3380CC4-5D6E-409C-BE32-E72D297353CC}">
              <c16:uniqueId val="{00000003-5DEF-0143-A4E6-26E952FEA43F}"/>
            </c:ext>
          </c:extLst>
        </c:ser>
        <c:ser>
          <c:idx val="3"/>
          <c:order val="3"/>
          <c:tx>
            <c:strRef>
              <c:f>'Accommodation types'!$F$25</c:f>
              <c:strCache>
                <c:ptCount val="1"/>
                <c:pt idx="0">
                  <c:v>Private halls or student hostel</c:v>
                </c:pt>
              </c:strCache>
            </c:strRef>
          </c:tx>
          <c:spPr>
            <a:solidFill>
              <a:schemeClr val="accent4"/>
            </a:solidFill>
            <a:ln>
              <a:noFill/>
            </a:ln>
            <a:effectLst/>
          </c:spPr>
          <c:invertIfNegative val="0"/>
          <c:dLbls>
            <c:dLbl>
              <c:idx val="1"/>
              <c:layout>
                <c:manualLayout>
                  <c:x val="2.8356964012630982E-3"/>
                  <c:y val="6.8538011113269778E-2"/>
                </c:manualLayout>
              </c:layout>
              <c:tx>
                <c:rich>
                  <a:bodyPr/>
                  <a:lstStyle/>
                  <a:p>
                    <a:fld id="{64F22405-BE86-4993-AC4F-220E6C6E7570}" type="VALUE">
                      <a:rPr lang="en-US">
                        <a:solidFill>
                          <a:schemeClr val="accent4"/>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DEF-0143-A4E6-26E952FEA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types'!$G$25:$K$25,'Accommodation types'!$Q$25)</c:f>
              <c:numCache>
                <c:formatCode>0.0%</c:formatCode>
                <c:ptCount val="6"/>
                <c:pt idx="0">
                  <c:v>9.3000000000000013E-2</c:v>
                </c:pt>
                <c:pt idx="1">
                  <c:v>6.0000000000000001E-3</c:v>
                </c:pt>
                <c:pt idx="2">
                  <c:v>4.2000000000000003E-2</c:v>
                </c:pt>
                <c:pt idx="3">
                  <c:v>0.11800000000000001</c:v>
                </c:pt>
                <c:pt idx="4">
                  <c:v>4.2999999999999997E-2</c:v>
                </c:pt>
                <c:pt idx="5">
                  <c:v>0.06</c:v>
                </c:pt>
              </c:numCache>
            </c:numRef>
          </c:val>
          <c:extLst>
            <c:ext xmlns:c16="http://schemas.microsoft.com/office/drawing/2014/chart" uri="{C3380CC4-5D6E-409C-BE32-E72D297353CC}">
              <c16:uniqueId val="{00000005-5DEF-0143-A4E6-26E952FEA43F}"/>
            </c:ext>
          </c:extLst>
        </c:ser>
        <c:ser>
          <c:idx val="4"/>
          <c:order val="4"/>
          <c:tx>
            <c:strRef>
              <c:f>'Accommodation types'!$F$26</c:f>
              <c:strCache>
                <c:ptCount val="1"/>
                <c:pt idx="0">
                  <c:v>Student house or flat controlled by university</c:v>
                </c:pt>
              </c:strCache>
            </c:strRef>
          </c:tx>
          <c:spPr>
            <a:solidFill>
              <a:schemeClr val="accent5"/>
            </a:solidFill>
            <a:ln>
              <a:noFill/>
            </a:ln>
            <a:effectLst/>
          </c:spPr>
          <c:invertIfNegative val="0"/>
          <c:dLbls>
            <c:dLbl>
              <c:idx val="1"/>
              <c:layout>
                <c:manualLayout>
                  <c:x val="1.2288017738806759E-2"/>
                  <c:y val="-5.97508453402366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75000"/>
                        </a:schemeClr>
                      </a:solidFill>
                      <a:latin typeface="Public Sans" pitchFamily="2"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EF-0143-A4E6-26E952FEA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types'!$G$26:$K$26,'Accommodation types'!$Q$26)</c:f>
              <c:numCache>
                <c:formatCode>0.0%</c:formatCode>
                <c:ptCount val="6"/>
                <c:pt idx="0">
                  <c:v>7.5999999999999998E-2</c:v>
                </c:pt>
                <c:pt idx="1">
                  <c:v>6.9999999999999993E-3</c:v>
                </c:pt>
                <c:pt idx="2">
                  <c:v>3.4000000000000002E-2</c:v>
                </c:pt>
                <c:pt idx="3">
                  <c:v>9.4E-2</c:v>
                </c:pt>
                <c:pt idx="4">
                  <c:v>5.2000000000000005E-2</c:v>
                </c:pt>
                <c:pt idx="5">
                  <c:v>5.2000000000000005E-2</c:v>
                </c:pt>
              </c:numCache>
            </c:numRef>
          </c:val>
          <c:extLst>
            <c:ext xmlns:c16="http://schemas.microsoft.com/office/drawing/2014/chart" uri="{C3380CC4-5D6E-409C-BE32-E72D297353CC}">
              <c16:uniqueId val="{00000007-5DEF-0143-A4E6-26E952FEA43F}"/>
            </c:ext>
          </c:extLst>
        </c:ser>
        <c:ser>
          <c:idx val="5"/>
          <c:order val="5"/>
          <c:tx>
            <c:strRef>
              <c:f>'Accommodation types'!$F$27</c:f>
              <c:strCache>
                <c:ptCount val="1"/>
                <c:pt idx="0">
                  <c:v>Homestay with a family not related to you</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types'!$G$27:$K$27,'Accommodation types'!$Q$27)</c:f>
              <c:numCache>
                <c:formatCode>0.0%</c:formatCode>
                <c:ptCount val="6"/>
                <c:pt idx="0">
                  <c:v>2.2000000000000002E-2</c:v>
                </c:pt>
                <c:pt idx="1">
                  <c:v>4.7E-2</c:v>
                </c:pt>
                <c:pt idx="2">
                  <c:v>7.0000000000000007E-2</c:v>
                </c:pt>
                <c:pt idx="3">
                  <c:v>1.7000000000000001E-2</c:v>
                </c:pt>
                <c:pt idx="4">
                  <c:v>5.5999999999999994E-2</c:v>
                </c:pt>
                <c:pt idx="5">
                  <c:v>0.04</c:v>
                </c:pt>
              </c:numCache>
            </c:numRef>
          </c:val>
          <c:extLst>
            <c:ext xmlns:c16="http://schemas.microsoft.com/office/drawing/2014/chart" uri="{C3380CC4-5D6E-409C-BE32-E72D297353CC}">
              <c16:uniqueId val="{00000008-5DEF-0143-A4E6-26E952FEA43F}"/>
            </c:ext>
          </c:extLst>
        </c:ser>
        <c:ser>
          <c:idx val="1"/>
          <c:order val="6"/>
          <c:tx>
            <c:strRef>
              <c:f>'Accommodation types'!$F$28</c:f>
              <c:strCache>
                <c:ptCount val="1"/>
                <c:pt idx="0">
                  <c:v>Living with parents</c:v>
                </c:pt>
              </c:strCache>
            </c:strRef>
          </c:tx>
          <c:spPr>
            <a:solidFill>
              <a:schemeClr val="accent2"/>
            </a:solidFill>
            <a:ln>
              <a:noFill/>
            </a:ln>
            <a:effectLst/>
          </c:spPr>
          <c:invertIfNegative val="0"/>
          <c:dLbls>
            <c:dLbl>
              <c:idx val="0"/>
              <c:layout>
                <c:manualLayout>
                  <c:x val="2.4987750427594279E-3"/>
                  <c:y val="1.99635939499306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EF-0143-A4E6-26E952FEA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types'!$G$28:$K$28,'Accommodation types'!$Q$28)</c:f>
              <c:numCache>
                <c:formatCode>0.0%</c:formatCode>
                <c:ptCount val="6"/>
                <c:pt idx="0">
                  <c:v>3.2000000000000001E-2</c:v>
                </c:pt>
                <c:pt idx="1">
                  <c:v>2.7999999999999997E-2</c:v>
                </c:pt>
                <c:pt idx="2">
                  <c:v>3.3000000000000002E-2</c:v>
                </c:pt>
                <c:pt idx="3">
                  <c:v>3.9E-2</c:v>
                </c:pt>
                <c:pt idx="4">
                  <c:v>4.2999999999999997E-2</c:v>
                </c:pt>
                <c:pt idx="5">
                  <c:v>0.04</c:v>
                </c:pt>
              </c:numCache>
            </c:numRef>
          </c:val>
          <c:extLst>
            <c:ext xmlns:c16="http://schemas.microsoft.com/office/drawing/2014/chart" uri="{C3380CC4-5D6E-409C-BE32-E72D297353CC}">
              <c16:uniqueId val="{0000000A-5DEF-0143-A4E6-26E952FEA43F}"/>
            </c:ext>
          </c:extLst>
        </c:ser>
        <c:ser>
          <c:idx val="7"/>
          <c:order val="7"/>
          <c:tx>
            <c:strRef>
              <c:f>'Accommodation types'!$F$29</c:f>
              <c:strCache>
                <c:ptCount val="1"/>
                <c:pt idx="0">
                  <c:v>Other</c:v>
                </c:pt>
              </c:strCache>
            </c:strRef>
          </c:tx>
          <c:spPr>
            <a:solidFill>
              <a:schemeClr val="bg1">
                <a:lumMod val="75000"/>
              </a:schemeClr>
            </a:solidFill>
            <a:ln>
              <a:noFill/>
            </a:ln>
            <a:effectLst/>
          </c:spPr>
          <c:invertIfNegative val="0"/>
          <c:dLbls>
            <c:dLbl>
              <c:idx val="1"/>
              <c:layout>
                <c:manualLayout>
                  <c:x val="2.0827648644759743E-2"/>
                  <c:y val="5.71303257947921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DEF-0143-A4E6-26E952FEA43F}"/>
                </c:ext>
              </c:extLst>
            </c:dLbl>
            <c:dLbl>
              <c:idx val="3"/>
              <c:layout>
                <c:manualLayout>
                  <c:x val="2.3582451353244709E-2"/>
                  <c:y val="4.907457617969146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DEF-0143-A4E6-26E952FEA43F}"/>
                </c:ext>
              </c:extLst>
            </c:dLbl>
            <c:dLbl>
              <c:idx val="4"/>
              <c:layout>
                <c:manualLayout>
                  <c:x val="1.987398633994280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DEF-0143-A4E6-26E952FEA43F}"/>
                </c:ext>
              </c:extLst>
            </c:dLbl>
            <c:dLbl>
              <c:idx val="5"/>
              <c:layout>
                <c:manualLayout>
                  <c:x val="1.90870048806922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DEF-0143-A4E6-26E952FEA4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ublic Sans" pitchFamily="2" charset="0"/>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('Accommodation types'!$G$21:$K$21,'Accommodation types'!$Q$21)</c:f>
              <c:strCache>
                <c:ptCount val="6"/>
                <c:pt idx="0">
                  <c:v>China (excludes SARs and Taiwan)</c:v>
                </c:pt>
                <c:pt idx="1">
                  <c:v>Nepal</c:v>
                </c:pt>
                <c:pt idx="2">
                  <c:v>India</c:v>
                </c:pt>
                <c:pt idx="3">
                  <c:v>Malaysia</c:v>
                </c:pt>
                <c:pt idx="4">
                  <c:v>Vietnam</c:v>
                </c:pt>
                <c:pt idx="5">
                  <c:v>Total international</c:v>
                </c:pt>
              </c:strCache>
            </c:strRef>
          </c:cat>
          <c:val>
            <c:numRef>
              <c:f>('Accommodation types'!$G$29:$K$29,'Accommodation types'!$Q$29)</c:f>
              <c:numCache>
                <c:formatCode>0.0%</c:formatCode>
                <c:ptCount val="6"/>
                <c:pt idx="0">
                  <c:v>6.0000000000000001E-3</c:v>
                </c:pt>
                <c:pt idx="1">
                  <c:v>0.01</c:v>
                </c:pt>
                <c:pt idx="2">
                  <c:v>3.0000000000000001E-3</c:v>
                </c:pt>
                <c:pt idx="3">
                  <c:v>1.6E-2</c:v>
                </c:pt>
                <c:pt idx="4">
                  <c:v>9.0000000000000011E-3</c:v>
                </c:pt>
                <c:pt idx="5">
                  <c:v>8.0000000000000002E-3</c:v>
                </c:pt>
              </c:numCache>
            </c:numRef>
          </c:val>
          <c:extLst>
            <c:ext xmlns:c16="http://schemas.microsoft.com/office/drawing/2014/chart" uri="{C3380CC4-5D6E-409C-BE32-E72D297353CC}">
              <c16:uniqueId val="{0000000C-5DEF-0143-A4E6-26E952FEA43F}"/>
            </c:ext>
          </c:extLst>
        </c:ser>
        <c:dLbls>
          <c:showLegendKey val="0"/>
          <c:showVal val="0"/>
          <c:showCatName val="0"/>
          <c:showSerName val="0"/>
          <c:showPercent val="0"/>
          <c:showBubbleSize val="0"/>
        </c:dLbls>
        <c:gapWidth val="86"/>
        <c:overlap val="100"/>
        <c:axId val="1887855071"/>
        <c:axId val="1887845471"/>
      </c:barChart>
      <c:catAx>
        <c:axId val="18878550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845471"/>
        <c:crosses val="autoZero"/>
        <c:auto val="1"/>
        <c:lblAlgn val="ctr"/>
        <c:lblOffset val="100"/>
        <c:noMultiLvlLbl val="0"/>
      </c:catAx>
      <c:valAx>
        <c:axId val="1887845471"/>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855071"/>
        <c:crosses val="autoZero"/>
        <c:crossBetween val="between"/>
      </c:valAx>
      <c:spPr>
        <a:noFill/>
        <a:ln>
          <a:noFill/>
        </a:ln>
        <a:effectLst/>
      </c:spPr>
    </c:plotArea>
    <c:legend>
      <c:legendPos val="t"/>
      <c:layout>
        <c:manualLayout>
          <c:xMode val="edge"/>
          <c:yMode val="edge"/>
          <c:x val="9.5174968648445921E-2"/>
          <c:y val="1.0544266824747643E-2"/>
          <c:w val="0.90170618511336098"/>
          <c:h val="0.131441600208561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'Agent use &amp; satisfaction'!$C$5</c:f>
              <c:strCache>
                <c:ptCount val="1"/>
                <c:pt idx="0">
                  <c:v>Used an agent to help with visa or enrollment</c:v>
                </c:pt>
              </c:strCache>
            </c:strRef>
          </c:tx>
          <c:spPr>
            <a:solidFill>
              <a:schemeClr val="accent4"/>
            </a:solidFill>
            <a:ln>
              <a:noFill/>
            </a:ln>
            <a:effectLst/>
          </c:spPr>
          <c:invertIfNegative val="0"/>
          <c:dPt>
            <c:idx val="16"/>
            <c:invertIfNegative val="0"/>
            <c:bubble3D val="0"/>
            <c:spPr>
              <a:solidFill>
                <a:schemeClr val="accent4"/>
              </a:solidFill>
              <a:ln>
                <a:noFill/>
              </a:ln>
              <a:effectLst/>
            </c:spPr>
            <c:extLst>
              <c:ext xmlns:c16="http://schemas.microsoft.com/office/drawing/2014/chart" uri="{C3380CC4-5D6E-409C-BE32-E72D297353CC}">
                <c16:uniqueId val="{00000001-9322-4A75-B533-FFDAB1656841}"/>
              </c:ext>
            </c:extLst>
          </c:dPt>
          <c:dPt>
            <c:idx val="18"/>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3-9322-4A75-B533-FFDAB1656841}"/>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ptCount val="0"/>
              </c:numLit>
            </c:plus>
            <c:minus>
              <c:numLit>
                <c:ptCount val="0"/>
              </c:numLit>
            </c:minus>
            <c:spPr>
              <a:noFill/>
              <a:ln w="9525" cap="flat" cmpd="sng" algn="ctr">
                <a:solidFill>
                  <a:schemeClr val="tx1">
                    <a:lumMod val="65000"/>
                    <a:lumOff val="35000"/>
                  </a:schemeClr>
                </a:solidFill>
                <a:round/>
              </a:ln>
              <a:effectLst/>
            </c:spPr>
          </c:errBars>
          <c:cat>
            <c:strRef>
              <c:f>('Agent use &amp; satisfaction'!$B$6:$B$10,'Agent use &amp; satisfaction'!$B$16)</c:f>
              <c:strCache>
                <c:ptCount val="6"/>
                <c:pt idx="0">
                  <c:v>China (excludes SARs and Taiwan)</c:v>
                </c:pt>
                <c:pt idx="1">
                  <c:v>Nepal</c:v>
                </c:pt>
                <c:pt idx="2">
                  <c:v>India</c:v>
                </c:pt>
                <c:pt idx="3">
                  <c:v>Malaysia</c:v>
                </c:pt>
                <c:pt idx="4">
                  <c:v>Vietnam</c:v>
                </c:pt>
                <c:pt idx="5">
                  <c:v>Total international</c:v>
                </c:pt>
              </c:strCache>
              <c:extLst/>
            </c:strRef>
          </c:cat>
          <c:val>
            <c:numRef>
              <c:f>('Agent use &amp; satisfaction'!$C$6:$C$10,'Agent use &amp; satisfaction'!$C$16)</c:f>
              <c:numCache>
                <c:formatCode>0.0%</c:formatCode>
                <c:ptCount val="6"/>
                <c:pt idx="0">
                  <c:v>0.83799999999999997</c:v>
                </c:pt>
                <c:pt idx="1">
                  <c:v>0.95</c:v>
                </c:pt>
                <c:pt idx="2">
                  <c:v>0.88900000000000001</c:v>
                </c:pt>
                <c:pt idx="3">
                  <c:v>0.81499999999999995</c:v>
                </c:pt>
                <c:pt idx="4">
                  <c:v>0.91500000000000004</c:v>
                </c:pt>
                <c:pt idx="5">
                  <c:v>0.86499999999999999</c:v>
                </c:pt>
              </c:numCache>
              <c:extLst/>
            </c:numRef>
          </c:val>
          <c:extLst>
            <c:ext xmlns:c16="http://schemas.microsoft.com/office/drawing/2014/chart" uri="{C3380CC4-5D6E-409C-BE32-E72D297353CC}">
              <c16:uniqueId val="{00000004-9322-4A75-B533-FFDAB1656841}"/>
            </c:ext>
          </c:extLst>
        </c:ser>
        <c:dLbls>
          <c:showLegendKey val="0"/>
          <c:showVal val="0"/>
          <c:showCatName val="0"/>
          <c:showSerName val="0"/>
          <c:showPercent val="0"/>
          <c:showBubbleSize val="0"/>
        </c:dLbls>
        <c:gapWidth val="150"/>
        <c:overlap val="-27"/>
        <c:axId val="1069104592"/>
        <c:axId val="901762015"/>
      </c:barChart>
      <c:catAx>
        <c:axId val="1069104592"/>
        <c:scaling>
          <c:orientation val="minMax"/>
        </c:scaling>
        <c:delete val="0"/>
        <c:axPos val="b"/>
        <c:numFmt formatCode="General" sourceLinked="1"/>
        <c:majorTickMark val="none"/>
        <c:minorTickMark val="none"/>
        <c:tickLblPos val="nextTo"/>
        <c:spPr>
          <a:noFill/>
          <a:ln w="9525" cap="flat" cmpd="sng" algn="ctr">
            <a:solidFill>
              <a:sysClr val="window" lastClr="FFFFFF">
                <a:lumMod val="85000"/>
              </a:sys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762015"/>
        <c:crosses val="autoZero"/>
        <c:auto val="1"/>
        <c:lblAlgn val="ctr"/>
        <c:lblOffset val="100"/>
        <c:noMultiLvlLbl val="0"/>
      </c:catAx>
      <c:valAx>
        <c:axId val="901762015"/>
        <c:scaling>
          <c:orientation val="minMax"/>
          <c:min val="0.4"/>
        </c:scaling>
        <c:delete val="1"/>
        <c:axPos val="l"/>
        <c:numFmt formatCode="0.0%" sourceLinked="1"/>
        <c:majorTickMark val="none"/>
        <c:minorTickMark val="none"/>
        <c:tickLblPos val="nextTo"/>
        <c:crossAx val="106910459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bg1"/>
      </a:solidFill>
      <a:round/>
    </a:ln>
    <a:effectLst/>
  </c:spPr>
  <c:txPr>
    <a:bodyPr/>
    <a:lstStyle/>
    <a:p>
      <a:pPr>
        <a:defRPr sz="900">
          <a:solidFill>
            <a:sysClr val="windowText" lastClr="000000"/>
          </a:solidFill>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'Agent use &amp; satisfaction'!$D$5</c:f>
              <c:strCache>
                <c:ptCount val="1"/>
                <c:pt idx="0">
                  <c:v>Satisfied with service provided by agent</c:v>
                </c:pt>
              </c:strCache>
            </c:strRef>
          </c:tx>
          <c:spPr>
            <a:solidFill>
              <a:srgbClr val="EE3B6F"/>
            </a:solidFill>
            <a:ln>
              <a:noFill/>
            </a:ln>
            <a:effectLst/>
          </c:spPr>
          <c:invertIfNegative val="0"/>
          <c:dPt>
            <c:idx val="16"/>
            <c:invertIfNegative val="0"/>
            <c:bubble3D val="0"/>
            <c:spPr>
              <a:solidFill>
                <a:srgbClr val="EE3B6F"/>
              </a:solidFill>
              <a:ln>
                <a:noFill/>
              </a:ln>
              <a:effectLst/>
            </c:spPr>
            <c:extLst>
              <c:ext xmlns:c16="http://schemas.microsoft.com/office/drawing/2014/chart" uri="{C3380CC4-5D6E-409C-BE32-E72D297353CC}">
                <c16:uniqueId val="{00000001-4C09-4022-B990-564CE3DBC4A0}"/>
              </c:ext>
            </c:extLst>
          </c:dPt>
          <c:dPt>
            <c:idx val="18"/>
            <c:invertIfNegative val="0"/>
            <c:bubble3D val="0"/>
            <c:spPr>
              <a:solidFill>
                <a:srgbClr val="EE3B6F"/>
              </a:solidFill>
              <a:ln>
                <a:noFill/>
              </a:ln>
              <a:effectLst/>
            </c:spPr>
            <c:extLst>
              <c:ext xmlns:c16="http://schemas.microsoft.com/office/drawing/2014/chart" uri="{C3380CC4-5D6E-409C-BE32-E72D297353CC}">
                <c16:uniqueId val="{00000003-4C09-4022-B990-564CE3DBC4A0}"/>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ptCount val="0"/>
              </c:numLit>
            </c:plus>
            <c:minus>
              <c:numLit>
                <c:ptCount val="0"/>
              </c:numLit>
            </c:minus>
            <c:spPr>
              <a:noFill/>
              <a:ln w="9525" cap="flat" cmpd="sng" algn="ctr">
                <a:solidFill>
                  <a:schemeClr val="tx1">
                    <a:lumMod val="65000"/>
                    <a:lumOff val="35000"/>
                  </a:schemeClr>
                </a:solidFill>
                <a:round/>
              </a:ln>
              <a:effectLst/>
            </c:spPr>
          </c:errBars>
          <c:cat>
            <c:strRef>
              <c:f>('Agent use &amp; satisfaction'!$B$6:$B$10,'Agent use &amp; satisfaction'!$B$16)</c:f>
              <c:strCache>
                <c:ptCount val="6"/>
                <c:pt idx="0">
                  <c:v>China (excludes SARs and Taiwan)</c:v>
                </c:pt>
                <c:pt idx="1">
                  <c:v>Nepal</c:v>
                </c:pt>
                <c:pt idx="2">
                  <c:v>India</c:v>
                </c:pt>
                <c:pt idx="3">
                  <c:v>Malaysia</c:v>
                </c:pt>
                <c:pt idx="4">
                  <c:v>Vietnam</c:v>
                </c:pt>
                <c:pt idx="5">
                  <c:v>Total international</c:v>
                </c:pt>
              </c:strCache>
              <c:extLst/>
            </c:strRef>
          </c:cat>
          <c:val>
            <c:numRef>
              <c:f>('Agent use &amp; satisfaction'!$D$6:$D$10,'Agent use &amp; satisfaction'!$D$16)</c:f>
              <c:numCache>
                <c:formatCode>0.0%</c:formatCode>
                <c:ptCount val="6"/>
                <c:pt idx="0">
                  <c:v>0.92299999999999993</c:v>
                </c:pt>
                <c:pt idx="1">
                  <c:v>0.92700000000000005</c:v>
                </c:pt>
                <c:pt idx="2">
                  <c:v>0.94700000000000006</c:v>
                </c:pt>
                <c:pt idx="3">
                  <c:v>0.95799999999999996</c:v>
                </c:pt>
                <c:pt idx="4">
                  <c:v>0.95299999999999996</c:v>
                </c:pt>
                <c:pt idx="5">
                  <c:v>0.93500000000000005</c:v>
                </c:pt>
              </c:numCache>
              <c:extLst/>
            </c:numRef>
          </c:val>
          <c:extLst>
            <c:ext xmlns:c16="http://schemas.microsoft.com/office/drawing/2014/chart" uri="{C3380CC4-5D6E-409C-BE32-E72D297353CC}">
              <c16:uniqueId val="{00000004-4C09-4022-B990-564CE3DBC4A0}"/>
            </c:ext>
          </c:extLst>
        </c:ser>
        <c:dLbls>
          <c:showLegendKey val="0"/>
          <c:showVal val="0"/>
          <c:showCatName val="0"/>
          <c:showSerName val="0"/>
          <c:showPercent val="0"/>
          <c:showBubbleSize val="0"/>
        </c:dLbls>
        <c:gapWidth val="150"/>
        <c:overlap val="-27"/>
        <c:axId val="1069104592"/>
        <c:axId val="901762015"/>
      </c:barChart>
      <c:catAx>
        <c:axId val="1069104592"/>
        <c:scaling>
          <c:orientation val="minMax"/>
        </c:scaling>
        <c:delete val="0"/>
        <c:axPos val="b"/>
        <c:numFmt formatCode="General" sourceLinked="1"/>
        <c:majorTickMark val="none"/>
        <c:minorTickMark val="none"/>
        <c:tickLblPos val="nextTo"/>
        <c:spPr>
          <a:noFill/>
          <a:ln w="9525" cap="flat" cmpd="sng" algn="ctr">
            <a:solidFill>
              <a:sysClr val="window" lastClr="FFFFFF">
                <a:lumMod val="85000"/>
              </a:sys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1762015"/>
        <c:crosses val="autoZero"/>
        <c:auto val="1"/>
        <c:lblAlgn val="ctr"/>
        <c:lblOffset val="100"/>
        <c:noMultiLvlLbl val="0"/>
      </c:catAx>
      <c:valAx>
        <c:axId val="901762015"/>
        <c:scaling>
          <c:orientation val="minMax"/>
          <c:min val="0.4"/>
        </c:scaling>
        <c:delete val="1"/>
        <c:axPos val="l"/>
        <c:numFmt formatCode="0.0%" sourceLinked="1"/>
        <c:majorTickMark val="none"/>
        <c:minorTickMark val="none"/>
        <c:tickLblPos val="nextTo"/>
        <c:crossAx val="106910459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bg1"/>
      </a:solidFill>
      <a:round/>
    </a:ln>
    <a:effectLst/>
  </c:spPr>
  <c:txPr>
    <a:bodyPr/>
    <a:lstStyle/>
    <a:p>
      <a:pPr>
        <a:defRPr sz="900">
          <a:solidFill>
            <a:sysClr val="windowText" lastClr="000000"/>
          </a:solidFill>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INTAUS_ALL_ALL_1Y!$E$13</c:f>
              <c:strCache>
                <c:ptCount val="1"/>
                <c:pt idx="0">
                  <c:v>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INTAUS_ALL_ALL_1Y!$D$14:$D$22</c:f>
              <c:strCache>
                <c:ptCount val="9"/>
                <c:pt idx="0">
                  <c:v>Personal safety and security</c:v>
                </c:pt>
                <c:pt idx="1">
                  <c:v>Cost of living</c:v>
                </c:pt>
                <c:pt idx="2">
                  <c:v>Reputation of Australia’s education system</c:v>
                </c:pt>
                <c:pt idx="3">
                  <c:v>Opportunity to study in an English-speaking country</c:v>
                </c:pt>
                <c:pt idx="4">
                  <c:v>Chance to experience a new culture/lifestyle</c:v>
                </c:pt>
                <c:pt idx="5">
                  <c:v>Ability to work part-time</c:v>
                </c:pt>
                <c:pt idx="6">
                  <c:v>Weather/climate</c:v>
                </c:pt>
                <c:pt idx="7">
                  <c:v>Possibility of migrating to Australia</c:v>
                </c:pt>
                <c:pt idx="8">
                  <c:v>Having friends and family already in Australia</c:v>
                </c:pt>
              </c:strCache>
            </c:strRef>
          </c:cat>
          <c:val>
            <c:numRef>
              <c:f>INTAUS_ALL_ALL_1Y!$E$14:$E$22</c:f>
              <c:numCache>
                <c:formatCode>0.0%</c:formatCode>
                <c:ptCount val="9"/>
                <c:pt idx="0">
                  <c:v>0.97199999999999998</c:v>
                </c:pt>
                <c:pt idx="1">
                  <c:v>0.94799999999999995</c:v>
                </c:pt>
                <c:pt idx="2">
                  <c:v>0.94</c:v>
                </c:pt>
                <c:pt idx="3">
                  <c:v>0.91299999999999992</c:v>
                </c:pt>
                <c:pt idx="4">
                  <c:v>0.88900000000000001</c:v>
                </c:pt>
                <c:pt idx="5">
                  <c:v>0.82499999999999996</c:v>
                </c:pt>
                <c:pt idx="6">
                  <c:v>0.745</c:v>
                </c:pt>
                <c:pt idx="7">
                  <c:v>0.72499999999999998</c:v>
                </c:pt>
                <c:pt idx="8">
                  <c:v>0.61099999999999999</c:v>
                </c:pt>
              </c:numCache>
            </c:numRef>
          </c:val>
          <c:extLst>
            <c:ext xmlns:c16="http://schemas.microsoft.com/office/drawing/2014/chart" uri="{C3380CC4-5D6E-409C-BE32-E72D297353CC}">
              <c16:uniqueId val="{00000000-C42F-4266-BECB-6F3DC822E6E3}"/>
            </c:ext>
          </c:extLst>
        </c:ser>
        <c:ser>
          <c:idx val="1"/>
          <c:order val="1"/>
          <c:tx>
            <c:strRef>
              <c:f>INTAUS_ALL_ALL_1Y!$F$13</c:f>
              <c:strCache>
                <c:ptCount val="1"/>
                <c:pt idx="0">
                  <c:v>Postgraduate coursework</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INTAUS_ALL_ALL_1Y!$D$14:$D$22</c:f>
              <c:strCache>
                <c:ptCount val="9"/>
                <c:pt idx="0">
                  <c:v>Personal safety and security</c:v>
                </c:pt>
                <c:pt idx="1">
                  <c:v>Cost of living</c:v>
                </c:pt>
                <c:pt idx="2">
                  <c:v>Reputation of Australia’s education system</c:v>
                </c:pt>
                <c:pt idx="3">
                  <c:v>Opportunity to study in an English-speaking country</c:v>
                </c:pt>
                <c:pt idx="4">
                  <c:v>Chance to experience a new culture/lifestyle</c:v>
                </c:pt>
                <c:pt idx="5">
                  <c:v>Ability to work part-time</c:v>
                </c:pt>
                <c:pt idx="6">
                  <c:v>Weather/climate</c:v>
                </c:pt>
                <c:pt idx="7">
                  <c:v>Possibility of migrating to Australia</c:v>
                </c:pt>
                <c:pt idx="8">
                  <c:v>Having friends and family already in Australia</c:v>
                </c:pt>
              </c:strCache>
            </c:strRef>
          </c:cat>
          <c:val>
            <c:numRef>
              <c:f>INTAUS_ALL_ALL_1Y!$F$14:$F$22</c:f>
              <c:numCache>
                <c:formatCode>0.0%</c:formatCode>
                <c:ptCount val="9"/>
                <c:pt idx="0">
                  <c:v>0.97599999999999998</c:v>
                </c:pt>
                <c:pt idx="1">
                  <c:v>0.95400000000000007</c:v>
                </c:pt>
                <c:pt idx="2">
                  <c:v>0.95</c:v>
                </c:pt>
                <c:pt idx="3">
                  <c:v>0.92599999999999993</c:v>
                </c:pt>
                <c:pt idx="4">
                  <c:v>0.91500000000000004</c:v>
                </c:pt>
                <c:pt idx="5">
                  <c:v>0.83700000000000008</c:v>
                </c:pt>
                <c:pt idx="6">
                  <c:v>0.79599999999999993</c:v>
                </c:pt>
                <c:pt idx="7">
                  <c:v>0.71599999999999997</c:v>
                </c:pt>
                <c:pt idx="8">
                  <c:v>0.57200000000000006</c:v>
                </c:pt>
              </c:numCache>
            </c:numRef>
          </c:val>
          <c:extLst>
            <c:ext xmlns:c16="http://schemas.microsoft.com/office/drawing/2014/chart" uri="{C3380CC4-5D6E-409C-BE32-E72D297353CC}">
              <c16:uniqueId val="{00000001-C42F-4266-BECB-6F3DC822E6E3}"/>
            </c:ext>
          </c:extLst>
        </c:ser>
        <c:dLbls>
          <c:showLegendKey val="0"/>
          <c:showVal val="0"/>
          <c:showCatName val="0"/>
          <c:showSerName val="0"/>
          <c:showPercent val="0"/>
          <c:showBubbleSize val="0"/>
        </c:dLbls>
        <c:gapWidth val="150"/>
        <c:overlap val="-27"/>
        <c:axId val="384333007"/>
        <c:axId val="384333487"/>
      </c:barChart>
      <c:catAx>
        <c:axId val="3843330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4333487"/>
        <c:crosses val="autoZero"/>
        <c:auto val="1"/>
        <c:lblAlgn val="ctr"/>
        <c:lblOffset val="100"/>
        <c:noMultiLvlLbl val="0"/>
      </c:catAx>
      <c:valAx>
        <c:axId val="384333487"/>
        <c:scaling>
          <c:orientation val="minMax"/>
        </c:scaling>
        <c:delete val="1"/>
        <c:axPos val="l"/>
        <c:numFmt formatCode="0.0%" sourceLinked="1"/>
        <c:majorTickMark val="out"/>
        <c:minorTickMark val="none"/>
        <c:tickLblPos val="nextTo"/>
        <c:crossAx val="3843330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INTINST_ALL_ALL_1Y!$E$13</c:f>
              <c:strCache>
                <c:ptCount val="1"/>
                <c:pt idx="0">
                  <c:v>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INTINST_ALL_ALL_1Y!$D$14:$D$20</c:f>
              <c:strCache>
                <c:ptCount val="7"/>
                <c:pt idx="0">
                  <c:v>Institution offered the course I wanted to study</c:v>
                </c:pt>
                <c:pt idx="1">
                  <c:v>Reputation of the qualification</c:v>
                </c:pt>
                <c:pt idx="2">
                  <c:v>Employment opportunities after completing the course</c:v>
                </c:pt>
                <c:pt idx="3">
                  <c:v>Reputation of the education provider</c:v>
                </c:pt>
                <c:pt idx="4">
                  <c:v>Course fee</c:v>
                </c:pt>
                <c:pt idx="5">
                  <c:v>Location of the institution</c:v>
                </c:pt>
                <c:pt idx="6">
                  <c:v>Institution had a partnership with my local institution</c:v>
                </c:pt>
              </c:strCache>
            </c:strRef>
          </c:cat>
          <c:val>
            <c:numRef>
              <c:f>INTINST_ALL_ALL_1Y!$E$14:$E$20</c:f>
              <c:numCache>
                <c:formatCode>0.0%</c:formatCode>
                <c:ptCount val="7"/>
                <c:pt idx="0">
                  <c:v>0.96900000000000008</c:v>
                </c:pt>
                <c:pt idx="1">
                  <c:v>0.96700000000000008</c:v>
                </c:pt>
                <c:pt idx="2">
                  <c:v>0.95799999999999996</c:v>
                </c:pt>
                <c:pt idx="3">
                  <c:v>0.95400000000000007</c:v>
                </c:pt>
                <c:pt idx="4">
                  <c:v>0.92400000000000004</c:v>
                </c:pt>
                <c:pt idx="5">
                  <c:v>0.80099999999999993</c:v>
                </c:pt>
                <c:pt idx="6">
                  <c:v>0.65</c:v>
                </c:pt>
              </c:numCache>
            </c:numRef>
          </c:val>
          <c:extLst>
            <c:ext xmlns:c16="http://schemas.microsoft.com/office/drawing/2014/chart" uri="{C3380CC4-5D6E-409C-BE32-E72D297353CC}">
              <c16:uniqueId val="{00000000-2640-4A37-96D3-F95BF250F902}"/>
            </c:ext>
          </c:extLst>
        </c:ser>
        <c:ser>
          <c:idx val="1"/>
          <c:order val="1"/>
          <c:tx>
            <c:strRef>
              <c:f>INTINST_ALL_ALL_1Y!$F$13</c:f>
              <c:strCache>
                <c:ptCount val="1"/>
                <c:pt idx="0">
                  <c:v>Postgraduate coursework</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INTINST_ALL_ALL_1Y!$D$14:$D$20</c:f>
              <c:strCache>
                <c:ptCount val="7"/>
                <c:pt idx="0">
                  <c:v>Institution offered the course I wanted to study</c:v>
                </c:pt>
                <c:pt idx="1">
                  <c:v>Reputation of the qualification</c:v>
                </c:pt>
                <c:pt idx="2">
                  <c:v>Employment opportunities after completing the course</c:v>
                </c:pt>
                <c:pt idx="3">
                  <c:v>Reputation of the education provider</c:v>
                </c:pt>
                <c:pt idx="4">
                  <c:v>Course fee</c:v>
                </c:pt>
                <c:pt idx="5">
                  <c:v>Location of the institution</c:v>
                </c:pt>
                <c:pt idx="6">
                  <c:v>Institution had a partnership with my local institution</c:v>
                </c:pt>
              </c:strCache>
            </c:strRef>
          </c:cat>
          <c:val>
            <c:numRef>
              <c:f>INTINST_ALL_ALL_1Y!$F$14:$F$20</c:f>
              <c:numCache>
                <c:formatCode>0.0%</c:formatCode>
                <c:ptCount val="7"/>
                <c:pt idx="0">
                  <c:v>0.97599999999999998</c:v>
                </c:pt>
                <c:pt idx="1">
                  <c:v>0.97599999999999998</c:v>
                </c:pt>
                <c:pt idx="2">
                  <c:v>0.95799999999999996</c:v>
                </c:pt>
                <c:pt idx="3">
                  <c:v>0.96599999999999997</c:v>
                </c:pt>
                <c:pt idx="4">
                  <c:v>0.92</c:v>
                </c:pt>
                <c:pt idx="5">
                  <c:v>0.79299999999999993</c:v>
                </c:pt>
                <c:pt idx="6">
                  <c:v>0.60899999999999999</c:v>
                </c:pt>
              </c:numCache>
            </c:numRef>
          </c:val>
          <c:extLst>
            <c:ext xmlns:c16="http://schemas.microsoft.com/office/drawing/2014/chart" uri="{C3380CC4-5D6E-409C-BE32-E72D297353CC}">
              <c16:uniqueId val="{00000001-2640-4A37-96D3-F95BF250F902}"/>
            </c:ext>
          </c:extLst>
        </c:ser>
        <c:dLbls>
          <c:showLegendKey val="0"/>
          <c:showVal val="0"/>
          <c:showCatName val="0"/>
          <c:showSerName val="0"/>
          <c:showPercent val="0"/>
          <c:showBubbleSize val="0"/>
        </c:dLbls>
        <c:gapWidth val="120"/>
        <c:overlap val="-27"/>
        <c:axId val="384333007"/>
        <c:axId val="384333487"/>
      </c:barChart>
      <c:catAx>
        <c:axId val="3843330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4333487"/>
        <c:crosses val="autoZero"/>
        <c:auto val="1"/>
        <c:lblAlgn val="ctr"/>
        <c:lblOffset val="100"/>
        <c:noMultiLvlLbl val="0"/>
      </c:catAx>
      <c:valAx>
        <c:axId val="384333487"/>
        <c:scaling>
          <c:orientation val="minMax"/>
          <c:max val="1"/>
        </c:scaling>
        <c:delete val="1"/>
        <c:axPos val="l"/>
        <c:numFmt formatCode="0.0%" sourceLinked="1"/>
        <c:majorTickMark val="out"/>
        <c:minorTickMark val="none"/>
        <c:tickLblPos val="nextTo"/>
        <c:crossAx val="3843330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'International comparisons'!$A$2</c:f>
              <c:strCache>
                <c:ptCount val="1"/>
                <c:pt idx="0">
                  <c:v>Australia (SES)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comparisons'!$G$2:$K$2</c:f>
              <c:numCache>
                <c:formatCode>0%</c:formatCode>
                <c:ptCount val="5"/>
                <c:pt idx="0">
                  <c:v>0.75</c:v>
                </c:pt>
                <c:pt idx="1">
                  <c:v>0.63</c:v>
                </c:pt>
                <c:pt idx="2">
                  <c:v>0.67</c:v>
                </c:pt>
                <c:pt idx="3">
                  <c:v>0.74</c:v>
                </c:pt>
                <c:pt idx="4">
                  <c:v>0.76</c:v>
                </c:pt>
              </c:numCache>
            </c:numRef>
          </c:val>
          <c:smooth val="0"/>
          <c:extLst>
            <c:ext xmlns:c16="http://schemas.microsoft.com/office/drawing/2014/chart" uri="{C3380CC4-5D6E-409C-BE32-E72D297353CC}">
              <c16:uniqueId val="{00000000-2F50-4FF0-B72B-452D029917FB}"/>
            </c:ext>
          </c:extLst>
        </c:ser>
        <c:ser>
          <c:idx val="1"/>
          <c:order val="1"/>
          <c:tx>
            <c:strRef>
              <c:f>'International comparisons'!$A$3</c:f>
              <c:strCache>
                <c:ptCount val="1"/>
                <c:pt idx="0">
                  <c:v>USA (NSSE)*</c:v>
                </c:pt>
              </c:strCache>
            </c:strRef>
          </c:tx>
          <c:spPr>
            <a:ln w="28575" cap="rnd">
              <a:solidFill>
                <a:schemeClr val="accent2"/>
              </a:solidFill>
              <a:round/>
            </a:ln>
            <a:effectLst/>
          </c:spPr>
          <c:marker>
            <c:symbol val="circle"/>
            <c:size val="6"/>
            <c:spPr>
              <a:solidFill>
                <a:schemeClr val="accent2"/>
              </a:solidFill>
              <a:ln w="9525">
                <a:solidFill>
                  <a:schemeClr val="accent2"/>
                </a:solidFill>
              </a:ln>
              <a:effectLst/>
            </c:spPr>
          </c:marker>
          <c:dPt>
            <c:idx val="2"/>
            <c:marker>
              <c:symbol val="circle"/>
              <c:size val="6"/>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2-2F50-4FF0-B72B-452D029917FB}"/>
              </c:ext>
            </c:extLst>
          </c:dPt>
          <c:dPt>
            <c:idx val="3"/>
            <c:marker>
              <c:symbol val="circle"/>
              <c:size val="6"/>
              <c:spPr>
                <a:solidFill>
                  <a:schemeClr val="accent2"/>
                </a:solidFill>
                <a:ln w="9525">
                  <a:solidFill>
                    <a:schemeClr val="accent2"/>
                  </a:solidFill>
                </a:ln>
                <a:effectLst/>
              </c:spPr>
            </c:marker>
            <c:bubble3D val="0"/>
            <c:spPr>
              <a:ln w="28575" cap="rnd">
                <a:solidFill>
                  <a:schemeClr val="accent2"/>
                </a:solidFill>
                <a:prstDash val="sysDash"/>
                <a:round/>
              </a:ln>
              <a:effectLst/>
            </c:spPr>
            <c:extLst>
              <c:ext xmlns:c16="http://schemas.microsoft.com/office/drawing/2014/chart" uri="{C3380CC4-5D6E-409C-BE32-E72D297353CC}">
                <c16:uniqueId val="{00000004-2F50-4FF0-B72B-452D029917FB}"/>
              </c:ext>
            </c:extLst>
          </c:dPt>
          <c:dLbls>
            <c:dLbl>
              <c:idx val="2"/>
              <c:delete val="1"/>
              <c:extLst>
                <c:ext xmlns:c15="http://schemas.microsoft.com/office/drawing/2012/chart" uri="{CE6537A1-D6FC-4f65-9D91-7224C49458BB}"/>
                <c:ext xmlns:c16="http://schemas.microsoft.com/office/drawing/2014/chart" uri="{C3380CC4-5D6E-409C-BE32-E72D297353CC}">
                  <c16:uniqueId val="{00000002-2F50-4FF0-B72B-452D029917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comparisons'!$G$3:$K$3</c:f>
              <c:numCache>
                <c:formatCode>0%</c:formatCode>
                <c:ptCount val="5"/>
                <c:pt idx="0">
                  <c:v>0.85</c:v>
                </c:pt>
                <c:pt idx="1">
                  <c:v>0.85</c:v>
                </c:pt>
                <c:pt idx="2">
                  <c:v>0.84499999999999997</c:v>
                </c:pt>
                <c:pt idx="3">
                  <c:v>0.84</c:v>
                </c:pt>
              </c:numCache>
            </c:numRef>
          </c:val>
          <c:smooth val="0"/>
          <c:extLst>
            <c:ext xmlns:c16="http://schemas.microsoft.com/office/drawing/2014/chart" uri="{C3380CC4-5D6E-409C-BE32-E72D297353CC}">
              <c16:uniqueId val="{00000005-2F50-4FF0-B72B-452D029917FB}"/>
            </c:ext>
          </c:extLst>
        </c:ser>
        <c:ser>
          <c:idx val="2"/>
          <c:order val="2"/>
          <c:tx>
            <c:strRef>
              <c:f>'International comparisons'!$A$4</c:f>
              <c:strCache>
                <c:ptCount val="1"/>
                <c:pt idx="0">
                  <c:v>UK (NSS)**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50-4FF0-B72B-452D029917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comparisons'!$G$4:$K$4</c:f>
              <c:numCache>
                <c:formatCode>0%</c:formatCode>
                <c:ptCount val="5"/>
                <c:pt idx="0">
                  <c:v>0.83</c:v>
                </c:pt>
                <c:pt idx="1">
                  <c:v>0.82</c:v>
                </c:pt>
                <c:pt idx="2">
                  <c:v>0.77</c:v>
                </c:pt>
                <c:pt idx="3">
                  <c:v>0.79</c:v>
                </c:pt>
              </c:numCache>
            </c:numRef>
          </c:val>
          <c:smooth val="0"/>
          <c:extLst>
            <c:ext xmlns:c16="http://schemas.microsoft.com/office/drawing/2014/chart" uri="{C3380CC4-5D6E-409C-BE32-E72D297353CC}">
              <c16:uniqueId val="{00000007-2F50-4FF0-B72B-452D029917FB}"/>
            </c:ext>
          </c:extLst>
        </c:ser>
        <c:ser>
          <c:idx val="4"/>
          <c:order val="3"/>
          <c:tx>
            <c:strRef>
              <c:f>'International comparisons'!$A$6</c:f>
              <c:strCache>
                <c:ptCount val="1"/>
                <c:pt idx="0">
                  <c:v>Wales (NSS)</c:v>
                </c:pt>
              </c:strCache>
            </c:strRef>
          </c:tx>
          <c:spPr>
            <a:ln w="28575" cap="rnd">
              <a:solidFill>
                <a:schemeClr val="accent5"/>
              </a:solidFill>
              <a:round/>
            </a:ln>
            <a:effectLst/>
          </c:spPr>
          <c:marker>
            <c:symbol val="none"/>
          </c:marker>
          <c:dPt>
            <c:idx val="4"/>
            <c:marker>
              <c:symbol val="none"/>
            </c:marker>
            <c:bubble3D val="0"/>
            <c:spPr>
              <a:ln w="28575" cap="rnd">
                <a:solidFill>
                  <a:schemeClr val="accent5"/>
                </a:solidFill>
                <a:prstDash val="sysDash"/>
                <a:round/>
              </a:ln>
              <a:effectLst/>
            </c:spPr>
            <c:extLst>
              <c:ext xmlns:c16="http://schemas.microsoft.com/office/drawing/2014/chart" uri="{C3380CC4-5D6E-409C-BE32-E72D297353CC}">
                <c16:uniqueId val="{00000009-2F50-4FF0-B72B-452D029917FB}"/>
              </c:ext>
            </c:extLst>
          </c:dPt>
          <c:dLbls>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50-4FF0-B72B-452D029917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7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comparisons'!$G$6:$K$6</c:f>
              <c:numCache>
                <c:formatCode>General</c:formatCode>
                <c:ptCount val="5"/>
                <c:pt idx="3" formatCode="0%">
                  <c:v>0.79</c:v>
                </c:pt>
                <c:pt idx="4" formatCode="0%">
                  <c:v>0.81</c:v>
                </c:pt>
              </c:numCache>
            </c:numRef>
          </c:val>
          <c:smooth val="0"/>
          <c:extLst>
            <c:ext xmlns:c16="http://schemas.microsoft.com/office/drawing/2014/chart" uri="{C3380CC4-5D6E-409C-BE32-E72D297353CC}">
              <c16:uniqueId val="{0000000A-2F50-4FF0-B72B-452D029917FB}"/>
            </c:ext>
          </c:extLst>
        </c:ser>
        <c:ser>
          <c:idx val="3"/>
          <c:order val="4"/>
          <c:tx>
            <c:strRef>
              <c:f>'International comparisons'!$A$5</c:f>
              <c:strCache>
                <c:ptCount val="1"/>
                <c:pt idx="0">
                  <c:v>Scotland (NSS)</c:v>
                </c:pt>
              </c:strCache>
            </c:strRef>
          </c:tx>
          <c:spPr>
            <a:ln w="28575" cap="rnd">
              <a:solidFill>
                <a:schemeClr val="accent4"/>
              </a:solidFill>
              <a:round/>
            </a:ln>
            <a:effectLst/>
          </c:spPr>
          <c:marker>
            <c:symbol val="none"/>
          </c:marker>
          <c:dPt>
            <c:idx val="4"/>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C-2F50-4FF0-B72B-452D029917FB}"/>
              </c:ext>
            </c:extLst>
          </c:dPt>
          <c:dLbls>
            <c:dLbl>
              <c:idx val="4"/>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50-4FF0-B72B-452D029917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comparisons'!$G$5:$K$5</c:f>
              <c:numCache>
                <c:formatCode>General</c:formatCode>
                <c:ptCount val="5"/>
                <c:pt idx="3" formatCode="0%">
                  <c:v>0.79</c:v>
                </c:pt>
                <c:pt idx="4" formatCode="0%">
                  <c:v>0.79</c:v>
                </c:pt>
              </c:numCache>
            </c:numRef>
          </c:val>
          <c:smooth val="0"/>
          <c:extLst>
            <c:ext xmlns:c16="http://schemas.microsoft.com/office/drawing/2014/chart" uri="{C3380CC4-5D6E-409C-BE32-E72D297353CC}">
              <c16:uniqueId val="{0000000D-2F50-4FF0-B72B-452D029917FB}"/>
            </c:ext>
          </c:extLst>
        </c:ser>
        <c:ser>
          <c:idx val="5"/>
          <c:order val="5"/>
          <c:tx>
            <c:strRef>
              <c:f>'International comparisons'!$A$7</c:f>
              <c:strCache>
                <c:ptCount val="1"/>
                <c:pt idx="0">
                  <c:v>Northern Ireland (NSS)</c:v>
                </c:pt>
              </c:strCache>
            </c:strRef>
          </c:tx>
          <c:spPr>
            <a:ln w="28575" cap="rnd">
              <a:solidFill>
                <a:schemeClr val="accent6"/>
              </a:solidFill>
              <a:round/>
            </a:ln>
            <a:effectLst/>
          </c:spPr>
          <c:marker>
            <c:symbol val="none"/>
          </c:marker>
          <c:dPt>
            <c:idx val="4"/>
            <c:marker>
              <c:symbol val="none"/>
            </c:marker>
            <c:bubble3D val="0"/>
            <c:spPr>
              <a:ln w="28575" cap="rnd">
                <a:solidFill>
                  <a:schemeClr val="accent6"/>
                </a:solidFill>
                <a:prstDash val="sysDash"/>
                <a:round/>
              </a:ln>
              <a:effectLst/>
            </c:spPr>
            <c:extLst>
              <c:ext xmlns:c16="http://schemas.microsoft.com/office/drawing/2014/chart" uri="{C3380CC4-5D6E-409C-BE32-E72D297353CC}">
                <c16:uniqueId val="{0000000F-2F50-4FF0-B72B-452D029917FB}"/>
              </c:ext>
            </c:extLst>
          </c:dPt>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F50-4FF0-B72B-452D029917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'International comparisons'!$B$1:$F$1</c:f>
              <c:numCache>
                <c:formatCode>General</c:formatCode>
                <c:ptCount val="5"/>
                <c:pt idx="0">
                  <c:v>2019</c:v>
                </c:pt>
                <c:pt idx="1">
                  <c:v>2020</c:v>
                </c:pt>
                <c:pt idx="2">
                  <c:v>2021</c:v>
                </c:pt>
                <c:pt idx="3">
                  <c:v>2022</c:v>
                </c:pt>
                <c:pt idx="4">
                  <c:v>2023</c:v>
                </c:pt>
              </c:numCache>
            </c:numRef>
          </c:cat>
          <c:val>
            <c:numRef>
              <c:f>'International comparisons'!$G$7:$K$7</c:f>
              <c:numCache>
                <c:formatCode>General</c:formatCode>
                <c:ptCount val="5"/>
                <c:pt idx="3" formatCode="0%">
                  <c:v>0.79</c:v>
                </c:pt>
                <c:pt idx="4" formatCode="0%">
                  <c:v>0.8</c:v>
                </c:pt>
              </c:numCache>
            </c:numRef>
          </c:val>
          <c:smooth val="0"/>
          <c:extLst>
            <c:ext xmlns:c16="http://schemas.microsoft.com/office/drawing/2014/chart" uri="{C3380CC4-5D6E-409C-BE32-E72D297353CC}">
              <c16:uniqueId val="{00000010-2F50-4FF0-B72B-452D029917FB}"/>
            </c:ext>
          </c:extLst>
        </c:ser>
        <c:dLbls>
          <c:showLegendKey val="0"/>
          <c:showVal val="0"/>
          <c:showCatName val="0"/>
          <c:showSerName val="0"/>
          <c:showPercent val="0"/>
          <c:showBubbleSize val="0"/>
        </c:dLbls>
        <c:marker val="1"/>
        <c:smooth val="0"/>
        <c:axId val="1572070768"/>
        <c:axId val="1572073648"/>
      </c:lineChart>
      <c:catAx>
        <c:axId val="157207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72073648"/>
        <c:crosses val="autoZero"/>
        <c:auto val="1"/>
        <c:lblAlgn val="ctr"/>
        <c:lblOffset val="100"/>
        <c:noMultiLvlLbl val="0"/>
      </c:catAx>
      <c:valAx>
        <c:axId val="1572073648"/>
        <c:scaling>
          <c:orientation val="minMax"/>
          <c:min val="0.55000000000000004"/>
        </c:scaling>
        <c:delete val="1"/>
        <c:axPos val="l"/>
        <c:numFmt formatCode="0%" sourceLinked="1"/>
        <c:majorTickMark val="none"/>
        <c:minorTickMark val="none"/>
        <c:tickLblPos val="nextTo"/>
        <c:crossAx val="1572070768"/>
        <c:crosses val="autoZero"/>
        <c:crossBetween val="between"/>
      </c:valAx>
      <c:spPr>
        <a:noFill/>
        <a:ln>
          <a:noFill/>
        </a:ln>
        <a:effectLst/>
      </c:spPr>
    </c:plotArea>
    <c:legend>
      <c:legendPos val="t"/>
      <c:layout>
        <c:manualLayout>
          <c:xMode val="edge"/>
          <c:yMode val="edge"/>
          <c:x val="2.68824618719983E-2"/>
          <c:y val="2.0880459370106141E-2"/>
          <c:w val="0.95388325981240873"/>
          <c:h val="0.1094081266638259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Peer Engagement</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Pt>
            <c:idx val="4"/>
            <c:marker>
              <c:symbol val="circle"/>
              <c:size val="5"/>
              <c:spPr>
                <a:solidFill>
                  <a:srgbClr val="EE3B6F"/>
                </a:solidFill>
                <a:ln w="9525">
                  <a:solidFill>
                    <a:srgbClr val="EE3B6F"/>
                  </a:solidFill>
                </a:ln>
                <a:effectLst/>
              </c:spPr>
            </c:marker>
            <c:bubble3D val="0"/>
            <c:spPr>
              <a:ln w="28575" cap="rnd">
                <a:solidFill>
                  <a:srgbClr val="EE3B6F"/>
                </a:solidFill>
                <a:prstDash val="sysDash"/>
                <a:round/>
              </a:ln>
              <a:effectLst/>
            </c:spPr>
            <c:extLst>
              <c:ext xmlns:c16="http://schemas.microsoft.com/office/drawing/2014/chart" uri="{C3380CC4-5D6E-409C-BE32-E72D297353CC}">
                <c16:uniqueId val="{00000007-655C-4800-8C5E-3C1BFDE67BC4}"/>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5C-4800-8C5E-3C1BFDE67BC4}"/>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5C-4800-8C5E-3C1BFDE67BC4}"/>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(2)'!$I$32:$N$32</c:f>
              <c:numCache>
                <c:formatCode>General</c:formatCode>
                <c:ptCount val="5"/>
                <c:pt idx="0">
                  <c:v>2019</c:v>
                </c:pt>
                <c:pt idx="1">
                  <c:v>2020</c:v>
                </c:pt>
                <c:pt idx="2">
                  <c:v>2021</c:v>
                </c:pt>
                <c:pt idx="3">
                  <c:v>2022</c:v>
                </c:pt>
                <c:pt idx="4">
                  <c:v>2023</c:v>
                </c:pt>
              </c:numCache>
            </c:numRef>
          </c:cat>
          <c:val>
            <c:numRef>
              <c:f>'FOCUS_UG_ALL_6Y_E942 (2)'!$I$34:$N$34</c:f>
              <c:numCache>
                <c:formatCode>0.0%</c:formatCode>
                <c:ptCount val="5"/>
                <c:pt idx="0">
                  <c:v>0.60299999999999998</c:v>
                </c:pt>
                <c:pt idx="1">
                  <c:v>0.435</c:v>
                </c:pt>
                <c:pt idx="2">
                  <c:v>0.48700000000000004</c:v>
                </c:pt>
                <c:pt idx="3">
                  <c:v>0.54</c:v>
                </c:pt>
                <c:pt idx="4">
                  <c:v>0.56600000000000006</c:v>
                </c:pt>
              </c:numCache>
            </c:numRef>
          </c:val>
          <c:smooth val="0"/>
          <c:extLst>
            <c:ext xmlns:c16="http://schemas.microsoft.com/office/drawing/2014/chart" uri="{C3380CC4-5D6E-409C-BE32-E72D297353CC}">
              <c16:uniqueId val="{00000002-655C-4800-8C5E-3C1BFDE67BC4}"/>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Pt>
            <c:idx val="4"/>
            <c:marker>
              <c:symbol val="circle"/>
              <c:size val="5"/>
              <c:spPr>
                <a:solidFill>
                  <a:srgbClr val="F3772C"/>
                </a:solidFill>
                <a:ln w="9525">
                  <a:solidFill>
                    <a:srgbClr val="F3772C"/>
                  </a:solidFill>
                </a:ln>
                <a:effectLst/>
              </c:spPr>
            </c:marker>
            <c:bubble3D val="0"/>
            <c:spPr>
              <a:ln w="28575" cap="rnd">
                <a:solidFill>
                  <a:srgbClr val="F3772C"/>
                </a:solidFill>
                <a:prstDash val="sysDash"/>
                <a:round/>
              </a:ln>
              <a:effectLst/>
            </c:spPr>
            <c:extLst>
              <c:ext xmlns:c16="http://schemas.microsoft.com/office/drawing/2014/chart" uri="{C3380CC4-5D6E-409C-BE32-E72D297353CC}">
                <c16:uniqueId val="{00000006-655C-4800-8C5E-3C1BFDE67BC4}"/>
              </c:ext>
            </c:extLst>
          </c:dPt>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5C-4800-8C5E-3C1BFDE67BC4}"/>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5C-4800-8C5E-3C1BFDE67BC4}"/>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(2)'!$I$32:$N$32</c:f>
              <c:numCache>
                <c:formatCode>General</c:formatCode>
                <c:ptCount val="5"/>
                <c:pt idx="0">
                  <c:v>2019</c:v>
                </c:pt>
                <c:pt idx="1">
                  <c:v>2020</c:v>
                </c:pt>
                <c:pt idx="2">
                  <c:v>2021</c:v>
                </c:pt>
                <c:pt idx="3">
                  <c:v>2022</c:v>
                </c:pt>
                <c:pt idx="4">
                  <c:v>2023</c:v>
                </c:pt>
              </c:numCache>
            </c:numRef>
          </c:cat>
          <c:val>
            <c:numRef>
              <c:f>'FOCUS_UG_ALL_6Y_E942 (2)'!$I$35:$N$35</c:f>
              <c:numCache>
                <c:formatCode>0.0%</c:formatCode>
                <c:ptCount val="5"/>
                <c:pt idx="0">
                  <c:v>0.59399999999999997</c:v>
                </c:pt>
                <c:pt idx="1">
                  <c:v>0.48700000000000004</c:v>
                </c:pt>
                <c:pt idx="2">
                  <c:v>0.48399999999999999</c:v>
                </c:pt>
                <c:pt idx="3">
                  <c:v>0.61499999999999999</c:v>
                </c:pt>
                <c:pt idx="4">
                  <c:v>0.69499999999999995</c:v>
                </c:pt>
              </c:numCache>
            </c:numRef>
          </c:val>
          <c:smooth val="0"/>
          <c:extLst>
            <c:ext xmlns:c16="http://schemas.microsoft.com/office/drawing/2014/chart" uri="{C3380CC4-5D6E-409C-BE32-E72D297353CC}">
              <c16:uniqueId val="{00000005-655C-4800-8C5E-3C1BFDE67BC4}"/>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0.9"/>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Teaching Quality and Engagement</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E3-4E11-9C1A-5C1113A86C28}"/>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E3-4E11-9C1A-5C1113A86C28}"/>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(2)'!$O$32:$T$32</c:f>
              <c:numCache>
                <c:formatCode>General</c:formatCode>
                <c:ptCount val="5"/>
                <c:pt idx="0">
                  <c:v>2019</c:v>
                </c:pt>
                <c:pt idx="1">
                  <c:v>2020</c:v>
                </c:pt>
                <c:pt idx="2">
                  <c:v>2021</c:v>
                </c:pt>
                <c:pt idx="3">
                  <c:v>2022</c:v>
                </c:pt>
                <c:pt idx="4">
                  <c:v>2023</c:v>
                </c:pt>
              </c:numCache>
            </c:numRef>
          </c:cat>
          <c:val>
            <c:numRef>
              <c:f>'FOCUS_UG_ALL_6Y_E942 (2)'!$O$34:$T$34</c:f>
              <c:numCache>
                <c:formatCode>0.0%</c:formatCode>
                <c:ptCount val="5"/>
                <c:pt idx="0">
                  <c:v>0.81599999999999995</c:v>
                </c:pt>
                <c:pt idx="1">
                  <c:v>0.78900000000000003</c:v>
                </c:pt>
                <c:pt idx="2">
                  <c:v>0.8</c:v>
                </c:pt>
                <c:pt idx="3">
                  <c:v>0.80099999999999993</c:v>
                </c:pt>
                <c:pt idx="4">
                  <c:v>0.80400000000000005</c:v>
                </c:pt>
              </c:numCache>
            </c:numRef>
          </c:val>
          <c:smooth val="0"/>
          <c:extLst>
            <c:ext xmlns:c16="http://schemas.microsoft.com/office/drawing/2014/chart" uri="{C3380CC4-5D6E-409C-BE32-E72D297353CC}">
              <c16:uniqueId val="{00000002-6CE3-4E11-9C1A-5C1113A86C28}"/>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E3-4E11-9C1A-5C1113A86C28}"/>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E3-4E11-9C1A-5C1113A86C28}"/>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(2)'!$O$32:$T$32</c:f>
              <c:numCache>
                <c:formatCode>General</c:formatCode>
                <c:ptCount val="5"/>
                <c:pt idx="0">
                  <c:v>2019</c:v>
                </c:pt>
                <c:pt idx="1">
                  <c:v>2020</c:v>
                </c:pt>
                <c:pt idx="2">
                  <c:v>2021</c:v>
                </c:pt>
                <c:pt idx="3">
                  <c:v>2022</c:v>
                </c:pt>
                <c:pt idx="4">
                  <c:v>2023</c:v>
                </c:pt>
              </c:numCache>
            </c:numRef>
          </c:cat>
          <c:val>
            <c:numRef>
              <c:f>'FOCUS_UG_ALL_6Y_E942 (2)'!$O$35:$T$35</c:f>
              <c:numCache>
                <c:formatCode>0.0%</c:formatCode>
                <c:ptCount val="5"/>
                <c:pt idx="0">
                  <c:v>0.78500000000000003</c:v>
                </c:pt>
                <c:pt idx="1">
                  <c:v>0.73799999999999999</c:v>
                </c:pt>
                <c:pt idx="2">
                  <c:v>0.75900000000000001</c:v>
                </c:pt>
                <c:pt idx="3">
                  <c:v>0.80200000000000005</c:v>
                </c:pt>
                <c:pt idx="4">
                  <c:v>0.82499999999999996</c:v>
                </c:pt>
              </c:numCache>
            </c:numRef>
          </c:val>
          <c:smooth val="0"/>
          <c:extLst>
            <c:ext xmlns:c16="http://schemas.microsoft.com/office/drawing/2014/chart" uri="{C3380CC4-5D6E-409C-BE32-E72D297353CC}">
              <c16:uniqueId val="{00000005-6CE3-4E11-9C1A-5C1113A86C28}"/>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Student Support and Services</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Pt>
            <c:idx val="4"/>
            <c:marker>
              <c:symbol val="circle"/>
              <c:size val="5"/>
              <c:spPr>
                <a:solidFill>
                  <a:srgbClr val="EE3B6F"/>
                </a:solidFill>
                <a:ln w="9525">
                  <a:solidFill>
                    <a:srgbClr val="EE3B6F"/>
                  </a:solidFill>
                </a:ln>
                <a:effectLst/>
              </c:spPr>
            </c:marker>
            <c:bubble3D val="0"/>
            <c:spPr>
              <a:ln w="28575" cap="rnd">
                <a:solidFill>
                  <a:srgbClr val="EE3B6F"/>
                </a:solidFill>
                <a:prstDash val="sysDash"/>
                <a:round/>
              </a:ln>
              <a:effectLst/>
            </c:spPr>
            <c:extLst>
              <c:ext xmlns:c16="http://schemas.microsoft.com/office/drawing/2014/chart" uri="{C3380CC4-5D6E-409C-BE32-E72D297353CC}">
                <c16:uniqueId val="{00000001-9620-4515-B7E9-12B8729E164D}"/>
              </c:ext>
            </c:extLst>
          </c:dPt>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20-4515-B7E9-12B8729E164D}"/>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20-4515-B7E9-12B8729E164D}"/>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(2)'!$U$32:$Z$32</c:f>
              <c:numCache>
                <c:formatCode>General</c:formatCode>
                <c:ptCount val="5"/>
                <c:pt idx="0">
                  <c:v>2019</c:v>
                </c:pt>
                <c:pt idx="1">
                  <c:v>2020</c:v>
                </c:pt>
                <c:pt idx="2">
                  <c:v>2021</c:v>
                </c:pt>
                <c:pt idx="3">
                  <c:v>2022</c:v>
                </c:pt>
                <c:pt idx="4">
                  <c:v>2023</c:v>
                </c:pt>
              </c:numCache>
            </c:numRef>
          </c:cat>
          <c:val>
            <c:numRef>
              <c:f>'FOCUS_UG_ALL_6Y_E942 (2)'!$U$34:$Z$34</c:f>
              <c:numCache>
                <c:formatCode>0.0%</c:formatCode>
                <c:ptCount val="5"/>
                <c:pt idx="0">
                  <c:v>0.74199999999999999</c:v>
                </c:pt>
                <c:pt idx="1">
                  <c:v>0.74400000000000011</c:v>
                </c:pt>
                <c:pt idx="2">
                  <c:v>0.73</c:v>
                </c:pt>
                <c:pt idx="3">
                  <c:v>0.72499999999999998</c:v>
                </c:pt>
                <c:pt idx="4">
                  <c:v>0.69400000000000006</c:v>
                </c:pt>
              </c:numCache>
            </c:numRef>
          </c:val>
          <c:smooth val="0"/>
          <c:extLst>
            <c:ext xmlns:c16="http://schemas.microsoft.com/office/drawing/2014/chart" uri="{C3380CC4-5D6E-409C-BE32-E72D297353CC}">
              <c16:uniqueId val="{00000002-9620-4515-B7E9-12B8729E164D}"/>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Pt>
            <c:idx val="4"/>
            <c:marker>
              <c:symbol val="circle"/>
              <c:size val="5"/>
              <c:spPr>
                <a:solidFill>
                  <a:srgbClr val="F3772C"/>
                </a:solidFill>
                <a:ln w="9525">
                  <a:solidFill>
                    <a:srgbClr val="F3772C"/>
                  </a:solidFill>
                </a:ln>
                <a:effectLst/>
              </c:spPr>
            </c:marker>
            <c:bubble3D val="0"/>
            <c:spPr>
              <a:ln w="28575" cap="rnd">
                <a:solidFill>
                  <a:srgbClr val="F3772C"/>
                </a:solidFill>
                <a:prstDash val="sysDash"/>
                <a:round/>
              </a:ln>
              <a:effectLst/>
            </c:spPr>
            <c:extLst>
              <c:ext xmlns:c16="http://schemas.microsoft.com/office/drawing/2014/chart" uri="{C3380CC4-5D6E-409C-BE32-E72D297353CC}">
                <c16:uniqueId val="{00000004-9620-4515-B7E9-12B8729E164D}"/>
              </c:ext>
            </c:extLst>
          </c:dPt>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20-4515-B7E9-12B8729E164D}"/>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20-4515-B7E9-12B8729E164D}"/>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(2)'!$U$32:$Z$32</c:f>
              <c:numCache>
                <c:formatCode>General</c:formatCode>
                <c:ptCount val="5"/>
                <c:pt idx="0">
                  <c:v>2019</c:v>
                </c:pt>
                <c:pt idx="1">
                  <c:v>2020</c:v>
                </c:pt>
                <c:pt idx="2">
                  <c:v>2021</c:v>
                </c:pt>
                <c:pt idx="3">
                  <c:v>2022</c:v>
                </c:pt>
                <c:pt idx="4">
                  <c:v>2023</c:v>
                </c:pt>
              </c:numCache>
            </c:numRef>
          </c:cat>
          <c:val>
            <c:numRef>
              <c:f>'FOCUS_UG_ALL_6Y_E942 (2)'!$U$35:$Z$35</c:f>
              <c:numCache>
                <c:formatCode>0.0%</c:formatCode>
                <c:ptCount val="5"/>
                <c:pt idx="0">
                  <c:v>0.73499999999999999</c:v>
                </c:pt>
                <c:pt idx="1">
                  <c:v>0.70700000000000007</c:v>
                </c:pt>
                <c:pt idx="2">
                  <c:v>0.70599999999999996</c:v>
                </c:pt>
                <c:pt idx="3">
                  <c:v>0.75</c:v>
                </c:pt>
                <c:pt idx="4">
                  <c:v>0.78099999999999992</c:v>
                </c:pt>
              </c:numCache>
            </c:numRef>
          </c:val>
          <c:smooth val="0"/>
          <c:extLst>
            <c:ext xmlns:c16="http://schemas.microsoft.com/office/drawing/2014/chart" uri="{C3380CC4-5D6E-409C-BE32-E72D297353CC}">
              <c16:uniqueId val="{00000005-9620-4515-B7E9-12B8729E164D}"/>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Learning Resources</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B2-4C2F-917B-A8F391CEB668}"/>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B2-4C2F-917B-A8F391CEB668}"/>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(2)'!$AB$32:$AG$32</c:f>
              <c:numCache>
                <c:formatCode>General</c:formatCode>
                <c:ptCount val="5"/>
                <c:pt idx="0">
                  <c:v>2019</c:v>
                </c:pt>
                <c:pt idx="1">
                  <c:v>2020</c:v>
                </c:pt>
                <c:pt idx="2">
                  <c:v>2021</c:v>
                </c:pt>
                <c:pt idx="3">
                  <c:v>2022</c:v>
                </c:pt>
                <c:pt idx="4">
                  <c:v>2023</c:v>
                </c:pt>
              </c:numCache>
            </c:numRef>
          </c:cat>
          <c:val>
            <c:numRef>
              <c:f>'FOCUS_UG_ALL_6Y_E942 (2)'!$AB$34:$AG$34</c:f>
              <c:numCache>
                <c:formatCode>0.0%</c:formatCode>
                <c:ptCount val="5"/>
                <c:pt idx="0">
                  <c:v>0.84099999999999997</c:v>
                </c:pt>
                <c:pt idx="1">
                  <c:v>0.77300000000000002</c:v>
                </c:pt>
                <c:pt idx="2">
                  <c:v>0.81099999999999994</c:v>
                </c:pt>
                <c:pt idx="3">
                  <c:v>0.83499999999999996</c:v>
                </c:pt>
                <c:pt idx="4">
                  <c:v>0.83700000000000008</c:v>
                </c:pt>
              </c:numCache>
            </c:numRef>
          </c:val>
          <c:smooth val="0"/>
          <c:extLst>
            <c:ext xmlns:c16="http://schemas.microsoft.com/office/drawing/2014/chart" uri="{C3380CC4-5D6E-409C-BE32-E72D297353CC}">
              <c16:uniqueId val="{00000002-58B2-4C2F-917B-A8F391CEB668}"/>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B2-4C2F-917B-A8F391CEB668}"/>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B2-4C2F-917B-A8F391CEB668}"/>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(2)'!$AB$32:$AG$32</c:f>
              <c:numCache>
                <c:formatCode>General</c:formatCode>
                <c:ptCount val="5"/>
                <c:pt idx="0">
                  <c:v>2019</c:v>
                </c:pt>
                <c:pt idx="1">
                  <c:v>2020</c:v>
                </c:pt>
                <c:pt idx="2">
                  <c:v>2021</c:v>
                </c:pt>
                <c:pt idx="3">
                  <c:v>2022</c:v>
                </c:pt>
                <c:pt idx="4">
                  <c:v>2023</c:v>
                </c:pt>
              </c:numCache>
            </c:numRef>
          </c:cat>
          <c:val>
            <c:numRef>
              <c:f>'FOCUS_UG_ALL_6Y_E942 (2)'!$AB$35:$AG$35</c:f>
              <c:numCache>
                <c:formatCode>0.0%</c:formatCode>
                <c:ptCount val="5"/>
                <c:pt idx="0">
                  <c:v>0.83</c:v>
                </c:pt>
                <c:pt idx="1">
                  <c:v>0.71599999999999997</c:v>
                </c:pt>
                <c:pt idx="2">
                  <c:v>0.7390000000000001</c:v>
                </c:pt>
                <c:pt idx="3">
                  <c:v>0.83799999999999997</c:v>
                </c:pt>
                <c:pt idx="4">
                  <c:v>0.84499999999999997</c:v>
                </c:pt>
              </c:numCache>
            </c:numRef>
          </c:val>
          <c:smooth val="0"/>
          <c:extLst>
            <c:ext xmlns:c16="http://schemas.microsoft.com/office/drawing/2014/chart" uri="{C3380CC4-5D6E-409C-BE32-E72D297353CC}">
              <c16:uniqueId val="{00000005-58B2-4C2F-917B-A8F391CEB668}"/>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Quality of entire educational experience</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US"/>
        </a:p>
      </c:txPr>
    </c:title>
    <c:autoTitleDeleted val="0"/>
    <c:plotArea>
      <c:layout/>
      <c:lineChart>
        <c:grouping val="standard"/>
        <c:varyColors val="0"/>
        <c:ser>
          <c:idx val="1"/>
          <c:order val="0"/>
          <c:tx>
            <c:strRef>
              <c:f>'FOCUS_UG_ALL_6Y_E942 (2)'!$B$34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(2)'!$AG$32:$AL$32</c:f>
              <c:numCache>
                <c:formatCode>General</c:formatCode>
                <c:ptCount val="5"/>
                <c:pt idx="0">
                  <c:v>2019</c:v>
                </c:pt>
                <c:pt idx="1">
                  <c:v>2020</c:v>
                </c:pt>
                <c:pt idx="2">
                  <c:v>2021</c:v>
                </c:pt>
                <c:pt idx="3">
                  <c:v>2022</c:v>
                </c:pt>
                <c:pt idx="4">
                  <c:v>2023</c:v>
                </c:pt>
              </c:numCache>
            </c:numRef>
          </c:cat>
          <c:val>
            <c:numRef>
              <c:f>'FOCUS_UG_ALL_6Y_E942 (2)'!$AG$34:$AL$34</c:f>
              <c:numCache>
                <c:formatCode>0.0%</c:formatCode>
                <c:ptCount val="5"/>
                <c:pt idx="0">
                  <c:v>0.79099999999999993</c:v>
                </c:pt>
                <c:pt idx="1">
                  <c:v>0.7</c:v>
                </c:pt>
                <c:pt idx="2">
                  <c:v>0.74099999999999999</c:v>
                </c:pt>
                <c:pt idx="3">
                  <c:v>0.76200000000000001</c:v>
                </c:pt>
                <c:pt idx="4">
                  <c:v>0.76900000000000002</c:v>
                </c:pt>
              </c:numCache>
            </c:numRef>
          </c:val>
          <c:smooth val="0"/>
          <c:extLst>
            <c:ext xmlns:c16="http://schemas.microsoft.com/office/drawing/2014/chart" uri="{C3380CC4-5D6E-409C-BE32-E72D297353CC}">
              <c16:uniqueId val="{00000000-C6A6-456E-982F-2670F4ABCD91}"/>
            </c:ext>
          </c:extLst>
        </c:ser>
        <c:ser>
          <c:idx val="2"/>
          <c:order val="1"/>
          <c:tx>
            <c:strRef>
              <c:f>'FOCUS_UG_ALL_6Y_E942 (2)'!$B$35</c:f>
              <c:strCache>
                <c:ptCount val="1"/>
                <c:pt idx="0">
                  <c:v>International</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'FOCUS_UG_ALL_6Y_E942 (2)'!$AG$32:$AL$32</c:f>
              <c:numCache>
                <c:formatCode>General</c:formatCode>
                <c:ptCount val="5"/>
                <c:pt idx="0">
                  <c:v>2019</c:v>
                </c:pt>
                <c:pt idx="1">
                  <c:v>2020</c:v>
                </c:pt>
                <c:pt idx="2">
                  <c:v>2021</c:v>
                </c:pt>
                <c:pt idx="3">
                  <c:v>2022</c:v>
                </c:pt>
                <c:pt idx="4">
                  <c:v>2023</c:v>
                </c:pt>
              </c:numCache>
            </c:numRef>
          </c:cat>
          <c:val>
            <c:numRef>
              <c:f>'FOCUS_UG_ALL_6Y_E942 (2)'!$AG$35:$AL$35</c:f>
              <c:numCache>
                <c:formatCode>0.0%</c:formatCode>
                <c:ptCount val="5"/>
                <c:pt idx="0">
                  <c:v>0.753</c:v>
                </c:pt>
                <c:pt idx="1">
                  <c:v>0.63</c:v>
                </c:pt>
                <c:pt idx="2">
                  <c:v>0.67200000000000004</c:v>
                </c:pt>
                <c:pt idx="3">
                  <c:v>0.74400000000000011</c:v>
                </c:pt>
                <c:pt idx="4">
                  <c:v>0.75800000000000001</c:v>
                </c:pt>
              </c:numCache>
            </c:numRef>
          </c:val>
          <c:smooth val="0"/>
          <c:extLst>
            <c:ext xmlns:c16="http://schemas.microsoft.com/office/drawing/2014/chart" uri="{C3380CC4-5D6E-409C-BE32-E72D297353CC}">
              <c16:uniqueId val="{00000001-C6A6-456E-982F-2670F4ABCD91}"/>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r>
              <a:rPr lang="en-AU" sz="1050">
                <a:solidFill>
                  <a:sysClr val="windowText" lastClr="000000"/>
                </a:solidFill>
              </a:rPr>
              <a:t>Skills</a:t>
            </a:r>
            <a:r>
              <a:rPr lang="en-AU" sz="1050" baseline="0">
                <a:solidFill>
                  <a:sysClr val="windowText" lastClr="000000"/>
                </a:solidFill>
              </a:rPr>
              <a:t> Development</a:t>
            </a:r>
            <a:endParaRPr lang="en-AU" sz="1050">
              <a:solidFill>
                <a:sysClr val="windowText" lastClr="000000"/>
              </a:solidFill>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Public Sans" pitchFamily="2" charset="0"/>
              <a:ea typeface="+mn-ea"/>
              <a:cs typeface="+mn-cs"/>
            </a:defRPr>
          </a:pPr>
          <a:endParaRPr lang="en-AU"/>
        </a:p>
      </c:txPr>
    </c:title>
    <c:autoTitleDeleted val="0"/>
    <c:plotArea>
      <c:layout/>
      <c:lineChart>
        <c:grouping val="standard"/>
        <c:varyColors val="0"/>
        <c:ser>
          <c:idx val="1"/>
          <c:order val="0"/>
          <c:tx>
            <c:strRef>
              <c:f>FOCUS_PGC_ALL_6Y_E942!$B$34</c:f>
              <c:strCache>
                <c:ptCount val="1"/>
                <c:pt idx="0">
                  <c:v>Domestic</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44-41BE-AA21-08936354407F}"/>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44-41BE-AA21-08936354407F}"/>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44-41BE-AA21-08936354407F}"/>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44-41BE-AA21-08936354407F}"/>
                </c:ext>
              </c:extLst>
            </c:dLbl>
            <c:spPr>
              <a:noFill/>
              <a:ln>
                <a:noFill/>
              </a:ln>
              <a:effectLst/>
            </c:spPr>
            <c:txPr>
              <a:bodyPr rot="0" spcFirstLastPara="1" vertOverflow="ellipsis" vert="horz" wrap="square" anchor="ctr" anchorCtr="1"/>
              <a:lstStyle/>
              <a:p>
                <a:pPr>
                  <a:defRPr sz="900" b="0" i="0" u="none" strike="noStrike" kern="1200" baseline="0">
                    <a:solidFill>
                      <a:schemeClr val="accent4">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FOCUS_PGC_ALL_6Y_E942!$D$32:$H$32</c:f>
              <c:numCache>
                <c:formatCode>General</c:formatCode>
                <c:ptCount val="5"/>
                <c:pt idx="0">
                  <c:v>2019</c:v>
                </c:pt>
                <c:pt idx="1">
                  <c:v>2020</c:v>
                </c:pt>
                <c:pt idx="2">
                  <c:v>2021</c:v>
                </c:pt>
                <c:pt idx="3">
                  <c:v>2022</c:v>
                </c:pt>
                <c:pt idx="4">
                  <c:v>2023</c:v>
                </c:pt>
              </c:numCache>
            </c:numRef>
          </c:cat>
          <c:val>
            <c:numRef>
              <c:f>FOCUS_PGC_ALL_6Y_E942!$D$34:$H$34</c:f>
              <c:numCache>
                <c:formatCode>0.0%</c:formatCode>
                <c:ptCount val="5"/>
                <c:pt idx="0">
                  <c:v>0.79700000000000004</c:v>
                </c:pt>
                <c:pt idx="1">
                  <c:v>0.79</c:v>
                </c:pt>
                <c:pt idx="2">
                  <c:v>0.78500000000000003</c:v>
                </c:pt>
                <c:pt idx="3">
                  <c:v>0.79500000000000004</c:v>
                </c:pt>
                <c:pt idx="4">
                  <c:v>0.79</c:v>
                </c:pt>
              </c:numCache>
            </c:numRef>
          </c:val>
          <c:smooth val="0"/>
          <c:extLst>
            <c:ext xmlns:c16="http://schemas.microsoft.com/office/drawing/2014/chart" uri="{C3380CC4-5D6E-409C-BE32-E72D297353CC}">
              <c16:uniqueId val="{00000004-1D44-41BE-AA21-08936354407F}"/>
            </c:ext>
          </c:extLst>
        </c:ser>
        <c:ser>
          <c:idx val="2"/>
          <c:order val="1"/>
          <c:tx>
            <c:strRef>
              <c:f>FOCUS_PGC_ALL_6Y_E942!$B$35</c:f>
              <c:strCache>
                <c:ptCount val="1"/>
                <c:pt idx="0">
                  <c:v>Overseas</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44-41BE-AA21-08936354407F}"/>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44-41BE-AA21-08936354407F}"/>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44-41BE-AA21-08936354407F}"/>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44-41BE-AA21-08936354407F}"/>
                </c:ext>
              </c:extLst>
            </c:dLbl>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FOCUS_PGC_ALL_6Y_E942!$D$32:$H$32</c:f>
              <c:numCache>
                <c:formatCode>General</c:formatCode>
                <c:ptCount val="5"/>
                <c:pt idx="0">
                  <c:v>2019</c:v>
                </c:pt>
                <c:pt idx="1">
                  <c:v>2020</c:v>
                </c:pt>
                <c:pt idx="2">
                  <c:v>2021</c:v>
                </c:pt>
                <c:pt idx="3">
                  <c:v>2022</c:v>
                </c:pt>
                <c:pt idx="4">
                  <c:v>2023</c:v>
                </c:pt>
              </c:numCache>
            </c:numRef>
          </c:cat>
          <c:val>
            <c:numRef>
              <c:f>FOCUS_PGC_ALL_6Y_E942!$D$35:$H$35</c:f>
              <c:numCache>
                <c:formatCode>0.0%</c:formatCode>
                <c:ptCount val="5"/>
                <c:pt idx="0">
                  <c:v>0.82</c:v>
                </c:pt>
                <c:pt idx="1">
                  <c:v>0.77599999999999991</c:v>
                </c:pt>
                <c:pt idx="2">
                  <c:v>0.79599999999999993</c:v>
                </c:pt>
                <c:pt idx="3">
                  <c:v>0.84099999999999997</c:v>
                </c:pt>
                <c:pt idx="4">
                  <c:v>0.85499999999999998</c:v>
                </c:pt>
              </c:numCache>
            </c:numRef>
          </c:val>
          <c:smooth val="0"/>
          <c:extLst>
            <c:ext xmlns:c16="http://schemas.microsoft.com/office/drawing/2014/chart" uri="{C3380CC4-5D6E-409C-BE32-E72D297353CC}">
              <c16:uniqueId val="{00000009-1D44-41BE-AA21-08936354407F}"/>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30000000000000004"/>
        </c:scaling>
        <c:delete val="1"/>
        <c:axPos val="l"/>
        <c:numFmt formatCode="0.0%" sourceLinked="1"/>
        <c:majorTickMark val="out"/>
        <c:minorTickMark val="none"/>
        <c:tickLblPos val="nextTo"/>
        <c:crossAx val="2066511295"/>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QILT theme">
  <a:themeElements>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Custom 1">
      <a:majorFont>
        <a:latin typeface="Quicksand Medium"/>
        <a:ea typeface=""/>
        <a:cs typeface=""/>
      </a:majorFont>
      <a:minorFont>
        <a:latin typeface="Quicksa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4e7071-5663-40f4-b82b-2f0fff1265cc">
      <Terms xmlns="http://schemas.microsoft.com/office/infopath/2007/PartnerControls"/>
    </lcf76f155ced4ddcb4097134ff3c332f>
    <TaxCatchAll xmlns="1d7fd805-69e4-4ade-a468-cc546b9d58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8A18D3684994C9C52717DA600DB9E" ma:contentTypeVersion="19" ma:contentTypeDescription="Create a new document." ma:contentTypeScope="" ma:versionID="c5b7d20d40ca9aa8d76d5bc1f8bf5677">
  <xsd:schema xmlns:xsd="http://www.w3.org/2001/XMLSchema" xmlns:xs="http://www.w3.org/2001/XMLSchema" xmlns:p="http://schemas.microsoft.com/office/2006/metadata/properties" xmlns:ns1="http://schemas.microsoft.com/sharepoint/v3" xmlns:ns2="ae4e7071-5663-40f4-b82b-2f0fff1265cc" xmlns:ns3="1d7fd805-69e4-4ade-a468-cc546b9d58af" targetNamespace="http://schemas.microsoft.com/office/2006/metadata/properties" ma:root="true" ma:fieldsID="6ff3f5917ba38a26b931eb9d9cb8e6f7" ns1:_="" ns2:_="" ns3:_="">
    <xsd:import namespace="http://schemas.microsoft.com/sharepoint/v3"/>
    <xsd:import namespace="ae4e7071-5663-40f4-b82b-2f0fff1265cc"/>
    <xsd:import namespace="1d7fd805-69e4-4ade-a468-cc546b9d5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e7071-5663-40f4-b82b-2f0fff126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fd805-69e4-4ade-a468-cc546b9d5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f07664-34f3-4f09-9e94-c8b34590142c}" ma:internalName="TaxCatchAll" ma:showField="CatchAllData" ma:web="1d7fd805-69e4-4ade-a468-cc546b9d5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C5B4-DAB2-4448-9BDC-7A47C6B94E73}">
  <ds:schemaRefs>
    <ds:schemaRef ds:uri="http://schemas.microsoft.com/sharepoint/v3/contenttype/forms"/>
  </ds:schemaRefs>
</ds:datastoreItem>
</file>

<file path=customXml/itemProps2.xml><?xml version="1.0" encoding="utf-8"?>
<ds:datastoreItem xmlns:ds="http://schemas.openxmlformats.org/officeDocument/2006/customXml" ds:itemID="{BC63493A-6663-4A14-8ADB-6544B64B3F3E}">
  <ds:schemaRefs>
    <ds:schemaRef ds:uri="http://schemas.microsoft.com/office/2006/metadata/properties"/>
    <ds:schemaRef ds:uri="http://schemas.microsoft.com/office/infopath/2007/PartnerControls"/>
    <ds:schemaRef ds:uri="http://schemas.microsoft.com/sharepoint/v3"/>
    <ds:schemaRef ds:uri="ae4e7071-5663-40f4-b82b-2f0fff1265cc"/>
    <ds:schemaRef ds:uri="1d7fd805-69e4-4ade-a468-cc546b9d58af"/>
  </ds:schemaRefs>
</ds:datastoreItem>
</file>

<file path=customXml/itemProps3.xml><?xml version="1.0" encoding="utf-8"?>
<ds:datastoreItem xmlns:ds="http://schemas.openxmlformats.org/officeDocument/2006/customXml" ds:itemID="{3D2FA28B-63FC-4D36-A440-0C5DC671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e7071-5663-40f4-b82b-2f0fff1265cc"/>
    <ds:schemaRef ds:uri="1d7fd805-69e4-4ade-a468-cc546b9d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16E2B-E189-4249-ADF6-291BADB85185}">
  <ds:schemaRefs>
    <ds:schemaRef ds:uri="http://schemas.openxmlformats.org/officeDocument/2006/bibliography"/>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121</Pages>
  <Words>37121</Words>
  <Characters>211596</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248221</CharactersWithSpaces>
  <SharedDoc>false</SharedDoc>
  <HLinks>
    <vt:vector size="762" baseType="variant">
      <vt:variant>
        <vt:i4>1441843</vt:i4>
      </vt:variant>
      <vt:variant>
        <vt:i4>752</vt:i4>
      </vt:variant>
      <vt:variant>
        <vt:i4>0</vt:i4>
      </vt:variant>
      <vt:variant>
        <vt:i4>5</vt:i4>
      </vt:variant>
      <vt:variant>
        <vt:lpwstr/>
      </vt:variant>
      <vt:variant>
        <vt:lpwstr>_Toc176450125</vt:lpwstr>
      </vt:variant>
      <vt:variant>
        <vt:i4>1441843</vt:i4>
      </vt:variant>
      <vt:variant>
        <vt:i4>746</vt:i4>
      </vt:variant>
      <vt:variant>
        <vt:i4>0</vt:i4>
      </vt:variant>
      <vt:variant>
        <vt:i4>5</vt:i4>
      </vt:variant>
      <vt:variant>
        <vt:lpwstr/>
      </vt:variant>
      <vt:variant>
        <vt:lpwstr>_Toc176450124</vt:lpwstr>
      </vt:variant>
      <vt:variant>
        <vt:i4>1441843</vt:i4>
      </vt:variant>
      <vt:variant>
        <vt:i4>740</vt:i4>
      </vt:variant>
      <vt:variant>
        <vt:i4>0</vt:i4>
      </vt:variant>
      <vt:variant>
        <vt:i4>5</vt:i4>
      </vt:variant>
      <vt:variant>
        <vt:lpwstr/>
      </vt:variant>
      <vt:variant>
        <vt:lpwstr>_Toc176450123</vt:lpwstr>
      </vt:variant>
      <vt:variant>
        <vt:i4>1441843</vt:i4>
      </vt:variant>
      <vt:variant>
        <vt:i4>734</vt:i4>
      </vt:variant>
      <vt:variant>
        <vt:i4>0</vt:i4>
      </vt:variant>
      <vt:variant>
        <vt:i4>5</vt:i4>
      </vt:variant>
      <vt:variant>
        <vt:lpwstr/>
      </vt:variant>
      <vt:variant>
        <vt:lpwstr>_Toc176450122</vt:lpwstr>
      </vt:variant>
      <vt:variant>
        <vt:i4>1441843</vt:i4>
      </vt:variant>
      <vt:variant>
        <vt:i4>728</vt:i4>
      </vt:variant>
      <vt:variant>
        <vt:i4>0</vt:i4>
      </vt:variant>
      <vt:variant>
        <vt:i4>5</vt:i4>
      </vt:variant>
      <vt:variant>
        <vt:lpwstr/>
      </vt:variant>
      <vt:variant>
        <vt:lpwstr>_Toc176450121</vt:lpwstr>
      </vt:variant>
      <vt:variant>
        <vt:i4>1441843</vt:i4>
      </vt:variant>
      <vt:variant>
        <vt:i4>722</vt:i4>
      </vt:variant>
      <vt:variant>
        <vt:i4>0</vt:i4>
      </vt:variant>
      <vt:variant>
        <vt:i4>5</vt:i4>
      </vt:variant>
      <vt:variant>
        <vt:lpwstr/>
      </vt:variant>
      <vt:variant>
        <vt:lpwstr>_Toc176450120</vt:lpwstr>
      </vt:variant>
      <vt:variant>
        <vt:i4>1376307</vt:i4>
      </vt:variant>
      <vt:variant>
        <vt:i4>716</vt:i4>
      </vt:variant>
      <vt:variant>
        <vt:i4>0</vt:i4>
      </vt:variant>
      <vt:variant>
        <vt:i4>5</vt:i4>
      </vt:variant>
      <vt:variant>
        <vt:lpwstr/>
      </vt:variant>
      <vt:variant>
        <vt:lpwstr>_Toc176450119</vt:lpwstr>
      </vt:variant>
      <vt:variant>
        <vt:i4>1376307</vt:i4>
      </vt:variant>
      <vt:variant>
        <vt:i4>710</vt:i4>
      </vt:variant>
      <vt:variant>
        <vt:i4>0</vt:i4>
      </vt:variant>
      <vt:variant>
        <vt:i4>5</vt:i4>
      </vt:variant>
      <vt:variant>
        <vt:lpwstr/>
      </vt:variant>
      <vt:variant>
        <vt:lpwstr>_Toc176450118</vt:lpwstr>
      </vt:variant>
      <vt:variant>
        <vt:i4>1376307</vt:i4>
      </vt:variant>
      <vt:variant>
        <vt:i4>704</vt:i4>
      </vt:variant>
      <vt:variant>
        <vt:i4>0</vt:i4>
      </vt:variant>
      <vt:variant>
        <vt:i4>5</vt:i4>
      </vt:variant>
      <vt:variant>
        <vt:lpwstr/>
      </vt:variant>
      <vt:variant>
        <vt:lpwstr>_Toc176450117</vt:lpwstr>
      </vt:variant>
      <vt:variant>
        <vt:i4>1376307</vt:i4>
      </vt:variant>
      <vt:variant>
        <vt:i4>698</vt:i4>
      </vt:variant>
      <vt:variant>
        <vt:i4>0</vt:i4>
      </vt:variant>
      <vt:variant>
        <vt:i4>5</vt:i4>
      </vt:variant>
      <vt:variant>
        <vt:lpwstr/>
      </vt:variant>
      <vt:variant>
        <vt:lpwstr>_Toc176450116</vt:lpwstr>
      </vt:variant>
      <vt:variant>
        <vt:i4>1376307</vt:i4>
      </vt:variant>
      <vt:variant>
        <vt:i4>692</vt:i4>
      </vt:variant>
      <vt:variant>
        <vt:i4>0</vt:i4>
      </vt:variant>
      <vt:variant>
        <vt:i4>5</vt:i4>
      </vt:variant>
      <vt:variant>
        <vt:lpwstr/>
      </vt:variant>
      <vt:variant>
        <vt:lpwstr>_Toc176450115</vt:lpwstr>
      </vt:variant>
      <vt:variant>
        <vt:i4>1376307</vt:i4>
      </vt:variant>
      <vt:variant>
        <vt:i4>686</vt:i4>
      </vt:variant>
      <vt:variant>
        <vt:i4>0</vt:i4>
      </vt:variant>
      <vt:variant>
        <vt:i4>5</vt:i4>
      </vt:variant>
      <vt:variant>
        <vt:lpwstr/>
      </vt:variant>
      <vt:variant>
        <vt:lpwstr>_Toc176450114</vt:lpwstr>
      </vt:variant>
      <vt:variant>
        <vt:i4>1376307</vt:i4>
      </vt:variant>
      <vt:variant>
        <vt:i4>680</vt:i4>
      </vt:variant>
      <vt:variant>
        <vt:i4>0</vt:i4>
      </vt:variant>
      <vt:variant>
        <vt:i4>5</vt:i4>
      </vt:variant>
      <vt:variant>
        <vt:lpwstr/>
      </vt:variant>
      <vt:variant>
        <vt:lpwstr>_Toc176450113</vt:lpwstr>
      </vt:variant>
      <vt:variant>
        <vt:i4>1376307</vt:i4>
      </vt:variant>
      <vt:variant>
        <vt:i4>674</vt:i4>
      </vt:variant>
      <vt:variant>
        <vt:i4>0</vt:i4>
      </vt:variant>
      <vt:variant>
        <vt:i4>5</vt:i4>
      </vt:variant>
      <vt:variant>
        <vt:lpwstr/>
      </vt:variant>
      <vt:variant>
        <vt:lpwstr>_Toc176450112</vt:lpwstr>
      </vt:variant>
      <vt:variant>
        <vt:i4>1376307</vt:i4>
      </vt:variant>
      <vt:variant>
        <vt:i4>668</vt:i4>
      </vt:variant>
      <vt:variant>
        <vt:i4>0</vt:i4>
      </vt:variant>
      <vt:variant>
        <vt:i4>5</vt:i4>
      </vt:variant>
      <vt:variant>
        <vt:lpwstr/>
      </vt:variant>
      <vt:variant>
        <vt:lpwstr>_Toc176450111</vt:lpwstr>
      </vt:variant>
      <vt:variant>
        <vt:i4>1376307</vt:i4>
      </vt:variant>
      <vt:variant>
        <vt:i4>662</vt:i4>
      </vt:variant>
      <vt:variant>
        <vt:i4>0</vt:i4>
      </vt:variant>
      <vt:variant>
        <vt:i4>5</vt:i4>
      </vt:variant>
      <vt:variant>
        <vt:lpwstr/>
      </vt:variant>
      <vt:variant>
        <vt:lpwstr>_Toc176450110</vt:lpwstr>
      </vt:variant>
      <vt:variant>
        <vt:i4>1310771</vt:i4>
      </vt:variant>
      <vt:variant>
        <vt:i4>656</vt:i4>
      </vt:variant>
      <vt:variant>
        <vt:i4>0</vt:i4>
      </vt:variant>
      <vt:variant>
        <vt:i4>5</vt:i4>
      </vt:variant>
      <vt:variant>
        <vt:lpwstr/>
      </vt:variant>
      <vt:variant>
        <vt:lpwstr>_Toc176450109</vt:lpwstr>
      </vt:variant>
      <vt:variant>
        <vt:i4>1310771</vt:i4>
      </vt:variant>
      <vt:variant>
        <vt:i4>650</vt:i4>
      </vt:variant>
      <vt:variant>
        <vt:i4>0</vt:i4>
      </vt:variant>
      <vt:variant>
        <vt:i4>5</vt:i4>
      </vt:variant>
      <vt:variant>
        <vt:lpwstr/>
      </vt:variant>
      <vt:variant>
        <vt:lpwstr>_Toc176450108</vt:lpwstr>
      </vt:variant>
      <vt:variant>
        <vt:i4>1310771</vt:i4>
      </vt:variant>
      <vt:variant>
        <vt:i4>644</vt:i4>
      </vt:variant>
      <vt:variant>
        <vt:i4>0</vt:i4>
      </vt:variant>
      <vt:variant>
        <vt:i4>5</vt:i4>
      </vt:variant>
      <vt:variant>
        <vt:lpwstr/>
      </vt:variant>
      <vt:variant>
        <vt:lpwstr>_Toc176450107</vt:lpwstr>
      </vt:variant>
      <vt:variant>
        <vt:i4>1310771</vt:i4>
      </vt:variant>
      <vt:variant>
        <vt:i4>638</vt:i4>
      </vt:variant>
      <vt:variant>
        <vt:i4>0</vt:i4>
      </vt:variant>
      <vt:variant>
        <vt:i4>5</vt:i4>
      </vt:variant>
      <vt:variant>
        <vt:lpwstr/>
      </vt:variant>
      <vt:variant>
        <vt:lpwstr>_Toc176450106</vt:lpwstr>
      </vt:variant>
      <vt:variant>
        <vt:i4>1310771</vt:i4>
      </vt:variant>
      <vt:variant>
        <vt:i4>632</vt:i4>
      </vt:variant>
      <vt:variant>
        <vt:i4>0</vt:i4>
      </vt:variant>
      <vt:variant>
        <vt:i4>5</vt:i4>
      </vt:variant>
      <vt:variant>
        <vt:lpwstr/>
      </vt:variant>
      <vt:variant>
        <vt:lpwstr>_Toc176450105</vt:lpwstr>
      </vt:variant>
      <vt:variant>
        <vt:i4>1310771</vt:i4>
      </vt:variant>
      <vt:variant>
        <vt:i4>626</vt:i4>
      </vt:variant>
      <vt:variant>
        <vt:i4>0</vt:i4>
      </vt:variant>
      <vt:variant>
        <vt:i4>5</vt:i4>
      </vt:variant>
      <vt:variant>
        <vt:lpwstr/>
      </vt:variant>
      <vt:variant>
        <vt:lpwstr>_Toc176450104</vt:lpwstr>
      </vt:variant>
      <vt:variant>
        <vt:i4>1310771</vt:i4>
      </vt:variant>
      <vt:variant>
        <vt:i4>620</vt:i4>
      </vt:variant>
      <vt:variant>
        <vt:i4>0</vt:i4>
      </vt:variant>
      <vt:variant>
        <vt:i4>5</vt:i4>
      </vt:variant>
      <vt:variant>
        <vt:lpwstr/>
      </vt:variant>
      <vt:variant>
        <vt:lpwstr>_Toc176450103</vt:lpwstr>
      </vt:variant>
      <vt:variant>
        <vt:i4>1310771</vt:i4>
      </vt:variant>
      <vt:variant>
        <vt:i4>614</vt:i4>
      </vt:variant>
      <vt:variant>
        <vt:i4>0</vt:i4>
      </vt:variant>
      <vt:variant>
        <vt:i4>5</vt:i4>
      </vt:variant>
      <vt:variant>
        <vt:lpwstr/>
      </vt:variant>
      <vt:variant>
        <vt:lpwstr>_Toc176450102</vt:lpwstr>
      </vt:variant>
      <vt:variant>
        <vt:i4>1310771</vt:i4>
      </vt:variant>
      <vt:variant>
        <vt:i4>608</vt:i4>
      </vt:variant>
      <vt:variant>
        <vt:i4>0</vt:i4>
      </vt:variant>
      <vt:variant>
        <vt:i4>5</vt:i4>
      </vt:variant>
      <vt:variant>
        <vt:lpwstr/>
      </vt:variant>
      <vt:variant>
        <vt:lpwstr>_Toc176450101</vt:lpwstr>
      </vt:variant>
      <vt:variant>
        <vt:i4>1310771</vt:i4>
      </vt:variant>
      <vt:variant>
        <vt:i4>602</vt:i4>
      </vt:variant>
      <vt:variant>
        <vt:i4>0</vt:i4>
      </vt:variant>
      <vt:variant>
        <vt:i4>5</vt:i4>
      </vt:variant>
      <vt:variant>
        <vt:lpwstr/>
      </vt:variant>
      <vt:variant>
        <vt:lpwstr>_Toc176450100</vt:lpwstr>
      </vt:variant>
      <vt:variant>
        <vt:i4>1900594</vt:i4>
      </vt:variant>
      <vt:variant>
        <vt:i4>596</vt:i4>
      </vt:variant>
      <vt:variant>
        <vt:i4>0</vt:i4>
      </vt:variant>
      <vt:variant>
        <vt:i4>5</vt:i4>
      </vt:variant>
      <vt:variant>
        <vt:lpwstr/>
      </vt:variant>
      <vt:variant>
        <vt:lpwstr>_Toc176450099</vt:lpwstr>
      </vt:variant>
      <vt:variant>
        <vt:i4>1900594</vt:i4>
      </vt:variant>
      <vt:variant>
        <vt:i4>590</vt:i4>
      </vt:variant>
      <vt:variant>
        <vt:i4>0</vt:i4>
      </vt:variant>
      <vt:variant>
        <vt:i4>5</vt:i4>
      </vt:variant>
      <vt:variant>
        <vt:lpwstr/>
      </vt:variant>
      <vt:variant>
        <vt:lpwstr>_Toc176450098</vt:lpwstr>
      </vt:variant>
      <vt:variant>
        <vt:i4>1900594</vt:i4>
      </vt:variant>
      <vt:variant>
        <vt:i4>584</vt:i4>
      </vt:variant>
      <vt:variant>
        <vt:i4>0</vt:i4>
      </vt:variant>
      <vt:variant>
        <vt:i4>5</vt:i4>
      </vt:variant>
      <vt:variant>
        <vt:lpwstr/>
      </vt:variant>
      <vt:variant>
        <vt:lpwstr>_Toc176450097</vt:lpwstr>
      </vt:variant>
      <vt:variant>
        <vt:i4>1900594</vt:i4>
      </vt:variant>
      <vt:variant>
        <vt:i4>575</vt:i4>
      </vt:variant>
      <vt:variant>
        <vt:i4>0</vt:i4>
      </vt:variant>
      <vt:variant>
        <vt:i4>5</vt:i4>
      </vt:variant>
      <vt:variant>
        <vt:lpwstr/>
      </vt:variant>
      <vt:variant>
        <vt:lpwstr>_Toc176450096</vt:lpwstr>
      </vt:variant>
      <vt:variant>
        <vt:i4>1900594</vt:i4>
      </vt:variant>
      <vt:variant>
        <vt:i4>569</vt:i4>
      </vt:variant>
      <vt:variant>
        <vt:i4>0</vt:i4>
      </vt:variant>
      <vt:variant>
        <vt:i4>5</vt:i4>
      </vt:variant>
      <vt:variant>
        <vt:lpwstr/>
      </vt:variant>
      <vt:variant>
        <vt:lpwstr>_Toc176450095</vt:lpwstr>
      </vt:variant>
      <vt:variant>
        <vt:i4>1900594</vt:i4>
      </vt:variant>
      <vt:variant>
        <vt:i4>563</vt:i4>
      </vt:variant>
      <vt:variant>
        <vt:i4>0</vt:i4>
      </vt:variant>
      <vt:variant>
        <vt:i4>5</vt:i4>
      </vt:variant>
      <vt:variant>
        <vt:lpwstr/>
      </vt:variant>
      <vt:variant>
        <vt:lpwstr>_Toc176450094</vt:lpwstr>
      </vt:variant>
      <vt:variant>
        <vt:i4>1900594</vt:i4>
      </vt:variant>
      <vt:variant>
        <vt:i4>557</vt:i4>
      </vt:variant>
      <vt:variant>
        <vt:i4>0</vt:i4>
      </vt:variant>
      <vt:variant>
        <vt:i4>5</vt:i4>
      </vt:variant>
      <vt:variant>
        <vt:lpwstr/>
      </vt:variant>
      <vt:variant>
        <vt:lpwstr>_Toc176450093</vt:lpwstr>
      </vt:variant>
      <vt:variant>
        <vt:i4>1900594</vt:i4>
      </vt:variant>
      <vt:variant>
        <vt:i4>551</vt:i4>
      </vt:variant>
      <vt:variant>
        <vt:i4>0</vt:i4>
      </vt:variant>
      <vt:variant>
        <vt:i4>5</vt:i4>
      </vt:variant>
      <vt:variant>
        <vt:lpwstr/>
      </vt:variant>
      <vt:variant>
        <vt:lpwstr>_Toc176450092</vt:lpwstr>
      </vt:variant>
      <vt:variant>
        <vt:i4>1900594</vt:i4>
      </vt:variant>
      <vt:variant>
        <vt:i4>545</vt:i4>
      </vt:variant>
      <vt:variant>
        <vt:i4>0</vt:i4>
      </vt:variant>
      <vt:variant>
        <vt:i4>5</vt:i4>
      </vt:variant>
      <vt:variant>
        <vt:lpwstr/>
      </vt:variant>
      <vt:variant>
        <vt:lpwstr>_Toc176450091</vt:lpwstr>
      </vt:variant>
      <vt:variant>
        <vt:i4>1900594</vt:i4>
      </vt:variant>
      <vt:variant>
        <vt:i4>539</vt:i4>
      </vt:variant>
      <vt:variant>
        <vt:i4>0</vt:i4>
      </vt:variant>
      <vt:variant>
        <vt:i4>5</vt:i4>
      </vt:variant>
      <vt:variant>
        <vt:lpwstr/>
      </vt:variant>
      <vt:variant>
        <vt:lpwstr>_Toc176450090</vt:lpwstr>
      </vt:variant>
      <vt:variant>
        <vt:i4>1835058</vt:i4>
      </vt:variant>
      <vt:variant>
        <vt:i4>533</vt:i4>
      </vt:variant>
      <vt:variant>
        <vt:i4>0</vt:i4>
      </vt:variant>
      <vt:variant>
        <vt:i4>5</vt:i4>
      </vt:variant>
      <vt:variant>
        <vt:lpwstr/>
      </vt:variant>
      <vt:variant>
        <vt:lpwstr>_Toc176450089</vt:lpwstr>
      </vt:variant>
      <vt:variant>
        <vt:i4>1835058</vt:i4>
      </vt:variant>
      <vt:variant>
        <vt:i4>527</vt:i4>
      </vt:variant>
      <vt:variant>
        <vt:i4>0</vt:i4>
      </vt:variant>
      <vt:variant>
        <vt:i4>5</vt:i4>
      </vt:variant>
      <vt:variant>
        <vt:lpwstr/>
      </vt:variant>
      <vt:variant>
        <vt:lpwstr>_Toc176450088</vt:lpwstr>
      </vt:variant>
      <vt:variant>
        <vt:i4>1835058</vt:i4>
      </vt:variant>
      <vt:variant>
        <vt:i4>521</vt:i4>
      </vt:variant>
      <vt:variant>
        <vt:i4>0</vt:i4>
      </vt:variant>
      <vt:variant>
        <vt:i4>5</vt:i4>
      </vt:variant>
      <vt:variant>
        <vt:lpwstr/>
      </vt:variant>
      <vt:variant>
        <vt:lpwstr>_Toc176450087</vt:lpwstr>
      </vt:variant>
      <vt:variant>
        <vt:i4>1835058</vt:i4>
      </vt:variant>
      <vt:variant>
        <vt:i4>515</vt:i4>
      </vt:variant>
      <vt:variant>
        <vt:i4>0</vt:i4>
      </vt:variant>
      <vt:variant>
        <vt:i4>5</vt:i4>
      </vt:variant>
      <vt:variant>
        <vt:lpwstr/>
      </vt:variant>
      <vt:variant>
        <vt:lpwstr>_Toc176450086</vt:lpwstr>
      </vt:variant>
      <vt:variant>
        <vt:i4>1835058</vt:i4>
      </vt:variant>
      <vt:variant>
        <vt:i4>509</vt:i4>
      </vt:variant>
      <vt:variant>
        <vt:i4>0</vt:i4>
      </vt:variant>
      <vt:variant>
        <vt:i4>5</vt:i4>
      </vt:variant>
      <vt:variant>
        <vt:lpwstr/>
      </vt:variant>
      <vt:variant>
        <vt:lpwstr>_Toc176450085</vt:lpwstr>
      </vt:variant>
      <vt:variant>
        <vt:i4>1835058</vt:i4>
      </vt:variant>
      <vt:variant>
        <vt:i4>503</vt:i4>
      </vt:variant>
      <vt:variant>
        <vt:i4>0</vt:i4>
      </vt:variant>
      <vt:variant>
        <vt:i4>5</vt:i4>
      </vt:variant>
      <vt:variant>
        <vt:lpwstr/>
      </vt:variant>
      <vt:variant>
        <vt:lpwstr>_Toc176450084</vt:lpwstr>
      </vt:variant>
      <vt:variant>
        <vt:i4>1835058</vt:i4>
      </vt:variant>
      <vt:variant>
        <vt:i4>497</vt:i4>
      </vt:variant>
      <vt:variant>
        <vt:i4>0</vt:i4>
      </vt:variant>
      <vt:variant>
        <vt:i4>5</vt:i4>
      </vt:variant>
      <vt:variant>
        <vt:lpwstr/>
      </vt:variant>
      <vt:variant>
        <vt:lpwstr>_Toc176450083</vt:lpwstr>
      </vt:variant>
      <vt:variant>
        <vt:i4>1835058</vt:i4>
      </vt:variant>
      <vt:variant>
        <vt:i4>491</vt:i4>
      </vt:variant>
      <vt:variant>
        <vt:i4>0</vt:i4>
      </vt:variant>
      <vt:variant>
        <vt:i4>5</vt:i4>
      </vt:variant>
      <vt:variant>
        <vt:lpwstr/>
      </vt:variant>
      <vt:variant>
        <vt:lpwstr>_Toc176450082</vt:lpwstr>
      </vt:variant>
      <vt:variant>
        <vt:i4>1835058</vt:i4>
      </vt:variant>
      <vt:variant>
        <vt:i4>485</vt:i4>
      </vt:variant>
      <vt:variant>
        <vt:i4>0</vt:i4>
      </vt:variant>
      <vt:variant>
        <vt:i4>5</vt:i4>
      </vt:variant>
      <vt:variant>
        <vt:lpwstr/>
      </vt:variant>
      <vt:variant>
        <vt:lpwstr>_Toc176450081</vt:lpwstr>
      </vt:variant>
      <vt:variant>
        <vt:i4>1835058</vt:i4>
      </vt:variant>
      <vt:variant>
        <vt:i4>479</vt:i4>
      </vt:variant>
      <vt:variant>
        <vt:i4>0</vt:i4>
      </vt:variant>
      <vt:variant>
        <vt:i4>5</vt:i4>
      </vt:variant>
      <vt:variant>
        <vt:lpwstr/>
      </vt:variant>
      <vt:variant>
        <vt:lpwstr>_Toc176450080</vt:lpwstr>
      </vt:variant>
      <vt:variant>
        <vt:i4>1245234</vt:i4>
      </vt:variant>
      <vt:variant>
        <vt:i4>473</vt:i4>
      </vt:variant>
      <vt:variant>
        <vt:i4>0</vt:i4>
      </vt:variant>
      <vt:variant>
        <vt:i4>5</vt:i4>
      </vt:variant>
      <vt:variant>
        <vt:lpwstr/>
      </vt:variant>
      <vt:variant>
        <vt:lpwstr>_Toc176450079</vt:lpwstr>
      </vt:variant>
      <vt:variant>
        <vt:i4>1245234</vt:i4>
      </vt:variant>
      <vt:variant>
        <vt:i4>467</vt:i4>
      </vt:variant>
      <vt:variant>
        <vt:i4>0</vt:i4>
      </vt:variant>
      <vt:variant>
        <vt:i4>5</vt:i4>
      </vt:variant>
      <vt:variant>
        <vt:lpwstr/>
      </vt:variant>
      <vt:variant>
        <vt:lpwstr>_Toc176450078</vt:lpwstr>
      </vt:variant>
      <vt:variant>
        <vt:i4>1245234</vt:i4>
      </vt:variant>
      <vt:variant>
        <vt:i4>461</vt:i4>
      </vt:variant>
      <vt:variant>
        <vt:i4>0</vt:i4>
      </vt:variant>
      <vt:variant>
        <vt:i4>5</vt:i4>
      </vt:variant>
      <vt:variant>
        <vt:lpwstr/>
      </vt:variant>
      <vt:variant>
        <vt:lpwstr>_Toc176450077</vt:lpwstr>
      </vt:variant>
      <vt:variant>
        <vt:i4>1245234</vt:i4>
      </vt:variant>
      <vt:variant>
        <vt:i4>455</vt:i4>
      </vt:variant>
      <vt:variant>
        <vt:i4>0</vt:i4>
      </vt:variant>
      <vt:variant>
        <vt:i4>5</vt:i4>
      </vt:variant>
      <vt:variant>
        <vt:lpwstr/>
      </vt:variant>
      <vt:variant>
        <vt:lpwstr>_Toc176450076</vt:lpwstr>
      </vt:variant>
      <vt:variant>
        <vt:i4>1245234</vt:i4>
      </vt:variant>
      <vt:variant>
        <vt:i4>449</vt:i4>
      </vt:variant>
      <vt:variant>
        <vt:i4>0</vt:i4>
      </vt:variant>
      <vt:variant>
        <vt:i4>5</vt:i4>
      </vt:variant>
      <vt:variant>
        <vt:lpwstr/>
      </vt:variant>
      <vt:variant>
        <vt:lpwstr>_Toc176450075</vt:lpwstr>
      </vt:variant>
      <vt:variant>
        <vt:i4>1245234</vt:i4>
      </vt:variant>
      <vt:variant>
        <vt:i4>443</vt:i4>
      </vt:variant>
      <vt:variant>
        <vt:i4>0</vt:i4>
      </vt:variant>
      <vt:variant>
        <vt:i4>5</vt:i4>
      </vt:variant>
      <vt:variant>
        <vt:lpwstr/>
      </vt:variant>
      <vt:variant>
        <vt:lpwstr>_Toc176450074</vt:lpwstr>
      </vt:variant>
      <vt:variant>
        <vt:i4>1245234</vt:i4>
      </vt:variant>
      <vt:variant>
        <vt:i4>437</vt:i4>
      </vt:variant>
      <vt:variant>
        <vt:i4>0</vt:i4>
      </vt:variant>
      <vt:variant>
        <vt:i4>5</vt:i4>
      </vt:variant>
      <vt:variant>
        <vt:lpwstr/>
      </vt:variant>
      <vt:variant>
        <vt:lpwstr>_Toc176450073</vt:lpwstr>
      </vt:variant>
      <vt:variant>
        <vt:i4>1245234</vt:i4>
      </vt:variant>
      <vt:variant>
        <vt:i4>431</vt:i4>
      </vt:variant>
      <vt:variant>
        <vt:i4>0</vt:i4>
      </vt:variant>
      <vt:variant>
        <vt:i4>5</vt:i4>
      </vt:variant>
      <vt:variant>
        <vt:lpwstr/>
      </vt:variant>
      <vt:variant>
        <vt:lpwstr>_Toc176450072</vt:lpwstr>
      </vt:variant>
      <vt:variant>
        <vt:i4>1245234</vt:i4>
      </vt:variant>
      <vt:variant>
        <vt:i4>425</vt:i4>
      </vt:variant>
      <vt:variant>
        <vt:i4>0</vt:i4>
      </vt:variant>
      <vt:variant>
        <vt:i4>5</vt:i4>
      </vt:variant>
      <vt:variant>
        <vt:lpwstr/>
      </vt:variant>
      <vt:variant>
        <vt:lpwstr>_Toc176450071</vt:lpwstr>
      </vt:variant>
      <vt:variant>
        <vt:i4>1245234</vt:i4>
      </vt:variant>
      <vt:variant>
        <vt:i4>419</vt:i4>
      </vt:variant>
      <vt:variant>
        <vt:i4>0</vt:i4>
      </vt:variant>
      <vt:variant>
        <vt:i4>5</vt:i4>
      </vt:variant>
      <vt:variant>
        <vt:lpwstr/>
      </vt:variant>
      <vt:variant>
        <vt:lpwstr>_Toc176450070</vt:lpwstr>
      </vt:variant>
      <vt:variant>
        <vt:i4>1179698</vt:i4>
      </vt:variant>
      <vt:variant>
        <vt:i4>413</vt:i4>
      </vt:variant>
      <vt:variant>
        <vt:i4>0</vt:i4>
      </vt:variant>
      <vt:variant>
        <vt:i4>5</vt:i4>
      </vt:variant>
      <vt:variant>
        <vt:lpwstr/>
      </vt:variant>
      <vt:variant>
        <vt:lpwstr>_Toc176450069</vt:lpwstr>
      </vt:variant>
      <vt:variant>
        <vt:i4>1179698</vt:i4>
      </vt:variant>
      <vt:variant>
        <vt:i4>407</vt:i4>
      </vt:variant>
      <vt:variant>
        <vt:i4>0</vt:i4>
      </vt:variant>
      <vt:variant>
        <vt:i4>5</vt:i4>
      </vt:variant>
      <vt:variant>
        <vt:lpwstr/>
      </vt:variant>
      <vt:variant>
        <vt:lpwstr>_Toc176450068</vt:lpwstr>
      </vt:variant>
      <vt:variant>
        <vt:i4>1179698</vt:i4>
      </vt:variant>
      <vt:variant>
        <vt:i4>401</vt:i4>
      </vt:variant>
      <vt:variant>
        <vt:i4>0</vt:i4>
      </vt:variant>
      <vt:variant>
        <vt:i4>5</vt:i4>
      </vt:variant>
      <vt:variant>
        <vt:lpwstr/>
      </vt:variant>
      <vt:variant>
        <vt:lpwstr>_Toc176450067</vt:lpwstr>
      </vt:variant>
      <vt:variant>
        <vt:i4>1179698</vt:i4>
      </vt:variant>
      <vt:variant>
        <vt:i4>395</vt:i4>
      </vt:variant>
      <vt:variant>
        <vt:i4>0</vt:i4>
      </vt:variant>
      <vt:variant>
        <vt:i4>5</vt:i4>
      </vt:variant>
      <vt:variant>
        <vt:lpwstr/>
      </vt:variant>
      <vt:variant>
        <vt:lpwstr>_Toc176450066</vt:lpwstr>
      </vt:variant>
      <vt:variant>
        <vt:i4>1179698</vt:i4>
      </vt:variant>
      <vt:variant>
        <vt:i4>389</vt:i4>
      </vt:variant>
      <vt:variant>
        <vt:i4>0</vt:i4>
      </vt:variant>
      <vt:variant>
        <vt:i4>5</vt:i4>
      </vt:variant>
      <vt:variant>
        <vt:lpwstr/>
      </vt:variant>
      <vt:variant>
        <vt:lpwstr>_Toc176450065</vt:lpwstr>
      </vt:variant>
      <vt:variant>
        <vt:i4>1179698</vt:i4>
      </vt:variant>
      <vt:variant>
        <vt:i4>383</vt:i4>
      </vt:variant>
      <vt:variant>
        <vt:i4>0</vt:i4>
      </vt:variant>
      <vt:variant>
        <vt:i4>5</vt:i4>
      </vt:variant>
      <vt:variant>
        <vt:lpwstr/>
      </vt:variant>
      <vt:variant>
        <vt:lpwstr>_Toc176450064</vt:lpwstr>
      </vt:variant>
      <vt:variant>
        <vt:i4>1179698</vt:i4>
      </vt:variant>
      <vt:variant>
        <vt:i4>377</vt:i4>
      </vt:variant>
      <vt:variant>
        <vt:i4>0</vt:i4>
      </vt:variant>
      <vt:variant>
        <vt:i4>5</vt:i4>
      </vt:variant>
      <vt:variant>
        <vt:lpwstr/>
      </vt:variant>
      <vt:variant>
        <vt:lpwstr>_Toc176450063</vt:lpwstr>
      </vt:variant>
      <vt:variant>
        <vt:i4>1179698</vt:i4>
      </vt:variant>
      <vt:variant>
        <vt:i4>371</vt:i4>
      </vt:variant>
      <vt:variant>
        <vt:i4>0</vt:i4>
      </vt:variant>
      <vt:variant>
        <vt:i4>5</vt:i4>
      </vt:variant>
      <vt:variant>
        <vt:lpwstr/>
      </vt:variant>
      <vt:variant>
        <vt:lpwstr>_Toc176450062</vt:lpwstr>
      </vt:variant>
      <vt:variant>
        <vt:i4>1179698</vt:i4>
      </vt:variant>
      <vt:variant>
        <vt:i4>365</vt:i4>
      </vt:variant>
      <vt:variant>
        <vt:i4>0</vt:i4>
      </vt:variant>
      <vt:variant>
        <vt:i4>5</vt:i4>
      </vt:variant>
      <vt:variant>
        <vt:lpwstr/>
      </vt:variant>
      <vt:variant>
        <vt:lpwstr>_Toc176450061</vt:lpwstr>
      </vt:variant>
      <vt:variant>
        <vt:i4>1179698</vt:i4>
      </vt:variant>
      <vt:variant>
        <vt:i4>359</vt:i4>
      </vt:variant>
      <vt:variant>
        <vt:i4>0</vt:i4>
      </vt:variant>
      <vt:variant>
        <vt:i4>5</vt:i4>
      </vt:variant>
      <vt:variant>
        <vt:lpwstr/>
      </vt:variant>
      <vt:variant>
        <vt:lpwstr>_Toc176450060</vt:lpwstr>
      </vt:variant>
      <vt:variant>
        <vt:i4>1114162</vt:i4>
      </vt:variant>
      <vt:variant>
        <vt:i4>350</vt:i4>
      </vt:variant>
      <vt:variant>
        <vt:i4>0</vt:i4>
      </vt:variant>
      <vt:variant>
        <vt:i4>5</vt:i4>
      </vt:variant>
      <vt:variant>
        <vt:lpwstr/>
      </vt:variant>
      <vt:variant>
        <vt:lpwstr>_Toc176450059</vt:lpwstr>
      </vt:variant>
      <vt:variant>
        <vt:i4>1114162</vt:i4>
      </vt:variant>
      <vt:variant>
        <vt:i4>344</vt:i4>
      </vt:variant>
      <vt:variant>
        <vt:i4>0</vt:i4>
      </vt:variant>
      <vt:variant>
        <vt:i4>5</vt:i4>
      </vt:variant>
      <vt:variant>
        <vt:lpwstr/>
      </vt:variant>
      <vt:variant>
        <vt:lpwstr>_Toc176450058</vt:lpwstr>
      </vt:variant>
      <vt:variant>
        <vt:i4>1114162</vt:i4>
      </vt:variant>
      <vt:variant>
        <vt:i4>338</vt:i4>
      </vt:variant>
      <vt:variant>
        <vt:i4>0</vt:i4>
      </vt:variant>
      <vt:variant>
        <vt:i4>5</vt:i4>
      </vt:variant>
      <vt:variant>
        <vt:lpwstr/>
      </vt:variant>
      <vt:variant>
        <vt:lpwstr>_Toc176450057</vt:lpwstr>
      </vt:variant>
      <vt:variant>
        <vt:i4>1114162</vt:i4>
      </vt:variant>
      <vt:variant>
        <vt:i4>332</vt:i4>
      </vt:variant>
      <vt:variant>
        <vt:i4>0</vt:i4>
      </vt:variant>
      <vt:variant>
        <vt:i4>5</vt:i4>
      </vt:variant>
      <vt:variant>
        <vt:lpwstr/>
      </vt:variant>
      <vt:variant>
        <vt:lpwstr>_Toc176450056</vt:lpwstr>
      </vt:variant>
      <vt:variant>
        <vt:i4>1114162</vt:i4>
      </vt:variant>
      <vt:variant>
        <vt:i4>326</vt:i4>
      </vt:variant>
      <vt:variant>
        <vt:i4>0</vt:i4>
      </vt:variant>
      <vt:variant>
        <vt:i4>5</vt:i4>
      </vt:variant>
      <vt:variant>
        <vt:lpwstr/>
      </vt:variant>
      <vt:variant>
        <vt:lpwstr>_Toc176450055</vt:lpwstr>
      </vt:variant>
      <vt:variant>
        <vt:i4>1114162</vt:i4>
      </vt:variant>
      <vt:variant>
        <vt:i4>320</vt:i4>
      </vt:variant>
      <vt:variant>
        <vt:i4>0</vt:i4>
      </vt:variant>
      <vt:variant>
        <vt:i4>5</vt:i4>
      </vt:variant>
      <vt:variant>
        <vt:lpwstr/>
      </vt:variant>
      <vt:variant>
        <vt:lpwstr>_Toc176450054</vt:lpwstr>
      </vt:variant>
      <vt:variant>
        <vt:i4>1114162</vt:i4>
      </vt:variant>
      <vt:variant>
        <vt:i4>314</vt:i4>
      </vt:variant>
      <vt:variant>
        <vt:i4>0</vt:i4>
      </vt:variant>
      <vt:variant>
        <vt:i4>5</vt:i4>
      </vt:variant>
      <vt:variant>
        <vt:lpwstr/>
      </vt:variant>
      <vt:variant>
        <vt:lpwstr>_Toc176450053</vt:lpwstr>
      </vt:variant>
      <vt:variant>
        <vt:i4>1114162</vt:i4>
      </vt:variant>
      <vt:variant>
        <vt:i4>308</vt:i4>
      </vt:variant>
      <vt:variant>
        <vt:i4>0</vt:i4>
      </vt:variant>
      <vt:variant>
        <vt:i4>5</vt:i4>
      </vt:variant>
      <vt:variant>
        <vt:lpwstr/>
      </vt:variant>
      <vt:variant>
        <vt:lpwstr>_Toc176450052</vt:lpwstr>
      </vt:variant>
      <vt:variant>
        <vt:i4>1114162</vt:i4>
      </vt:variant>
      <vt:variant>
        <vt:i4>302</vt:i4>
      </vt:variant>
      <vt:variant>
        <vt:i4>0</vt:i4>
      </vt:variant>
      <vt:variant>
        <vt:i4>5</vt:i4>
      </vt:variant>
      <vt:variant>
        <vt:lpwstr/>
      </vt:variant>
      <vt:variant>
        <vt:lpwstr>_Toc176450051</vt:lpwstr>
      </vt:variant>
      <vt:variant>
        <vt:i4>1114162</vt:i4>
      </vt:variant>
      <vt:variant>
        <vt:i4>296</vt:i4>
      </vt:variant>
      <vt:variant>
        <vt:i4>0</vt:i4>
      </vt:variant>
      <vt:variant>
        <vt:i4>5</vt:i4>
      </vt:variant>
      <vt:variant>
        <vt:lpwstr/>
      </vt:variant>
      <vt:variant>
        <vt:lpwstr>_Toc176450050</vt:lpwstr>
      </vt:variant>
      <vt:variant>
        <vt:i4>1048626</vt:i4>
      </vt:variant>
      <vt:variant>
        <vt:i4>290</vt:i4>
      </vt:variant>
      <vt:variant>
        <vt:i4>0</vt:i4>
      </vt:variant>
      <vt:variant>
        <vt:i4>5</vt:i4>
      </vt:variant>
      <vt:variant>
        <vt:lpwstr/>
      </vt:variant>
      <vt:variant>
        <vt:lpwstr>_Toc176450049</vt:lpwstr>
      </vt:variant>
      <vt:variant>
        <vt:i4>1048626</vt:i4>
      </vt:variant>
      <vt:variant>
        <vt:i4>284</vt:i4>
      </vt:variant>
      <vt:variant>
        <vt:i4>0</vt:i4>
      </vt:variant>
      <vt:variant>
        <vt:i4>5</vt:i4>
      </vt:variant>
      <vt:variant>
        <vt:lpwstr/>
      </vt:variant>
      <vt:variant>
        <vt:lpwstr>_Toc176450048</vt:lpwstr>
      </vt:variant>
      <vt:variant>
        <vt:i4>1048626</vt:i4>
      </vt:variant>
      <vt:variant>
        <vt:i4>278</vt:i4>
      </vt:variant>
      <vt:variant>
        <vt:i4>0</vt:i4>
      </vt:variant>
      <vt:variant>
        <vt:i4>5</vt:i4>
      </vt:variant>
      <vt:variant>
        <vt:lpwstr/>
      </vt:variant>
      <vt:variant>
        <vt:lpwstr>_Toc176450047</vt:lpwstr>
      </vt:variant>
      <vt:variant>
        <vt:i4>1048626</vt:i4>
      </vt:variant>
      <vt:variant>
        <vt:i4>272</vt:i4>
      </vt:variant>
      <vt:variant>
        <vt:i4>0</vt:i4>
      </vt:variant>
      <vt:variant>
        <vt:i4>5</vt:i4>
      </vt:variant>
      <vt:variant>
        <vt:lpwstr/>
      </vt:variant>
      <vt:variant>
        <vt:lpwstr>_Toc176450046</vt:lpwstr>
      </vt:variant>
      <vt:variant>
        <vt:i4>1048626</vt:i4>
      </vt:variant>
      <vt:variant>
        <vt:i4>266</vt:i4>
      </vt:variant>
      <vt:variant>
        <vt:i4>0</vt:i4>
      </vt:variant>
      <vt:variant>
        <vt:i4>5</vt:i4>
      </vt:variant>
      <vt:variant>
        <vt:lpwstr/>
      </vt:variant>
      <vt:variant>
        <vt:lpwstr>_Toc176450045</vt:lpwstr>
      </vt:variant>
      <vt:variant>
        <vt:i4>1048626</vt:i4>
      </vt:variant>
      <vt:variant>
        <vt:i4>260</vt:i4>
      </vt:variant>
      <vt:variant>
        <vt:i4>0</vt:i4>
      </vt:variant>
      <vt:variant>
        <vt:i4>5</vt:i4>
      </vt:variant>
      <vt:variant>
        <vt:lpwstr/>
      </vt:variant>
      <vt:variant>
        <vt:lpwstr>_Toc176450044</vt:lpwstr>
      </vt:variant>
      <vt:variant>
        <vt:i4>1048626</vt:i4>
      </vt:variant>
      <vt:variant>
        <vt:i4>254</vt:i4>
      </vt:variant>
      <vt:variant>
        <vt:i4>0</vt:i4>
      </vt:variant>
      <vt:variant>
        <vt:i4>5</vt:i4>
      </vt:variant>
      <vt:variant>
        <vt:lpwstr/>
      </vt:variant>
      <vt:variant>
        <vt:lpwstr>_Toc176450043</vt:lpwstr>
      </vt:variant>
      <vt:variant>
        <vt:i4>1048626</vt:i4>
      </vt:variant>
      <vt:variant>
        <vt:i4>248</vt:i4>
      </vt:variant>
      <vt:variant>
        <vt:i4>0</vt:i4>
      </vt:variant>
      <vt:variant>
        <vt:i4>5</vt:i4>
      </vt:variant>
      <vt:variant>
        <vt:lpwstr/>
      </vt:variant>
      <vt:variant>
        <vt:lpwstr>_Toc176450042</vt:lpwstr>
      </vt:variant>
      <vt:variant>
        <vt:i4>1048626</vt:i4>
      </vt:variant>
      <vt:variant>
        <vt:i4>242</vt:i4>
      </vt:variant>
      <vt:variant>
        <vt:i4>0</vt:i4>
      </vt:variant>
      <vt:variant>
        <vt:i4>5</vt:i4>
      </vt:variant>
      <vt:variant>
        <vt:lpwstr/>
      </vt:variant>
      <vt:variant>
        <vt:lpwstr>_Toc176450040</vt:lpwstr>
      </vt:variant>
      <vt:variant>
        <vt:i4>1507378</vt:i4>
      </vt:variant>
      <vt:variant>
        <vt:i4>236</vt:i4>
      </vt:variant>
      <vt:variant>
        <vt:i4>0</vt:i4>
      </vt:variant>
      <vt:variant>
        <vt:i4>5</vt:i4>
      </vt:variant>
      <vt:variant>
        <vt:lpwstr/>
      </vt:variant>
      <vt:variant>
        <vt:lpwstr>_Toc176450039</vt:lpwstr>
      </vt:variant>
      <vt:variant>
        <vt:i4>1507378</vt:i4>
      </vt:variant>
      <vt:variant>
        <vt:i4>230</vt:i4>
      </vt:variant>
      <vt:variant>
        <vt:i4>0</vt:i4>
      </vt:variant>
      <vt:variant>
        <vt:i4>5</vt:i4>
      </vt:variant>
      <vt:variant>
        <vt:lpwstr/>
      </vt:variant>
      <vt:variant>
        <vt:lpwstr>_Toc176450038</vt:lpwstr>
      </vt:variant>
      <vt:variant>
        <vt:i4>1507378</vt:i4>
      </vt:variant>
      <vt:variant>
        <vt:i4>224</vt:i4>
      </vt:variant>
      <vt:variant>
        <vt:i4>0</vt:i4>
      </vt:variant>
      <vt:variant>
        <vt:i4>5</vt:i4>
      </vt:variant>
      <vt:variant>
        <vt:lpwstr/>
      </vt:variant>
      <vt:variant>
        <vt:lpwstr>_Toc176450037</vt:lpwstr>
      </vt:variant>
      <vt:variant>
        <vt:i4>1507378</vt:i4>
      </vt:variant>
      <vt:variant>
        <vt:i4>218</vt:i4>
      </vt:variant>
      <vt:variant>
        <vt:i4>0</vt:i4>
      </vt:variant>
      <vt:variant>
        <vt:i4>5</vt:i4>
      </vt:variant>
      <vt:variant>
        <vt:lpwstr/>
      </vt:variant>
      <vt:variant>
        <vt:lpwstr>_Toc176450036</vt:lpwstr>
      </vt:variant>
      <vt:variant>
        <vt:i4>1507378</vt:i4>
      </vt:variant>
      <vt:variant>
        <vt:i4>212</vt:i4>
      </vt:variant>
      <vt:variant>
        <vt:i4>0</vt:i4>
      </vt:variant>
      <vt:variant>
        <vt:i4>5</vt:i4>
      </vt:variant>
      <vt:variant>
        <vt:lpwstr/>
      </vt:variant>
      <vt:variant>
        <vt:lpwstr>_Toc176450035</vt:lpwstr>
      </vt:variant>
      <vt:variant>
        <vt:i4>1507378</vt:i4>
      </vt:variant>
      <vt:variant>
        <vt:i4>206</vt:i4>
      </vt:variant>
      <vt:variant>
        <vt:i4>0</vt:i4>
      </vt:variant>
      <vt:variant>
        <vt:i4>5</vt:i4>
      </vt:variant>
      <vt:variant>
        <vt:lpwstr/>
      </vt:variant>
      <vt:variant>
        <vt:lpwstr>_Toc176450034</vt:lpwstr>
      </vt:variant>
      <vt:variant>
        <vt:i4>1507378</vt:i4>
      </vt:variant>
      <vt:variant>
        <vt:i4>200</vt:i4>
      </vt:variant>
      <vt:variant>
        <vt:i4>0</vt:i4>
      </vt:variant>
      <vt:variant>
        <vt:i4>5</vt:i4>
      </vt:variant>
      <vt:variant>
        <vt:lpwstr/>
      </vt:variant>
      <vt:variant>
        <vt:lpwstr>_Toc176450033</vt:lpwstr>
      </vt:variant>
      <vt:variant>
        <vt:i4>1507378</vt:i4>
      </vt:variant>
      <vt:variant>
        <vt:i4>194</vt:i4>
      </vt:variant>
      <vt:variant>
        <vt:i4>0</vt:i4>
      </vt:variant>
      <vt:variant>
        <vt:i4>5</vt:i4>
      </vt:variant>
      <vt:variant>
        <vt:lpwstr/>
      </vt:variant>
      <vt:variant>
        <vt:lpwstr>_Toc176450032</vt:lpwstr>
      </vt:variant>
      <vt:variant>
        <vt:i4>1507378</vt:i4>
      </vt:variant>
      <vt:variant>
        <vt:i4>188</vt:i4>
      </vt:variant>
      <vt:variant>
        <vt:i4>0</vt:i4>
      </vt:variant>
      <vt:variant>
        <vt:i4>5</vt:i4>
      </vt:variant>
      <vt:variant>
        <vt:lpwstr/>
      </vt:variant>
      <vt:variant>
        <vt:lpwstr>_Toc176450031</vt:lpwstr>
      </vt:variant>
      <vt:variant>
        <vt:i4>1507378</vt:i4>
      </vt:variant>
      <vt:variant>
        <vt:i4>182</vt:i4>
      </vt:variant>
      <vt:variant>
        <vt:i4>0</vt:i4>
      </vt:variant>
      <vt:variant>
        <vt:i4>5</vt:i4>
      </vt:variant>
      <vt:variant>
        <vt:lpwstr/>
      </vt:variant>
      <vt:variant>
        <vt:lpwstr>_Toc176450030</vt:lpwstr>
      </vt:variant>
      <vt:variant>
        <vt:i4>1441842</vt:i4>
      </vt:variant>
      <vt:variant>
        <vt:i4>176</vt:i4>
      </vt:variant>
      <vt:variant>
        <vt:i4>0</vt:i4>
      </vt:variant>
      <vt:variant>
        <vt:i4>5</vt:i4>
      </vt:variant>
      <vt:variant>
        <vt:lpwstr/>
      </vt:variant>
      <vt:variant>
        <vt:lpwstr>_Toc176450029</vt:lpwstr>
      </vt:variant>
      <vt:variant>
        <vt:i4>1441842</vt:i4>
      </vt:variant>
      <vt:variant>
        <vt:i4>170</vt:i4>
      </vt:variant>
      <vt:variant>
        <vt:i4>0</vt:i4>
      </vt:variant>
      <vt:variant>
        <vt:i4>5</vt:i4>
      </vt:variant>
      <vt:variant>
        <vt:lpwstr/>
      </vt:variant>
      <vt:variant>
        <vt:lpwstr>_Toc176450028</vt:lpwstr>
      </vt:variant>
      <vt:variant>
        <vt:i4>1441842</vt:i4>
      </vt:variant>
      <vt:variant>
        <vt:i4>164</vt:i4>
      </vt:variant>
      <vt:variant>
        <vt:i4>0</vt:i4>
      </vt:variant>
      <vt:variant>
        <vt:i4>5</vt:i4>
      </vt:variant>
      <vt:variant>
        <vt:lpwstr/>
      </vt:variant>
      <vt:variant>
        <vt:lpwstr>_Toc176450027</vt:lpwstr>
      </vt:variant>
      <vt:variant>
        <vt:i4>1441842</vt:i4>
      </vt:variant>
      <vt:variant>
        <vt:i4>158</vt:i4>
      </vt:variant>
      <vt:variant>
        <vt:i4>0</vt:i4>
      </vt:variant>
      <vt:variant>
        <vt:i4>5</vt:i4>
      </vt:variant>
      <vt:variant>
        <vt:lpwstr/>
      </vt:variant>
      <vt:variant>
        <vt:lpwstr>_Toc176450026</vt:lpwstr>
      </vt:variant>
      <vt:variant>
        <vt:i4>1441842</vt:i4>
      </vt:variant>
      <vt:variant>
        <vt:i4>152</vt:i4>
      </vt:variant>
      <vt:variant>
        <vt:i4>0</vt:i4>
      </vt:variant>
      <vt:variant>
        <vt:i4>5</vt:i4>
      </vt:variant>
      <vt:variant>
        <vt:lpwstr/>
      </vt:variant>
      <vt:variant>
        <vt:lpwstr>_Toc176450025</vt:lpwstr>
      </vt:variant>
      <vt:variant>
        <vt:i4>1441842</vt:i4>
      </vt:variant>
      <vt:variant>
        <vt:i4>146</vt:i4>
      </vt:variant>
      <vt:variant>
        <vt:i4>0</vt:i4>
      </vt:variant>
      <vt:variant>
        <vt:i4>5</vt:i4>
      </vt:variant>
      <vt:variant>
        <vt:lpwstr/>
      </vt:variant>
      <vt:variant>
        <vt:lpwstr>_Toc176450024</vt:lpwstr>
      </vt:variant>
      <vt:variant>
        <vt:i4>1441842</vt:i4>
      </vt:variant>
      <vt:variant>
        <vt:i4>140</vt:i4>
      </vt:variant>
      <vt:variant>
        <vt:i4>0</vt:i4>
      </vt:variant>
      <vt:variant>
        <vt:i4>5</vt:i4>
      </vt:variant>
      <vt:variant>
        <vt:lpwstr/>
      </vt:variant>
      <vt:variant>
        <vt:lpwstr>_Toc176450023</vt:lpwstr>
      </vt:variant>
      <vt:variant>
        <vt:i4>1441842</vt:i4>
      </vt:variant>
      <vt:variant>
        <vt:i4>134</vt:i4>
      </vt:variant>
      <vt:variant>
        <vt:i4>0</vt:i4>
      </vt:variant>
      <vt:variant>
        <vt:i4>5</vt:i4>
      </vt:variant>
      <vt:variant>
        <vt:lpwstr/>
      </vt:variant>
      <vt:variant>
        <vt:lpwstr>_Toc176450022</vt:lpwstr>
      </vt:variant>
      <vt:variant>
        <vt:i4>1441842</vt:i4>
      </vt:variant>
      <vt:variant>
        <vt:i4>128</vt:i4>
      </vt:variant>
      <vt:variant>
        <vt:i4>0</vt:i4>
      </vt:variant>
      <vt:variant>
        <vt:i4>5</vt:i4>
      </vt:variant>
      <vt:variant>
        <vt:lpwstr/>
      </vt:variant>
      <vt:variant>
        <vt:lpwstr>_Toc176450021</vt:lpwstr>
      </vt:variant>
      <vt:variant>
        <vt:i4>1441842</vt:i4>
      </vt:variant>
      <vt:variant>
        <vt:i4>122</vt:i4>
      </vt:variant>
      <vt:variant>
        <vt:i4>0</vt:i4>
      </vt:variant>
      <vt:variant>
        <vt:i4>5</vt:i4>
      </vt:variant>
      <vt:variant>
        <vt:lpwstr/>
      </vt:variant>
      <vt:variant>
        <vt:lpwstr>_Toc176450020</vt:lpwstr>
      </vt:variant>
      <vt:variant>
        <vt:i4>1376306</vt:i4>
      </vt:variant>
      <vt:variant>
        <vt:i4>116</vt:i4>
      </vt:variant>
      <vt:variant>
        <vt:i4>0</vt:i4>
      </vt:variant>
      <vt:variant>
        <vt:i4>5</vt:i4>
      </vt:variant>
      <vt:variant>
        <vt:lpwstr/>
      </vt:variant>
      <vt:variant>
        <vt:lpwstr>_Toc176450019</vt:lpwstr>
      </vt:variant>
      <vt:variant>
        <vt:i4>1376306</vt:i4>
      </vt:variant>
      <vt:variant>
        <vt:i4>110</vt:i4>
      </vt:variant>
      <vt:variant>
        <vt:i4>0</vt:i4>
      </vt:variant>
      <vt:variant>
        <vt:i4>5</vt:i4>
      </vt:variant>
      <vt:variant>
        <vt:lpwstr/>
      </vt:variant>
      <vt:variant>
        <vt:lpwstr>_Toc176450018</vt:lpwstr>
      </vt:variant>
      <vt:variant>
        <vt:i4>1376306</vt:i4>
      </vt:variant>
      <vt:variant>
        <vt:i4>104</vt:i4>
      </vt:variant>
      <vt:variant>
        <vt:i4>0</vt:i4>
      </vt:variant>
      <vt:variant>
        <vt:i4>5</vt:i4>
      </vt:variant>
      <vt:variant>
        <vt:lpwstr/>
      </vt:variant>
      <vt:variant>
        <vt:lpwstr>_Toc176450017</vt:lpwstr>
      </vt:variant>
      <vt:variant>
        <vt:i4>1376306</vt:i4>
      </vt:variant>
      <vt:variant>
        <vt:i4>98</vt:i4>
      </vt:variant>
      <vt:variant>
        <vt:i4>0</vt:i4>
      </vt:variant>
      <vt:variant>
        <vt:i4>5</vt:i4>
      </vt:variant>
      <vt:variant>
        <vt:lpwstr/>
      </vt:variant>
      <vt:variant>
        <vt:lpwstr>_Toc176450016</vt:lpwstr>
      </vt:variant>
      <vt:variant>
        <vt:i4>1376306</vt:i4>
      </vt:variant>
      <vt:variant>
        <vt:i4>92</vt:i4>
      </vt:variant>
      <vt:variant>
        <vt:i4>0</vt:i4>
      </vt:variant>
      <vt:variant>
        <vt:i4>5</vt:i4>
      </vt:variant>
      <vt:variant>
        <vt:lpwstr/>
      </vt:variant>
      <vt:variant>
        <vt:lpwstr>_Toc176450015</vt:lpwstr>
      </vt:variant>
      <vt:variant>
        <vt:i4>1376306</vt:i4>
      </vt:variant>
      <vt:variant>
        <vt:i4>86</vt:i4>
      </vt:variant>
      <vt:variant>
        <vt:i4>0</vt:i4>
      </vt:variant>
      <vt:variant>
        <vt:i4>5</vt:i4>
      </vt:variant>
      <vt:variant>
        <vt:lpwstr/>
      </vt:variant>
      <vt:variant>
        <vt:lpwstr>_Toc176450014</vt:lpwstr>
      </vt:variant>
      <vt:variant>
        <vt:i4>1376306</vt:i4>
      </vt:variant>
      <vt:variant>
        <vt:i4>80</vt:i4>
      </vt:variant>
      <vt:variant>
        <vt:i4>0</vt:i4>
      </vt:variant>
      <vt:variant>
        <vt:i4>5</vt:i4>
      </vt:variant>
      <vt:variant>
        <vt:lpwstr/>
      </vt:variant>
      <vt:variant>
        <vt:lpwstr>_Toc176450013</vt:lpwstr>
      </vt:variant>
      <vt:variant>
        <vt:i4>1376306</vt:i4>
      </vt:variant>
      <vt:variant>
        <vt:i4>74</vt:i4>
      </vt:variant>
      <vt:variant>
        <vt:i4>0</vt:i4>
      </vt:variant>
      <vt:variant>
        <vt:i4>5</vt:i4>
      </vt:variant>
      <vt:variant>
        <vt:lpwstr/>
      </vt:variant>
      <vt:variant>
        <vt:lpwstr>_Toc176450012</vt:lpwstr>
      </vt:variant>
      <vt:variant>
        <vt:i4>1376306</vt:i4>
      </vt:variant>
      <vt:variant>
        <vt:i4>68</vt:i4>
      </vt:variant>
      <vt:variant>
        <vt:i4>0</vt:i4>
      </vt:variant>
      <vt:variant>
        <vt:i4>5</vt:i4>
      </vt:variant>
      <vt:variant>
        <vt:lpwstr/>
      </vt:variant>
      <vt:variant>
        <vt:lpwstr>_Toc176450011</vt:lpwstr>
      </vt:variant>
      <vt:variant>
        <vt:i4>1376306</vt:i4>
      </vt:variant>
      <vt:variant>
        <vt:i4>62</vt:i4>
      </vt:variant>
      <vt:variant>
        <vt:i4>0</vt:i4>
      </vt:variant>
      <vt:variant>
        <vt:i4>5</vt:i4>
      </vt:variant>
      <vt:variant>
        <vt:lpwstr/>
      </vt:variant>
      <vt:variant>
        <vt:lpwstr>_Toc176450010</vt:lpwstr>
      </vt:variant>
      <vt:variant>
        <vt:i4>1310770</vt:i4>
      </vt:variant>
      <vt:variant>
        <vt:i4>56</vt:i4>
      </vt:variant>
      <vt:variant>
        <vt:i4>0</vt:i4>
      </vt:variant>
      <vt:variant>
        <vt:i4>5</vt:i4>
      </vt:variant>
      <vt:variant>
        <vt:lpwstr/>
      </vt:variant>
      <vt:variant>
        <vt:lpwstr>_Toc176450009</vt:lpwstr>
      </vt:variant>
      <vt:variant>
        <vt:i4>1310770</vt:i4>
      </vt:variant>
      <vt:variant>
        <vt:i4>50</vt:i4>
      </vt:variant>
      <vt:variant>
        <vt:i4>0</vt:i4>
      </vt:variant>
      <vt:variant>
        <vt:i4>5</vt:i4>
      </vt:variant>
      <vt:variant>
        <vt:lpwstr/>
      </vt:variant>
      <vt:variant>
        <vt:lpwstr>_Toc176450008</vt:lpwstr>
      </vt:variant>
      <vt:variant>
        <vt:i4>1310770</vt:i4>
      </vt:variant>
      <vt:variant>
        <vt:i4>44</vt:i4>
      </vt:variant>
      <vt:variant>
        <vt:i4>0</vt:i4>
      </vt:variant>
      <vt:variant>
        <vt:i4>5</vt:i4>
      </vt:variant>
      <vt:variant>
        <vt:lpwstr/>
      </vt:variant>
      <vt:variant>
        <vt:lpwstr>_Toc176450007</vt:lpwstr>
      </vt:variant>
      <vt:variant>
        <vt:i4>1310770</vt:i4>
      </vt:variant>
      <vt:variant>
        <vt:i4>38</vt:i4>
      </vt:variant>
      <vt:variant>
        <vt:i4>0</vt:i4>
      </vt:variant>
      <vt:variant>
        <vt:i4>5</vt:i4>
      </vt:variant>
      <vt:variant>
        <vt:lpwstr/>
      </vt:variant>
      <vt:variant>
        <vt:lpwstr>_Toc176450006</vt:lpwstr>
      </vt:variant>
      <vt:variant>
        <vt:i4>1310770</vt:i4>
      </vt:variant>
      <vt:variant>
        <vt:i4>32</vt:i4>
      </vt:variant>
      <vt:variant>
        <vt:i4>0</vt:i4>
      </vt:variant>
      <vt:variant>
        <vt:i4>5</vt:i4>
      </vt:variant>
      <vt:variant>
        <vt:lpwstr/>
      </vt:variant>
      <vt:variant>
        <vt:lpwstr>_Toc176450005</vt:lpwstr>
      </vt:variant>
      <vt:variant>
        <vt:i4>1310770</vt:i4>
      </vt:variant>
      <vt:variant>
        <vt:i4>26</vt:i4>
      </vt:variant>
      <vt:variant>
        <vt:i4>0</vt:i4>
      </vt:variant>
      <vt:variant>
        <vt:i4>5</vt:i4>
      </vt:variant>
      <vt:variant>
        <vt:lpwstr/>
      </vt:variant>
      <vt:variant>
        <vt:lpwstr>_Toc176450004</vt:lpwstr>
      </vt:variant>
      <vt:variant>
        <vt:i4>1310770</vt:i4>
      </vt:variant>
      <vt:variant>
        <vt:i4>20</vt:i4>
      </vt:variant>
      <vt:variant>
        <vt:i4>0</vt:i4>
      </vt:variant>
      <vt:variant>
        <vt:i4>5</vt:i4>
      </vt:variant>
      <vt:variant>
        <vt:lpwstr/>
      </vt:variant>
      <vt:variant>
        <vt:lpwstr>_Toc176450003</vt:lpwstr>
      </vt:variant>
      <vt:variant>
        <vt:i4>1310770</vt:i4>
      </vt:variant>
      <vt:variant>
        <vt:i4>14</vt:i4>
      </vt:variant>
      <vt:variant>
        <vt:i4>0</vt:i4>
      </vt:variant>
      <vt:variant>
        <vt:i4>5</vt:i4>
      </vt:variant>
      <vt:variant>
        <vt:lpwstr/>
      </vt:variant>
      <vt:variant>
        <vt:lpwstr>_Toc176450002</vt:lpwstr>
      </vt:variant>
      <vt:variant>
        <vt:i4>5636148</vt:i4>
      </vt:variant>
      <vt:variant>
        <vt:i4>3</vt:i4>
      </vt:variant>
      <vt:variant>
        <vt:i4>0</vt:i4>
      </vt:variant>
      <vt:variant>
        <vt:i4>5</vt:i4>
      </vt:variant>
      <vt:variant>
        <vt:lpwstr>mailto:qilt@srcentre.com.au</vt:lpwstr>
      </vt:variant>
      <vt:variant>
        <vt:lpwstr/>
      </vt:variant>
      <vt:variant>
        <vt:i4>2555964</vt:i4>
      </vt:variant>
      <vt:variant>
        <vt:i4>0</vt:i4>
      </vt:variant>
      <vt:variant>
        <vt:i4>0</vt:i4>
      </vt:variant>
      <vt:variant>
        <vt:i4>5</vt:i4>
      </vt:variant>
      <vt:variant>
        <vt:lpwstr>http://www.qilt.edu.au/</vt:lpwstr>
      </vt:variant>
      <vt:variant>
        <vt:lpwstr/>
      </vt:variant>
      <vt:variant>
        <vt:i4>4718662</vt:i4>
      </vt:variant>
      <vt:variant>
        <vt:i4>0</vt:i4>
      </vt:variant>
      <vt:variant>
        <vt:i4>0</vt:i4>
      </vt:variant>
      <vt:variant>
        <vt:i4>5</vt:i4>
      </vt:variant>
      <vt:variant>
        <vt:lpwstr>https://nsse.indiana.edu/nsse/reports-data/report-builder/index.html</vt:lpwstr>
      </vt:variant>
      <vt:variant>
        <vt:lpwstr/>
      </vt:variant>
      <vt:variant>
        <vt:i4>6029358</vt:i4>
      </vt:variant>
      <vt:variant>
        <vt:i4>0</vt:i4>
      </vt:variant>
      <vt:variant>
        <vt:i4>0</vt:i4>
      </vt:variant>
      <vt:variant>
        <vt:i4>5</vt:i4>
      </vt:variant>
      <vt:variant>
        <vt:lpwstr>mailto:lspencer@srcentre.com.au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gordonstreet1@optusnet.com.au</dc:creator>
  <cp:keywords/>
  <dc:description/>
  <cp:lastModifiedBy>Columbia Winterton</cp:lastModifiedBy>
  <cp:revision>7</cp:revision>
  <cp:lastPrinted>2025-08-28T06:15:00Z</cp:lastPrinted>
  <dcterms:created xsi:type="dcterms:W3CDTF">2025-08-28T06:14:00Z</dcterms:created>
  <dcterms:modified xsi:type="dcterms:W3CDTF">2025-09-08T06:47:00Z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0x010100BB98A18D3684994C9C52717DA600DB9E</vt:lpwstr>
  </property>
  <property fmtid="{D5CDD505-2E9C-101B-9397-08002B2CF9AE}" pid="3" name="MediaServiceImageTags">
    <vt:lpwstr/>
  </property>
</Properties>
</file>