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CA75A" w14:textId="31635BC8" w:rsidR="00821227" w:rsidRPr="002867E0" w:rsidRDefault="00821227" w:rsidP="00821227">
      <w:pPr>
        <w:pStyle w:val="DocumentTitle1"/>
      </w:pPr>
      <w:bookmarkStart w:id="0" w:name="_Hlk204872894"/>
      <w:bookmarkEnd w:id="0"/>
      <w:r w:rsidRPr="002867E0">
        <w:t>202</w:t>
      </w:r>
      <w:r w:rsidR="002867E0" w:rsidRPr="002867E0">
        <w:t>4</w:t>
      </w:r>
      <w:r w:rsidRPr="002867E0">
        <w:t xml:space="preserve"> Student Experience Survey </w:t>
      </w:r>
    </w:p>
    <w:p w14:paraId="1D7CF9AB" w14:textId="4104E6A8" w:rsidR="00821227" w:rsidRPr="002867E0" w:rsidRDefault="00821227" w:rsidP="00821227">
      <w:pPr>
        <w:pStyle w:val="DocumentTitle2"/>
        <w:rPr>
          <w:color w:val="auto"/>
        </w:rPr>
      </w:pPr>
      <w:r w:rsidRPr="002867E0">
        <w:rPr>
          <w:color w:val="auto"/>
        </w:rPr>
        <w:t>International Report</w:t>
      </w:r>
      <w:r w:rsidR="00252027">
        <w:rPr>
          <w:color w:val="auto"/>
        </w:rPr>
        <w:t xml:space="preserve"> </w:t>
      </w:r>
      <w:r w:rsidR="00252027" w:rsidRPr="00E8656C">
        <w:rPr>
          <w:rFonts w:ascii="Arial" w:hAnsi="Arial" w:cs="Arial"/>
          <w:color w:val="auto"/>
        </w:rPr>
        <w:t>– Accessible</w:t>
      </w:r>
    </w:p>
    <w:p w14:paraId="5E82E405" w14:textId="5A490169" w:rsidR="00821227" w:rsidRPr="002867E0" w:rsidRDefault="00B04A61" w:rsidP="00821227">
      <w:pPr>
        <w:pStyle w:val="DocumentTitle3"/>
        <w:rPr>
          <w:color w:val="auto"/>
          <w:highlight w:val="yellow"/>
        </w:rPr>
      </w:pPr>
      <w:r>
        <w:rPr>
          <w:color w:val="auto"/>
        </w:rPr>
        <w:t>OCTO</w:t>
      </w:r>
      <w:r w:rsidR="002F4B9F" w:rsidRPr="001B41A2">
        <w:rPr>
          <w:color w:val="auto"/>
        </w:rPr>
        <w:t>BER</w:t>
      </w:r>
      <w:r w:rsidR="00821227" w:rsidRPr="001B41A2">
        <w:rPr>
          <w:color w:val="auto"/>
        </w:rPr>
        <w:t xml:space="preserve"> </w:t>
      </w:r>
      <w:r w:rsidR="00821227" w:rsidRPr="002867E0">
        <w:rPr>
          <w:color w:val="auto"/>
        </w:rPr>
        <w:t>202</w:t>
      </w:r>
      <w:r w:rsidR="002867E0" w:rsidRPr="002867E0">
        <w:rPr>
          <w:color w:val="auto"/>
        </w:rPr>
        <w:t>5</w:t>
      </w:r>
    </w:p>
    <w:p w14:paraId="3467FC17" w14:textId="77777777" w:rsidR="007B0215" w:rsidRDefault="007B0215" w:rsidP="00821227">
      <w:pPr>
        <w:spacing w:before="107" w:line="218" w:lineRule="atLeast"/>
        <w:rPr>
          <w:highlight w:val="yellow"/>
        </w:rPr>
      </w:pPr>
    </w:p>
    <w:p w14:paraId="24E40C37" w14:textId="77777777" w:rsidR="00B04A61" w:rsidRDefault="00B04A61">
      <w:pPr>
        <w:spacing w:after="160" w:line="259" w:lineRule="auto"/>
        <w:rPr>
          <w:color w:val="000000" w:themeColor="text1"/>
          <w:sz w:val="40"/>
          <w:szCs w:val="40"/>
        </w:rPr>
      </w:pPr>
      <w:bookmarkStart w:id="1" w:name="_Toc531104094"/>
      <w:bookmarkStart w:id="2" w:name="_Toc193741145"/>
      <w:r>
        <w:rPr>
          <w:color w:val="000000" w:themeColor="text1"/>
          <w:sz w:val="40"/>
          <w:szCs w:val="40"/>
        </w:rPr>
        <w:br w:type="page"/>
      </w:r>
    </w:p>
    <w:p w14:paraId="5589C091" w14:textId="4094BB59" w:rsidR="00A53CFD" w:rsidRPr="00AE63CE" w:rsidRDefault="00A53CFD" w:rsidP="00625DC2">
      <w:pPr>
        <w:spacing w:before="107" w:line="218" w:lineRule="atLeast"/>
        <w:rPr>
          <w:color w:val="000000" w:themeColor="text1"/>
          <w:sz w:val="40"/>
          <w:szCs w:val="40"/>
        </w:rPr>
      </w:pPr>
      <w:r w:rsidRPr="00AE63CE">
        <w:rPr>
          <w:color w:val="000000" w:themeColor="text1"/>
          <w:sz w:val="40"/>
          <w:szCs w:val="40"/>
        </w:rPr>
        <w:lastRenderedPageBreak/>
        <w:t>Acknowledgements</w:t>
      </w:r>
      <w:bookmarkEnd w:id="1"/>
      <w:bookmarkEnd w:id="2"/>
    </w:p>
    <w:p w14:paraId="20AD59E9" w14:textId="77777777" w:rsidR="00A53CFD" w:rsidRPr="00A53CFD" w:rsidRDefault="00A53CFD" w:rsidP="00A53CFD">
      <w:pPr>
        <w:spacing w:before="120" w:after="120" w:line="300" w:lineRule="auto"/>
        <w:rPr>
          <w:rFonts w:eastAsia="Times New Roman" w:cs="Times New Roman"/>
          <w:szCs w:val="20"/>
        </w:rPr>
      </w:pPr>
      <w:r w:rsidRPr="00A53CFD">
        <w:rPr>
          <w:rFonts w:eastAsia="Times New Roman" w:cs="Times New Roman"/>
          <w:szCs w:val="20"/>
        </w:rPr>
        <w:t xml:space="preserve">The Quality Indicators for Learning and Teaching (QILT) survey program, including the Student Experience Survey (SES), is funded by the Australian Government Department of Education. </w:t>
      </w:r>
    </w:p>
    <w:p w14:paraId="355F1451" w14:textId="77777777" w:rsidR="00A53CFD" w:rsidRPr="00A53CFD" w:rsidRDefault="00A53CFD" w:rsidP="00A53CFD">
      <w:pPr>
        <w:spacing w:before="120" w:after="120" w:line="300" w:lineRule="auto"/>
        <w:rPr>
          <w:rFonts w:eastAsia="Times New Roman" w:cs="Times New Roman"/>
          <w:szCs w:val="20"/>
        </w:rPr>
      </w:pPr>
      <w:r w:rsidRPr="00A53CFD">
        <w:rPr>
          <w:rFonts w:eastAsia="Times New Roman" w:cs="Times New Roman"/>
          <w:szCs w:val="20"/>
        </w:rPr>
        <w:t xml:space="preserve">The Australian Government Department of Education and the Social Research Centre acknowledge the Traditional Owners and Custodians of the lands, waters and community on which this research was conducted. We pay our respects to them, their cultures and Elders past, present and emerging. </w:t>
      </w:r>
    </w:p>
    <w:p w14:paraId="1B9B24A5" w14:textId="77777777" w:rsidR="00A53CFD" w:rsidRPr="00A53CFD" w:rsidRDefault="00A53CFD" w:rsidP="00A53CFD">
      <w:pPr>
        <w:spacing w:before="120" w:after="120" w:line="300" w:lineRule="auto"/>
        <w:rPr>
          <w:rFonts w:eastAsia="Times New Roman" w:cs="Times New Roman"/>
          <w:szCs w:val="20"/>
        </w:rPr>
      </w:pPr>
      <w:r w:rsidRPr="00A53CFD">
        <w:rPr>
          <w:rFonts w:eastAsia="Times New Roman" w:cs="Times New Roman"/>
          <w:szCs w:val="20"/>
        </w:rPr>
        <w:t xml:space="preserve">The Social Research Centre would like to thank the higher education institutions that contributed to the SES in 2024. Without the enthusiastic and committed assistance of the survey managers and institutional planners, the 2024 SES would not have been such a success. </w:t>
      </w:r>
    </w:p>
    <w:p w14:paraId="29D990C7" w14:textId="77777777" w:rsidR="00A53CFD" w:rsidRPr="00A53CFD" w:rsidRDefault="00A53CFD" w:rsidP="00A53CFD">
      <w:pPr>
        <w:spacing w:before="120" w:after="120" w:line="300" w:lineRule="auto"/>
        <w:rPr>
          <w:rFonts w:eastAsia="Times New Roman" w:cs="Times New Roman"/>
          <w:szCs w:val="20"/>
        </w:rPr>
      </w:pPr>
      <w:r w:rsidRPr="00A53CFD">
        <w:rPr>
          <w:rFonts w:eastAsia="Times New Roman" w:cs="Times New Roman"/>
          <w:szCs w:val="20"/>
        </w:rPr>
        <w:t>We are also very grateful to the students who took the time to provide valuable feedback about their student experience. The SES data will be used by institutions for benchmarking and continuous improvement and will assist prospective students to make informed decisions about future study.</w:t>
      </w:r>
    </w:p>
    <w:p w14:paraId="1A93FD09" w14:textId="077A45E1" w:rsidR="00A53CFD" w:rsidRPr="00A53CFD" w:rsidRDefault="00A53CFD" w:rsidP="00A53CFD">
      <w:pPr>
        <w:spacing w:before="120" w:after="120" w:line="300" w:lineRule="auto"/>
        <w:rPr>
          <w:rFonts w:eastAsia="Times New Roman" w:cs="Times New Roman"/>
          <w:szCs w:val="20"/>
          <w:highlight w:val="yellow"/>
        </w:rPr>
      </w:pPr>
      <w:r w:rsidRPr="00A53CFD">
        <w:rPr>
          <w:rFonts w:eastAsia="Times New Roman" w:cs="Times New Roman"/>
          <w:szCs w:val="20"/>
        </w:rPr>
        <w:t>The 2024 SES was led by Graham Challice and the project team consisted of Lisa Bolton, Lauren Spencer, Cynthia Kim, Diana Nguyen, Vicky Tong,</w:t>
      </w:r>
      <w:r w:rsidR="00A66D73">
        <w:rPr>
          <w:rFonts w:eastAsia="Times New Roman" w:cs="Times New Roman"/>
          <w:szCs w:val="20"/>
        </w:rPr>
        <w:t xml:space="preserve"> Hamish</w:t>
      </w:r>
      <w:r w:rsidR="00E81F8B">
        <w:rPr>
          <w:rFonts w:eastAsia="Times New Roman" w:cs="Times New Roman"/>
          <w:szCs w:val="20"/>
        </w:rPr>
        <w:t xml:space="preserve"> Sc</w:t>
      </w:r>
      <w:r w:rsidR="009179FB">
        <w:rPr>
          <w:rFonts w:eastAsia="Times New Roman" w:cs="Times New Roman"/>
          <w:szCs w:val="20"/>
        </w:rPr>
        <w:t>o</w:t>
      </w:r>
      <w:r w:rsidR="00E81F8B">
        <w:rPr>
          <w:rFonts w:eastAsia="Times New Roman" w:cs="Times New Roman"/>
          <w:szCs w:val="20"/>
        </w:rPr>
        <w:t>tt-Stevenson</w:t>
      </w:r>
      <w:r w:rsidR="009179FB">
        <w:rPr>
          <w:rFonts w:eastAsia="Times New Roman" w:cs="Times New Roman"/>
          <w:szCs w:val="20"/>
        </w:rPr>
        <w:t>,</w:t>
      </w:r>
      <w:r w:rsidRPr="00A53CFD">
        <w:rPr>
          <w:rFonts w:eastAsia="Times New Roman" w:cs="Times New Roman"/>
          <w:szCs w:val="20"/>
        </w:rPr>
        <w:t xml:space="preserve"> Gabriel Ong, Hannah Madison, Emmanuel Mnatzaganian, Rahul Bet, Rawan Habibeh, Joe Feng, Anthony Begovic, Columbia Winterton and Serena Kim.</w:t>
      </w:r>
    </w:p>
    <w:p w14:paraId="3A5EF479" w14:textId="77777777" w:rsidR="00A53CFD" w:rsidRPr="00A53CFD" w:rsidRDefault="00A53CFD" w:rsidP="00A53CFD">
      <w:pPr>
        <w:spacing w:before="120" w:after="120" w:line="300" w:lineRule="auto"/>
        <w:rPr>
          <w:rFonts w:eastAsia="Times New Roman" w:cs="Times New Roman"/>
          <w:color w:val="000000" w:themeColor="text1"/>
          <w:szCs w:val="20"/>
          <w:u w:val="single"/>
        </w:rPr>
      </w:pPr>
      <w:r w:rsidRPr="00A53CFD">
        <w:rPr>
          <w:rFonts w:eastAsia="Times New Roman" w:cs="Times New Roman"/>
          <w:szCs w:val="20"/>
        </w:rPr>
        <w:t xml:space="preserve">For more information on the conduct and results of the 2024 SES including institutional response rates and data representativeness, see the 2024 SES Methodological Report and related tables on the QILT website: </w:t>
      </w:r>
      <w:hyperlink r:id="rId8" w:history="1">
        <w:r w:rsidRPr="00A53CFD">
          <w:rPr>
            <w:rFonts w:eastAsia="Times New Roman" w:cs="Times New Roman"/>
            <w:color w:val="000000" w:themeColor="text1"/>
            <w:szCs w:val="20"/>
            <w:u w:val="single"/>
          </w:rPr>
          <w:t>www.qilt.edu.au</w:t>
        </w:r>
      </w:hyperlink>
      <w:r w:rsidRPr="00A53CFD">
        <w:rPr>
          <w:rFonts w:eastAsia="Times New Roman" w:cs="Times New Roman"/>
          <w:szCs w:val="20"/>
        </w:rPr>
        <w:t xml:space="preserve">. The QILT team can be contacted by email at </w:t>
      </w:r>
      <w:hyperlink r:id="rId9" w:history="1">
        <w:r w:rsidRPr="00A53CFD">
          <w:rPr>
            <w:rFonts w:eastAsia="Times New Roman" w:cs="Times New Roman"/>
            <w:color w:val="000000" w:themeColor="text1"/>
            <w:szCs w:val="20"/>
            <w:u w:val="single"/>
          </w:rPr>
          <w:t>qilt@srcentre.com.au</w:t>
        </w:r>
      </w:hyperlink>
      <w:r w:rsidRPr="00A53CFD">
        <w:rPr>
          <w:rFonts w:eastAsia="Times New Roman" w:cs="Times New Roman"/>
          <w:color w:val="000000" w:themeColor="text1"/>
          <w:szCs w:val="20"/>
          <w:u w:val="single"/>
        </w:rPr>
        <w:t xml:space="preserve">. </w:t>
      </w:r>
    </w:p>
    <w:p w14:paraId="480C5440" w14:textId="77777777" w:rsidR="00A9284B" w:rsidRDefault="00A9284B" w:rsidP="00821227">
      <w:pPr>
        <w:pStyle w:val="Body"/>
        <w:rPr>
          <w:rStyle w:val="Hyperlink"/>
        </w:rPr>
      </w:pPr>
    </w:p>
    <w:p w14:paraId="5E1BF135" w14:textId="35946B9B" w:rsidR="00A53CFD" w:rsidRPr="00A53CFD" w:rsidRDefault="00A53CFD" w:rsidP="00821227">
      <w:pPr>
        <w:pStyle w:val="Body"/>
        <w:rPr>
          <w:rStyle w:val="Hyperlink"/>
        </w:rPr>
        <w:sectPr w:rsidR="00A53CFD" w:rsidRPr="00A53CFD" w:rsidSect="001B41A2">
          <w:pgSz w:w="11900" w:h="16840"/>
          <w:pgMar w:top="852" w:right="560" w:bottom="994" w:left="710" w:header="567" w:footer="567" w:gutter="0"/>
          <w:pgNumType w:fmt="lowerRoman" w:start="1"/>
          <w:cols w:space="708"/>
          <w:titlePg/>
          <w:docGrid w:linePitch="360"/>
        </w:sectPr>
      </w:pPr>
    </w:p>
    <w:p w14:paraId="508D8EA7" w14:textId="39A3227F" w:rsidR="00821227" w:rsidRPr="00493D41" w:rsidRDefault="00A9284B" w:rsidP="00A9284B">
      <w:pPr>
        <w:pStyle w:val="MajorHeading"/>
        <w:rPr>
          <w:color w:val="000000" w:themeColor="text1"/>
        </w:rPr>
      </w:pPr>
      <w:bookmarkStart w:id="3" w:name="_Toc206692257"/>
      <w:r w:rsidRPr="00493D41">
        <w:rPr>
          <w:color w:val="000000" w:themeColor="text1"/>
        </w:rPr>
        <w:lastRenderedPageBreak/>
        <w:t xml:space="preserve">Executive </w:t>
      </w:r>
      <w:r w:rsidR="0088791E" w:rsidRPr="00493D41">
        <w:rPr>
          <w:color w:val="000000" w:themeColor="text1"/>
        </w:rPr>
        <w:t>s</w:t>
      </w:r>
      <w:r w:rsidRPr="00493D41">
        <w:rPr>
          <w:color w:val="000000" w:themeColor="text1"/>
        </w:rPr>
        <w:t>ummary</w:t>
      </w:r>
      <w:bookmarkEnd w:id="3"/>
    </w:p>
    <w:p w14:paraId="1C7BB59D" w14:textId="77777777" w:rsidR="00BA5EED" w:rsidRPr="00493D41" w:rsidRDefault="00BA5EED" w:rsidP="00BA5EED">
      <w:pPr>
        <w:pStyle w:val="SubHeading1"/>
        <w:rPr>
          <w:color w:val="000000" w:themeColor="text1"/>
          <w:lang w:val="en-GB" w:eastAsia="en-GB"/>
        </w:rPr>
      </w:pPr>
      <w:r w:rsidRPr="00493D41">
        <w:rPr>
          <w:color w:val="000000" w:themeColor="text1"/>
          <w:lang w:val="en-GB" w:eastAsia="en-GB"/>
        </w:rPr>
        <w:t>About the Student Experience Survey (SES)</w:t>
      </w:r>
    </w:p>
    <w:p w14:paraId="5176AA04" w14:textId="77777777" w:rsidR="00EE4A80" w:rsidRDefault="002022AC" w:rsidP="00EE4A80">
      <w:pPr>
        <w:pStyle w:val="Body"/>
      </w:pPr>
      <w:r>
        <w:t>T</w:t>
      </w:r>
      <w:r w:rsidRPr="00B05A15">
        <w:t>he S</w:t>
      </w:r>
      <w:r>
        <w:t>tudent Experience Survey (S</w:t>
      </w:r>
      <w:r w:rsidRPr="00B05A15">
        <w:t>ES</w:t>
      </w:r>
      <w:r>
        <w:t>)</w:t>
      </w:r>
      <w:r w:rsidRPr="00B05A15">
        <w:t xml:space="preserve"> </w:t>
      </w:r>
      <w:r w:rsidRPr="00AC09A8">
        <w:t>is one of four surveys in the Quality Indicators for Learning and Teaching (QILT) program.</w:t>
      </w:r>
      <w:r>
        <w:t xml:space="preserve"> </w:t>
      </w:r>
      <w:r w:rsidR="006B1189" w:rsidRPr="00AC09A8">
        <w:t>The SES</w:t>
      </w:r>
      <w:r w:rsidR="006B1189">
        <w:t xml:space="preserve"> provides a national framework for collecting data on the key</w:t>
      </w:r>
      <w:r w:rsidR="006B1189" w:rsidRPr="00AC09A8">
        <w:t xml:space="preserve"> aspects of t</w:t>
      </w:r>
      <w:r w:rsidR="006B1189">
        <w:t xml:space="preserve">he higher education </w:t>
      </w:r>
      <w:r w:rsidR="006B1189" w:rsidRPr="00AC09A8">
        <w:t>student experience</w:t>
      </w:r>
      <w:r w:rsidR="00BA5EED" w:rsidRPr="00DB0123">
        <w:t>.</w:t>
      </w:r>
      <w:r w:rsidR="006F6D42" w:rsidRPr="00DB0123">
        <w:t xml:space="preserve"> </w:t>
      </w:r>
      <w:r w:rsidR="00EE4A80">
        <w:t>These key aspects are referred to in the SES as focus areas and they are</w:t>
      </w:r>
      <w:r w:rsidR="00EE4A80" w:rsidRPr="00B05A15">
        <w:t>:</w:t>
      </w:r>
    </w:p>
    <w:p w14:paraId="506544CD" w14:textId="1F854949" w:rsidR="00EE4A80" w:rsidRPr="002844AA" w:rsidRDefault="00EE4A80" w:rsidP="00EE4A80">
      <w:pPr>
        <w:pStyle w:val="Body"/>
        <w:numPr>
          <w:ilvl w:val="0"/>
          <w:numId w:val="16"/>
        </w:numPr>
      </w:pPr>
      <w:r w:rsidRPr="002844AA">
        <w:rPr>
          <w:b/>
          <w:bCs/>
        </w:rPr>
        <w:t>Skills Development</w:t>
      </w:r>
      <w:r w:rsidRPr="002844AA">
        <w:t>: Evaluates how students have developed their skills and knowledge in eight areas, including foundation</w:t>
      </w:r>
      <w:r w:rsidR="00496D7E">
        <w:t>al</w:t>
      </w:r>
      <w:r w:rsidRPr="002844AA">
        <w:t>, collaborative, and adaptive skills.</w:t>
      </w:r>
    </w:p>
    <w:p w14:paraId="580D5525" w14:textId="77777777" w:rsidR="00EE4A80" w:rsidRPr="002844AA" w:rsidRDefault="00EE4A80" w:rsidP="00EE4A80">
      <w:pPr>
        <w:pStyle w:val="Body"/>
        <w:numPr>
          <w:ilvl w:val="0"/>
          <w:numId w:val="16"/>
        </w:numPr>
      </w:pPr>
      <w:r w:rsidRPr="002844AA">
        <w:rPr>
          <w:b/>
          <w:bCs/>
        </w:rPr>
        <w:t>Peer Engagement</w:t>
      </w:r>
      <w:r w:rsidRPr="002844AA">
        <w:t>: Assesses the frequency of student interactions with peers inside or outside formal study.</w:t>
      </w:r>
    </w:p>
    <w:p w14:paraId="12886322" w14:textId="77777777" w:rsidR="00EE4A80" w:rsidRPr="002844AA" w:rsidRDefault="00EE4A80" w:rsidP="00EE4A80">
      <w:pPr>
        <w:pStyle w:val="Body"/>
        <w:numPr>
          <w:ilvl w:val="0"/>
          <w:numId w:val="16"/>
        </w:numPr>
      </w:pPr>
      <w:r w:rsidRPr="002844AA">
        <w:rPr>
          <w:b/>
          <w:bCs/>
        </w:rPr>
        <w:t>Teaching Quality and Engagement</w:t>
      </w:r>
      <w:r w:rsidRPr="002844AA">
        <w:t>: Rates the relevance and focus of courses, overall teaching quality, and academic staff actions such as engaging students and providing feedback.</w:t>
      </w:r>
    </w:p>
    <w:p w14:paraId="154FB80A" w14:textId="77777777" w:rsidR="00EE4A80" w:rsidRPr="002844AA" w:rsidRDefault="00EE4A80" w:rsidP="00EE4A80">
      <w:pPr>
        <w:pStyle w:val="Body"/>
        <w:numPr>
          <w:ilvl w:val="0"/>
          <w:numId w:val="16"/>
        </w:numPr>
      </w:pPr>
      <w:r w:rsidRPr="002844AA">
        <w:rPr>
          <w:b/>
          <w:bCs/>
        </w:rPr>
        <w:t>Student Support and Services</w:t>
      </w:r>
      <w:r w:rsidRPr="002844AA">
        <w:t>: Measures the helpfulness of various supports and services provided by institutions, including administrative, career development, health, and financial services.</w:t>
      </w:r>
    </w:p>
    <w:p w14:paraId="2E542350" w14:textId="77777777" w:rsidR="00EE4A80" w:rsidRPr="002844AA" w:rsidRDefault="00EE4A80" w:rsidP="00EE4A80">
      <w:pPr>
        <w:pStyle w:val="Body"/>
        <w:numPr>
          <w:ilvl w:val="0"/>
          <w:numId w:val="16"/>
        </w:numPr>
      </w:pPr>
      <w:r w:rsidRPr="002844AA">
        <w:rPr>
          <w:b/>
          <w:bCs/>
        </w:rPr>
        <w:t>Learning Resources</w:t>
      </w:r>
      <w:r w:rsidRPr="002844AA">
        <w:t>: Evaluates the quality of learning resources in seven areas, including teaching spaces, equipment, and learning materials.</w:t>
      </w:r>
    </w:p>
    <w:p w14:paraId="6CDB7912" w14:textId="3B4340F9" w:rsidR="00EE4A80" w:rsidRPr="005D459B" w:rsidRDefault="00EE4A80" w:rsidP="00EE4A80">
      <w:pPr>
        <w:pStyle w:val="Body"/>
      </w:pPr>
      <w:bookmarkStart w:id="4" w:name="_Hlk200710369"/>
      <w:r>
        <w:t>The SES also measures</w:t>
      </w:r>
      <w:r w:rsidRPr="005D459B">
        <w:t xml:space="preserve"> the </w:t>
      </w:r>
      <w:r w:rsidR="00366C0A">
        <w:rPr>
          <w:b/>
          <w:bCs/>
        </w:rPr>
        <w:t>Overall Educational Experience</w:t>
      </w:r>
      <w:r>
        <w:t xml:space="preserve"> which is a stand-alone item in the survey. </w:t>
      </w:r>
      <w:r w:rsidR="00366C0A">
        <w:t>Overall Educational Experience</w:t>
      </w:r>
      <w:r>
        <w:t xml:space="preserve"> is closely related to students’ ratings of Teaching Quality and Engagement and Skills Development, and to areas outside the focus areas, such as students’ Sense of Belonging</w:t>
      </w:r>
      <w:r w:rsidR="00D0304B">
        <w:t xml:space="preserve">. </w:t>
      </w:r>
      <w:r w:rsidR="00325B53">
        <w:t>The Stud</w:t>
      </w:r>
      <w:r w:rsidR="001D1271">
        <w:t xml:space="preserve">ent Experience Survey also includes an international student module which </w:t>
      </w:r>
      <w:r w:rsidR="0069416B">
        <w:t xml:space="preserve">seeks information on students’ satisfaction with aspects of living in Australia and </w:t>
      </w:r>
      <w:r w:rsidR="00DC7F32">
        <w:t xml:space="preserve">the </w:t>
      </w:r>
      <w:r w:rsidR="008B3C6F">
        <w:t xml:space="preserve">reasons that they have chosen Australia and their specific institution for their </w:t>
      </w:r>
      <w:r w:rsidR="00D758D6">
        <w:t xml:space="preserve">study. </w:t>
      </w:r>
      <w:r w:rsidR="00D0304B">
        <w:t xml:space="preserve">(See </w:t>
      </w:r>
      <w:r w:rsidR="00A372F8" w:rsidRPr="00E61C1F">
        <w:rPr>
          <w:b/>
          <w:bCs/>
        </w:rPr>
        <w:fldChar w:fldCharType="begin"/>
      </w:r>
      <w:r w:rsidR="00A372F8" w:rsidRPr="00E61C1F">
        <w:rPr>
          <w:b/>
          <w:bCs/>
        </w:rPr>
        <w:instrText xml:space="preserve"> REF _Ref205369423 \r \h </w:instrText>
      </w:r>
      <w:r w:rsidR="00E61C1F">
        <w:rPr>
          <w:b/>
          <w:bCs/>
        </w:rPr>
        <w:instrText xml:space="preserve"> \* MERGEFORMAT </w:instrText>
      </w:r>
      <w:r w:rsidR="00A372F8" w:rsidRPr="00E61C1F">
        <w:rPr>
          <w:b/>
          <w:bCs/>
        </w:rPr>
      </w:r>
      <w:r w:rsidR="00A372F8" w:rsidRPr="00E61C1F">
        <w:rPr>
          <w:b/>
          <w:bCs/>
        </w:rPr>
        <w:fldChar w:fldCharType="separate"/>
      </w:r>
      <w:r w:rsidR="00F96AB4">
        <w:rPr>
          <w:b/>
          <w:bCs/>
        </w:rPr>
        <w:t>Appendix 1</w:t>
      </w:r>
      <w:r w:rsidR="00A372F8" w:rsidRPr="00E61C1F">
        <w:rPr>
          <w:b/>
          <w:bCs/>
        </w:rPr>
        <w:fldChar w:fldCharType="end"/>
      </w:r>
      <w:r w:rsidR="00D0304B">
        <w:t xml:space="preserve"> for a list of the individual items in each </w:t>
      </w:r>
      <w:r w:rsidR="00B81AD7">
        <w:t>f</w:t>
      </w:r>
      <w:r w:rsidR="00D0304B">
        <w:t xml:space="preserve">ocus </w:t>
      </w:r>
      <w:r w:rsidR="00B81AD7">
        <w:t>a</w:t>
      </w:r>
      <w:r w:rsidR="00D0304B">
        <w:t xml:space="preserve">rea and all survey items on the </w:t>
      </w:r>
      <w:r w:rsidR="00D0304B" w:rsidRPr="00E61C1F">
        <w:t>QI</w:t>
      </w:r>
      <w:bookmarkStart w:id="5" w:name="_Hlt205365175"/>
      <w:bookmarkStart w:id="6" w:name="_Hlt205365176"/>
      <w:r w:rsidR="00D0304B" w:rsidRPr="00E61C1F">
        <w:t>L</w:t>
      </w:r>
      <w:bookmarkEnd w:id="5"/>
      <w:bookmarkEnd w:id="6"/>
      <w:r w:rsidR="00D0304B" w:rsidRPr="00E61C1F">
        <w:t xml:space="preserve">T </w:t>
      </w:r>
      <w:r w:rsidR="00E61C1F">
        <w:t>w</w:t>
      </w:r>
      <w:r w:rsidR="00D0304B" w:rsidRPr="00E61C1F">
        <w:t>ebsite</w:t>
      </w:r>
      <w:r w:rsidR="00E61C1F">
        <w:t xml:space="preserve">: </w:t>
      </w:r>
      <w:hyperlink r:id="rId10" w:history="1">
        <w:r w:rsidR="00E61C1F" w:rsidRPr="00E61C1F">
          <w:rPr>
            <w:rStyle w:val="Hyperlink"/>
          </w:rPr>
          <w:t>Student Experience Questionnaire (SEQ)</w:t>
        </w:r>
      </w:hyperlink>
      <w:r w:rsidR="00ED5FD2">
        <w:t>)</w:t>
      </w:r>
      <w:r w:rsidR="00D0304B">
        <w:t>.</w:t>
      </w:r>
    </w:p>
    <w:bookmarkEnd w:id="4"/>
    <w:p w14:paraId="3AC08C8B" w14:textId="77777777" w:rsidR="00EE4A80" w:rsidRDefault="00EE4A80" w:rsidP="00EE4A80">
      <w:pPr>
        <w:pStyle w:val="Body"/>
      </w:pPr>
      <w:r w:rsidRPr="00B21565">
        <w:t xml:space="preserve">The </w:t>
      </w:r>
      <w:r>
        <w:t>SES results</w:t>
      </w:r>
      <w:r w:rsidRPr="00B21565">
        <w:t xml:space="preserve"> relate to commencing and later year undergraduate and postgraduate coursework students enrolled in Australian higher education institutions</w:t>
      </w:r>
      <w:r>
        <w:t xml:space="preserve">. </w:t>
      </w:r>
    </w:p>
    <w:p w14:paraId="1AFAF942" w14:textId="3F7BBAFC" w:rsidR="00115B85" w:rsidRDefault="001030E1" w:rsidP="00115B85">
      <w:pPr>
        <w:pStyle w:val="Body"/>
      </w:pPr>
      <w:r w:rsidRPr="00277582">
        <w:t xml:space="preserve">The </w:t>
      </w:r>
      <w:r>
        <w:t>SES I</w:t>
      </w:r>
      <w:r w:rsidRPr="00277582">
        <w:t xml:space="preserve">nternational </w:t>
      </w:r>
      <w:r>
        <w:t>R</w:t>
      </w:r>
      <w:r w:rsidRPr="00277582">
        <w:t xml:space="preserve">eport complements the </w:t>
      </w:r>
      <w:r>
        <w:t>SES N</w:t>
      </w:r>
      <w:r w:rsidRPr="00277582">
        <w:t xml:space="preserve">ational </w:t>
      </w:r>
      <w:r>
        <w:t>R</w:t>
      </w:r>
      <w:r w:rsidRPr="00277582">
        <w:t>eport by providing a focused analysis of international students' experiences.</w:t>
      </w:r>
      <w:r>
        <w:t xml:space="preserve"> </w:t>
      </w:r>
      <w:r w:rsidR="00115B85">
        <w:t xml:space="preserve">In 2024, 149 higher education institutions participated in the SES, including 42 universities and 107 </w:t>
      </w:r>
      <w:r w:rsidR="00EF729E" w:rsidRPr="00F72F6F">
        <w:t>Non-University Higher Education Institutions</w:t>
      </w:r>
      <w:r w:rsidR="00EF729E">
        <w:t xml:space="preserve"> (</w:t>
      </w:r>
      <w:r w:rsidR="00115B85">
        <w:t>NUHEIs</w:t>
      </w:r>
      <w:r w:rsidR="00EF729E">
        <w:t>)</w:t>
      </w:r>
      <w:r w:rsidR="007E418D">
        <w:t>.</w:t>
      </w:r>
      <w:r w:rsidR="00115B85">
        <w:t xml:space="preserve"> </w:t>
      </w:r>
      <w:r w:rsidR="007869D5">
        <w:t>Of these, a</w:t>
      </w:r>
      <w:r w:rsidR="00115B85" w:rsidRPr="008F076F">
        <w:t xml:space="preserve">ll 42 universities and 97 NUHEIs had responses from international students, representing 90,378 responses </w:t>
      </w:r>
      <w:r w:rsidR="002F4BBD">
        <w:t xml:space="preserve">at the course level (89,668 responses at the student level) </w:t>
      </w:r>
      <w:r w:rsidR="00115B85" w:rsidRPr="008F076F">
        <w:t xml:space="preserve">and a </w:t>
      </w:r>
      <w:r w:rsidR="00115B85" w:rsidRPr="00A04D18">
        <w:t>response rate of 37.5 per cent.</w:t>
      </w:r>
    </w:p>
    <w:p w14:paraId="74BFA157" w14:textId="1393993C" w:rsidR="00A151E9" w:rsidRPr="00493D41" w:rsidRDefault="005A500B" w:rsidP="00A151E9">
      <w:pPr>
        <w:pStyle w:val="SubHeading1"/>
        <w:rPr>
          <w:color w:val="000000" w:themeColor="text1"/>
          <w:lang w:val="en-GB" w:eastAsia="en-GB"/>
        </w:rPr>
      </w:pPr>
      <w:r w:rsidRPr="00493D41">
        <w:rPr>
          <w:color w:val="000000" w:themeColor="text1"/>
          <w:lang w:val="en-GB" w:eastAsia="en-GB"/>
        </w:rPr>
        <w:t>Profile of the international respondents</w:t>
      </w:r>
    </w:p>
    <w:p w14:paraId="0C91849C" w14:textId="18EC30A4" w:rsidR="00AC54E4" w:rsidRDefault="00EF729E" w:rsidP="00CE236D">
      <w:pPr>
        <w:pStyle w:val="Body"/>
      </w:pPr>
      <w:r w:rsidRPr="00EF729E">
        <w:t xml:space="preserve">In 2024, international students made up a </w:t>
      </w:r>
      <w:r w:rsidR="00B23F06">
        <w:t>substantial</w:t>
      </w:r>
      <w:r w:rsidRPr="00EF729E">
        <w:t xml:space="preserve"> portion of survey respondents</w:t>
      </w:r>
      <w:r w:rsidR="008476A3">
        <w:t xml:space="preserve"> in the SES</w:t>
      </w:r>
      <w:r w:rsidRPr="00EF729E">
        <w:t xml:space="preserve">, comprising around one in </w:t>
      </w:r>
      <w:r w:rsidR="00F320D0">
        <w:t>5</w:t>
      </w:r>
      <w:r w:rsidRPr="00EF729E">
        <w:t xml:space="preserve"> undergraduates and more than half of postgraduate coursework students. </w:t>
      </w:r>
      <w:r w:rsidR="00AC54E4" w:rsidRPr="00AC54E4">
        <w:t>The undergraduate response rate closely aligned with their share of the overall student population, while postgraduate coursework international students were slightly overrepresented, making up 58</w:t>
      </w:r>
      <w:r w:rsidR="00D01CD3">
        <w:t>.0</w:t>
      </w:r>
      <w:r w:rsidR="00AC54E4" w:rsidRPr="00AC54E4">
        <w:t xml:space="preserve"> per cent of respondents compared to 54.8 per cent of the population.</w:t>
      </w:r>
    </w:p>
    <w:p w14:paraId="347CA357" w14:textId="695B1D76" w:rsidR="00AC54E4" w:rsidRDefault="00EF729E" w:rsidP="00CE236D">
      <w:pPr>
        <w:pStyle w:val="Body"/>
      </w:pPr>
      <w:r w:rsidRPr="00EF729E">
        <w:t>Most respondents came from a small number of countries, with students from Nepal, China</w:t>
      </w:r>
      <w:r w:rsidR="00D32043">
        <w:t xml:space="preserve"> </w:t>
      </w:r>
      <w:r w:rsidR="00D32043" w:rsidRPr="00027F64">
        <w:t>(excluding SARs and Taiwan)</w:t>
      </w:r>
      <w:r w:rsidRPr="00EF729E">
        <w:t>, India, and a few others making up the majority</w:t>
      </w:r>
      <w:r w:rsidR="00AC54E4">
        <w:t xml:space="preserve">. </w:t>
      </w:r>
      <w:r w:rsidR="00AC54E4" w:rsidRPr="00AC54E4">
        <w:t>Notably, students from China were under</w:t>
      </w:r>
      <w:r w:rsidR="00AC54E4">
        <w:t>-</w:t>
      </w:r>
      <w:r w:rsidR="00AC54E4" w:rsidRPr="00AC54E4">
        <w:t xml:space="preserve">represented due to lower response rates relative to their population share, while students from countries like Nepal and Bhutan </w:t>
      </w:r>
      <w:r w:rsidR="00AC54E4">
        <w:t xml:space="preserve">tended to be over-represented because of their </w:t>
      </w:r>
      <w:r w:rsidR="00AC54E4" w:rsidRPr="00AC54E4">
        <w:t xml:space="preserve">higher </w:t>
      </w:r>
      <w:r w:rsidR="00AC54E4">
        <w:t xml:space="preserve">response </w:t>
      </w:r>
      <w:r w:rsidR="00AC54E4" w:rsidRPr="00AC54E4">
        <w:t>rates</w:t>
      </w:r>
      <w:r w:rsidR="00AC54E4">
        <w:t>.</w:t>
      </w:r>
    </w:p>
    <w:p w14:paraId="3CA75C05" w14:textId="2805CF0B" w:rsidR="00CE236D" w:rsidRPr="00DB6FF8" w:rsidRDefault="00AC54E4" w:rsidP="00CE236D">
      <w:pPr>
        <w:pStyle w:val="Body"/>
      </w:pPr>
      <w:r w:rsidRPr="00AC54E4">
        <w:t>International students were primarily enrolled </w:t>
      </w:r>
      <w:r w:rsidR="00EF729E" w:rsidRPr="00EF729E">
        <w:t xml:space="preserve">in a limited number of study areas—particularly Business, Computing, and Nursing at the undergraduate level, and Business, Computing, Engineering, and Teacher </w:t>
      </w:r>
      <w:r w:rsidR="00F40D72">
        <w:t>e</w:t>
      </w:r>
      <w:r w:rsidR="00EF729E" w:rsidRPr="00EF729E">
        <w:t>ducation at the postgraduate level. A relatively small group of institutions accounted for a large share of responses, with both universities and NUHEIs playing a prominent role.</w:t>
      </w:r>
    </w:p>
    <w:p w14:paraId="4674BEC8" w14:textId="77B7BB55" w:rsidR="00B0703A" w:rsidRPr="00B0703A" w:rsidRDefault="00B0703A" w:rsidP="00B0703A">
      <w:pPr>
        <w:pStyle w:val="Body"/>
      </w:pPr>
      <w:r w:rsidRPr="00B0703A">
        <w:t xml:space="preserve">The proportion of international student respondents has increased notably in recent years, particularly at the postgraduate coursework level. In 2024, international postgraduate coursework students accounted for 58.0 per cent of all </w:t>
      </w:r>
      <w:r>
        <w:t xml:space="preserve">postgraduate coursework </w:t>
      </w:r>
      <w:r w:rsidRPr="00B0703A">
        <w:t xml:space="preserve">respondents—an increase of 5.3 percentage points from the previous peak of 52.7 per cent </w:t>
      </w:r>
      <w:r w:rsidRPr="00B0703A">
        <w:lastRenderedPageBreak/>
        <w:t>in 2020, and the highest level recorded since 2017. This growth reflects a continued rebound following the downturn during the COVID years.</w:t>
      </w:r>
    </w:p>
    <w:p w14:paraId="07C7D175" w14:textId="77777777" w:rsidR="00B0703A" w:rsidRPr="00B0703A" w:rsidRDefault="00B0703A" w:rsidP="00B0703A">
      <w:pPr>
        <w:pStyle w:val="Body"/>
      </w:pPr>
      <w:r w:rsidRPr="00B0703A">
        <w:t>At the undergraduate level, international representation rose to 20.1 per cent in 2024. While this also marked the highest level since 2017, it was only slightly above the previous peak of 19.6 per cent in 2020, indicating a more modest recovery in this cohort.</w:t>
      </w:r>
    </w:p>
    <w:p w14:paraId="3E4D6F53" w14:textId="6B3699DB" w:rsidR="00BA5EED" w:rsidRPr="00493D41" w:rsidRDefault="00BA5EED" w:rsidP="00BA5EED">
      <w:pPr>
        <w:pStyle w:val="SubHeading1"/>
        <w:rPr>
          <w:color w:val="000000" w:themeColor="text1"/>
          <w:lang w:val="en-GB" w:eastAsia="en-GB"/>
        </w:rPr>
      </w:pPr>
      <w:r w:rsidRPr="00493D41">
        <w:rPr>
          <w:color w:val="000000" w:themeColor="text1"/>
          <w:lang w:val="en-GB" w:eastAsia="en-GB"/>
        </w:rPr>
        <w:t>202</w:t>
      </w:r>
      <w:r w:rsidR="003865D7" w:rsidRPr="00493D41">
        <w:rPr>
          <w:color w:val="000000" w:themeColor="text1"/>
          <w:lang w:val="en-GB" w:eastAsia="en-GB"/>
        </w:rPr>
        <w:t>4</w:t>
      </w:r>
      <w:r w:rsidRPr="00493D41">
        <w:rPr>
          <w:color w:val="000000" w:themeColor="text1"/>
          <w:lang w:val="en-GB" w:eastAsia="en-GB"/>
        </w:rPr>
        <w:t xml:space="preserve"> Key findings</w:t>
      </w:r>
    </w:p>
    <w:p w14:paraId="4668EB46" w14:textId="01F9A52F" w:rsidR="006E7DFF" w:rsidRPr="00493D41" w:rsidRDefault="006E7DFF" w:rsidP="00C929AC">
      <w:pPr>
        <w:pStyle w:val="SubHeading20"/>
        <w:rPr>
          <w:color w:val="000000" w:themeColor="text1"/>
        </w:rPr>
      </w:pPr>
      <w:r w:rsidRPr="00493D41">
        <w:rPr>
          <w:color w:val="000000" w:themeColor="text1"/>
        </w:rPr>
        <w:t>International student</w:t>
      </w:r>
      <w:r w:rsidR="00BC6738" w:rsidRPr="00493D41">
        <w:rPr>
          <w:color w:val="000000" w:themeColor="text1"/>
        </w:rPr>
        <w:t xml:space="preserve"> education experience</w:t>
      </w:r>
    </w:p>
    <w:p w14:paraId="13878ED0" w14:textId="77FF2E61" w:rsidR="00240767" w:rsidRPr="00493D41" w:rsidRDefault="00741048" w:rsidP="00240767">
      <w:pPr>
        <w:pStyle w:val="Body"/>
        <w:rPr>
          <w:color w:val="000000" w:themeColor="text1"/>
        </w:rPr>
      </w:pPr>
      <w:r w:rsidRPr="00741048">
        <w:rPr>
          <w:lang w:eastAsia="en-GB"/>
        </w:rPr>
        <w:t xml:space="preserve">International students’ </w:t>
      </w:r>
      <w:r w:rsidR="000D53E2">
        <w:rPr>
          <w:lang w:eastAsia="en-GB"/>
        </w:rPr>
        <w:t>rating of their</w:t>
      </w:r>
      <w:r w:rsidRPr="00741048">
        <w:rPr>
          <w:lang w:eastAsia="en-GB"/>
        </w:rPr>
        <w:t xml:space="preserve"> </w:t>
      </w:r>
      <w:r w:rsidR="00366C0A">
        <w:rPr>
          <w:lang w:eastAsia="en-GB"/>
        </w:rPr>
        <w:t>Overall Educational Experience</w:t>
      </w:r>
      <w:r w:rsidRPr="00741048">
        <w:rPr>
          <w:lang w:eastAsia="en-GB"/>
        </w:rPr>
        <w:t xml:space="preserve"> in Australia remained high from 2017 to 2019, before declining sharply in 2020 due to the COVID-19 pandemic. Since then, postgraduate coursework students have reported a strong recovery, with ratings stabilising at higher levels from 2022 to 2024, even as enrolments increased. Undergraduate ratings have improved more gradually and have yet to return to pre-pandemic levels. Notably, Skills Development ratings reached their highest levels since 2017 in 2024, and Peer Engagement </w:t>
      </w:r>
      <w:r w:rsidR="009A6700">
        <w:rPr>
          <w:lang w:eastAsia="en-GB"/>
        </w:rPr>
        <w:t>ratings have</w:t>
      </w:r>
      <w:r w:rsidRPr="00741048">
        <w:rPr>
          <w:lang w:eastAsia="en-GB"/>
        </w:rPr>
        <w:t xml:space="preserve"> shown significant year-on-year improvement during the post-pandemic recovery for both international undergraduate and </w:t>
      </w:r>
      <w:r w:rsidRPr="00493D41">
        <w:rPr>
          <w:color w:val="000000" w:themeColor="text1"/>
          <w:lang w:eastAsia="en-GB"/>
        </w:rPr>
        <w:t>postgraduate coursework students</w:t>
      </w:r>
      <w:r w:rsidR="00A86CEF" w:rsidRPr="00493D41">
        <w:rPr>
          <w:color w:val="000000" w:themeColor="text1"/>
        </w:rPr>
        <w:t>.</w:t>
      </w:r>
    </w:p>
    <w:p w14:paraId="41E51843" w14:textId="5C0E8FDA" w:rsidR="00AC73D1" w:rsidRPr="00493D41" w:rsidRDefault="00AC73D1" w:rsidP="0047395D">
      <w:pPr>
        <w:pStyle w:val="SubHeading20"/>
        <w:rPr>
          <w:color w:val="000000" w:themeColor="text1"/>
          <w:lang w:eastAsia="en-GB"/>
        </w:rPr>
      </w:pPr>
      <w:r w:rsidRPr="00493D41">
        <w:rPr>
          <w:color w:val="000000" w:themeColor="text1"/>
          <w:lang w:eastAsia="en-GB"/>
        </w:rPr>
        <w:t>Comparison with domestic students</w:t>
      </w:r>
    </w:p>
    <w:p w14:paraId="23982A60" w14:textId="246729EF" w:rsidR="00851E8A" w:rsidRDefault="00851E8A" w:rsidP="00240767">
      <w:pPr>
        <w:pStyle w:val="Body"/>
        <w:rPr>
          <w:lang w:eastAsia="en-GB"/>
        </w:rPr>
      </w:pPr>
      <w:r w:rsidRPr="00851E8A">
        <w:rPr>
          <w:lang w:eastAsia="en-GB"/>
        </w:rPr>
        <w:t xml:space="preserve">While international students have historically rated their </w:t>
      </w:r>
      <w:r w:rsidR="00366C0A">
        <w:rPr>
          <w:lang w:eastAsia="en-GB"/>
        </w:rPr>
        <w:t>Overall Educational Experience</w:t>
      </w:r>
      <w:r w:rsidRPr="00851E8A">
        <w:rPr>
          <w:lang w:eastAsia="en-GB"/>
        </w:rPr>
        <w:t xml:space="preserve"> lower than domestic students, the gap has narrowed since 2021. By 2024, international postgraduate coursework student</w:t>
      </w:r>
      <w:r w:rsidR="003B737E">
        <w:rPr>
          <w:lang w:eastAsia="en-GB"/>
        </w:rPr>
        <w:t xml:space="preserve"> ratings</w:t>
      </w:r>
      <w:r w:rsidRPr="00851E8A">
        <w:rPr>
          <w:lang w:eastAsia="en-GB"/>
        </w:rPr>
        <w:t xml:space="preserve"> had returned to pre-pandemic levels, while domestic ratings </w:t>
      </w:r>
      <w:r w:rsidR="006E03D9">
        <w:rPr>
          <w:lang w:eastAsia="en-GB"/>
        </w:rPr>
        <w:t xml:space="preserve">continued to </w:t>
      </w:r>
      <w:r w:rsidRPr="00851E8A">
        <w:rPr>
          <w:lang w:eastAsia="en-GB"/>
        </w:rPr>
        <w:t xml:space="preserve">remain slightly lower. Notably, international students rated Skills Development more positively than domestic students in 2024—by 3.3 percentage points at the undergraduate level and 6.8 </w:t>
      </w:r>
      <w:r w:rsidR="00D11B5D">
        <w:rPr>
          <w:lang w:eastAsia="en-GB"/>
        </w:rPr>
        <w:t xml:space="preserve">percentage </w:t>
      </w:r>
      <w:r w:rsidRPr="00851E8A">
        <w:rPr>
          <w:lang w:eastAsia="en-GB"/>
        </w:rPr>
        <w:t xml:space="preserve">points at the postgraduate level. Peer Engagement also stood out, with international students reporting significantly higher ratings than domestic students, particularly in </w:t>
      </w:r>
      <w:r w:rsidR="000A69F8">
        <w:rPr>
          <w:lang w:eastAsia="en-GB"/>
        </w:rPr>
        <w:t xml:space="preserve">the </w:t>
      </w:r>
      <w:r w:rsidRPr="00851E8A">
        <w:rPr>
          <w:lang w:eastAsia="en-GB"/>
        </w:rPr>
        <w:t>postgraduate coursework</w:t>
      </w:r>
      <w:r w:rsidR="000A69F8">
        <w:rPr>
          <w:lang w:eastAsia="en-GB"/>
        </w:rPr>
        <w:t xml:space="preserve"> le</w:t>
      </w:r>
      <w:r w:rsidR="00BB56AE">
        <w:rPr>
          <w:lang w:eastAsia="en-GB"/>
        </w:rPr>
        <w:t>vel</w:t>
      </w:r>
      <w:r w:rsidRPr="00851E8A">
        <w:rPr>
          <w:lang w:eastAsia="en-GB"/>
        </w:rPr>
        <w:t>. In recent years, international students have also rated Teaching Quality</w:t>
      </w:r>
      <w:r w:rsidR="00B81AD7">
        <w:rPr>
          <w:lang w:eastAsia="en-GB"/>
        </w:rPr>
        <w:t xml:space="preserve"> and Engagement (formerly Teaching Quality)</w:t>
      </w:r>
      <w:r w:rsidRPr="00851E8A">
        <w:rPr>
          <w:lang w:eastAsia="en-GB"/>
        </w:rPr>
        <w:t>, Student Support, and Learning Resources more positively than their domestic peers, reflecting a shift in the relative experience of these two groups.</w:t>
      </w:r>
    </w:p>
    <w:p w14:paraId="28FD9E33" w14:textId="303E7E3D" w:rsidR="0056665C" w:rsidRPr="00493D41" w:rsidRDefault="0056665C" w:rsidP="0056665C">
      <w:pPr>
        <w:pStyle w:val="SubHeading20"/>
        <w:rPr>
          <w:color w:val="000000" w:themeColor="text1"/>
          <w:lang w:eastAsia="en-GB"/>
        </w:rPr>
      </w:pPr>
      <w:r w:rsidRPr="00493D41">
        <w:rPr>
          <w:color w:val="000000" w:themeColor="text1"/>
          <w:lang w:eastAsia="en-GB"/>
        </w:rPr>
        <w:t>Source country comparison</w:t>
      </w:r>
    </w:p>
    <w:p w14:paraId="1DF433EA" w14:textId="63F61AAD" w:rsidR="00BB56AE" w:rsidRPr="00493D41" w:rsidRDefault="007931DB" w:rsidP="00240767">
      <w:pPr>
        <w:pStyle w:val="Body"/>
        <w:rPr>
          <w:color w:val="000000" w:themeColor="text1"/>
          <w:lang w:eastAsia="en-GB"/>
        </w:rPr>
      </w:pPr>
      <w:r w:rsidRPr="007931DB">
        <w:rPr>
          <w:lang w:eastAsia="en-GB"/>
        </w:rPr>
        <w:t xml:space="preserve">In 2024, international students from a small number of countries made up the majority of survey respondents, with </w:t>
      </w:r>
      <w:r w:rsidR="00F320D0">
        <w:rPr>
          <w:lang w:eastAsia="en-GB"/>
        </w:rPr>
        <w:t>5</w:t>
      </w:r>
      <w:r w:rsidRPr="007931DB">
        <w:rPr>
          <w:lang w:eastAsia="en-GB"/>
        </w:rPr>
        <w:t xml:space="preserve"> countries accounting for over half of both undergraduate and postgraduate coursework cohorts. While </w:t>
      </w:r>
      <w:r w:rsidR="0043499D">
        <w:rPr>
          <w:lang w:eastAsia="en-GB"/>
        </w:rPr>
        <w:t xml:space="preserve">ratings of the </w:t>
      </w:r>
      <w:r w:rsidRPr="007931DB">
        <w:rPr>
          <w:lang w:eastAsia="en-GB"/>
        </w:rPr>
        <w:t xml:space="preserve">overall </w:t>
      </w:r>
      <w:r w:rsidR="0043499D">
        <w:rPr>
          <w:lang w:eastAsia="en-GB"/>
        </w:rPr>
        <w:t>experience</w:t>
      </w:r>
      <w:r w:rsidR="0043499D" w:rsidRPr="007931DB">
        <w:rPr>
          <w:lang w:eastAsia="en-GB"/>
        </w:rPr>
        <w:t xml:space="preserve"> </w:t>
      </w:r>
      <w:r w:rsidRPr="007931DB">
        <w:rPr>
          <w:lang w:eastAsia="en-GB"/>
        </w:rPr>
        <w:t xml:space="preserve">remained stable, notable differences emerged across source countries. Undergraduate students from India and Nepal reported the highest ratings for </w:t>
      </w:r>
      <w:r w:rsidR="00366C0A">
        <w:rPr>
          <w:lang w:eastAsia="en-GB"/>
        </w:rPr>
        <w:t>Overall Educational Experience</w:t>
      </w:r>
      <w:r w:rsidR="00363301">
        <w:rPr>
          <w:lang w:eastAsia="en-GB"/>
        </w:rPr>
        <w:t xml:space="preserve"> in 2024</w:t>
      </w:r>
      <w:r w:rsidRPr="007931DB">
        <w:rPr>
          <w:lang w:eastAsia="en-GB"/>
        </w:rPr>
        <w:t xml:space="preserve">, while those from China (excluding SARs and Taiwan) consistently rated most </w:t>
      </w:r>
      <w:r w:rsidR="00C26F31">
        <w:rPr>
          <w:lang w:eastAsia="en-GB"/>
        </w:rPr>
        <w:t>f</w:t>
      </w:r>
      <w:r w:rsidRPr="007931DB">
        <w:rPr>
          <w:lang w:eastAsia="en-GB"/>
        </w:rPr>
        <w:t xml:space="preserve">ocus </w:t>
      </w:r>
      <w:r w:rsidR="00C26F31">
        <w:rPr>
          <w:lang w:eastAsia="en-GB"/>
        </w:rPr>
        <w:t>a</w:t>
      </w:r>
      <w:r w:rsidRPr="007931DB">
        <w:rPr>
          <w:lang w:eastAsia="en-GB"/>
        </w:rPr>
        <w:t xml:space="preserve">reas lower—particularly Peer Engagement. This pattern was also evident at the postgraduate </w:t>
      </w:r>
      <w:r w:rsidR="00363301">
        <w:rPr>
          <w:lang w:eastAsia="en-GB"/>
        </w:rPr>
        <w:t xml:space="preserve">coursework </w:t>
      </w:r>
      <w:r w:rsidRPr="007931DB">
        <w:rPr>
          <w:lang w:eastAsia="en-GB"/>
        </w:rPr>
        <w:t xml:space="preserve">level, where </w:t>
      </w:r>
      <w:r w:rsidR="00742DCE">
        <w:rPr>
          <w:lang w:eastAsia="en-GB"/>
        </w:rPr>
        <w:t>respondent</w:t>
      </w:r>
      <w:r w:rsidRPr="007931DB">
        <w:rPr>
          <w:lang w:eastAsia="en-GB"/>
        </w:rPr>
        <w:t xml:space="preserve">s from the Philippines and </w:t>
      </w:r>
      <w:r w:rsidR="00113535">
        <w:rPr>
          <w:lang w:eastAsia="en-GB"/>
        </w:rPr>
        <w:t>Bhutan</w:t>
      </w:r>
      <w:r w:rsidRPr="007931DB">
        <w:rPr>
          <w:lang w:eastAsia="en-GB"/>
        </w:rPr>
        <w:t xml:space="preserve"> reported higher </w:t>
      </w:r>
      <w:r w:rsidR="00363301">
        <w:rPr>
          <w:lang w:eastAsia="en-GB"/>
        </w:rPr>
        <w:t>ratings</w:t>
      </w:r>
      <w:r w:rsidRPr="007931DB">
        <w:rPr>
          <w:lang w:eastAsia="en-GB"/>
        </w:rPr>
        <w:t>, and respondents</w:t>
      </w:r>
      <w:r w:rsidR="00363301">
        <w:rPr>
          <w:lang w:eastAsia="en-GB"/>
        </w:rPr>
        <w:t xml:space="preserve"> from </w:t>
      </w:r>
      <w:r w:rsidR="00363301" w:rsidRPr="007931DB">
        <w:rPr>
          <w:lang w:eastAsia="en-GB"/>
        </w:rPr>
        <w:t>China (excluding SARs and Taiwan)</w:t>
      </w:r>
      <w:r w:rsidR="00363301">
        <w:rPr>
          <w:lang w:eastAsia="en-GB"/>
        </w:rPr>
        <w:t xml:space="preserve"> </w:t>
      </w:r>
      <w:r w:rsidRPr="007931DB">
        <w:rPr>
          <w:lang w:eastAsia="en-GB"/>
        </w:rPr>
        <w:t xml:space="preserve">again reported lower ratings across most </w:t>
      </w:r>
      <w:r w:rsidR="00C26F31">
        <w:rPr>
          <w:lang w:eastAsia="en-GB"/>
        </w:rPr>
        <w:t>f</w:t>
      </w:r>
      <w:r w:rsidR="00742DCE">
        <w:rPr>
          <w:lang w:eastAsia="en-GB"/>
        </w:rPr>
        <w:t xml:space="preserve">ocus </w:t>
      </w:r>
      <w:r w:rsidR="00C26F31">
        <w:rPr>
          <w:lang w:eastAsia="en-GB"/>
        </w:rPr>
        <w:t>a</w:t>
      </w:r>
      <w:r w:rsidR="00742DCE">
        <w:rPr>
          <w:lang w:eastAsia="en-GB"/>
        </w:rPr>
        <w:t>reas</w:t>
      </w:r>
      <w:r w:rsidRPr="007931DB">
        <w:rPr>
          <w:lang w:eastAsia="en-GB"/>
        </w:rPr>
        <w:t xml:space="preserve">, except for Learning Resources. These findings highlight the importance of understanding the diverse </w:t>
      </w:r>
      <w:r w:rsidRPr="00493D41">
        <w:rPr>
          <w:color w:val="000000" w:themeColor="text1"/>
          <w:lang w:eastAsia="en-GB"/>
        </w:rPr>
        <w:t>expectations and experiences of international students from different cultural and educational backgrounds.</w:t>
      </w:r>
    </w:p>
    <w:p w14:paraId="6036B8F1" w14:textId="53A08200" w:rsidR="007A7BBF" w:rsidRPr="00493D41" w:rsidRDefault="00BE5220" w:rsidP="002A42BB">
      <w:pPr>
        <w:pStyle w:val="SubHeading20"/>
        <w:rPr>
          <w:color w:val="000000" w:themeColor="text1"/>
          <w:lang w:val="en-GB" w:eastAsia="en-GB"/>
        </w:rPr>
      </w:pPr>
      <w:r w:rsidRPr="00493D41">
        <w:rPr>
          <w:color w:val="000000" w:themeColor="text1"/>
          <w:lang w:val="en-GB" w:eastAsia="en-GB"/>
        </w:rPr>
        <w:t>Study area comparison</w:t>
      </w:r>
    </w:p>
    <w:p w14:paraId="0E60ED5E" w14:textId="3FE6545C" w:rsidR="00F32E28" w:rsidRPr="000E1F48" w:rsidRDefault="00D644B8" w:rsidP="00240767">
      <w:pPr>
        <w:pStyle w:val="Body"/>
        <w:rPr>
          <w:lang w:eastAsia="en-GB"/>
        </w:rPr>
      </w:pPr>
      <w:r w:rsidRPr="00D644B8">
        <w:rPr>
          <w:lang w:eastAsia="en-GB"/>
        </w:rPr>
        <w:t xml:space="preserve">The 2024 results </w:t>
      </w:r>
      <w:r w:rsidR="005305BC">
        <w:rPr>
          <w:lang w:eastAsia="en-GB"/>
        </w:rPr>
        <w:t>revealed</w:t>
      </w:r>
      <w:r w:rsidR="005305BC" w:rsidRPr="00D644B8">
        <w:rPr>
          <w:lang w:eastAsia="en-GB"/>
        </w:rPr>
        <w:t xml:space="preserve"> </w:t>
      </w:r>
      <w:r w:rsidRPr="00D644B8">
        <w:rPr>
          <w:lang w:eastAsia="en-GB"/>
        </w:rPr>
        <w:t xml:space="preserve">a </w:t>
      </w:r>
      <w:r w:rsidR="00BA1140">
        <w:rPr>
          <w:lang w:eastAsia="en-GB"/>
        </w:rPr>
        <w:t>diverse</w:t>
      </w:r>
      <w:r w:rsidR="00BA1140" w:rsidRPr="00D644B8">
        <w:rPr>
          <w:lang w:eastAsia="en-GB"/>
        </w:rPr>
        <w:t xml:space="preserve"> </w:t>
      </w:r>
      <w:r w:rsidRPr="00D644B8">
        <w:rPr>
          <w:lang w:eastAsia="en-GB"/>
        </w:rPr>
        <w:t xml:space="preserve">international student experience across different </w:t>
      </w:r>
      <w:r w:rsidR="00BE5220">
        <w:rPr>
          <w:lang w:eastAsia="en-GB"/>
        </w:rPr>
        <w:t>study areas</w:t>
      </w:r>
      <w:r w:rsidRPr="00D644B8">
        <w:rPr>
          <w:lang w:eastAsia="en-GB"/>
        </w:rPr>
        <w:t xml:space="preserve">. </w:t>
      </w:r>
      <w:r w:rsidR="00334A53">
        <w:rPr>
          <w:lang w:eastAsia="en-GB"/>
        </w:rPr>
        <w:t>U</w:t>
      </w:r>
      <w:r w:rsidR="00693248">
        <w:rPr>
          <w:lang w:eastAsia="en-GB"/>
        </w:rPr>
        <w:t>ndergraduate</w:t>
      </w:r>
      <w:r w:rsidR="00334A53">
        <w:rPr>
          <w:lang w:eastAsia="en-GB"/>
        </w:rPr>
        <w:t xml:space="preserve"> students </w:t>
      </w:r>
      <w:r w:rsidRPr="00D644B8">
        <w:rPr>
          <w:lang w:eastAsia="en-GB"/>
        </w:rPr>
        <w:t xml:space="preserve">in areas such as Tourism, </w:t>
      </w:r>
      <w:r w:rsidR="00DF7F29">
        <w:rPr>
          <w:lang w:eastAsia="en-GB"/>
        </w:rPr>
        <w:t>h</w:t>
      </w:r>
      <w:r w:rsidRPr="00D644B8">
        <w:rPr>
          <w:lang w:eastAsia="en-GB"/>
        </w:rPr>
        <w:t xml:space="preserve">ospitality, </w:t>
      </w:r>
      <w:r w:rsidR="002A2299">
        <w:rPr>
          <w:lang w:eastAsia="en-GB"/>
        </w:rPr>
        <w:t xml:space="preserve">personal services, </w:t>
      </w:r>
      <w:r w:rsidR="00DF7F29">
        <w:rPr>
          <w:lang w:eastAsia="en-GB"/>
        </w:rPr>
        <w:t>s</w:t>
      </w:r>
      <w:r w:rsidRPr="00D644B8">
        <w:rPr>
          <w:lang w:eastAsia="en-GB"/>
        </w:rPr>
        <w:t xml:space="preserve">port and </w:t>
      </w:r>
      <w:r w:rsidR="00DF7F29">
        <w:rPr>
          <w:lang w:eastAsia="en-GB"/>
        </w:rPr>
        <w:t>r</w:t>
      </w:r>
      <w:r w:rsidRPr="00D644B8">
        <w:rPr>
          <w:lang w:eastAsia="en-GB"/>
        </w:rPr>
        <w:t xml:space="preserve">ecreation, </w:t>
      </w:r>
      <w:r w:rsidR="000C48B7">
        <w:rPr>
          <w:lang w:eastAsia="en-GB"/>
        </w:rPr>
        <w:t xml:space="preserve">Health services and support and </w:t>
      </w:r>
      <w:r w:rsidRPr="00D644B8">
        <w:rPr>
          <w:lang w:eastAsia="en-GB"/>
        </w:rPr>
        <w:t>Nursing</w:t>
      </w:r>
      <w:r w:rsidR="003C243C">
        <w:rPr>
          <w:lang w:eastAsia="en-GB"/>
        </w:rPr>
        <w:t xml:space="preserve"> </w:t>
      </w:r>
      <w:r w:rsidR="00EB16B3">
        <w:rPr>
          <w:lang w:eastAsia="en-GB"/>
        </w:rPr>
        <w:t>reported</w:t>
      </w:r>
      <w:r w:rsidR="003C243C">
        <w:rPr>
          <w:lang w:eastAsia="en-GB"/>
        </w:rPr>
        <w:t xml:space="preserve"> higher ratings in their Overall Educational Experience</w:t>
      </w:r>
      <w:r w:rsidR="00EB16B3">
        <w:rPr>
          <w:lang w:eastAsia="en-GB"/>
        </w:rPr>
        <w:t xml:space="preserve">. In contrast, </w:t>
      </w:r>
      <w:r w:rsidR="00726D71" w:rsidRPr="00D644B8">
        <w:rPr>
          <w:lang w:eastAsia="en-GB"/>
        </w:rPr>
        <w:t xml:space="preserve">students </w:t>
      </w:r>
      <w:r w:rsidR="002404C4">
        <w:rPr>
          <w:lang w:eastAsia="en-GB"/>
        </w:rPr>
        <w:t xml:space="preserve">in </w:t>
      </w:r>
      <w:r w:rsidR="007A623F" w:rsidRPr="00D644B8">
        <w:rPr>
          <w:lang w:eastAsia="en-GB"/>
        </w:rPr>
        <w:t xml:space="preserve">Computing and </w:t>
      </w:r>
      <w:r w:rsidR="007A623F">
        <w:rPr>
          <w:lang w:eastAsia="en-GB"/>
        </w:rPr>
        <w:t>i</w:t>
      </w:r>
      <w:r w:rsidR="007A623F" w:rsidRPr="00D644B8">
        <w:rPr>
          <w:lang w:eastAsia="en-GB"/>
        </w:rPr>
        <w:t xml:space="preserve">nformation </w:t>
      </w:r>
      <w:r w:rsidR="007A623F">
        <w:rPr>
          <w:lang w:eastAsia="en-GB"/>
        </w:rPr>
        <w:t>s</w:t>
      </w:r>
      <w:r w:rsidR="007A623F" w:rsidRPr="00D644B8">
        <w:rPr>
          <w:lang w:eastAsia="en-GB"/>
        </w:rPr>
        <w:t>ystems, Rehabilitation</w:t>
      </w:r>
      <w:r w:rsidR="00ED1090">
        <w:rPr>
          <w:lang w:eastAsia="en-GB"/>
        </w:rPr>
        <w:t xml:space="preserve"> and Architecture and built environment</w:t>
      </w:r>
      <w:r w:rsidR="00653545">
        <w:rPr>
          <w:lang w:eastAsia="en-GB"/>
        </w:rPr>
        <w:t xml:space="preserve"> </w:t>
      </w:r>
      <w:r w:rsidR="00617944">
        <w:rPr>
          <w:lang w:eastAsia="en-GB"/>
        </w:rPr>
        <w:t>gave lower ratings</w:t>
      </w:r>
      <w:r w:rsidR="00ED1090">
        <w:rPr>
          <w:lang w:eastAsia="en-GB"/>
        </w:rPr>
        <w:t xml:space="preserve">. </w:t>
      </w:r>
      <w:r w:rsidR="00653545">
        <w:rPr>
          <w:lang w:eastAsia="en-GB"/>
        </w:rPr>
        <w:t>At the</w:t>
      </w:r>
      <w:r w:rsidR="00C5660A">
        <w:rPr>
          <w:lang w:eastAsia="en-GB"/>
        </w:rPr>
        <w:t xml:space="preserve"> postgraduate coursework</w:t>
      </w:r>
      <w:r w:rsidR="00653545">
        <w:rPr>
          <w:lang w:eastAsia="en-GB"/>
        </w:rPr>
        <w:t xml:space="preserve"> level,</w:t>
      </w:r>
      <w:r w:rsidR="00C5660A">
        <w:rPr>
          <w:lang w:eastAsia="en-GB"/>
        </w:rPr>
        <w:t xml:space="preserve"> students</w:t>
      </w:r>
      <w:r w:rsidR="00653545">
        <w:rPr>
          <w:lang w:eastAsia="en-GB"/>
        </w:rPr>
        <w:t xml:space="preserve"> from </w:t>
      </w:r>
      <w:r w:rsidR="0009741E" w:rsidRPr="00D644B8">
        <w:rPr>
          <w:lang w:eastAsia="en-GB"/>
        </w:rPr>
        <w:t>Humanities</w:t>
      </w:r>
      <w:r w:rsidR="0009741E">
        <w:rPr>
          <w:lang w:eastAsia="en-GB"/>
        </w:rPr>
        <w:t>, culture and social sciences</w:t>
      </w:r>
      <w:r w:rsidR="00222BBE">
        <w:rPr>
          <w:lang w:eastAsia="en-GB"/>
        </w:rPr>
        <w:t xml:space="preserve"> and Health services and support </w:t>
      </w:r>
      <w:r w:rsidR="0039720B">
        <w:rPr>
          <w:lang w:eastAsia="en-GB"/>
        </w:rPr>
        <w:t>provided more positive feedback</w:t>
      </w:r>
      <w:r w:rsidR="00A217FF">
        <w:rPr>
          <w:lang w:eastAsia="en-GB"/>
        </w:rPr>
        <w:t xml:space="preserve">, while </w:t>
      </w:r>
      <w:r w:rsidR="0039720B">
        <w:rPr>
          <w:lang w:eastAsia="en-GB"/>
        </w:rPr>
        <w:t>those in</w:t>
      </w:r>
      <w:r w:rsidR="003C1955">
        <w:rPr>
          <w:lang w:eastAsia="en-GB"/>
        </w:rPr>
        <w:t xml:space="preserve"> Den</w:t>
      </w:r>
      <w:r w:rsidR="00701DB1">
        <w:rPr>
          <w:lang w:eastAsia="en-GB"/>
        </w:rPr>
        <w:t>tistry, Rehabilitation and Me</w:t>
      </w:r>
      <w:r w:rsidR="003552EE">
        <w:rPr>
          <w:lang w:eastAsia="en-GB"/>
        </w:rPr>
        <w:t>dicine were less positive</w:t>
      </w:r>
      <w:r w:rsidR="00A02442">
        <w:rPr>
          <w:lang w:eastAsia="en-GB"/>
        </w:rPr>
        <w:t xml:space="preserve">. </w:t>
      </w:r>
      <w:r w:rsidRPr="00D644B8">
        <w:rPr>
          <w:lang w:eastAsia="en-GB"/>
        </w:rPr>
        <w:t xml:space="preserve">These differences point to </w:t>
      </w:r>
      <w:r w:rsidR="002A42BB">
        <w:rPr>
          <w:lang w:eastAsia="en-GB"/>
        </w:rPr>
        <w:t>opportunities</w:t>
      </w:r>
      <w:r w:rsidR="00A03B4D">
        <w:rPr>
          <w:lang w:eastAsia="en-GB"/>
        </w:rPr>
        <w:t xml:space="preserve"> </w:t>
      </w:r>
      <w:r w:rsidRPr="00D644B8">
        <w:rPr>
          <w:lang w:eastAsia="en-GB"/>
        </w:rPr>
        <w:t xml:space="preserve">for targeted improvements, particularly in high-enrolment disciplines where student feedback suggests a need for </w:t>
      </w:r>
      <w:r w:rsidR="00162EDB">
        <w:rPr>
          <w:lang w:eastAsia="en-GB"/>
        </w:rPr>
        <w:t>improvement in various aspects of the educational experience</w:t>
      </w:r>
      <w:r w:rsidRPr="00D644B8">
        <w:rPr>
          <w:lang w:eastAsia="en-GB"/>
        </w:rPr>
        <w:t>.</w:t>
      </w:r>
    </w:p>
    <w:p w14:paraId="3F2CF728" w14:textId="3E9A0F8E" w:rsidR="0080140A" w:rsidRPr="00493D41" w:rsidRDefault="0080140A" w:rsidP="0080140A">
      <w:pPr>
        <w:pStyle w:val="SubHeading20"/>
        <w:rPr>
          <w:color w:val="000000" w:themeColor="text1"/>
          <w:lang w:eastAsia="en-GB"/>
        </w:rPr>
      </w:pPr>
      <w:r w:rsidRPr="00493D41">
        <w:rPr>
          <w:color w:val="000000" w:themeColor="text1"/>
          <w:lang w:eastAsia="en-GB"/>
        </w:rPr>
        <w:t>Institutional comparison</w:t>
      </w:r>
    </w:p>
    <w:p w14:paraId="27333199" w14:textId="60F49C11" w:rsidR="008B3BA5" w:rsidRPr="00493D41" w:rsidRDefault="0080140A" w:rsidP="003E42D8">
      <w:pPr>
        <w:pStyle w:val="Body"/>
        <w:rPr>
          <w:color w:val="000000" w:themeColor="text1"/>
          <w:lang w:val="en-GB" w:eastAsia="en-GB"/>
        </w:rPr>
      </w:pPr>
      <w:r w:rsidRPr="0080140A">
        <w:rPr>
          <w:lang w:eastAsia="en-GB"/>
        </w:rPr>
        <w:t xml:space="preserve">International students’ </w:t>
      </w:r>
      <w:r w:rsidR="00DA102D">
        <w:rPr>
          <w:lang w:eastAsia="en-GB"/>
        </w:rPr>
        <w:t>ratings of</w:t>
      </w:r>
      <w:r w:rsidRPr="0080140A">
        <w:rPr>
          <w:lang w:eastAsia="en-GB"/>
        </w:rPr>
        <w:t xml:space="preserve"> their </w:t>
      </w:r>
      <w:r w:rsidR="00366C0A">
        <w:rPr>
          <w:lang w:eastAsia="en-GB"/>
        </w:rPr>
        <w:t>Overall Educational Experience</w:t>
      </w:r>
      <w:r w:rsidRPr="0080140A">
        <w:rPr>
          <w:lang w:eastAsia="en-GB"/>
        </w:rPr>
        <w:t xml:space="preserve"> in 2024 varied considerably across institutions. Among universities, ratings remained broadly consistent with 2023, though a 24.3 percentage point gap between the highest and lowest scoring institutions highlights ongoing variation. A small number of universities accounted for the </w:t>
      </w:r>
      <w:r w:rsidRPr="0080140A">
        <w:rPr>
          <w:lang w:eastAsia="en-GB"/>
        </w:rPr>
        <w:lastRenderedPageBreak/>
        <w:t xml:space="preserve">majority of international student responses, with </w:t>
      </w:r>
      <w:r w:rsidR="00DA102D">
        <w:rPr>
          <w:lang w:eastAsia="en-GB"/>
        </w:rPr>
        <w:t>medium sized to smaller universities</w:t>
      </w:r>
      <w:r w:rsidRPr="0080140A">
        <w:rPr>
          <w:lang w:eastAsia="en-GB"/>
        </w:rPr>
        <w:t xml:space="preserve"> such as</w:t>
      </w:r>
      <w:r w:rsidR="00B86FB6">
        <w:rPr>
          <w:lang w:eastAsia="en-GB"/>
        </w:rPr>
        <w:t xml:space="preserve"> Bond University, </w:t>
      </w:r>
      <w:r w:rsidRPr="0080140A">
        <w:rPr>
          <w:lang w:eastAsia="en-GB"/>
        </w:rPr>
        <w:t>Charles Sturt University</w:t>
      </w:r>
      <w:r w:rsidR="00DA102D">
        <w:rPr>
          <w:lang w:eastAsia="en-GB"/>
        </w:rPr>
        <w:t xml:space="preserve">, Australian Catholic University </w:t>
      </w:r>
      <w:r w:rsidRPr="0080140A">
        <w:rPr>
          <w:lang w:eastAsia="en-GB"/>
        </w:rPr>
        <w:t>and Edith Cowan University receiving some of the highest ratings</w:t>
      </w:r>
      <w:r w:rsidR="00DA102D">
        <w:rPr>
          <w:lang w:eastAsia="en-GB"/>
        </w:rPr>
        <w:t xml:space="preserve"> among international undergraduate students</w:t>
      </w:r>
      <w:r w:rsidRPr="0080140A">
        <w:rPr>
          <w:lang w:eastAsia="en-GB"/>
        </w:rPr>
        <w:t xml:space="preserve">. In contrast, some Group of Eight universities reported </w:t>
      </w:r>
      <w:r w:rsidR="00EF729E">
        <w:rPr>
          <w:lang w:eastAsia="en-GB"/>
        </w:rPr>
        <w:t>lower ratings</w:t>
      </w:r>
      <w:r w:rsidRPr="0080140A">
        <w:rPr>
          <w:lang w:eastAsia="en-GB"/>
        </w:rPr>
        <w:t xml:space="preserve">. At the postgraduate level, a similar spread was observed, with Bond University and James Cook University among the top performers. Students at NUHEIs generally reported higher </w:t>
      </w:r>
      <w:r w:rsidR="00EF729E">
        <w:rPr>
          <w:lang w:eastAsia="en-GB"/>
        </w:rPr>
        <w:t>ratings</w:t>
      </w:r>
      <w:r w:rsidRPr="0080140A">
        <w:rPr>
          <w:lang w:eastAsia="en-GB"/>
        </w:rPr>
        <w:t xml:space="preserve"> than those at universities, particularly in Peer Engagement. However, Learning Resources was an exception, where university students gave higher ratings. These patterns underscore the importance of context—such as institutional size, course offerings, and student </w:t>
      </w:r>
      <w:r w:rsidRPr="00493D41">
        <w:rPr>
          <w:color w:val="000000" w:themeColor="text1"/>
          <w:lang w:eastAsia="en-GB"/>
        </w:rPr>
        <w:t>demographics—when interpreting results.</w:t>
      </w:r>
      <w:r w:rsidR="008B3BA5" w:rsidRPr="00493D41">
        <w:rPr>
          <w:color w:val="000000" w:themeColor="text1"/>
          <w:lang w:eastAsia="en-GB"/>
        </w:rPr>
        <w:t xml:space="preserve"> </w:t>
      </w:r>
    </w:p>
    <w:p w14:paraId="3720DB5C" w14:textId="761F3B4F" w:rsidR="005F671A" w:rsidRPr="00493D41" w:rsidRDefault="005F671A" w:rsidP="005F671A">
      <w:pPr>
        <w:pStyle w:val="SubHeading20"/>
        <w:rPr>
          <w:color w:val="000000" w:themeColor="text1"/>
          <w:lang w:val="en-GB" w:eastAsia="en-GB"/>
        </w:rPr>
      </w:pPr>
      <w:r w:rsidRPr="00493D41">
        <w:rPr>
          <w:color w:val="000000" w:themeColor="text1"/>
          <w:lang w:val="en-GB" w:eastAsia="en-GB"/>
        </w:rPr>
        <w:t>Sense of belonging to the institution</w:t>
      </w:r>
    </w:p>
    <w:p w14:paraId="0D6796AC" w14:textId="1319C6FA" w:rsidR="005F671A" w:rsidRPr="00F506E0" w:rsidRDefault="006C3225" w:rsidP="005F671A">
      <w:pPr>
        <w:pStyle w:val="Body"/>
        <w:rPr>
          <w:color w:val="000000" w:themeColor="text1"/>
          <w:lang w:eastAsia="en-GB"/>
        </w:rPr>
      </w:pPr>
      <w:r w:rsidRPr="006C3225">
        <w:rPr>
          <w:lang w:eastAsia="en-GB"/>
        </w:rPr>
        <w:t>Students’ sense of belonging—</w:t>
      </w:r>
      <w:r w:rsidR="003B6108">
        <w:rPr>
          <w:lang w:eastAsia="en-GB"/>
        </w:rPr>
        <w:t>which may be</w:t>
      </w:r>
      <w:r w:rsidRPr="006C3225">
        <w:rPr>
          <w:lang w:eastAsia="en-GB"/>
        </w:rPr>
        <w:t xml:space="preserve"> linked to wellbeing, academic success, and retention—was significantly impacted by the COVID-19 pandemic, with ratings from international students dropping sharply in 2020. While international undergraduate student ratings have gradually improved since then, they have yet to return to pre-pandemic levels, suggesting ongoing challenges in rebuilding connection and inclusion. In contrast, international postgraduate coursework students have reported steady gains since 2021, with ratings reaching 62.1 per cent in 2024 and surpassing pre-pandemic levels. Notably, a gap has emerged between the two cohorts, indicating differing experiences of </w:t>
      </w:r>
      <w:r w:rsidRPr="00F506E0">
        <w:rPr>
          <w:color w:val="000000" w:themeColor="text1"/>
          <w:lang w:eastAsia="en-GB"/>
        </w:rPr>
        <w:t>institutional connection in the post-pandemic learning environment.</w:t>
      </w:r>
    </w:p>
    <w:p w14:paraId="591D7A49" w14:textId="1E34E40C" w:rsidR="00BA5EED" w:rsidRPr="00F506E0" w:rsidRDefault="00BA5EED" w:rsidP="00BA5EED">
      <w:pPr>
        <w:pStyle w:val="SubHeading20"/>
        <w:rPr>
          <w:color w:val="000000" w:themeColor="text1"/>
          <w:lang w:val="en-GB" w:eastAsia="en-GB"/>
        </w:rPr>
      </w:pPr>
      <w:r w:rsidRPr="00F506E0">
        <w:rPr>
          <w:color w:val="000000" w:themeColor="text1"/>
          <w:lang w:val="en-GB" w:eastAsia="en-GB"/>
        </w:rPr>
        <w:t>Considered leaving</w:t>
      </w:r>
      <w:r w:rsidR="008476A3" w:rsidRPr="00F506E0">
        <w:rPr>
          <w:color w:val="000000" w:themeColor="text1"/>
          <w:lang w:val="en-GB" w:eastAsia="en-GB"/>
        </w:rPr>
        <w:t xml:space="preserve"> current institution</w:t>
      </w:r>
    </w:p>
    <w:p w14:paraId="54518ACF" w14:textId="1B80985B" w:rsidR="00BF78B2" w:rsidRPr="00F506E0" w:rsidRDefault="00BF78B2" w:rsidP="00BF78B2">
      <w:pPr>
        <w:pStyle w:val="Body"/>
        <w:rPr>
          <w:color w:val="000000" w:themeColor="text1"/>
          <w:highlight w:val="yellow"/>
          <w:lang w:val="en-GB" w:eastAsia="en-GB"/>
        </w:rPr>
      </w:pPr>
      <w:r w:rsidRPr="00974387">
        <w:rPr>
          <w:lang w:eastAsia="en-GB"/>
        </w:rPr>
        <w:t xml:space="preserve">In 2024, the proportion of international students who reported seriously considering leaving their institution reached its lowest level since 2017. Among international undergraduates, this figure declined to 13.1 per cent, down from a peak of 19.5 per cent in 2021. A similar trend was observed among international postgraduate coursework students, with rates stabilising at just </w:t>
      </w:r>
      <w:r w:rsidR="008476A3">
        <w:rPr>
          <w:lang w:eastAsia="en-GB"/>
        </w:rPr>
        <w:t>below</w:t>
      </w:r>
      <w:r w:rsidRPr="00974387">
        <w:rPr>
          <w:lang w:eastAsia="en-GB"/>
        </w:rPr>
        <w:t xml:space="preserve"> 13 per cent in 2023 and 2024. Among those who had considered leaving</w:t>
      </w:r>
      <w:r w:rsidR="007B1482">
        <w:rPr>
          <w:lang w:eastAsia="en-GB"/>
        </w:rPr>
        <w:t xml:space="preserve">, </w:t>
      </w:r>
      <w:r w:rsidR="007B1482" w:rsidRPr="007B1482">
        <w:rPr>
          <w:lang w:eastAsia="en-GB"/>
        </w:rPr>
        <w:t>international students cited a distinct set of challenges compared to their domestic peers</w:t>
      </w:r>
      <w:r w:rsidR="007B1482">
        <w:rPr>
          <w:lang w:eastAsia="en-GB"/>
        </w:rPr>
        <w:t xml:space="preserve">. </w:t>
      </w:r>
      <w:r w:rsidRPr="00974387">
        <w:rPr>
          <w:lang w:eastAsia="en-GB"/>
        </w:rPr>
        <w:t xml:space="preserve">Financial difficulties </w:t>
      </w:r>
      <w:r w:rsidR="007B1482">
        <w:rPr>
          <w:lang w:eastAsia="en-GB"/>
        </w:rPr>
        <w:t>was</w:t>
      </w:r>
      <w:r w:rsidRPr="00974387">
        <w:rPr>
          <w:lang w:eastAsia="en-GB"/>
        </w:rPr>
        <w:t xml:space="preserve"> the most commonly reported reason</w:t>
      </w:r>
      <w:r w:rsidR="00EF25F3">
        <w:rPr>
          <w:lang w:eastAsia="en-GB"/>
        </w:rPr>
        <w:t xml:space="preserve"> given by international students</w:t>
      </w:r>
      <w:r w:rsidRPr="00974387">
        <w:rPr>
          <w:lang w:eastAsia="en-GB"/>
        </w:rPr>
        <w:t xml:space="preserve"> across both undergraduate and postgraduate </w:t>
      </w:r>
      <w:r w:rsidR="007B1482">
        <w:rPr>
          <w:lang w:eastAsia="en-GB"/>
        </w:rPr>
        <w:t xml:space="preserve">coursework </w:t>
      </w:r>
      <w:r w:rsidRPr="00974387">
        <w:rPr>
          <w:lang w:eastAsia="en-GB"/>
        </w:rPr>
        <w:t xml:space="preserve">levels. Other frequently mentioned </w:t>
      </w:r>
      <w:r w:rsidR="007B1482">
        <w:rPr>
          <w:lang w:eastAsia="en-GB"/>
        </w:rPr>
        <w:t>reasons</w:t>
      </w:r>
      <w:r w:rsidRPr="00974387">
        <w:rPr>
          <w:lang w:eastAsia="en-GB"/>
        </w:rPr>
        <w:t xml:space="preserve"> included stress, mental health, and unmet course expectations. International students were also more likely to cite concerns about career prospects, course difficulty, and English language skills—highlighting the unique academic and personal pressures they face. In contrast, domestic students more often </w:t>
      </w:r>
      <w:r w:rsidR="007B1482">
        <w:rPr>
          <w:lang w:eastAsia="en-GB"/>
        </w:rPr>
        <w:t>cited</w:t>
      </w:r>
      <w:r w:rsidRPr="00974387">
        <w:rPr>
          <w:lang w:eastAsia="en-GB"/>
        </w:rPr>
        <w:t xml:space="preserve"> </w:t>
      </w:r>
      <w:r w:rsidRPr="00F506E0">
        <w:rPr>
          <w:color w:val="000000" w:themeColor="text1"/>
          <w:lang w:eastAsia="en-GB"/>
        </w:rPr>
        <w:t xml:space="preserve">competing </w:t>
      </w:r>
      <w:r w:rsidR="008476A3" w:rsidRPr="00F506E0">
        <w:rPr>
          <w:color w:val="000000" w:themeColor="text1"/>
          <w:lang w:eastAsia="en-GB"/>
        </w:rPr>
        <w:t xml:space="preserve">priorities, </w:t>
      </w:r>
      <w:r w:rsidRPr="00F506E0">
        <w:rPr>
          <w:color w:val="000000" w:themeColor="text1"/>
          <w:lang w:eastAsia="en-GB"/>
        </w:rPr>
        <w:t>such as paid work, family care, and study-life balance</w:t>
      </w:r>
      <w:r w:rsidR="008476A3" w:rsidRPr="00F506E0">
        <w:rPr>
          <w:color w:val="000000" w:themeColor="text1"/>
          <w:lang w:eastAsia="en-GB"/>
        </w:rPr>
        <w:t xml:space="preserve">, </w:t>
      </w:r>
      <w:r w:rsidR="007B1482" w:rsidRPr="00F506E0">
        <w:rPr>
          <w:color w:val="000000" w:themeColor="text1"/>
          <w:lang w:eastAsia="en-GB"/>
        </w:rPr>
        <w:t xml:space="preserve">as their main reasons. </w:t>
      </w:r>
    </w:p>
    <w:p w14:paraId="5C8EBC02" w14:textId="41F6FB65" w:rsidR="00600630" w:rsidRPr="00F506E0" w:rsidRDefault="00C23053" w:rsidP="00C929AC">
      <w:pPr>
        <w:pStyle w:val="SubHeading20"/>
        <w:rPr>
          <w:color w:val="000000" w:themeColor="text1"/>
          <w:lang w:val="en-GB" w:eastAsia="en-GB"/>
        </w:rPr>
      </w:pPr>
      <w:r w:rsidRPr="00F506E0">
        <w:rPr>
          <w:color w:val="000000" w:themeColor="text1"/>
          <w:lang w:val="en-GB" w:eastAsia="en-GB"/>
        </w:rPr>
        <w:t>International student living experience</w:t>
      </w:r>
    </w:p>
    <w:p w14:paraId="3FD0D451" w14:textId="5E719E5B" w:rsidR="007B1482" w:rsidRPr="00F506E0" w:rsidRDefault="007B1482" w:rsidP="007B1482">
      <w:pPr>
        <w:pStyle w:val="Body"/>
        <w:rPr>
          <w:color w:val="000000" w:themeColor="text1"/>
          <w:lang w:eastAsia="en-GB"/>
        </w:rPr>
      </w:pPr>
      <w:r w:rsidRPr="007B1482">
        <w:rPr>
          <w:lang w:eastAsia="en-GB"/>
        </w:rPr>
        <w:t xml:space="preserve">In 2024, international students continued to report high levels of satisfaction with their overall living experience in Australia, with over 92 per cent of both undergraduate and postgraduate coursework students rating it positively. Personal safety—both on and off campus—and opportunities to improve English skills were the highest-rated aspects. However, employment-related experiences, such as gaining work experience and employment while studying, received lower ratings, particularly among postgraduate students. </w:t>
      </w:r>
      <w:r w:rsidR="008476A3">
        <w:rPr>
          <w:lang w:eastAsia="en-GB"/>
        </w:rPr>
        <w:t>Ratings</w:t>
      </w:r>
      <w:r w:rsidRPr="007B1482">
        <w:rPr>
          <w:lang w:eastAsia="en-GB"/>
        </w:rPr>
        <w:t xml:space="preserve"> also varied by source country. Students from Nepal</w:t>
      </w:r>
      <w:r w:rsidR="008B3BA5">
        <w:rPr>
          <w:lang w:eastAsia="en-GB"/>
        </w:rPr>
        <w:t xml:space="preserve"> (for undergraduates)</w:t>
      </w:r>
      <w:r w:rsidRPr="007B1482">
        <w:rPr>
          <w:lang w:eastAsia="en-GB"/>
        </w:rPr>
        <w:t xml:space="preserve"> and the Philippines</w:t>
      </w:r>
      <w:r w:rsidR="008B3BA5">
        <w:rPr>
          <w:lang w:eastAsia="en-GB"/>
        </w:rPr>
        <w:t xml:space="preserve"> (for postgraduate coursework)</w:t>
      </w:r>
      <w:r w:rsidRPr="007B1482">
        <w:rPr>
          <w:lang w:eastAsia="en-GB"/>
        </w:rPr>
        <w:t xml:space="preserve"> reported the most positive experiences overall, while those from China (excluding SARs and Taiwan) and Bhutan tended to rate </w:t>
      </w:r>
      <w:r w:rsidR="004A3410">
        <w:rPr>
          <w:lang w:eastAsia="en-GB"/>
        </w:rPr>
        <w:t>some</w:t>
      </w:r>
      <w:r w:rsidRPr="007B1482">
        <w:rPr>
          <w:lang w:eastAsia="en-GB"/>
        </w:rPr>
        <w:t xml:space="preserve"> aspects of their living experience </w:t>
      </w:r>
      <w:r w:rsidRPr="00F506E0">
        <w:rPr>
          <w:color w:val="000000" w:themeColor="text1"/>
          <w:lang w:eastAsia="en-GB"/>
        </w:rPr>
        <w:t>less favourably.</w:t>
      </w:r>
    </w:p>
    <w:p w14:paraId="77590199" w14:textId="77777777" w:rsidR="008476A3" w:rsidRPr="00F506E0" w:rsidRDefault="008476A3" w:rsidP="008476A3">
      <w:pPr>
        <w:pStyle w:val="SubHeading20"/>
        <w:rPr>
          <w:color w:val="000000" w:themeColor="text1"/>
          <w:lang w:eastAsia="en-GB"/>
        </w:rPr>
      </w:pPr>
      <w:r w:rsidRPr="00F506E0">
        <w:rPr>
          <w:color w:val="000000" w:themeColor="text1"/>
          <w:lang w:eastAsia="en-GB"/>
        </w:rPr>
        <w:t>Factors influencing study decisions</w:t>
      </w:r>
    </w:p>
    <w:p w14:paraId="61A67562" w14:textId="5FE202FA" w:rsidR="00821227" w:rsidRPr="004A3410" w:rsidRDefault="008476A3" w:rsidP="00821227">
      <w:pPr>
        <w:pStyle w:val="Body"/>
        <w:rPr>
          <w:lang w:val="en-GB" w:eastAsia="en-GB"/>
        </w:rPr>
      </w:pPr>
      <w:r w:rsidRPr="008476A3">
        <w:rPr>
          <w:lang w:eastAsia="en-GB"/>
        </w:rPr>
        <w:t xml:space="preserve">In 2024, international students identified personal safety and security as the most important factor in choosing to study in Australia, followed closely by the cost of living, the reputation of Australia’s education system, and the opportunity to study in an English-speaking country. While these priorities were broadly consistent across countries, notable differences emerged. Students from Nepal and Bhutan placed greater importance on having family or friends in Australia and the ability to work part-time, compared to students from China (excluding SARs and Taiwan), who consistently rated these factors lower. </w:t>
      </w:r>
      <w:r w:rsidR="00556483">
        <w:rPr>
          <w:lang w:eastAsia="en-GB"/>
        </w:rPr>
        <w:t>In 2024, w</w:t>
      </w:r>
      <w:r w:rsidRPr="008476A3">
        <w:rPr>
          <w:lang w:eastAsia="en-GB"/>
        </w:rPr>
        <w:t>hen selecting an institution,</w:t>
      </w:r>
      <w:r w:rsidR="002F4BBD">
        <w:rPr>
          <w:lang w:eastAsia="en-GB"/>
        </w:rPr>
        <w:t xml:space="preserve"> international</w:t>
      </w:r>
      <w:r w:rsidRPr="008476A3">
        <w:rPr>
          <w:lang w:eastAsia="en-GB"/>
        </w:rPr>
        <w:t xml:space="preserve"> </w:t>
      </w:r>
      <w:r w:rsidR="00D85B80">
        <w:rPr>
          <w:lang w:eastAsia="en-GB"/>
        </w:rPr>
        <w:t>students</w:t>
      </w:r>
      <w:r w:rsidR="003B3B42" w:rsidRPr="008476A3">
        <w:rPr>
          <w:lang w:eastAsia="en-GB"/>
        </w:rPr>
        <w:t xml:space="preserve"> </w:t>
      </w:r>
      <w:r w:rsidRPr="008476A3">
        <w:rPr>
          <w:lang w:eastAsia="en-GB"/>
        </w:rPr>
        <w:t>prioritised course availability, reputation</w:t>
      </w:r>
      <w:r w:rsidR="0011217F">
        <w:rPr>
          <w:lang w:eastAsia="en-GB"/>
        </w:rPr>
        <w:t xml:space="preserve"> of the qualification</w:t>
      </w:r>
      <w:r w:rsidRPr="008476A3">
        <w:rPr>
          <w:lang w:eastAsia="en-GB"/>
        </w:rPr>
        <w:t xml:space="preserve">, </w:t>
      </w:r>
      <w:r w:rsidR="0011217F">
        <w:rPr>
          <w:lang w:eastAsia="en-GB"/>
        </w:rPr>
        <w:t xml:space="preserve">reputation of the institution, </w:t>
      </w:r>
      <w:r w:rsidRPr="008476A3">
        <w:rPr>
          <w:lang w:eastAsia="en-GB"/>
        </w:rPr>
        <w:t>and employment prospects after graduation</w:t>
      </w:r>
      <w:r w:rsidR="002F4BBD">
        <w:rPr>
          <w:lang w:eastAsia="en-GB"/>
        </w:rPr>
        <w:t xml:space="preserve"> as their main consideration</w:t>
      </w:r>
      <w:r w:rsidRPr="008476A3">
        <w:rPr>
          <w:lang w:eastAsia="en-GB"/>
        </w:rPr>
        <w:t>. While most factors were rated as important across all source countries, students from Nepal and India tended to assign higher importance overall, particularly to institutional partnerships and post-study opportunities.</w:t>
      </w:r>
      <w:r w:rsidR="002F4BBD">
        <w:rPr>
          <w:lang w:eastAsia="en-GB"/>
        </w:rPr>
        <w:t xml:space="preserve"> </w:t>
      </w:r>
    </w:p>
    <w:p w14:paraId="49F20CD7" w14:textId="77777777" w:rsidR="00821227" w:rsidRPr="002867E0" w:rsidRDefault="00821227" w:rsidP="00821227">
      <w:pPr>
        <w:spacing w:before="107" w:line="218" w:lineRule="atLeast"/>
        <w:jc w:val="right"/>
        <w:rPr>
          <w:rFonts w:ascii="Klavika Regular" w:hAnsi="Klavika Regular"/>
          <w:sz w:val="15"/>
          <w:szCs w:val="15"/>
          <w:highlight w:val="yellow"/>
        </w:rPr>
      </w:pPr>
      <w:r w:rsidRPr="002867E0">
        <w:rPr>
          <w:rFonts w:ascii="Klavika Regular" w:hAnsi="Klavika Regular"/>
          <w:sz w:val="15"/>
          <w:szCs w:val="15"/>
          <w:highlight w:val="yellow"/>
        </w:rPr>
        <w:br w:type="page"/>
      </w:r>
    </w:p>
    <w:sdt>
      <w:sdtPr>
        <w:rPr>
          <w:rFonts w:asciiTheme="minorHAnsi" w:eastAsiaTheme="minorEastAsia" w:hAnsiTheme="minorHAnsi"/>
          <w:b/>
          <w:bCs/>
          <w:color w:val="auto"/>
          <w:sz w:val="24"/>
          <w:szCs w:val="24"/>
        </w:rPr>
        <w:id w:val="-185835526"/>
        <w:docPartObj>
          <w:docPartGallery w:val="Table of Contents"/>
          <w:docPartUnique/>
        </w:docPartObj>
      </w:sdtPr>
      <w:sdtEndPr>
        <w:rPr>
          <w:b w:val="0"/>
          <w:bCs w:val="0"/>
          <w:sz w:val="20"/>
          <w:szCs w:val="20"/>
          <w:highlight w:val="yellow"/>
        </w:rPr>
      </w:sdtEndPr>
      <w:sdtContent>
        <w:p w14:paraId="65E35E95" w14:textId="77777777" w:rsidR="00821227" w:rsidRPr="00F506E0" w:rsidRDefault="00821227" w:rsidP="00A9284B">
          <w:pPr>
            <w:pStyle w:val="TOCHeading"/>
            <w:numPr>
              <w:ilvl w:val="0"/>
              <w:numId w:val="0"/>
            </w:numPr>
            <w:rPr>
              <w:rStyle w:val="MajorHeadingChar"/>
              <w:color w:val="000000" w:themeColor="text1"/>
            </w:rPr>
          </w:pPr>
          <w:r w:rsidRPr="00F506E0">
            <w:rPr>
              <w:rStyle w:val="MajorHeadingChar"/>
              <w:color w:val="000000" w:themeColor="text1"/>
            </w:rPr>
            <w:t>Table of Contents</w:t>
          </w:r>
        </w:p>
        <w:p w14:paraId="6AFC3D11" w14:textId="7FF1A888" w:rsidR="00497D7C" w:rsidRDefault="00821227">
          <w:pPr>
            <w:pStyle w:val="TOC1"/>
            <w:rPr>
              <w:rFonts w:asciiTheme="minorHAnsi" w:eastAsiaTheme="minorEastAsia" w:hAnsiTheme="minorHAnsi" w:cstheme="minorBidi"/>
              <w:b w:val="0"/>
              <w:kern w:val="2"/>
              <w:sz w:val="24"/>
              <w:szCs w:val="24"/>
              <w:lang w:eastAsia="en-AU"/>
              <w14:ligatures w14:val="standardContextual"/>
            </w:rPr>
          </w:pPr>
          <w:r w:rsidRPr="002867E0">
            <w:rPr>
              <w:rFonts w:cs="Arial"/>
              <w:highlight w:val="yellow"/>
            </w:rPr>
            <w:fldChar w:fldCharType="begin"/>
          </w:r>
          <w:r w:rsidRPr="002867E0">
            <w:rPr>
              <w:highlight w:val="yellow"/>
            </w:rPr>
            <w:instrText xml:space="preserve"> TOC \o "1-3" \h \z \u </w:instrText>
          </w:r>
          <w:r w:rsidRPr="002867E0">
            <w:rPr>
              <w:rFonts w:cs="Arial"/>
              <w:highlight w:val="yellow"/>
            </w:rPr>
            <w:fldChar w:fldCharType="separate"/>
          </w:r>
          <w:hyperlink w:anchor="_Toc206692257" w:history="1">
            <w:r w:rsidR="00497D7C" w:rsidRPr="007B1189">
              <w:rPr>
                <w:rStyle w:val="Hyperlink"/>
              </w:rPr>
              <w:t>Executive summary</w:t>
            </w:r>
            <w:r w:rsidR="00497D7C">
              <w:rPr>
                <w:webHidden/>
              </w:rPr>
              <w:tab/>
            </w:r>
            <w:r w:rsidR="00497D7C">
              <w:rPr>
                <w:webHidden/>
              </w:rPr>
              <w:fldChar w:fldCharType="begin"/>
            </w:r>
            <w:r w:rsidR="00497D7C">
              <w:rPr>
                <w:webHidden/>
              </w:rPr>
              <w:instrText xml:space="preserve"> PAGEREF _Toc206692257 \h </w:instrText>
            </w:r>
            <w:r w:rsidR="00497D7C">
              <w:rPr>
                <w:webHidden/>
              </w:rPr>
            </w:r>
            <w:r w:rsidR="00497D7C">
              <w:rPr>
                <w:webHidden/>
              </w:rPr>
              <w:fldChar w:fldCharType="separate"/>
            </w:r>
            <w:r w:rsidR="002A135C">
              <w:rPr>
                <w:webHidden/>
              </w:rPr>
              <w:t>iii</w:t>
            </w:r>
            <w:r w:rsidR="00497D7C">
              <w:rPr>
                <w:webHidden/>
              </w:rPr>
              <w:fldChar w:fldCharType="end"/>
            </w:r>
          </w:hyperlink>
        </w:p>
        <w:p w14:paraId="69BF95AE" w14:textId="2246C236" w:rsidR="00497D7C" w:rsidRDefault="00497D7C">
          <w:pPr>
            <w:pStyle w:val="TOC1"/>
            <w:rPr>
              <w:rFonts w:asciiTheme="minorHAnsi" w:eastAsiaTheme="minorEastAsia" w:hAnsiTheme="minorHAnsi" w:cstheme="minorBidi"/>
              <w:b w:val="0"/>
              <w:kern w:val="2"/>
              <w:sz w:val="24"/>
              <w:szCs w:val="24"/>
              <w:lang w:eastAsia="en-AU"/>
              <w14:ligatures w14:val="standardContextual"/>
            </w:rPr>
          </w:pPr>
          <w:hyperlink w:anchor="_Toc206692258" w:history="1">
            <w:r w:rsidRPr="007B1189">
              <w:rPr>
                <w:rStyle w:val="Hyperlink"/>
              </w:rPr>
              <w:t>List of Tables</w:t>
            </w:r>
            <w:r>
              <w:rPr>
                <w:webHidden/>
              </w:rPr>
              <w:tab/>
            </w:r>
            <w:r>
              <w:rPr>
                <w:webHidden/>
              </w:rPr>
              <w:fldChar w:fldCharType="begin"/>
            </w:r>
            <w:r>
              <w:rPr>
                <w:webHidden/>
              </w:rPr>
              <w:instrText xml:space="preserve"> PAGEREF _Toc206692258 \h </w:instrText>
            </w:r>
            <w:r>
              <w:rPr>
                <w:webHidden/>
              </w:rPr>
            </w:r>
            <w:r>
              <w:rPr>
                <w:webHidden/>
              </w:rPr>
              <w:fldChar w:fldCharType="separate"/>
            </w:r>
            <w:r w:rsidR="002A135C">
              <w:rPr>
                <w:webHidden/>
              </w:rPr>
              <w:t>vii</w:t>
            </w:r>
            <w:r>
              <w:rPr>
                <w:webHidden/>
              </w:rPr>
              <w:fldChar w:fldCharType="end"/>
            </w:r>
          </w:hyperlink>
        </w:p>
        <w:p w14:paraId="75DE329D" w14:textId="6FB8D6A9" w:rsidR="00497D7C" w:rsidRDefault="00497D7C">
          <w:pPr>
            <w:pStyle w:val="TOC1"/>
            <w:rPr>
              <w:rFonts w:asciiTheme="minorHAnsi" w:eastAsiaTheme="minorEastAsia" w:hAnsiTheme="minorHAnsi" w:cstheme="minorBidi"/>
              <w:b w:val="0"/>
              <w:kern w:val="2"/>
              <w:sz w:val="24"/>
              <w:szCs w:val="24"/>
              <w:lang w:eastAsia="en-AU"/>
              <w14:ligatures w14:val="standardContextual"/>
            </w:rPr>
          </w:pPr>
          <w:hyperlink w:anchor="_Toc206692259" w:history="1">
            <w:r w:rsidRPr="007B1189">
              <w:rPr>
                <w:rStyle w:val="Hyperlink"/>
              </w:rPr>
              <w:t>List of Figures</w:t>
            </w:r>
            <w:r>
              <w:rPr>
                <w:webHidden/>
              </w:rPr>
              <w:tab/>
            </w:r>
            <w:r>
              <w:rPr>
                <w:webHidden/>
              </w:rPr>
              <w:fldChar w:fldCharType="begin"/>
            </w:r>
            <w:r>
              <w:rPr>
                <w:webHidden/>
              </w:rPr>
              <w:instrText xml:space="preserve"> PAGEREF _Toc206692259 \h </w:instrText>
            </w:r>
            <w:r>
              <w:rPr>
                <w:webHidden/>
              </w:rPr>
            </w:r>
            <w:r>
              <w:rPr>
                <w:webHidden/>
              </w:rPr>
              <w:fldChar w:fldCharType="separate"/>
            </w:r>
            <w:r w:rsidR="002A135C">
              <w:rPr>
                <w:webHidden/>
              </w:rPr>
              <w:t>viii</w:t>
            </w:r>
            <w:r>
              <w:rPr>
                <w:webHidden/>
              </w:rPr>
              <w:fldChar w:fldCharType="end"/>
            </w:r>
          </w:hyperlink>
        </w:p>
        <w:p w14:paraId="68489B48" w14:textId="7D834EBA" w:rsidR="00497D7C" w:rsidRDefault="00497D7C">
          <w:pPr>
            <w:pStyle w:val="TOC1"/>
            <w:rPr>
              <w:rFonts w:asciiTheme="minorHAnsi" w:eastAsiaTheme="minorEastAsia" w:hAnsiTheme="minorHAnsi" w:cstheme="minorBidi"/>
              <w:b w:val="0"/>
              <w:kern w:val="2"/>
              <w:sz w:val="24"/>
              <w:szCs w:val="24"/>
              <w:lang w:eastAsia="en-AU"/>
              <w14:ligatures w14:val="standardContextual"/>
            </w:rPr>
          </w:pPr>
          <w:hyperlink w:anchor="_Toc206692260" w:history="1">
            <w:r w:rsidRPr="007B1189">
              <w:rPr>
                <w:rStyle w:val="Hyperlink"/>
              </w:rPr>
              <w:t>1.</w:t>
            </w:r>
            <w:r>
              <w:rPr>
                <w:rFonts w:asciiTheme="minorHAnsi" w:eastAsiaTheme="minorEastAsia" w:hAnsiTheme="minorHAnsi" w:cstheme="minorBidi"/>
                <w:b w:val="0"/>
                <w:kern w:val="2"/>
                <w:sz w:val="24"/>
                <w:szCs w:val="24"/>
                <w:lang w:eastAsia="en-AU"/>
                <w14:ligatures w14:val="standardContextual"/>
              </w:rPr>
              <w:tab/>
            </w:r>
            <w:r w:rsidRPr="007B1189">
              <w:rPr>
                <w:rStyle w:val="Hyperlink"/>
              </w:rPr>
              <w:t>Introduction</w:t>
            </w:r>
            <w:r>
              <w:rPr>
                <w:webHidden/>
              </w:rPr>
              <w:tab/>
            </w:r>
            <w:r>
              <w:rPr>
                <w:webHidden/>
              </w:rPr>
              <w:fldChar w:fldCharType="begin"/>
            </w:r>
            <w:r>
              <w:rPr>
                <w:webHidden/>
              </w:rPr>
              <w:instrText xml:space="preserve"> PAGEREF _Toc206692260 \h </w:instrText>
            </w:r>
            <w:r>
              <w:rPr>
                <w:webHidden/>
              </w:rPr>
            </w:r>
            <w:r>
              <w:rPr>
                <w:webHidden/>
              </w:rPr>
              <w:fldChar w:fldCharType="separate"/>
            </w:r>
            <w:r w:rsidR="002A135C">
              <w:rPr>
                <w:webHidden/>
              </w:rPr>
              <w:t>1</w:t>
            </w:r>
            <w:r>
              <w:rPr>
                <w:webHidden/>
              </w:rPr>
              <w:fldChar w:fldCharType="end"/>
            </w:r>
          </w:hyperlink>
        </w:p>
        <w:p w14:paraId="447A08E0" w14:textId="37532F8B"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61" w:history="1">
            <w:r w:rsidRPr="007B1189">
              <w:rPr>
                <w:rStyle w:val="Hyperlink"/>
              </w:rPr>
              <w:t>1.1.</w:t>
            </w:r>
            <w:r>
              <w:rPr>
                <w:rFonts w:asciiTheme="minorHAnsi" w:eastAsiaTheme="minorEastAsia" w:hAnsiTheme="minorHAnsi" w:cstheme="minorBidi"/>
                <w:kern w:val="2"/>
                <w:sz w:val="24"/>
                <w:szCs w:val="24"/>
                <w:lang w:eastAsia="en-AU"/>
                <w14:ligatures w14:val="standardContextual"/>
              </w:rPr>
              <w:tab/>
            </w:r>
            <w:r w:rsidRPr="007B1189">
              <w:rPr>
                <w:rStyle w:val="Hyperlink"/>
              </w:rPr>
              <w:t>About the SES</w:t>
            </w:r>
            <w:r>
              <w:rPr>
                <w:webHidden/>
              </w:rPr>
              <w:tab/>
            </w:r>
            <w:r>
              <w:rPr>
                <w:webHidden/>
              </w:rPr>
              <w:fldChar w:fldCharType="begin"/>
            </w:r>
            <w:r>
              <w:rPr>
                <w:webHidden/>
              </w:rPr>
              <w:instrText xml:space="preserve"> PAGEREF _Toc206692261 \h </w:instrText>
            </w:r>
            <w:r>
              <w:rPr>
                <w:webHidden/>
              </w:rPr>
            </w:r>
            <w:r>
              <w:rPr>
                <w:webHidden/>
              </w:rPr>
              <w:fldChar w:fldCharType="separate"/>
            </w:r>
            <w:r w:rsidR="002A135C">
              <w:rPr>
                <w:webHidden/>
              </w:rPr>
              <w:t>1</w:t>
            </w:r>
            <w:r>
              <w:rPr>
                <w:webHidden/>
              </w:rPr>
              <w:fldChar w:fldCharType="end"/>
            </w:r>
          </w:hyperlink>
        </w:p>
        <w:p w14:paraId="18B34C8C" w14:textId="6185EDE7"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62" w:history="1">
            <w:r w:rsidRPr="007B1189">
              <w:rPr>
                <w:rStyle w:val="Hyperlink"/>
              </w:rPr>
              <w:t>1.2.</w:t>
            </w:r>
            <w:r>
              <w:rPr>
                <w:rFonts w:asciiTheme="minorHAnsi" w:eastAsiaTheme="minorEastAsia" w:hAnsiTheme="minorHAnsi" w:cstheme="minorBidi"/>
                <w:kern w:val="2"/>
                <w:sz w:val="24"/>
                <w:szCs w:val="24"/>
                <w:lang w:eastAsia="en-AU"/>
                <w14:ligatures w14:val="standardContextual"/>
              </w:rPr>
              <w:tab/>
            </w:r>
            <w:r w:rsidRPr="007B1189">
              <w:rPr>
                <w:rStyle w:val="Hyperlink"/>
              </w:rPr>
              <w:t>Participation in the 2024 SES</w:t>
            </w:r>
            <w:r>
              <w:rPr>
                <w:webHidden/>
              </w:rPr>
              <w:tab/>
            </w:r>
            <w:r>
              <w:rPr>
                <w:webHidden/>
              </w:rPr>
              <w:fldChar w:fldCharType="begin"/>
            </w:r>
            <w:r>
              <w:rPr>
                <w:webHidden/>
              </w:rPr>
              <w:instrText xml:space="preserve"> PAGEREF _Toc206692262 \h </w:instrText>
            </w:r>
            <w:r>
              <w:rPr>
                <w:webHidden/>
              </w:rPr>
            </w:r>
            <w:r>
              <w:rPr>
                <w:webHidden/>
              </w:rPr>
              <w:fldChar w:fldCharType="separate"/>
            </w:r>
            <w:r w:rsidR="002A135C">
              <w:rPr>
                <w:webHidden/>
              </w:rPr>
              <w:t>1</w:t>
            </w:r>
            <w:r>
              <w:rPr>
                <w:webHidden/>
              </w:rPr>
              <w:fldChar w:fldCharType="end"/>
            </w:r>
          </w:hyperlink>
        </w:p>
        <w:p w14:paraId="318C622A" w14:textId="4FFAE891"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63" w:history="1">
            <w:r w:rsidRPr="007B1189">
              <w:rPr>
                <w:rStyle w:val="Hyperlink"/>
              </w:rPr>
              <w:t>1.3.</w:t>
            </w:r>
            <w:r>
              <w:rPr>
                <w:rFonts w:asciiTheme="minorHAnsi" w:eastAsiaTheme="minorEastAsia" w:hAnsiTheme="minorHAnsi" w:cstheme="minorBidi"/>
                <w:kern w:val="2"/>
                <w:sz w:val="24"/>
                <w:szCs w:val="24"/>
                <w:lang w:eastAsia="en-AU"/>
                <w14:ligatures w14:val="standardContextual"/>
              </w:rPr>
              <w:tab/>
            </w:r>
            <w:r w:rsidRPr="007B1189">
              <w:rPr>
                <w:rStyle w:val="Hyperlink"/>
              </w:rPr>
              <w:t>About this report</w:t>
            </w:r>
            <w:r>
              <w:rPr>
                <w:webHidden/>
              </w:rPr>
              <w:tab/>
            </w:r>
            <w:r>
              <w:rPr>
                <w:webHidden/>
              </w:rPr>
              <w:fldChar w:fldCharType="begin"/>
            </w:r>
            <w:r>
              <w:rPr>
                <w:webHidden/>
              </w:rPr>
              <w:instrText xml:space="preserve"> PAGEREF _Toc206692263 \h </w:instrText>
            </w:r>
            <w:r>
              <w:rPr>
                <w:webHidden/>
              </w:rPr>
            </w:r>
            <w:r>
              <w:rPr>
                <w:webHidden/>
              </w:rPr>
              <w:fldChar w:fldCharType="separate"/>
            </w:r>
            <w:r w:rsidR="002A135C">
              <w:rPr>
                <w:webHidden/>
              </w:rPr>
              <w:t>3</w:t>
            </w:r>
            <w:r>
              <w:rPr>
                <w:webHidden/>
              </w:rPr>
              <w:fldChar w:fldCharType="end"/>
            </w:r>
          </w:hyperlink>
        </w:p>
        <w:p w14:paraId="719EADC9" w14:textId="38B733B9"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64" w:history="1">
            <w:r w:rsidRPr="007B1189">
              <w:rPr>
                <w:rStyle w:val="Hyperlink"/>
                <w:lang w:val="en-GB"/>
              </w:rPr>
              <w:t>1.4.</w:t>
            </w:r>
            <w:r>
              <w:rPr>
                <w:rFonts w:asciiTheme="minorHAnsi" w:eastAsiaTheme="minorEastAsia" w:hAnsiTheme="minorHAnsi" w:cstheme="minorBidi"/>
                <w:kern w:val="2"/>
                <w:sz w:val="24"/>
                <w:szCs w:val="24"/>
                <w:lang w:eastAsia="en-AU"/>
                <w14:ligatures w14:val="standardContextual"/>
              </w:rPr>
              <w:tab/>
            </w:r>
            <w:r w:rsidRPr="007B1189">
              <w:rPr>
                <w:rStyle w:val="Hyperlink"/>
                <w:lang w:val="en-GB"/>
              </w:rPr>
              <w:t>Changes to the international student experience since 2019</w:t>
            </w:r>
            <w:r>
              <w:rPr>
                <w:webHidden/>
              </w:rPr>
              <w:tab/>
            </w:r>
            <w:r>
              <w:rPr>
                <w:webHidden/>
              </w:rPr>
              <w:fldChar w:fldCharType="begin"/>
            </w:r>
            <w:r>
              <w:rPr>
                <w:webHidden/>
              </w:rPr>
              <w:instrText xml:space="preserve"> PAGEREF _Toc206692264 \h </w:instrText>
            </w:r>
            <w:r>
              <w:rPr>
                <w:webHidden/>
              </w:rPr>
            </w:r>
            <w:r>
              <w:rPr>
                <w:webHidden/>
              </w:rPr>
              <w:fldChar w:fldCharType="separate"/>
            </w:r>
            <w:r w:rsidR="002A135C">
              <w:rPr>
                <w:webHidden/>
              </w:rPr>
              <w:t>4</w:t>
            </w:r>
            <w:r>
              <w:rPr>
                <w:webHidden/>
              </w:rPr>
              <w:fldChar w:fldCharType="end"/>
            </w:r>
          </w:hyperlink>
        </w:p>
        <w:p w14:paraId="6F7DF1A0" w14:textId="525E8413" w:rsidR="00497D7C" w:rsidRDefault="00497D7C">
          <w:pPr>
            <w:pStyle w:val="TOC1"/>
            <w:rPr>
              <w:rFonts w:asciiTheme="minorHAnsi" w:eastAsiaTheme="minorEastAsia" w:hAnsiTheme="minorHAnsi" w:cstheme="minorBidi"/>
              <w:b w:val="0"/>
              <w:kern w:val="2"/>
              <w:sz w:val="24"/>
              <w:szCs w:val="24"/>
              <w:lang w:eastAsia="en-AU"/>
              <w14:ligatures w14:val="standardContextual"/>
            </w:rPr>
          </w:pPr>
          <w:hyperlink w:anchor="_Toc206692265" w:history="1">
            <w:r w:rsidRPr="007B1189">
              <w:rPr>
                <w:rStyle w:val="Hyperlink"/>
              </w:rPr>
              <w:t>2.</w:t>
            </w:r>
            <w:r>
              <w:rPr>
                <w:rFonts w:asciiTheme="minorHAnsi" w:eastAsiaTheme="minorEastAsia" w:hAnsiTheme="minorHAnsi" w:cstheme="minorBidi"/>
                <w:b w:val="0"/>
                <w:kern w:val="2"/>
                <w:sz w:val="24"/>
                <w:szCs w:val="24"/>
                <w:lang w:eastAsia="en-AU"/>
                <w14:ligatures w14:val="standardContextual"/>
              </w:rPr>
              <w:tab/>
            </w:r>
            <w:r w:rsidRPr="007B1189">
              <w:rPr>
                <w:rStyle w:val="Hyperlink"/>
              </w:rPr>
              <w:t>The international student experience</w:t>
            </w:r>
            <w:r>
              <w:rPr>
                <w:webHidden/>
              </w:rPr>
              <w:tab/>
            </w:r>
            <w:r>
              <w:rPr>
                <w:webHidden/>
              </w:rPr>
              <w:fldChar w:fldCharType="begin"/>
            </w:r>
            <w:r>
              <w:rPr>
                <w:webHidden/>
              </w:rPr>
              <w:instrText xml:space="preserve"> PAGEREF _Toc206692265 \h </w:instrText>
            </w:r>
            <w:r>
              <w:rPr>
                <w:webHidden/>
              </w:rPr>
            </w:r>
            <w:r>
              <w:rPr>
                <w:webHidden/>
              </w:rPr>
              <w:fldChar w:fldCharType="separate"/>
            </w:r>
            <w:r w:rsidR="002A135C">
              <w:rPr>
                <w:webHidden/>
              </w:rPr>
              <w:t>5</w:t>
            </w:r>
            <w:r>
              <w:rPr>
                <w:webHidden/>
              </w:rPr>
              <w:fldChar w:fldCharType="end"/>
            </w:r>
          </w:hyperlink>
        </w:p>
        <w:p w14:paraId="4DAB7FD5" w14:textId="379E8E68"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66" w:history="1">
            <w:r w:rsidRPr="007B1189">
              <w:rPr>
                <w:rStyle w:val="Hyperlink"/>
              </w:rPr>
              <w:t>2.1.</w:t>
            </w:r>
            <w:r>
              <w:rPr>
                <w:rFonts w:asciiTheme="minorHAnsi" w:eastAsiaTheme="minorEastAsia" w:hAnsiTheme="minorHAnsi" w:cstheme="minorBidi"/>
                <w:kern w:val="2"/>
                <w:sz w:val="24"/>
                <w:szCs w:val="24"/>
                <w:lang w:eastAsia="en-AU"/>
                <w14:ligatures w14:val="standardContextual"/>
              </w:rPr>
              <w:tab/>
            </w:r>
            <w:r w:rsidRPr="007B1189">
              <w:rPr>
                <w:rStyle w:val="Hyperlink"/>
              </w:rPr>
              <w:t>Focus areas and Overall Educational Experience</w:t>
            </w:r>
            <w:r>
              <w:rPr>
                <w:webHidden/>
              </w:rPr>
              <w:tab/>
            </w:r>
            <w:r>
              <w:rPr>
                <w:webHidden/>
              </w:rPr>
              <w:fldChar w:fldCharType="begin"/>
            </w:r>
            <w:r>
              <w:rPr>
                <w:webHidden/>
              </w:rPr>
              <w:instrText xml:space="preserve"> PAGEREF _Toc206692266 \h </w:instrText>
            </w:r>
            <w:r>
              <w:rPr>
                <w:webHidden/>
              </w:rPr>
            </w:r>
            <w:r>
              <w:rPr>
                <w:webHidden/>
              </w:rPr>
              <w:fldChar w:fldCharType="separate"/>
            </w:r>
            <w:r w:rsidR="002A135C">
              <w:rPr>
                <w:webHidden/>
              </w:rPr>
              <w:t>5</w:t>
            </w:r>
            <w:r>
              <w:rPr>
                <w:webHidden/>
              </w:rPr>
              <w:fldChar w:fldCharType="end"/>
            </w:r>
          </w:hyperlink>
        </w:p>
        <w:p w14:paraId="47540032" w14:textId="587A5F9D"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67" w:history="1">
            <w:r w:rsidRPr="007B1189">
              <w:rPr>
                <w:rStyle w:val="Hyperlink"/>
              </w:rPr>
              <w:t>2.2.</w:t>
            </w:r>
            <w:r>
              <w:rPr>
                <w:rFonts w:asciiTheme="minorHAnsi" w:eastAsiaTheme="minorEastAsia" w:hAnsiTheme="minorHAnsi" w:cstheme="minorBidi"/>
                <w:kern w:val="2"/>
                <w:sz w:val="24"/>
                <w:szCs w:val="24"/>
                <w:lang w:eastAsia="en-AU"/>
                <w14:ligatures w14:val="standardContextual"/>
              </w:rPr>
              <w:tab/>
            </w:r>
            <w:r w:rsidRPr="007B1189">
              <w:rPr>
                <w:rStyle w:val="Hyperlink"/>
              </w:rPr>
              <w:t>Comparison between international and domestic student ratings</w:t>
            </w:r>
            <w:r>
              <w:rPr>
                <w:webHidden/>
              </w:rPr>
              <w:tab/>
            </w:r>
            <w:r>
              <w:rPr>
                <w:webHidden/>
              </w:rPr>
              <w:fldChar w:fldCharType="begin"/>
            </w:r>
            <w:r>
              <w:rPr>
                <w:webHidden/>
              </w:rPr>
              <w:instrText xml:space="preserve"> PAGEREF _Toc206692267 \h </w:instrText>
            </w:r>
            <w:r>
              <w:rPr>
                <w:webHidden/>
              </w:rPr>
            </w:r>
            <w:r>
              <w:rPr>
                <w:webHidden/>
              </w:rPr>
              <w:fldChar w:fldCharType="separate"/>
            </w:r>
            <w:r w:rsidR="002A135C">
              <w:rPr>
                <w:webHidden/>
              </w:rPr>
              <w:t>8</w:t>
            </w:r>
            <w:r>
              <w:rPr>
                <w:webHidden/>
              </w:rPr>
              <w:fldChar w:fldCharType="end"/>
            </w:r>
          </w:hyperlink>
        </w:p>
        <w:p w14:paraId="7C9854A1" w14:textId="12665150"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68" w:history="1">
            <w:r w:rsidRPr="007B1189">
              <w:rPr>
                <w:rStyle w:val="Hyperlink"/>
              </w:rPr>
              <w:t>2.3.</w:t>
            </w:r>
            <w:r>
              <w:rPr>
                <w:rFonts w:asciiTheme="minorHAnsi" w:eastAsiaTheme="minorEastAsia" w:hAnsiTheme="minorHAnsi" w:cstheme="minorBidi"/>
                <w:kern w:val="2"/>
                <w:sz w:val="24"/>
                <w:szCs w:val="24"/>
                <w:lang w:eastAsia="en-AU"/>
                <w14:ligatures w14:val="standardContextual"/>
              </w:rPr>
              <w:tab/>
            </w:r>
            <w:r w:rsidRPr="007B1189">
              <w:rPr>
                <w:rStyle w:val="Hyperlink"/>
              </w:rPr>
              <w:t>Source country comparisons</w:t>
            </w:r>
            <w:r>
              <w:rPr>
                <w:webHidden/>
              </w:rPr>
              <w:tab/>
            </w:r>
            <w:r>
              <w:rPr>
                <w:webHidden/>
              </w:rPr>
              <w:fldChar w:fldCharType="begin"/>
            </w:r>
            <w:r>
              <w:rPr>
                <w:webHidden/>
              </w:rPr>
              <w:instrText xml:space="preserve"> PAGEREF _Toc206692268 \h </w:instrText>
            </w:r>
            <w:r>
              <w:rPr>
                <w:webHidden/>
              </w:rPr>
            </w:r>
            <w:r>
              <w:rPr>
                <w:webHidden/>
              </w:rPr>
              <w:fldChar w:fldCharType="separate"/>
            </w:r>
            <w:r w:rsidR="002A135C">
              <w:rPr>
                <w:webHidden/>
              </w:rPr>
              <w:t>12</w:t>
            </w:r>
            <w:r>
              <w:rPr>
                <w:webHidden/>
              </w:rPr>
              <w:fldChar w:fldCharType="end"/>
            </w:r>
          </w:hyperlink>
        </w:p>
        <w:p w14:paraId="7AF395DA" w14:textId="09395EDA"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69" w:history="1">
            <w:r w:rsidRPr="007B1189">
              <w:rPr>
                <w:rStyle w:val="Hyperlink"/>
              </w:rPr>
              <w:t>2.4.</w:t>
            </w:r>
            <w:r>
              <w:rPr>
                <w:rFonts w:asciiTheme="minorHAnsi" w:eastAsiaTheme="minorEastAsia" w:hAnsiTheme="minorHAnsi" w:cstheme="minorBidi"/>
                <w:kern w:val="2"/>
                <w:sz w:val="24"/>
                <w:szCs w:val="24"/>
                <w:lang w:eastAsia="en-AU"/>
                <w14:ligatures w14:val="standardContextual"/>
              </w:rPr>
              <w:tab/>
            </w:r>
            <w:r w:rsidRPr="007B1189">
              <w:rPr>
                <w:rStyle w:val="Hyperlink"/>
              </w:rPr>
              <w:t>Study area comparisons</w:t>
            </w:r>
            <w:r>
              <w:rPr>
                <w:webHidden/>
              </w:rPr>
              <w:tab/>
            </w:r>
            <w:r>
              <w:rPr>
                <w:webHidden/>
              </w:rPr>
              <w:fldChar w:fldCharType="begin"/>
            </w:r>
            <w:r>
              <w:rPr>
                <w:webHidden/>
              </w:rPr>
              <w:instrText xml:space="preserve"> PAGEREF _Toc206692269 \h </w:instrText>
            </w:r>
            <w:r>
              <w:rPr>
                <w:webHidden/>
              </w:rPr>
            </w:r>
            <w:r>
              <w:rPr>
                <w:webHidden/>
              </w:rPr>
              <w:fldChar w:fldCharType="separate"/>
            </w:r>
            <w:r w:rsidR="002A135C">
              <w:rPr>
                <w:webHidden/>
              </w:rPr>
              <w:t>16</w:t>
            </w:r>
            <w:r>
              <w:rPr>
                <w:webHidden/>
              </w:rPr>
              <w:fldChar w:fldCharType="end"/>
            </w:r>
          </w:hyperlink>
        </w:p>
        <w:p w14:paraId="6DC8C5A7" w14:textId="6F689EC7" w:rsidR="00497D7C" w:rsidRDefault="00497D7C">
          <w:pPr>
            <w:pStyle w:val="TOC3"/>
            <w:rPr>
              <w:rFonts w:asciiTheme="minorHAnsi" w:eastAsiaTheme="minorEastAsia" w:hAnsiTheme="minorHAnsi" w:cstheme="minorBidi"/>
              <w:kern w:val="2"/>
              <w:sz w:val="24"/>
              <w:szCs w:val="24"/>
              <w:lang w:eastAsia="en-AU"/>
              <w14:ligatures w14:val="standardContextual"/>
            </w:rPr>
          </w:pPr>
          <w:hyperlink w:anchor="_Toc206692270" w:history="1">
            <w:r w:rsidRPr="007B1189">
              <w:rPr>
                <w:rStyle w:val="Hyperlink"/>
              </w:rPr>
              <w:t>2.4.1</w:t>
            </w:r>
            <w:r>
              <w:rPr>
                <w:rFonts w:asciiTheme="minorHAnsi" w:eastAsiaTheme="minorEastAsia" w:hAnsiTheme="minorHAnsi" w:cstheme="minorBidi"/>
                <w:kern w:val="2"/>
                <w:sz w:val="24"/>
                <w:szCs w:val="24"/>
                <w:lang w:eastAsia="en-AU"/>
                <w14:ligatures w14:val="standardContextual"/>
              </w:rPr>
              <w:tab/>
            </w:r>
            <w:r w:rsidRPr="007B1189">
              <w:rPr>
                <w:rStyle w:val="Hyperlink"/>
              </w:rPr>
              <w:t>International undergraduate students</w:t>
            </w:r>
            <w:r>
              <w:rPr>
                <w:webHidden/>
              </w:rPr>
              <w:tab/>
            </w:r>
            <w:r>
              <w:rPr>
                <w:webHidden/>
              </w:rPr>
              <w:fldChar w:fldCharType="begin"/>
            </w:r>
            <w:r>
              <w:rPr>
                <w:webHidden/>
              </w:rPr>
              <w:instrText xml:space="preserve"> PAGEREF _Toc206692270 \h </w:instrText>
            </w:r>
            <w:r>
              <w:rPr>
                <w:webHidden/>
              </w:rPr>
            </w:r>
            <w:r>
              <w:rPr>
                <w:webHidden/>
              </w:rPr>
              <w:fldChar w:fldCharType="separate"/>
            </w:r>
            <w:r w:rsidR="002A135C">
              <w:rPr>
                <w:webHidden/>
              </w:rPr>
              <w:t>17</w:t>
            </w:r>
            <w:r>
              <w:rPr>
                <w:webHidden/>
              </w:rPr>
              <w:fldChar w:fldCharType="end"/>
            </w:r>
          </w:hyperlink>
        </w:p>
        <w:p w14:paraId="4A538271" w14:textId="698AD593" w:rsidR="00497D7C" w:rsidRDefault="00497D7C">
          <w:pPr>
            <w:pStyle w:val="TOC3"/>
            <w:rPr>
              <w:rFonts w:asciiTheme="minorHAnsi" w:eastAsiaTheme="minorEastAsia" w:hAnsiTheme="minorHAnsi" w:cstheme="minorBidi"/>
              <w:kern w:val="2"/>
              <w:sz w:val="24"/>
              <w:szCs w:val="24"/>
              <w:lang w:eastAsia="en-AU"/>
              <w14:ligatures w14:val="standardContextual"/>
            </w:rPr>
          </w:pPr>
          <w:hyperlink w:anchor="_Toc206692271" w:history="1">
            <w:r w:rsidRPr="007B1189">
              <w:rPr>
                <w:rStyle w:val="Hyperlink"/>
              </w:rPr>
              <w:t>2.4.2</w:t>
            </w:r>
            <w:r>
              <w:rPr>
                <w:rFonts w:asciiTheme="minorHAnsi" w:eastAsiaTheme="minorEastAsia" w:hAnsiTheme="minorHAnsi" w:cstheme="minorBidi"/>
                <w:kern w:val="2"/>
                <w:sz w:val="24"/>
                <w:szCs w:val="24"/>
                <w:lang w:eastAsia="en-AU"/>
                <w14:ligatures w14:val="standardContextual"/>
              </w:rPr>
              <w:tab/>
            </w:r>
            <w:r w:rsidRPr="007B1189">
              <w:rPr>
                <w:rStyle w:val="Hyperlink"/>
              </w:rPr>
              <w:t>International postgraduate coursework students</w:t>
            </w:r>
            <w:r>
              <w:rPr>
                <w:webHidden/>
              </w:rPr>
              <w:tab/>
            </w:r>
            <w:r>
              <w:rPr>
                <w:webHidden/>
              </w:rPr>
              <w:fldChar w:fldCharType="begin"/>
            </w:r>
            <w:r>
              <w:rPr>
                <w:webHidden/>
              </w:rPr>
              <w:instrText xml:space="preserve"> PAGEREF _Toc206692271 \h </w:instrText>
            </w:r>
            <w:r>
              <w:rPr>
                <w:webHidden/>
              </w:rPr>
            </w:r>
            <w:r>
              <w:rPr>
                <w:webHidden/>
              </w:rPr>
              <w:fldChar w:fldCharType="separate"/>
            </w:r>
            <w:r w:rsidR="002A135C">
              <w:rPr>
                <w:webHidden/>
              </w:rPr>
              <w:t>19</w:t>
            </w:r>
            <w:r>
              <w:rPr>
                <w:webHidden/>
              </w:rPr>
              <w:fldChar w:fldCharType="end"/>
            </w:r>
          </w:hyperlink>
        </w:p>
        <w:p w14:paraId="00BFFCC0" w14:textId="711E8001"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72" w:history="1">
            <w:r w:rsidRPr="007B1189">
              <w:rPr>
                <w:rStyle w:val="Hyperlink"/>
              </w:rPr>
              <w:t>2.5.</w:t>
            </w:r>
            <w:r>
              <w:rPr>
                <w:rFonts w:asciiTheme="minorHAnsi" w:eastAsiaTheme="minorEastAsia" w:hAnsiTheme="minorHAnsi" w:cstheme="minorBidi"/>
                <w:kern w:val="2"/>
                <w:sz w:val="24"/>
                <w:szCs w:val="24"/>
                <w:lang w:eastAsia="en-AU"/>
                <w14:ligatures w14:val="standardContextual"/>
              </w:rPr>
              <w:tab/>
            </w:r>
            <w:r w:rsidRPr="007B1189">
              <w:rPr>
                <w:rStyle w:val="Hyperlink"/>
              </w:rPr>
              <w:t>Institutional comparisons</w:t>
            </w:r>
            <w:r>
              <w:rPr>
                <w:webHidden/>
              </w:rPr>
              <w:tab/>
            </w:r>
            <w:r>
              <w:rPr>
                <w:webHidden/>
              </w:rPr>
              <w:fldChar w:fldCharType="begin"/>
            </w:r>
            <w:r>
              <w:rPr>
                <w:webHidden/>
              </w:rPr>
              <w:instrText xml:space="preserve"> PAGEREF _Toc206692272 \h </w:instrText>
            </w:r>
            <w:r>
              <w:rPr>
                <w:webHidden/>
              </w:rPr>
            </w:r>
            <w:r>
              <w:rPr>
                <w:webHidden/>
              </w:rPr>
              <w:fldChar w:fldCharType="separate"/>
            </w:r>
            <w:r w:rsidR="002A135C">
              <w:rPr>
                <w:webHidden/>
              </w:rPr>
              <w:t>24</w:t>
            </w:r>
            <w:r>
              <w:rPr>
                <w:webHidden/>
              </w:rPr>
              <w:fldChar w:fldCharType="end"/>
            </w:r>
          </w:hyperlink>
        </w:p>
        <w:p w14:paraId="6050011A" w14:textId="37E03BC5" w:rsidR="00497D7C" w:rsidRDefault="00497D7C">
          <w:pPr>
            <w:pStyle w:val="TOC3"/>
            <w:rPr>
              <w:rFonts w:asciiTheme="minorHAnsi" w:eastAsiaTheme="minorEastAsia" w:hAnsiTheme="minorHAnsi" w:cstheme="minorBidi"/>
              <w:kern w:val="2"/>
              <w:sz w:val="24"/>
              <w:szCs w:val="24"/>
              <w:lang w:eastAsia="en-AU"/>
              <w14:ligatures w14:val="standardContextual"/>
            </w:rPr>
          </w:pPr>
          <w:hyperlink w:anchor="_Toc206692273" w:history="1">
            <w:r w:rsidRPr="007B1189">
              <w:rPr>
                <w:rStyle w:val="Hyperlink"/>
              </w:rPr>
              <w:t>2.5.1</w:t>
            </w:r>
            <w:r>
              <w:rPr>
                <w:rFonts w:asciiTheme="minorHAnsi" w:eastAsiaTheme="minorEastAsia" w:hAnsiTheme="minorHAnsi" w:cstheme="minorBidi"/>
                <w:kern w:val="2"/>
                <w:sz w:val="24"/>
                <w:szCs w:val="24"/>
                <w:lang w:eastAsia="en-AU"/>
                <w14:ligatures w14:val="standardContextual"/>
              </w:rPr>
              <w:tab/>
            </w:r>
            <w:r w:rsidRPr="007B1189">
              <w:rPr>
                <w:rStyle w:val="Hyperlink"/>
              </w:rPr>
              <w:t>Higher education institution type</w:t>
            </w:r>
            <w:r>
              <w:rPr>
                <w:webHidden/>
              </w:rPr>
              <w:tab/>
            </w:r>
            <w:r>
              <w:rPr>
                <w:webHidden/>
              </w:rPr>
              <w:fldChar w:fldCharType="begin"/>
            </w:r>
            <w:r>
              <w:rPr>
                <w:webHidden/>
              </w:rPr>
              <w:instrText xml:space="preserve"> PAGEREF _Toc206692273 \h </w:instrText>
            </w:r>
            <w:r>
              <w:rPr>
                <w:webHidden/>
              </w:rPr>
            </w:r>
            <w:r>
              <w:rPr>
                <w:webHidden/>
              </w:rPr>
              <w:fldChar w:fldCharType="separate"/>
            </w:r>
            <w:r w:rsidR="002A135C">
              <w:rPr>
                <w:webHidden/>
              </w:rPr>
              <w:t>24</w:t>
            </w:r>
            <w:r>
              <w:rPr>
                <w:webHidden/>
              </w:rPr>
              <w:fldChar w:fldCharType="end"/>
            </w:r>
          </w:hyperlink>
        </w:p>
        <w:p w14:paraId="78473ADA" w14:textId="34325234" w:rsidR="00497D7C" w:rsidRDefault="00497D7C">
          <w:pPr>
            <w:pStyle w:val="TOC3"/>
            <w:rPr>
              <w:rFonts w:asciiTheme="minorHAnsi" w:eastAsiaTheme="minorEastAsia" w:hAnsiTheme="minorHAnsi" w:cstheme="minorBidi"/>
              <w:kern w:val="2"/>
              <w:sz w:val="24"/>
              <w:szCs w:val="24"/>
              <w:lang w:eastAsia="en-AU"/>
              <w14:ligatures w14:val="standardContextual"/>
            </w:rPr>
          </w:pPr>
          <w:hyperlink w:anchor="_Toc206692274" w:history="1">
            <w:r w:rsidRPr="007B1189">
              <w:rPr>
                <w:rStyle w:val="Hyperlink"/>
              </w:rPr>
              <w:t>2.5.2</w:t>
            </w:r>
            <w:r>
              <w:rPr>
                <w:rFonts w:asciiTheme="minorHAnsi" w:eastAsiaTheme="minorEastAsia" w:hAnsiTheme="minorHAnsi" w:cstheme="minorBidi"/>
                <w:kern w:val="2"/>
                <w:sz w:val="24"/>
                <w:szCs w:val="24"/>
                <w:lang w:eastAsia="en-AU"/>
                <w14:ligatures w14:val="standardContextual"/>
              </w:rPr>
              <w:tab/>
            </w:r>
            <w:r w:rsidRPr="007B1189">
              <w:rPr>
                <w:rStyle w:val="Hyperlink"/>
              </w:rPr>
              <w:t>Universities</w:t>
            </w:r>
            <w:r>
              <w:rPr>
                <w:webHidden/>
              </w:rPr>
              <w:tab/>
            </w:r>
            <w:r>
              <w:rPr>
                <w:webHidden/>
              </w:rPr>
              <w:fldChar w:fldCharType="begin"/>
            </w:r>
            <w:r>
              <w:rPr>
                <w:webHidden/>
              </w:rPr>
              <w:instrText xml:space="preserve"> PAGEREF _Toc206692274 \h </w:instrText>
            </w:r>
            <w:r>
              <w:rPr>
                <w:webHidden/>
              </w:rPr>
            </w:r>
            <w:r>
              <w:rPr>
                <w:webHidden/>
              </w:rPr>
              <w:fldChar w:fldCharType="separate"/>
            </w:r>
            <w:r w:rsidR="002A135C">
              <w:rPr>
                <w:webHidden/>
              </w:rPr>
              <w:t>25</w:t>
            </w:r>
            <w:r>
              <w:rPr>
                <w:webHidden/>
              </w:rPr>
              <w:fldChar w:fldCharType="end"/>
            </w:r>
          </w:hyperlink>
        </w:p>
        <w:p w14:paraId="5FA9C4E4" w14:textId="4FFEC545" w:rsidR="00497D7C" w:rsidRDefault="00497D7C">
          <w:pPr>
            <w:pStyle w:val="TOC3"/>
            <w:rPr>
              <w:rFonts w:asciiTheme="minorHAnsi" w:eastAsiaTheme="minorEastAsia" w:hAnsiTheme="minorHAnsi" w:cstheme="minorBidi"/>
              <w:kern w:val="2"/>
              <w:sz w:val="24"/>
              <w:szCs w:val="24"/>
              <w:lang w:eastAsia="en-AU"/>
              <w14:ligatures w14:val="standardContextual"/>
            </w:rPr>
          </w:pPr>
          <w:hyperlink w:anchor="_Toc206692275" w:history="1">
            <w:r w:rsidRPr="007B1189">
              <w:rPr>
                <w:rStyle w:val="Hyperlink"/>
              </w:rPr>
              <w:t>2.5.3</w:t>
            </w:r>
            <w:r>
              <w:rPr>
                <w:rFonts w:asciiTheme="minorHAnsi" w:eastAsiaTheme="minorEastAsia" w:hAnsiTheme="minorHAnsi" w:cstheme="minorBidi"/>
                <w:kern w:val="2"/>
                <w:sz w:val="24"/>
                <w:szCs w:val="24"/>
                <w:lang w:eastAsia="en-AU"/>
                <w14:ligatures w14:val="standardContextual"/>
              </w:rPr>
              <w:tab/>
            </w:r>
            <w:r w:rsidRPr="007B1189">
              <w:rPr>
                <w:rStyle w:val="Hyperlink"/>
              </w:rPr>
              <w:t>Non-university higher education institutions (NUHEIs)</w:t>
            </w:r>
            <w:r>
              <w:rPr>
                <w:webHidden/>
              </w:rPr>
              <w:tab/>
            </w:r>
            <w:r>
              <w:rPr>
                <w:webHidden/>
              </w:rPr>
              <w:fldChar w:fldCharType="begin"/>
            </w:r>
            <w:r>
              <w:rPr>
                <w:webHidden/>
              </w:rPr>
              <w:instrText xml:space="preserve"> PAGEREF _Toc206692275 \h </w:instrText>
            </w:r>
            <w:r>
              <w:rPr>
                <w:webHidden/>
              </w:rPr>
            </w:r>
            <w:r>
              <w:rPr>
                <w:webHidden/>
              </w:rPr>
              <w:fldChar w:fldCharType="separate"/>
            </w:r>
            <w:r w:rsidR="002A135C">
              <w:rPr>
                <w:webHidden/>
              </w:rPr>
              <w:t>28</w:t>
            </w:r>
            <w:r>
              <w:rPr>
                <w:webHidden/>
              </w:rPr>
              <w:fldChar w:fldCharType="end"/>
            </w:r>
          </w:hyperlink>
        </w:p>
        <w:p w14:paraId="0EF336DF" w14:textId="48ED2825" w:rsidR="00497D7C" w:rsidRDefault="00497D7C">
          <w:pPr>
            <w:pStyle w:val="TOC1"/>
            <w:rPr>
              <w:rFonts w:asciiTheme="minorHAnsi" w:eastAsiaTheme="minorEastAsia" w:hAnsiTheme="minorHAnsi" w:cstheme="minorBidi"/>
              <w:b w:val="0"/>
              <w:kern w:val="2"/>
              <w:sz w:val="24"/>
              <w:szCs w:val="24"/>
              <w:lang w:eastAsia="en-AU"/>
              <w14:ligatures w14:val="standardContextual"/>
            </w:rPr>
          </w:pPr>
          <w:hyperlink w:anchor="_Toc206692276" w:history="1">
            <w:r w:rsidRPr="007B1189">
              <w:rPr>
                <w:rStyle w:val="Hyperlink"/>
              </w:rPr>
              <w:t>3.</w:t>
            </w:r>
            <w:r>
              <w:rPr>
                <w:rFonts w:asciiTheme="minorHAnsi" w:eastAsiaTheme="minorEastAsia" w:hAnsiTheme="minorHAnsi" w:cstheme="minorBidi"/>
                <w:b w:val="0"/>
                <w:kern w:val="2"/>
                <w:sz w:val="24"/>
                <w:szCs w:val="24"/>
                <w:lang w:eastAsia="en-AU"/>
                <w14:ligatures w14:val="standardContextual"/>
              </w:rPr>
              <w:tab/>
            </w:r>
            <w:r w:rsidRPr="007B1189">
              <w:rPr>
                <w:rStyle w:val="Hyperlink"/>
              </w:rPr>
              <w:t>Other aspects of the higher education experience</w:t>
            </w:r>
            <w:r>
              <w:rPr>
                <w:webHidden/>
              </w:rPr>
              <w:tab/>
            </w:r>
            <w:r>
              <w:rPr>
                <w:webHidden/>
              </w:rPr>
              <w:fldChar w:fldCharType="begin"/>
            </w:r>
            <w:r>
              <w:rPr>
                <w:webHidden/>
              </w:rPr>
              <w:instrText xml:space="preserve"> PAGEREF _Toc206692276 \h </w:instrText>
            </w:r>
            <w:r>
              <w:rPr>
                <w:webHidden/>
              </w:rPr>
            </w:r>
            <w:r>
              <w:rPr>
                <w:webHidden/>
              </w:rPr>
              <w:fldChar w:fldCharType="separate"/>
            </w:r>
            <w:r w:rsidR="002A135C">
              <w:rPr>
                <w:webHidden/>
              </w:rPr>
              <w:t>31</w:t>
            </w:r>
            <w:r>
              <w:rPr>
                <w:webHidden/>
              </w:rPr>
              <w:fldChar w:fldCharType="end"/>
            </w:r>
          </w:hyperlink>
        </w:p>
        <w:p w14:paraId="238CCCE6" w14:textId="5EFED81E"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77" w:history="1">
            <w:r w:rsidRPr="007B1189">
              <w:rPr>
                <w:rStyle w:val="Hyperlink"/>
              </w:rPr>
              <w:t>3.1.</w:t>
            </w:r>
            <w:r>
              <w:rPr>
                <w:rFonts w:asciiTheme="minorHAnsi" w:eastAsiaTheme="minorEastAsia" w:hAnsiTheme="minorHAnsi" w:cstheme="minorBidi"/>
                <w:kern w:val="2"/>
                <w:sz w:val="24"/>
                <w:szCs w:val="24"/>
                <w:lang w:eastAsia="en-AU"/>
                <w14:ligatures w14:val="standardContextual"/>
              </w:rPr>
              <w:tab/>
            </w:r>
            <w:r w:rsidRPr="007B1189">
              <w:rPr>
                <w:rStyle w:val="Hyperlink"/>
              </w:rPr>
              <w:t>Sense of belonging</w:t>
            </w:r>
            <w:r>
              <w:rPr>
                <w:webHidden/>
              </w:rPr>
              <w:tab/>
            </w:r>
            <w:r>
              <w:rPr>
                <w:webHidden/>
              </w:rPr>
              <w:fldChar w:fldCharType="begin"/>
            </w:r>
            <w:r>
              <w:rPr>
                <w:webHidden/>
              </w:rPr>
              <w:instrText xml:space="preserve"> PAGEREF _Toc206692277 \h </w:instrText>
            </w:r>
            <w:r>
              <w:rPr>
                <w:webHidden/>
              </w:rPr>
            </w:r>
            <w:r>
              <w:rPr>
                <w:webHidden/>
              </w:rPr>
              <w:fldChar w:fldCharType="separate"/>
            </w:r>
            <w:r w:rsidR="002A135C">
              <w:rPr>
                <w:webHidden/>
              </w:rPr>
              <w:t>31</w:t>
            </w:r>
            <w:r>
              <w:rPr>
                <w:webHidden/>
              </w:rPr>
              <w:fldChar w:fldCharType="end"/>
            </w:r>
          </w:hyperlink>
        </w:p>
        <w:p w14:paraId="6B9D5CC2" w14:textId="67E4AB05"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78" w:history="1">
            <w:r w:rsidRPr="007B1189">
              <w:rPr>
                <w:rStyle w:val="Hyperlink"/>
              </w:rPr>
              <w:t>3.2.</w:t>
            </w:r>
            <w:r>
              <w:rPr>
                <w:rFonts w:asciiTheme="minorHAnsi" w:eastAsiaTheme="minorEastAsia" w:hAnsiTheme="minorHAnsi" w:cstheme="minorBidi"/>
                <w:kern w:val="2"/>
                <w:sz w:val="24"/>
                <w:szCs w:val="24"/>
                <w:lang w:eastAsia="en-AU"/>
                <w14:ligatures w14:val="standardContextual"/>
              </w:rPr>
              <w:tab/>
            </w:r>
            <w:r w:rsidRPr="007B1189">
              <w:rPr>
                <w:rStyle w:val="Hyperlink"/>
              </w:rPr>
              <w:t>Likelihood to consider leaving current institution</w:t>
            </w:r>
            <w:r>
              <w:rPr>
                <w:webHidden/>
              </w:rPr>
              <w:tab/>
            </w:r>
            <w:r>
              <w:rPr>
                <w:webHidden/>
              </w:rPr>
              <w:fldChar w:fldCharType="begin"/>
            </w:r>
            <w:r>
              <w:rPr>
                <w:webHidden/>
              </w:rPr>
              <w:instrText xml:space="preserve"> PAGEREF _Toc206692278 \h </w:instrText>
            </w:r>
            <w:r>
              <w:rPr>
                <w:webHidden/>
              </w:rPr>
            </w:r>
            <w:r>
              <w:rPr>
                <w:webHidden/>
              </w:rPr>
              <w:fldChar w:fldCharType="separate"/>
            </w:r>
            <w:r w:rsidR="002A135C">
              <w:rPr>
                <w:webHidden/>
              </w:rPr>
              <w:t>32</w:t>
            </w:r>
            <w:r>
              <w:rPr>
                <w:webHidden/>
              </w:rPr>
              <w:fldChar w:fldCharType="end"/>
            </w:r>
          </w:hyperlink>
        </w:p>
        <w:p w14:paraId="0EFC6A14" w14:textId="6F1145A1" w:rsidR="00497D7C" w:rsidRDefault="00497D7C">
          <w:pPr>
            <w:pStyle w:val="TOC1"/>
            <w:rPr>
              <w:rFonts w:asciiTheme="minorHAnsi" w:eastAsiaTheme="minorEastAsia" w:hAnsiTheme="minorHAnsi" w:cstheme="minorBidi"/>
              <w:b w:val="0"/>
              <w:kern w:val="2"/>
              <w:sz w:val="24"/>
              <w:szCs w:val="24"/>
              <w:lang w:eastAsia="en-AU"/>
              <w14:ligatures w14:val="standardContextual"/>
            </w:rPr>
          </w:pPr>
          <w:hyperlink w:anchor="_Toc206692279" w:history="1">
            <w:r w:rsidRPr="007B1189">
              <w:rPr>
                <w:rStyle w:val="Hyperlink"/>
              </w:rPr>
              <w:t>4.</w:t>
            </w:r>
            <w:r>
              <w:rPr>
                <w:rFonts w:asciiTheme="minorHAnsi" w:eastAsiaTheme="minorEastAsia" w:hAnsiTheme="minorHAnsi" w:cstheme="minorBidi"/>
                <w:b w:val="0"/>
                <w:kern w:val="2"/>
                <w:sz w:val="24"/>
                <w:szCs w:val="24"/>
                <w:lang w:eastAsia="en-AU"/>
                <w14:ligatures w14:val="standardContextual"/>
              </w:rPr>
              <w:tab/>
            </w:r>
            <w:r w:rsidRPr="007B1189">
              <w:rPr>
                <w:rStyle w:val="Hyperlink"/>
              </w:rPr>
              <w:t>The living experience of international students in Australia</w:t>
            </w:r>
            <w:r>
              <w:rPr>
                <w:webHidden/>
              </w:rPr>
              <w:tab/>
            </w:r>
            <w:r>
              <w:rPr>
                <w:webHidden/>
              </w:rPr>
              <w:fldChar w:fldCharType="begin"/>
            </w:r>
            <w:r>
              <w:rPr>
                <w:webHidden/>
              </w:rPr>
              <w:instrText xml:space="preserve"> PAGEREF _Toc206692279 \h </w:instrText>
            </w:r>
            <w:r>
              <w:rPr>
                <w:webHidden/>
              </w:rPr>
            </w:r>
            <w:r>
              <w:rPr>
                <w:webHidden/>
              </w:rPr>
              <w:fldChar w:fldCharType="separate"/>
            </w:r>
            <w:r w:rsidR="002A135C">
              <w:rPr>
                <w:webHidden/>
              </w:rPr>
              <w:t>37</w:t>
            </w:r>
            <w:r>
              <w:rPr>
                <w:webHidden/>
              </w:rPr>
              <w:fldChar w:fldCharType="end"/>
            </w:r>
          </w:hyperlink>
        </w:p>
        <w:p w14:paraId="047E2E74" w14:textId="68CA71B8"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80" w:history="1">
            <w:r w:rsidRPr="007B1189">
              <w:rPr>
                <w:rStyle w:val="Hyperlink"/>
              </w:rPr>
              <w:t>4.1.</w:t>
            </w:r>
            <w:r>
              <w:rPr>
                <w:rFonts w:asciiTheme="minorHAnsi" w:eastAsiaTheme="minorEastAsia" w:hAnsiTheme="minorHAnsi" w:cstheme="minorBidi"/>
                <w:kern w:val="2"/>
                <w:sz w:val="24"/>
                <w:szCs w:val="24"/>
                <w:lang w:eastAsia="en-AU"/>
                <w14:ligatures w14:val="standardContextual"/>
              </w:rPr>
              <w:tab/>
            </w:r>
            <w:r w:rsidRPr="007B1189">
              <w:rPr>
                <w:rStyle w:val="Hyperlink"/>
              </w:rPr>
              <w:t>Accommodation experience</w:t>
            </w:r>
            <w:r>
              <w:rPr>
                <w:webHidden/>
              </w:rPr>
              <w:tab/>
            </w:r>
            <w:r>
              <w:rPr>
                <w:webHidden/>
              </w:rPr>
              <w:fldChar w:fldCharType="begin"/>
            </w:r>
            <w:r>
              <w:rPr>
                <w:webHidden/>
              </w:rPr>
              <w:instrText xml:space="preserve"> PAGEREF _Toc206692280 \h </w:instrText>
            </w:r>
            <w:r>
              <w:rPr>
                <w:webHidden/>
              </w:rPr>
            </w:r>
            <w:r>
              <w:rPr>
                <w:webHidden/>
              </w:rPr>
              <w:fldChar w:fldCharType="separate"/>
            </w:r>
            <w:r w:rsidR="002A135C">
              <w:rPr>
                <w:webHidden/>
              </w:rPr>
              <w:t>41</w:t>
            </w:r>
            <w:r>
              <w:rPr>
                <w:webHidden/>
              </w:rPr>
              <w:fldChar w:fldCharType="end"/>
            </w:r>
          </w:hyperlink>
        </w:p>
        <w:p w14:paraId="77C8B98E" w14:textId="08403215"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81" w:history="1">
            <w:r w:rsidRPr="007B1189">
              <w:rPr>
                <w:rStyle w:val="Hyperlink"/>
              </w:rPr>
              <w:t>4.2.</w:t>
            </w:r>
            <w:r>
              <w:rPr>
                <w:rFonts w:asciiTheme="minorHAnsi" w:eastAsiaTheme="minorEastAsia" w:hAnsiTheme="minorHAnsi" w:cstheme="minorBidi"/>
                <w:kern w:val="2"/>
                <w:sz w:val="24"/>
                <w:szCs w:val="24"/>
                <w:lang w:eastAsia="en-AU"/>
                <w14:ligatures w14:val="standardContextual"/>
              </w:rPr>
              <w:tab/>
            </w:r>
            <w:r w:rsidRPr="007B1189">
              <w:rPr>
                <w:rStyle w:val="Hyperlink"/>
              </w:rPr>
              <w:t>Use of agents</w:t>
            </w:r>
            <w:r>
              <w:rPr>
                <w:webHidden/>
              </w:rPr>
              <w:tab/>
            </w:r>
            <w:r>
              <w:rPr>
                <w:webHidden/>
              </w:rPr>
              <w:fldChar w:fldCharType="begin"/>
            </w:r>
            <w:r>
              <w:rPr>
                <w:webHidden/>
              </w:rPr>
              <w:instrText xml:space="preserve"> PAGEREF _Toc206692281 \h </w:instrText>
            </w:r>
            <w:r>
              <w:rPr>
                <w:webHidden/>
              </w:rPr>
            </w:r>
            <w:r>
              <w:rPr>
                <w:webHidden/>
              </w:rPr>
              <w:fldChar w:fldCharType="separate"/>
            </w:r>
            <w:r w:rsidR="002A135C">
              <w:rPr>
                <w:webHidden/>
              </w:rPr>
              <w:t>45</w:t>
            </w:r>
            <w:r>
              <w:rPr>
                <w:webHidden/>
              </w:rPr>
              <w:fldChar w:fldCharType="end"/>
            </w:r>
          </w:hyperlink>
        </w:p>
        <w:p w14:paraId="6A837D3C" w14:textId="75462C67" w:rsidR="00497D7C" w:rsidRDefault="00497D7C">
          <w:pPr>
            <w:pStyle w:val="TOC1"/>
            <w:rPr>
              <w:rFonts w:asciiTheme="minorHAnsi" w:eastAsiaTheme="minorEastAsia" w:hAnsiTheme="minorHAnsi" w:cstheme="minorBidi"/>
              <w:b w:val="0"/>
              <w:kern w:val="2"/>
              <w:sz w:val="24"/>
              <w:szCs w:val="24"/>
              <w:lang w:eastAsia="en-AU"/>
              <w14:ligatures w14:val="standardContextual"/>
            </w:rPr>
          </w:pPr>
          <w:hyperlink w:anchor="_Toc206692282" w:history="1">
            <w:r w:rsidRPr="007B1189">
              <w:rPr>
                <w:rStyle w:val="Hyperlink"/>
              </w:rPr>
              <w:t>5.</w:t>
            </w:r>
            <w:r>
              <w:rPr>
                <w:rFonts w:asciiTheme="minorHAnsi" w:eastAsiaTheme="minorEastAsia" w:hAnsiTheme="minorHAnsi" w:cstheme="minorBidi"/>
                <w:b w:val="0"/>
                <w:kern w:val="2"/>
                <w:sz w:val="24"/>
                <w:szCs w:val="24"/>
                <w:lang w:eastAsia="en-AU"/>
                <w14:ligatures w14:val="standardContextual"/>
              </w:rPr>
              <w:tab/>
            </w:r>
            <w:r w:rsidRPr="007B1189">
              <w:rPr>
                <w:rStyle w:val="Hyperlink"/>
              </w:rPr>
              <w:t>Factors in deciding where to study</w:t>
            </w:r>
            <w:r>
              <w:rPr>
                <w:webHidden/>
              </w:rPr>
              <w:tab/>
            </w:r>
            <w:r>
              <w:rPr>
                <w:webHidden/>
              </w:rPr>
              <w:fldChar w:fldCharType="begin"/>
            </w:r>
            <w:r>
              <w:rPr>
                <w:webHidden/>
              </w:rPr>
              <w:instrText xml:space="preserve"> PAGEREF _Toc206692282 \h </w:instrText>
            </w:r>
            <w:r>
              <w:rPr>
                <w:webHidden/>
              </w:rPr>
            </w:r>
            <w:r>
              <w:rPr>
                <w:webHidden/>
              </w:rPr>
              <w:fldChar w:fldCharType="separate"/>
            </w:r>
            <w:r w:rsidR="002A135C">
              <w:rPr>
                <w:webHidden/>
              </w:rPr>
              <w:t>46</w:t>
            </w:r>
            <w:r>
              <w:rPr>
                <w:webHidden/>
              </w:rPr>
              <w:fldChar w:fldCharType="end"/>
            </w:r>
          </w:hyperlink>
        </w:p>
        <w:p w14:paraId="5168625A" w14:textId="62BB6D9D"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83" w:history="1">
            <w:r w:rsidRPr="007B1189">
              <w:rPr>
                <w:rStyle w:val="Hyperlink"/>
              </w:rPr>
              <w:t>5.1.</w:t>
            </w:r>
            <w:r>
              <w:rPr>
                <w:rFonts w:asciiTheme="minorHAnsi" w:eastAsiaTheme="minorEastAsia" w:hAnsiTheme="minorHAnsi" w:cstheme="minorBidi"/>
                <w:kern w:val="2"/>
                <w:sz w:val="24"/>
                <w:szCs w:val="24"/>
                <w:lang w:eastAsia="en-AU"/>
                <w14:ligatures w14:val="standardContextual"/>
              </w:rPr>
              <w:tab/>
            </w:r>
            <w:r w:rsidRPr="007B1189">
              <w:rPr>
                <w:rStyle w:val="Hyperlink"/>
              </w:rPr>
              <w:t>Reasons for choosing to study in Australia</w:t>
            </w:r>
            <w:r>
              <w:rPr>
                <w:webHidden/>
              </w:rPr>
              <w:tab/>
            </w:r>
            <w:r>
              <w:rPr>
                <w:webHidden/>
              </w:rPr>
              <w:fldChar w:fldCharType="begin"/>
            </w:r>
            <w:r>
              <w:rPr>
                <w:webHidden/>
              </w:rPr>
              <w:instrText xml:space="preserve"> PAGEREF _Toc206692283 \h </w:instrText>
            </w:r>
            <w:r>
              <w:rPr>
                <w:webHidden/>
              </w:rPr>
            </w:r>
            <w:r>
              <w:rPr>
                <w:webHidden/>
              </w:rPr>
              <w:fldChar w:fldCharType="separate"/>
            </w:r>
            <w:r w:rsidR="002A135C">
              <w:rPr>
                <w:webHidden/>
              </w:rPr>
              <w:t>46</w:t>
            </w:r>
            <w:r>
              <w:rPr>
                <w:webHidden/>
              </w:rPr>
              <w:fldChar w:fldCharType="end"/>
            </w:r>
          </w:hyperlink>
        </w:p>
        <w:p w14:paraId="2C9204B1" w14:textId="18D04F50"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84" w:history="1">
            <w:r w:rsidRPr="007B1189">
              <w:rPr>
                <w:rStyle w:val="Hyperlink"/>
              </w:rPr>
              <w:t>5.2.</w:t>
            </w:r>
            <w:r>
              <w:rPr>
                <w:rFonts w:asciiTheme="minorHAnsi" w:eastAsiaTheme="minorEastAsia" w:hAnsiTheme="minorHAnsi" w:cstheme="minorBidi"/>
                <w:kern w:val="2"/>
                <w:sz w:val="24"/>
                <w:szCs w:val="24"/>
                <w:lang w:eastAsia="en-AU"/>
                <w14:ligatures w14:val="standardContextual"/>
              </w:rPr>
              <w:tab/>
            </w:r>
            <w:r w:rsidRPr="007B1189">
              <w:rPr>
                <w:rStyle w:val="Hyperlink"/>
              </w:rPr>
              <w:t>Reasons for choosing to study at current institution</w:t>
            </w:r>
            <w:r>
              <w:rPr>
                <w:webHidden/>
              </w:rPr>
              <w:tab/>
            </w:r>
            <w:r>
              <w:rPr>
                <w:webHidden/>
              </w:rPr>
              <w:fldChar w:fldCharType="begin"/>
            </w:r>
            <w:r>
              <w:rPr>
                <w:webHidden/>
              </w:rPr>
              <w:instrText xml:space="preserve"> PAGEREF _Toc206692284 \h </w:instrText>
            </w:r>
            <w:r>
              <w:rPr>
                <w:webHidden/>
              </w:rPr>
            </w:r>
            <w:r>
              <w:rPr>
                <w:webHidden/>
              </w:rPr>
              <w:fldChar w:fldCharType="separate"/>
            </w:r>
            <w:r w:rsidR="002A135C">
              <w:rPr>
                <w:webHidden/>
              </w:rPr>
              <w:t>48</w:t>
            </w:r>
            <w:r>
              <w:rPr>
                <w:webHidden/>
              </w:rPr>
              <w:fldChar w:fldCharType="end"/>
            </w:r>
          </w:hyperlink>
        </w:p>
        <w:p w14:paraId="78CAC6A6" w14:textId="54F7CCD8" w:rsidR="00497D7C" w:rsidRDefault="00497D7C">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692285" w:history="1">
            <w:r w:rsidRPr="007B1189">
              <w:rPr>
                <w:rStyle w:val="Hyperlink"/>
              </w:rPr>
              <w:t>Appendix 1</w:t>
            </w:r>
            <w:r>
              <w:rPr>
                <w:rFonts w:asciiTheme="minorHAnsi" w:eastAsiaTheme="minorEastAsia" w:hAnsiTheme="minorHAnsi" w:cstheme="minorBidi"/>
                <w:b w:val="0"/>
                <w:kern w:val="2"/>
                <w:sz w:val="24"/>
                <w:szCs w:val="24"/>
                <w:lang w:eastAsia="en-AU"/>
                <w14:ligatures w14:val="standardContextual"/>
              </w:rPr>
              <w:tab/>
            </w:r>
            <w:r w:rsidRPr="007B1189">
              <w:rPr>
                <w:rStyle w:val="Hyperlink"/>
              </w:rPr>
              <w:t>SES focus area items</w:t>
            </w:r>
            <w:r>
              <w:rPr>
                <w:webHidden/>
              </w:rPr>
              <w:tab/>
            </w:r>
            <w:r>
              <w:rPr>
                <w:webHidden/>
              </w:rPr>
              <w:fldChar w:fldCharType="begin"/>
            </w:r>
            <w:r>
              <w:rPr>
                <w:webHidden/>
              </w:rPr>
              <w:instrText xml:space="preserve"> PAGEREF _Toc206692285 \h </w:instrText>
            </w:r>
            <w:r>
              <w:rPr>
                <w:webHidden/>
              </w:rPr>
            </w:r>
            <w:r>
              <w:rPr>
                <w:webHidden/>
              </w:rPr>
              <w:fldChar w:fldCharType="separate"/>
            </w:r>
            <w:r w:rsidR="002A135C">
              <w:rPr>
                <w:webHidden/>
              </w:rPr>
              <w:t>50</w:t>
            </w:r>
            <w:r>
              <w:rPr>
                <w:webHidden/>
              </w:rPr>
              <w:fldChar w:fldCharType="end"/>
            </w:r>
          </w:hyperlink>
        </w:p>
        <w:p w14:paraId="1633D208" w14:textId="11201CE9"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86" w:history="1">
            <w:r w:rsidRPr="007B1189">
              <w:rPr>
                <w:rStyle w:val="Hyperlink"/>
              </w:rPr>
              <w:t>A1.1</w:t>
            </w:r>
            <w:r>
              <w:rPr>
                <w:rFonts w:asciiTheme="minorHAnsi" w:eastAsiaTheme="minorEastAsia" w:hAnsiTheme="minorHAnsi" w:cstheme="minorBidi"/>
                <w:kern w:val="2"/>
                <w:sz w:val="24"/>
                <w:szCs w:val="24"/>
                <w:lang w:eastAsia="en-AU"/>
                <w14:ligatures w14:val="standardContextual"/>
              </w:rPr>
              <w:tab/>
            </w:r>
            <w:r w:rsidRPr="007B1189">
              <w:rPr>
                <w:rStyle w:val="Hyperlink"/>
              </w:rPr>
              <w:t>Skills Development</w:t>
            </w:r>
            <w:r>
              <w:rPr>
                <w:webHidden/>
              </w:rPr>
              <w:tab/>
            </w:r>
            <w:r>
              <w:rPr>
                <w:webHidden/>
              </w:rPr>
              <w:fldChar w:fldCharType="begin"/>
            </w:r>
            <w:r>
              <w:rPr>
                <w:webHidden/>
              </w:rPr>
              <w:instrText xml:space="preserve"> PAGEREF _Toc206692286 \h </w:instrText>
            </w:r>
            <w:r>
              <w:rPr>
                <w:webHidden/>
              </w:rPr>
            </w:r>
            <w:r>
              <w:rPr>
                <w:webHidden/>
              </w:rPr>
              <w:fldChar w:fldCharType="separate"/>
            </w:r>
            <w:r w:rsidR="002A135C">
              <w:rPr>
                <w:webHidden/>
              </w:rPr>
              <w:t>50</w:t>
            </w:r>
            <w:r>
              <w:rPr>
                <w:webHidden/>
              </w:rPr>
              <w:fldChar w:fldCharType="end"/>
            </w:r>
          </w:hyperlink>
        </w:p>
        <w:p w14:paraId="5D0D3CF8" w14:textId="1AF29390"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87" w:history="1">
            <w:r w:rsidRPr="007B1189">
              <w:rPr>
                <w:rStyle w:val="Hyperlink"/>
              </w:rPr>
              <w:t>A1.2</w:t>
            </w:r>
            <w:r>
              <w:rPr>
                <w:rFonts w:asciiTheme="minorHAnsi" w:eastAsiaTheme="minorEastAsia" w:hAnsiTheme="minorHAnsi" w:cstheme="minorBidi"/>
                <w:kern w:val="2"/>
                <w:sz w:val="24"/>
                <w:szCs w:val="24"/>
                <w:lang w:eastAsia="en-AU"/>
                <w14:ligatures w14:val="standardContextual"/>
              </w:rPr>
              <w:tab/>
            </w:r>
            <w:r w:rsidRPr="007B1189">
              <w:rPr>
                <w:rStyle w:val="Hyperlink"/>
              </w:rPr>
              <w:t>Peer Engagement (formerly Learner Engagement)</w:t>
            </w:r>
            <w:r>
              <w:rPr>
                <w:webHidden/>
              </w:rPr>
              <w:tab/>
            </w:r>
            <w:r>
              <w:rPr>
                <w:webHidden/>
              </w:rPr>
              <w:fldChar w:fldCharType="begin"/>
            </w:r>
            <w:r>
              <w:rPr>
                <w:webHidden/>
              </w:rPr>
              <w:instrText xml:space="preserve"> PAGEREF _Toc206692287 \h </w:instrText>
            </w:r>
            <w:r>
              <w:rPr>
                <w:webHidden/>
              </w:rPr>
            </w:r>
            <w:r>
              <w:rPr>
                <w:webHidden/>
              </w:rPr>
              <w:fldChar w:fldCharType="separate"/>
            </w:r>
            <w:r w:rsidR="002A135C">
              <w:rPr>
                <w:webHidden/>
              </w:rPr>
              <w:t>50</w:t>
            </w:r>
            <w:r>
              <w:rPr>
                <w:webHidden/>
              </w:rPr>
              <w:fldChar w:fldCharType="end"/>
            </w:r>
          </w:hyperlink>
        </w:p>
        <w:p w14:paraId="5FE8DB8C" w14:textId="78D1F0CD"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88" w:history="1">
            <w:r w:rsidRPr="007B1189">
              <w:rPr>
                <w:rStyle w:val="Hyperlink"/>
              </w:rPr>
              <w:t>A1.3</w:t>
            </w:r>
            <w:r>
              <w:rPr>
                <w:rFonts w:asciiTheme="minorHAnsi" w:eastAsiaTheme="minorEastAsia" w:hAnsiTheme="minorHAnsi" w:cstheme="minorBidi"/>
                <w:kern w:val="2"/>
                <w:sz w:val="24"/>
                <w:szCs w:val="24"/>
                <w:lang w:eastAsia="en-AU"/>
                <w14:ligatures w14:val="standardContextual"/>
              </w:rPr>
              <w:tab/>
            </w:r>
            <w:r w:rsidRPr="007B1189">
              <w:rPr>
                <w:rStyle w:val="Hyperlink"/>
              </w:rPr>
              <w:t>Teaching Quality and Engagement (formerly Teaching Quality)</w:t>
            </w:r>
            <w:r>
              <w:rPr>
                <w:webHidden/>
              </w:rPr>
              <w:tab/>
            </w:r>
            <w:r>
              <w:rPr>
                <w:webHidden/>
              </w:rPr>
              <w:fldChar w:fldCharType="begin"/>
            </w:r>
            <w:r>
              <w:rPr>
                <w:webHidden/>
              </w:rPr>
              <w:instrText xml:space="preserve"> PAGEREF _Toc206692288 \h </w:instrText>
            </w:r>
            <w:r>
              <w:rPr>
                <w:webHidden/>
              </w:rPr>
            </w:r>
            <w:r>
              <w:rPr>
                <w:webHidden/>
              </w:rPr>
              <w:fldChar w:fldCharType="separate"/>
            </w:r>
            <w:r w:rsidR="002A135C">
              <w:rPr>
                <w:webHidden/>
              </w:rPr>
              <w:t>50</w:t>
            </w:r>
            <w:r>
              <w:rPr>
                <w:webHidden/>
              </w:rPr>
              <w:fldChar w:fldCharType="end"/>
            </w:r>
          </w:hyperlink>
        </w:p>
        <w:p w14:paraId="033B6174" w14:textId="62F65FAA"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89" w:history="1">
            <w:r w:rsidRPr="007B1189">
              <w:rPr>
                <w:rStyle w:val="Hyperlink"/>
              </w:rPr>
              <w:t>A1.4</w:t>
            </w:r>
            <w:r>
              <w:rPr>
                <w:rFonts w:asciiTheme="minorHAnsi" w:eastAsiaTheme="minorEastAsia" w:hAnsiTheme="minorHAnsi" w:cstheme="minorBidi"/>
                <w:kern w:val="2"/>
                <w:sz w:val="24"/>
                <w:szCs w:val="24"/>
                <w:lang w:eastAsia="en-AU"/>
                <w14:ligatures w14:val="standardContextual"/>
              </w:rPr>
              <w:tab/>
            </w:r>
            <w:r w:rsidRPr="007B1189">
              <w:rPr>
                <w:rStyle w:val="Hyperlink"/>
              </w:rPr>
              <w:t>Student Support and Services (formerly Student Support)</w:t>
            </w:r>
            <w:r>
              <w:rPr>
                <w:webHidden/>
              </w:rPr>
              <w:tab/>
            </w:r>
            <w:r>
              <w:rPr>
                <w:webHidden/>
              </w:rPr>
              <w:fldChar w:fldCharType="begin"/>
            </w:r>
            <w:r>
              <w:rPr>
                <w:webHidden/>
              </w:rPr>
              <w:instrText xml:space="preserve"> PAGEREF _Toc206692289 \h </w:instrText>
            </w:r>
            <w:r>
              <w:rPr>
                <w:webHidden/>
              </w:rPr>
            </w:r>
            <w:r>
              <w:rPr>
                <w:webHidden/>
              </w:rPr>
              <w:fldChar w:fldCharType="separate"/>
            </w:r>
            <w:r w:rsidR="002A135C">
              <w:rPr>
                <w:webHidden/>
              </w:rPr>
              <w:t>51</w:t>
            </w:r>
            <w:r>
              <w:rPr>
                <w:webHidden/>
              </w:rPr>
              <w:fldChar w:fldCharType="end"/>
            </w:r>
          </w:hyperlink>
        </w:p>
        <w:p w14:paraId="18165F95" w14:textId="22A789BA"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90" w:history="1">
            <w:r w:rsidRPr="007B1189">
              <w:rPr>
                <w:rStyle w:val="Hyperlink"/>
              </w:rPr>
              <w:t>A1.5</w:t>
            </w:r>
            <w:r>
              <w:rPr>
                <w:rFonts w:asciiTheme="minorHAnsi" w:eastAsiaTheme="minorEastAsia" w:hAnsiTheme="minorHAnsi" w:cstheme="minorBidi"/>
                <w:kern w:val="2"/>
                <w:sz w:val="24"/>
                <w:szCs w:val="24"/>
                <w:lang w:eastAsia="en-AU"/>
                <w14:ligatures w14:val="standardContextual"/>
              </w:rPr>
              <w:tab/>
            </w:r>
            <w:r w:rsidRPr="007B1189">
              <w:rPr>
                <w:rStyle w:val="Hyperlink"/>
              </w:rPr>
              <w:t>Learning Resources</w:t>
            </w:r>
            <w:r>
              <w:rPr>
                <w:webHidden/>
              </w:rPr>
              <w:tab/>
            </w:r>
            <w:r>
              <w:rPr>
                <w:webHidden/>
              </w:rPr>
              <w:fldChar w:fldCharType="begin"/>
            </w:r>
            <w:r>
              <w:rPr>
                <w:webHidden/>
              </w:rPr>
              <w:instrText xml:space="preserve"> PAGEREF _Toc206692290 \h </w:instrText>
            </w:r>
            <w:r>
              <w:rPr>
                <w:webHidden/>
              </w:rPr>
            </w:r>
            <w:r>
              <w:rPr>
                <w:webHidden/>
              </w:rPr>
              <w:fldChar w:fldCharType="separate"/>
            </w:r>
            <w:r w:rsidR="002A135C">
              <w:rPr>
                <w:webHidden/>
              </w:rPr>
              <w:t>51</w:t>
            </w:r>
            <w:r>
              <w:rPr>
                <w:webHidden/>
              </w:rPr>
              <w:fldChar w:fldCharType="end"/>
            </w:r>
          </w:hyperlink>
        </w:p>
        <w:p w14:paraId="2D5D92B3" w14:textId="1FB74335"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91" w:history="1">
            <w:r w:rsidRPr="007B1189">
              <w:rPr>
                <w:rStyle w:val="Hyperlink"/>
              </w:rPr>
              <w:t>A1.6</w:t>
            </w:r>
            <w:r>
              <w:rPr>
                <w:rFonts w:asciiTheme="minorHAnsi" w:eastAsiaTheme="minorEastAsia" w:hAnsiTheme="minorHAnsi" w:cstheme="minorBidi"/>
                <w:kern w:val="2"/>
                <w:sz w:val="24"/>
                <w:szCs w:val="24"/>
                <w:lang w:eastAsia="en-AU"/>
                <w14:ligatures w14:val="standardContextual"/>
              </w:rPr>
              <w:tab/>
            </w:r>
            <w:r w:rsidRPr="007B1189">
              <w:rPr>
                <w:rStyle w:val="Hyperlink"/>
              </w:rPr>
              <w:t>Overall Educational Experience</w:t>
            </w:r>
            <w:r>
              <w:rPr>
                <w:webHidden/>
              </w:rPr>
              <w:tab/>
            </w:r>
            <w:r>
              <w:rPr>
                <w:webHidden/>
              </w:rPr>
              <w:fldChar w:fldCharType="begin"/>
            </w:r>
            <w:r>
              <w:rPr>
                <w:webHidden/>
              </w:rPr>
              <w:instrText xml:space="preserve"> PAGEREF _Toc206692291 \h </w:instrText>
            </w:r>
            <w:r>
              <w:rPr>
                <w:webHidden/>
              </w:rPr>
            </w:r>
            <w:r>
              <w:rPr>
                <w:webHidden/>
              </w:rPr>
              <w:fldChar w:fldCharType="separate"/>
            </w:r>
            <w:r w:rsidR="002A135C">
              <w:rPr>
                <w:webHidden/>
              </w:rPr>
              <w:t>51</w:t>
            </w:r>
            <w:r>
              <w:rPr>
                <w:webHidden/>
              </w:rPr>
              <w:fldChar w:fldCharType="end"/>
            </w:r>
          </w:hyperlink>
        </w:p>
        <w:p w14:paraId="79D1B703" w14:textId="36CA7386" w:rsidR="00497D7C" w:rsidRDefault="00497D7C">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692292" w:history="1">
            <w:r w:rsidRPr="007B1189">
              <w:rPr>
                <w:rStyle w:val="Hyperlink"/>
              </w:rPr>
              <w:t>Appendix 2</w:t>
            </w:r>
            <w:r>
              <w:rPr>
                <w:rFonts w:asciiTheme="minorHAnsi" w:eastAsiaTheme="minorEastAsia" w:hAnsiTheme="minorHAnsi" w:cstheme="minorBidi"/>
                <w:b w:val="0"/>
                <w:kern w:val="2"/>
                <w:sz w:val="24"/>
                <w:szCs w:val="24"/>
                <w:lang w:eastAsia="en-AU"/>
                <w14:ligatures w14:val="standardContextual"/>
              </w:rPr>
              <w:tab/>
            </w:r>
            <w:r w:rsidRPr="007B1189">
              <w:rPr>
                <w:rStyle w:val="Hyperlink"/>
              </w:rPr>
              <w:t>Detailed tables</w:t>
            </w:r>
            <w:r>
              <w:rPr>
                <w:webHidden/>
              </w:rPr>
              <w:tab/>
            </w:r>
            <w:r>
              <w:rPr>
                <w:webHidden/>
              </w:rPr>
              <w:fldChar w:fldCharType="begin"/>
            </w:r>
            <w:r>
              <w:rPr>
                <w:webHidden/>
              </w:rPr>
              <w:instrText xml:space="preserve"> PAGEREF _Toc206692292 \h </w:instrText>
            </w:r>
            <w:r>
              <w:rPr>
                <w:webHidden/>
              </w:rPr>
            </w:r>
            <w:r>
              <w:rPr>
                <w:webHidden/>
              </w:rPr>
              <w:fldChar w:fldCharType="separate"/>
            </w:r>
            <w:r w:rsidR="002A135C">
              <w:rPr>
                <w:webHidden/>
              </w:rPr>
              <w:t>52</w:t>
            </w:r>
            <w:r>
              <w:rPr>
                <w:webHidden/>
              </w:rPr>
              <w:fldChar w:fldCharType="end"/>
            </w:r>
          </w:hyperlink>
        </w:p>
        <w:p w14:paraId="4C16CD90" w14:textId="7D66F40F" w:rsidR="00821227" w:rsidRPr="002867E0" w:rsidRDefault="00821227" w:rsidP="00821227">
          <w:pPr>
            <w:rPr>
              <w:highlight w:val="yellow"/>
            </w:rPr>
          </w:pPr>
          <w:r w:rsidRPr="002867E0">
            <w:rPr>
              <w:b/>
              <w:bCs/>
              <w:noProof/>
              <w:highlight w:val="yellow"/>
            </w:rPr>
            <w:fldChar w:fldCharType="end"/>
          </w:r>
        </w:p>
      </w:sdtContent>
    </w:sdt>
    <w:p w14:paraId="21D8EF9F" w14:textId="77777777" w:rsidR="00821227" w:rsidRPr="002867E0" w:rsidRDefault="00821227" w:rsidP="00821227">
      <w:pPr>
        <w:rPr>
          <w:highlight w:val="yellow"/>
        </w:rPr>
      </w:pPr>
      <w:r w:rsidRPr="002867E0">
        <w:rPr>
          <w:highlight w:val="yellow"/>
        </w:rPr>
        <w:br w:type="page"/>
      </w:r>
    </w:p>
    <w:p w14:paraId="1A6D663B" w14:textId="77777777" w:rsidR="00821227" w:rsidRPr="00F506E0" w:rsidRDefault="00821227" w:rsidP="00A9284B">
      <w:pPr>
        <w:pStyle w:val="MajorHeading"/>
        <w:rPr>
          <w:color w:val="000000" w:themeColor="text1"/>
        </w:rPr>
      </w:pPr>
      <w:bookmarkStart w:id="7" w:name="_Toc206692258"/>
      <w:r w:rsidRPr="00F506E0">
        <w:rPr>
          <w:color w:val="000000" w:themeColor="text1"/>
        </w:rPr>
        <w:lastRenderedPageBreak/>
        <w:t>List of Tables</w:t>
      </w:r>
      <w:bookmarkEnd w:id="7"/>
    </w:p>
    <w:p w14:paraId="64628249" w14:textId="0EAA912C" w:rsidR="00497D7C" w:rsidRDefault="00821227">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r w:rsidRPr="002867E0">
        <w:rPr>
          <w:b/>
          <w:bCs/>
          <w:szCs w:val="20"/>
          <w:highlight w:val="yellow"/>
        </w:rPr>
        <w:fldChar w:fldCharType="begin"/>
      </w:r>
      <w:r w:rsidRPr="002867E0">
        <w:rPr>
          <w:highlight w:val="yellow"/>
        </w:rPr>
        <w:instrText xml:space="preserve"> TOC \h \z \c "Table" </w:instrText>
      </w:r>
      <w:r w:rsidRPr="002867E0">
        <w:rPr>
          <w:b/>
          <w:bCs/>
          <w:szCs w:val="20"/>
          <w:highlight w:val="yellow"/>
        </w:rPr>
        <w:fldChar w:fldCharType="separate"/>
      </w:r>
      <w:hyperlink w:anchor="_Toc206692293" w:history="1">
        <w:r w:rsidR="00497D7C" w:rsidRPr="00E778A2">
          <w:rPr>
            <w:rStyle w:val="Hyperlink"/>
            <w:noProof/>
          </w:rPr>
          <w:t>Table 1 International undergraduate student living experience by source country, 2024 (% positive rating)</w:t>
        </w:r>
        <w:r w:rsidR="00497D7C">
          <w:rPr>
            <w:noProof/>
            <w:webHidden/>
          </w:rPr>
          <w:tab/>
        </w:r>
        <w:r w:rsidR="00497D7C">
          <w:rPr>
            <w:noProof/>
            <w:webHidden/>
          </w:rPr>
          <w:fldChar w:fldCharType="begin"/>
        </w:r>
        <w:r w:rsidR="00497D7C">
          <w:rPr>
            <w:noProof/>
            <w:webHidden/>
          </w:rPr>
          <w:instrText xml:space="preserve"> PAGEREF _Toc206692293 \h </w:instrText>
        </w:r>
        <w:r w:rsidR="00497D7C">
          <w:rPr>
            <w:noProof/>
            <w:webHidden/>
          </w:rPr>
        </w:r>
        <w:r w:rsidR="00497D7C">
          <w:rPr>
            <w:noProof/>
            <w:webHidden/>
          </w:rPr>
          <w:fldChar w:fldCharType="separate"/>
        </w:r>
        <w:r w:rsidR="002A135C">
          <w:rPr>
            <w:noProof/>
            <w:webHidden/>
          </w:rPr>
          <w:t>39</w:t>
        </w:r>
        <w:r w:rsidR="00497D7C">
          <w:rPr>
            <w:noProof/>
            <w:webHidden/>
          </w:rPr>
          <w:fldChar w:fldCharType="end"/>
        </w:r>
      </w:hyperlink>
    </w:p>
    <w:p w14:paraId="322D1DC3" w14:textId="7F32C6EB"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294" w:history="1">
        <w:r w:rsidRPr="00E778A2">
          <w:rPr>
            <w:rStyle w:val="Hyperlink"/>
            <w:noProof/>
          </w:rPr>
          <w:t>Table 2 International postgraduate coursework student living experience by source country, 2024 (% positive rating)</w:t>
        </w:r>
        <w:r>
          <w:rPr>
            <w:noProof/>
            <w:webHidden/>
          </w:rPr>
          <w:tab/>
        </w:r>
        <w:r>
          <w:rPr>
            <w:noProof/>
            <w:webHidden/>
          </w:rPr>
          <w:fldChar w:fldCharType="begin"/>
        </w:r>
        <w:r>
          <w:rPr>
            <w:noProof/>
            <w:webHidden/>
          </w:rPr>
          <w:instrText xml:space="preserve"> PAGEREF _Toc206692294 \h </w:instrText>
        </w:r>
        <w:r>
          <w:rPr>
            <w:noProof/>
            <w:webHidden/>
          </w:rPr>
        </w:r>
        <w:r>
          <w:rPr>
            <w:noProof/>
            <w:webHidden/>
          </w:rPr>
          <w:fldChar w:fldCharType="separate"/>
        </w:r>
        <w:r w:rsidR="002A135C">
          <w:rPr>
            <w:noProof/>
            <w:webHidden/>
          </w:rPr>
          <w:t>40</w:t>
        </w:r>
        <w:r>
          <w:rPr>
            <w:noProof/>
            <w:webHidden/>
          </w:rPr>
          <w:fldChar w:fldCharType="end"/>
        </w:r>
      </w:hyperlink>
    </w:p>
    <w:p w14:paraId="07DB8342" w14:textId="47FC4613"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295" w:history="1">
        <w:r w:rsidRPr="00E778A2">
          <w:rPr>
            <w:rStyle w:val="Hyperlink"/>
            <w:noProof/>
          </w:rPr>
          <w:t>Table 3 International student living arrangements and positive ratings, 2024 (%)</w:t>
        </w:r>
        <w:r>
          <w:rPr>
            <w:noProof/>
            <w:webHidden/>
          </w:rPr>
          <w:tab/>
        </w:r>
        <w:r>
          <w:rPr>
            <w:noProof/>
            <w:webHidden/>
          </w:rPr>
          <w:fldChar w:fldCharType="begin"/>
        </w:r>
        <w:r>
          <w:rPr>
            <w:noProof/>
            <w:webHidden/>
          </w:rPr>
          <w:instrText xml:space="preserve"> PAGEREF _Toc206692295 \h </w:instrText>
        </w:r>
        <w:r>
          <w:rPr>
            <w:noProof/>
            <w:webHidden/>
          </w:rPr>
        </w:r>
        <w:r>
          <w:rPr>
            <w:noProof/>
            <w:webHidden/>
          </w:rPr>
          <w:fldChar w:fldCharType="separate"/>
        </w:r>
        <w:r w:rsidR="002A135C">
          <w:rPr>
            <w:noProof/>
            <w:webHidden/>
          </w:rPr>
          <w:t>42</w:t>
        </w:r>
        <w:r>
          <w:rPr>
            <w:noProof/>
            <w:webHidden/>
          </w:rPr>
          <w:fldChar w:fldCharType="end"/>
        </w:r>
      </w:hyperlink>
    </w:p>
    <w:p w14:paraId="0B471E0C" w14:textId="610487F9"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296" w:history="1">
        <w:r w:rsidRPr="00E778A2">
          <w:rPr>
            <w:rStyle w:val="Hyperlink"/>
            <w:noProof/>
          </w:rPr>
          <w:t>Table 4 International undergraduate student education experience by source country, 2022-2024 (% positive rating)</w:t>
        </w:r>
        <w:r>
          <w:rPr>
            <w:noProof/>
            <w:webHidden/>
          </w:rPr>
          <w:tab/>
        </w:r>
        <w:r>
          <w:rPr>
            <w:noProof/>
            <w:webHidden/>
          </w:rPr>
          <w:fldChar w:fldCharType="begin"/>
        </w:r>
        <w:r>
          <w:rPr>
            <w:noProof/>
            <w:webHidden/>
          </w:rPr>
          <w:instrText xml:space="preserve"> PAGEREF _Toc206692296 \h </w:instrText>
        </w:r>
        <w:r>
          <w:rPr>
            <w:noProof/>
            <w:webHidden/>
          </w:rPr>
        </w:r>
        <w:r>
          <w:rPr>
            <w:noProof/>
            <w:webHidden/>
          </w:rPr>
          <w:fldChar w:fldCharType="separate"/>
        </w:r>
        <w:r w:rsidR="002A135C">
          <w:rPr>
            <w:noProof/>
            <w:webHidden/>
          </w:rPr>
          <w:t>52</w:t>
        </w:r>
        <w:r>
          <w:rPr>
            <w:noProof/>
            <w:webHidden/>
          </w:rPr>
          <w:fldChar w:fldCharType="end"/>
        </w:r>
      </w:hyperlink>
    </w:p>
    <w:p w14:paraId="42586623" w14:textId="4C3973E9"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297" w:history="1">
        <w:r w:rsidRPr="00E778A2">
          <w:rPr>
            <w:rStyle w:val="Hyperlink"/>
            <w:noProof/>
          </w:rPr>
          <w:t>Table 5 International postgraduate coursework student education experience by source country, 2022-2024 (% positive rating)</w:t>
        </w:r>
        <w:r>
          <w:rPr>
            <w:noProof/>
            <w:webHidden/>
          </w:rPr>
          <w:tab/>
        </w:r>
        <w:r>
          <w:rPr>
            <w:noProof/>
            <w:webHidden/>
          </w:rPr>
          <w:fldChar w:fldCharType="begin"/>
        </w:r>
        <w:r>
          <w:rPr>
            <w:noProof/>
            <w:webHidden/>
          </w:rPr>
          <w:instrText xml:space="preserve"> PAGEREF _Toc206692297 \h </w:instrText>
        </w:r>
        <w:r>
          <w:rPr>
            <w:noProof/>
            <w:webHidden/>
          </w:rPr>
        </w:r>
        <w:r>
          <w:rPr>
            <w:noProof/>
            <w:webHidden/>
          </w:rPr>
          <w:fldChar w:fldCharType="separate"/>
        </w:r>
        <w:r w:rsidR="002A135C">
          <w:rPr>
            <w:noProof/>
            <w:webHidden/>
          </w:rPr>
          <w:t>53</w:t>
        </w:r>
        <w:r>
          <w:rPr>
            <w:noProof/>
            <w:webHidden/>
          </w:rPr>
          <w:fldChar w:fldCharType="end"/>
        </w:r>
      </w:hyperlink>
    </w:p>
    <w:p w14:paraId="545313E5" w14:textId="6AB2A942"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298" w:history="1">
        <w:r w:rsidRPr="00E778A2">
          <w:rPr>
            <w:rStyle w:val="Hyperlink"/>
            <w:noProof/>
          </w:rPr>
          <w:t>Table 6 International undergraduate student rating by focus area and study area, 2022-2024 (% positive rating)</w:t>
        </w:r>
        <w:r>
          <w:rPr>
            <w:noProof/>
            <w:webHidden/>
          </w:rPr>
          <w:tab/>
        </w:r>
        <w:r>
          <w:rPr>
            <w:noProof/>
            <w:webHidden/>
          </w:rPr>
          <w:fldChar w:fldCharType="begin"/>
        </w:r>
        <w:r>
          <w:rPr>
            <w:noProof/>
            <w:webHidden/>
          </w:rPr>
          <w:instrText xml:space="preserve"> PAGEREF _Toc206692298 \h </w:instrText>
        </w:r>
        <w:r>
          <w:rPr>
            <w:noProof/>
            <w:webHidden/>
          </w:rPr>
        </w:r>
        <w:r>
          <w:rPr>
            <w:noProof/>
            <w:webHidden/>
          </w:rPr>
          <w:fldChar w:fldCharType="separate"/>
        </w:r>
        <w:r w:rsidR="002A135C">
          <w:rPr>
            <w:noProof/>
            <w:webHidden/>
          </w:rPr>
          <w:t>54</w:t>
        </w:r>
        <w:r>
          <w:rPr>
            <w:noProof/>
            <w:webHidden/>
          </w:rPr>
          <w:fldChar w:fldCharType="end"/>
        </w:r>
      </w:hyperlink>
    </w:p>
    <w:p w14:paraId="122F2777" w14:textId="4F19B50A"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299" w:history="1">
        <w:r w:rsidRPr="00E778A2">
          <w:rPr>
            <w:rStyle w:val="Hyperlink"/>
            <w:noProof/>
          </w:rPr>
          <w:t>Table 7 International postgraduate coursework student rating by focus area and study area, 2022-2024 (% positive rating)</w:t>
        </w:r>
        <w:r>
          <w:rPr>
            <w:noProof/>
            <w:webHidden/>
          </w:rPr>
          <w:tab/>
        </w:r>
        <w:r>
          <w:rPr>
            <w:noProof/>
            <w:webHidden/>
          </w:rPr>
          <w:fldChar w:fldCharType="begin"/>
        </w:r>
        <w:r>
          <w:rPr>
            <w:noProof/>
            <w:webHidden/>
          </w:rPr>
          <w:instrText xml:space="preserve"> PAGEREF _Toc206692299 \h </w:instrText>
        </w:r>
        <w:r>
          <w:rPr>
            <w:noProof/>
            <w:webHidden/>
          </w:rPr>
        </w:r>
        <w:r>
          <w:rPr>
            <w:noProof/>
            <w:webHidden/>
          </w:rPr>
          <w:fldChar w:fldCharType="separate"/>
        </w:r>
        <w:r w:rsidR="002A135C">
          <w:rPr>
            <w:noProof/>
            <w:webHidden/>
          </w:rPr>
          <w:t>56</w:t>
        </w:r>
        <w:r>
          <w:rPr>
            <w:noProof/>
            <w:webHidden/>
          </w:rPr>
          <w:fldChar w:fldCharType="end"/>
        </w:r>
      </w:hyperlink>
    </w:p>
    <w:p w14:paraId="7AC8D301" w14:textId="3609A998" w:rsidR="00821227" w:rsidRPr="002867E0" w:rsidRDefault="00821227" w:rsidP="00821227">
      <w:pPr>
        <w:rPr>
          <w:highlight w:val="yellow"/>
        </w:rPr>
      </w:pPr>
      <w:r w:rsidRPr="002867E0">
        <w:rPr>
          <w:highlight w:val="yellow"/>
        </w:rPr>
        <w:fldChar w:fldCharType="end"/>
      </w:r>
    </w:p>
    <w:p w14:paraId="0553C5ED" w14:textId="77777777" w:rsidR="00821227" w:rsidRPr="00F506E0" w:rsidRDefault="00821227" w:rsidP="006215D3">
      <w:pPr>
        <w:pStyle w:val="MajorHeading"/>
        <w:rPr>
          <w:color w:val="000000" w:themeColor="text1"/>
        </w:rPr>
      </w:pPr>
      <w:bookmarkStart w:id="8" w:name="_Toc206692259"/>
      <w:r w:rsidRPr="00F506E0">
        <w:rPr>
          <w:color w:val="000000" w:themeColor="text1"/>
        </w:rPr>
        <w:lastRenderedPageBreak/>
        <w:t>List of Figures</w:t>
      </w:r>
      <w:bookmarkEnd w:id="8"/>
    </w:p>
    <w:p w14:paraId="7AD77D37" w14:textId="3ED683DF" w:rsidR="00497D7C" w:rsidRDefault="00821227">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r w:rsidRPr="002867E0">
        <w:rPr>
          <w:rFonts w:eastAsiaTheme="majorEastAsia" w:cs="Arial"/>
          <w:sz w:val="28"/>
          <w:szCs w:val="28"/>
          <w:highlight w:val="yellow"/>
          <w:lang w:val="en-GB"/>
        </w:rPr>
        <w:fldChar w:fldCharType="begin"/>
      </w:r>
      <w:r w:rsidRPr="002867E0">
        <w:rPr>
          <w:rFonts w:eastAsiaTheme="majorEastAsia" w:cs="Arial"/>
          <w:sz w:val="28"/>
          <w:szCs w:val="28"/>
          <w:highlight w:val="yellow"/>
          <w:lang w:val="en-GB"/>
        </w:rPr>
        <w:instrText xml:space="preserve"> TOC \h \z \c "Figure" </w:instrText>
      </w:r>
      <w:r w:rsidRPr="002867E0">
        <w:rPr>
          <w:rFonts w:eastAsiaTheme="majorEastAsia" w:cs="Arial"/>
          <w:sz w:val="28"/>
          <w:szCs w:val="28"/>
          <w:highlight w:val="yellow"/>
          <w:lang w:val="en-GB"/>
        </w:rPr>
        <w:fldChar w:fldCharType="separate"/>
      </w:r>
      <w:hyperlink w:anchor="_Toc206692300" w:history="1">
        <w:r w:rsidR="00497D7C" w:rsidRPr="004E4CA8">
          <w:rPr>
            <w:rStyle w:val="Hyperlink"/>
            <w:noProof/>
          </w:rPr>
          <w:t>Figure 1 Proportion of responses to the SES from international students by course level, 2017-2024</w:t>
        </w:r>
        <w:r w:rsidR="00497D7C">
          <w:rPr>
            <w:noProof/>
            <w:webHidden/>
          </w:rPr>
          <w:tab/>
        </w:r>
        <w:r w:rsidR="00497D7C">
          <w:rPr>
            <w:noProof/>
            <w:webHidden/>
          </w:rPr>
          <w:fldChar w:fldCharType="begin"/>
        </w:r>
        <w:r w:rsidR="00497D7C">
          <w:rPr>
            <w:noProof/>
            <w:webHidden/>
          </w:rPr>
          <w:instrText xml:space="preserve"> PAGEREF _Toc206692300 \h </w:instrText>
        </w:r>
        <w:r w:rsidR="00497D7C">
          <w:rPr>
            <w:noProof/>
            <w:webHidden/>
          </w:rPr>
        </w:r>
        <w:r w:rsidR="00497D7C">
          <w:rPr>
            <w:noProof/>
            <w:webHidden/>
          </w:rPr>
          <w:fldChar w:fldCharType="separate"/>
        </w:r>
        <w:r w:rsidR="002A135C">
          <w:rPr>
            <w:noProof/>
            <w:webHidden/>
          </w:rPr>
          <w:t>4</w:t>
        </w:r>
        <w:r w:rsidR="00497D7C">
          <w:rPr>
            <w:noProof/>
            <w:webHidden/>
          </w:rPr>
          <w:fldChar w:fldCharType="end"/>
        </w:r>
      </w:hyperlink>
    </w:p>
    <w:p w14:paraId="37EB8EAF" w14:textId="4FCF146D"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1" w:history="1">
        <w:r w:rsidRPr="004E4CA8">
          <w:rPr>
            <w:rStyle w:val="Hyperlink"/>
            <w:noProof/>
          </w:rPr>
          <w:t>Figure 2 The international undergraduate student experience, 2017-2024 (% positive rating)</w:t>
        </w:r>
        <w:r>
          <w:rPr>
            <w:noProof/>
            <w:webHidden/>
          </w:rPr>
          <w:tab/>
        </w:r>
        <w:r>
          <w:rPr>
            <w:noProof/>
            <w:webHidden/>
          </w:rPr>
          <w:fldChar w:fldCharType="begin"/>
        </w:r>
        <w:r>
          <w:rPr>
            <w:noProof/>
            <w:webHidden/>
          </w:rPr>
          <w:instrText xml:space="preserve"> PAGEREF _Toc206692301 \h </w:instrText>
        </w:r>
        <w:r>
          <w:rPr>
            <w:noProof/>
            <w:webHidden/>
          </w:rPr>
        </w:r>
        <w:r>
          <w:rPr>
            <w:noProof/>
            <w:webHidden/>
          </w:rPr>
          <w:fldChar w:fldCharType="separate"/>
        </w:r>
        <w:r w:rsidR="002A135C">
          <w:rPr>
            <w:noProof/>
            <w:webHidden/>
          </w:rPr>
          <w:t>6</w:t>
        </w:r>
        <w:r>
          <w:rPr>
            <w:noProof/>
            <w:webHidden/>
          </w:rPr>
          <w:fldChar w:fldCharType="end"/>
        </w:r>
      </w:hyperlink>
    </w:p>
    <w:p w14:paraId="62CD9209" w14:textId="3CAF6136"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2" w:history="1">
        <w:r w:rsidRPr="004E4CA8">
          <w:rPr>
            <w:rStyle w:val="Hyperlink"/>
            <w:noProof/>
          </w:rPr>
          <w:t>Figure 3 The international postgraduate coursework student experience, 2017-2024 (% positive rating)</w:t>
        </w:r>
        <w:r>
          <w:rPr>
            <w:noProof/>
            <w:webHidden/>
          </w:rPr>
          <w:tab/>
        </w:r>
        <w:r>
          <w:rPr>
            <w:noProof/>
            <w:webHidden/>
          </w:rPr>
          <w:fldChar w:fldCharType="begin"/>
        </w:r>
        <w:r>
          <w:rPr>
            <w:noProof/>
            <w:webHidden/>
          </w:rPr>
          <w:instrText xml:space="preserve"> PAGEREF _Toc206692302 \h </w:instrText>
        </w:r>
        <w:r>
          <w:rPr>
            <w:noProof/>
            <w:webHidden/>
          </w:rPr>
        </w:r>
        <w:r>
          <w:rPr>
            <w:noProof/>
            <w:webHidden/>
          </w:rPr>
          <w:fldChar w:fldCharType="separate"/>
        </w:r>
        <w:r w:rsidR="002A135C">
          <w:rPr>
            <w:noProof/>
            <w:webHidden/>
          </w:rPr>
          <w:t>7</w:t>
        </w:r>
        <w:r>
          <w:rPr>
            <w:noProof/>
            <w:webHidden/>
          </w:rPr>
          <w:fldChar w:fldCharType="end"/>
        </w:r>
      </w:hyperlink>
    </w:p>
    <w:p w14:paraId="03684189" w14:textId="3AC0580D"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3" w:history="1">
        <w:r w:rsidRPr="004E4CA8">
          <w:rPr>
            <w:rStyle w:val="Hyperlink"/>
            <w:noProof/>
          </w:rPr>
          <w:t>Figure 4 Undergraduate student experience by citizenship status, 2017-2024 (% positive rating)</w:t>
        </w:r>
        <w:r>
          <w:rPr>
            <w:noProof/>
            <w:webHidden/>
          </w:rPr>
          <w:tab/>
        </w:r>
        <w:r>
          <w:rPr>
            <w:noProof/>
            <w:webHidden/>
          </w:rPr>
          <w:fldChar w:fldCharType="begin"/>
        </w:r>
        <w:r>
          <w:rPr>
            <w:noProof/>
            <w:webHidden/>
          </w:rPr>
          <w:instrText xml:space="preserve"> PAGEREF _Toc206692303 \h </w:instrText>
        </w:r>
        <w:r>
          <w:rPr>
            <w:noProof/>
            <w:webHidden/>
          </w:rPr>
        </w:r>
        <w:r>
          <w:rPr>
            <w:noProof/>
            <w:webHidden/>
          </w:rPr>
          <w:fldChar w:fldCharType="separate"/>
        </w:r>
        <w:r w:rsidR="002A135C">
          <w:rPr>
            <w:noProof/>
            <w:webHidden/>
          </w:rPr>
          <w:t>10</w:t>
        </w:r>
        <w:r>
          <w:rPr>
            <w:noProof/>
            <w:webHidden/>
          </w:rPr>
          <w:fldChar w:fldCharType="end"/>
        </w:r>
      </w:hyperlink>
    </w:p>
    <w:p w14:paraId="51A6C536" w14:textId="75815F34"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4" w:history="1">
        <w:r w:rsidRPr="004E4CA8">
          <w:rPr>
            <w:rStyle w:val="Hyperlink"/>
            <w:rFonts w:eastAsia="Calibri"/>
            <w:noProof/>
          </w:rPr>
          <w:t>Figure 5 Postgraduate coursework student experience by citizenship status, 2017-2024 (% positive rating)</w:t>
        </w:r>
        <w:r>
          <w:rPr>
            <w:noProof/>
            <w:webHidden/>
          </w:rPr>
          <w:tab/>
        </w:r>
        <w:r>
          <w:rPr>
            <w:noProof/>
            <w:webHidden/>
          </w:rPr>
          <w:fldChar w:fldCharType="begin"/>
        </w:r>
        <w:r>
          <w:rPr>
            <w:noProof/>
            <w:webHidden/>
          </w:rPr>
          <w:instrText xml:space="preserve"> PAGEREF _Toc206692304 \h </w:instrText>
        </w:r>
        <w:r>
          <w:rPr>
            <w:noProof/>
            <w:webHidden/>
          </w:rPr>
        </w:r>
        <w:r>
          <w:rPr>
            <w:noProof/>
            <w:webHidden/>
          </w:rPr>
          <w:fldChar w:fldCharType="separate"/>
        </w:r>
        <w:r w:rsidR="002A135C">
          <w:rPr>
            <w:noProof/>
            <w:webHidden/>
          </w:rPr>
          <w:t>11</w:t>
        </w:r>
        <w:r>
          <w:rPr>
            <w:noProof/>
            <w:webHidden/>
          </w:rPr>
          <w:fldChar w:fldCharType="end"/>
        </w:r>
      </w:hyperlink>
    </w:p>
    <w:p w14:paraId="05E89B69" w14:textId="1D6CEF72"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5" w:history="1">
        <w:r w:rsidRPr="004E4CA8">
          <w:rPr>
            <w:rStyle w:val="Hyperlink"/>
            <w:noProof/>
          </w:rPr>
          <w:t>Figure 6 Top 5 source countries for international students by course level, based on responses to the 2024 SES</w:t>
        </w:r>
        <w:r>
          <w:rPr>
            <w:noProof/>
            <w:webHidden/>
          </w:rPr>
          <w:tab/>
        </w:r>
        <w:r>
          <w:rPr>
            <w:noProof/>
            <w:webHidden/>
          </w:rPr>
          <w:fldChar w:fldCharType="begin"/>
        </w:r>
        <w:r>
          <w:rPr>
            <w:noProof/>
            <w:webHidden/>
          </w:rPr>
          <w:instrText xml:space="preserve"> PAGEREF _Toc206692305 \h </w:instrText>
        </w:r>
        <w:r>
          <w:rPr>
            <w:noProof/>
            <w:webHidden/>
          </w:rPr>
        </w:r>
        <w:r>
          <w:rPr>
            <w:noProof/>
            <w:webHidden/>
          </w:rPr>
          <w:fldChar w:fldCharType="separate"/>
        </w:r>
        <w:r w:rsidR="002A135C">
          <w:rPr>
            <w:noProof/>
            <w:webHidden/>
          </w:rPr>
          <w:t>12</w:t>
        </w:r>
        <w:r>
          <w:rPr>
            <w:noProof/>
            <w:webHidden/>
          </w:rPr>
          <w:fldChar w:fldCharType="end"/>
        </w:r>
      </w:hyperlink>
    </w:p>
    <w:p w14:paraId="479EC91C" w14:textId="2DBE6F34"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6" w:history="1">
        <w:r w:rsidRPr="004E4CA8">
          <w:rPr>
            <w:rStyle w:val="Hyperlink"/>
            <w:noProof/>
          </w:rPr>
          <w:t>Figure 7 Undergraduate educational experience and focus areas by source country, 2024 (% positive rating)</w:t>
        </w:r>
        <w:r>
          <w:rPr>
            <w:noProof/>
            <w:webHidden/>
          </w:rPr>
          <w:tab/>
        </w:r>
        <w:r>
          <w:rPr>
            <w:noProof/>
            <w:webHidden/>
          </w:rPr>
          <w:fldChar w:fldCharType="begin"/>
        </w:r>
        <w:r>
          <w:rPr>
            <w:noProof/>
            <w:webHidden/>
          </w:rPr>
          <w:instrText xml:space="preserve"> PAGEREF _Toc206692306 \h </w:instrText>
        </w:r>
        <w:r>
          <w:rPr>
            <w:noProof/>
            <w:webHidden/>
          </w:rPr>
        </w:r>
        <w:r>
          <w:rPr>
            <w:noProof/>
            <w:webHidden/>
          </w:rPr>
          <w:fldChar w:fldCharType="separate"/>
        </w:r>
        <w:r w:rsidR="002A135C">
          <w:rPr>
            <w:noProof/>
            <w:webHidden/>
          </w:rPr>
          <w:t>14</w:t>
        </w:r>
        <w:r>
          <w:rPr>
            <w:noProof/>
            <w:webHidden/>
          </w:rPr>
          <w:fldChar w:fldCharType="end"/>
        </w:r>
      </w:hyperlink>
    </w:p>
    <w:p w14:paraId="31961954" w14:textId="4AAA11E2"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7" w:history="1">
        <w:r w:rsidRPr="004E4CA8">
          <w:rPr>
            <w:rStyle w:val="Hyperlink"/>
            <w:noProof/>
          </w:rPr>
          <w:t>Figure 8 Postgraduate coursework educational experience and focus areas by source country, 2024 (% positive rating)</w:t>
        </w:r>
        <w:r>
          <w:rPr>
            <w:noProof/>
            <w:webHidden/>
          </w:rPr>
          <w:tab/>
        </w:r>
        <w:r>
          <w:rPr>
            <w:noProof/>
            <w:webHidden/>
          </w:rPr>
          <w:fldChar w:fldCharType="begin"/>
        </w:r>
        <w:r>
          <w:rPr>
            <w:noProof/>
            <w:webHidden/>
          </w:rPr>
          <w:instrText xml:space="preserve"> PAGEREF _Toc206692307 \h </w:instrText>
        </w:r>
        <w:r>
          <w:rPr>
            <w:noProof/>
            <w:webHidden/>
          </w:rPr>
        </w:r>
        <w:r>
          <w:rPr>
            <w:noProof/>
            <w:webHidden/>
          </w:rPr>
          <w:fldChar w:fldCharType="separate"/>
        </w:r>
        <w:r w:rsidR="002A135C">
          <w:rPr>
            <w:noProof/>
            <w:webHidden/>
          </w:rPr>
          <w:t>14</w:t>
        </w:r>
        <w:r>
          <w:rPr>
            <w:noProof/>
            <w:webHidden/>
          </w:rPr>
          <w:fldChar w:fldCharType="end"/>
        </w:r>
      </w:hyperlink>
    </w:p>
    <w:p w14:paraId="66568368" w14:textId="485D6C1F"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8" w:history="1">
        <w:r w:rsidRPr="004E4CA8">
          <w:rPr>
            <w:rStyle w:val="Hyperlink"/>
            <w:noProof/>
          </w:rPr>
          <w:t>Figure 9 International undergraduate Overall Educational Experience by study area, 2024 (% positive rating)</w:t>
        </w:r>
        <w:r>
          <w:rPr>
            <w:noProof/>
            <w:webHidden/>
          </w:rPr>
          <w:tab/>
        </w:r>
        <w:r>
          <w:rPr>
            <w:noProof/>
            <w:webHidden/>
          </w:rPr>
          <w:fldChar w:fldCharType="begin"/>
        </w:r>
        <w:r>
          <w:rPr>
            <w:noProof/>
            <w:webHidden/>
          </w:rPr>
          <w:instrText xml:space="preserve"> PAGEREF _Toc206692308 \h </w:instrText>
        </w:r>
        <w:r>
          <w:rPr>
            <w:noProof/>
            <w:webHidden/>
          </w:rPr>
        </w:r>
        <w:r>
          <w:rPr>
            <w:noProof/>
            <w:webHidden/>
          </w:rPr>
          <w:fldChar w:fldCharType="separate"/>
        </w:r>
        <w:r w:rsidR="002A135C">
          <w:rPr>
            <w:noProof/>
            <w:webHidden/>
          </w:rPr>
          <w:t>22</w:t>
        </w:r>
        <w:r>
          <w:rPr>
            <w:noProof/>
            <w:webHidden/>
          </w:rPr>
          <w:fldChar w:fldCharType="end"/>
        </w:r>
      </w:hyperlink>
    </w:p>
    <w:p w14:paraId="1FFC0918" w14:textId="4C1C042D"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9" w:history="1">
        <w:r w:rsidRPr="004E4CA8">
          <w:rPr>
            <w:rStyle w:val="Hyperlink"/>
            <w:noProof/>
          </w:rPr>
          <w:t>Figure 10 International postgraduate coursework Overall Educational Experience by study area, 2024 (% positive rating)</w:t>
        </w:r>
        <w:r>
          <w:rPr>
            <w:noProof/>
            <w:webHidden/>
          </w:rPr>
          <w:tab/>
        </w:r>
        <w:r>
          <w:rPr>
            <w:noProof/>
            <w:webHidden/>
          </w:rPr>
          <w:fldChar w:fldCharType="begin"/>
        </w:r>
        <w:r>
          <w:rPr>
            <w:noProof/>
            <w:webHidden/>
          </w:rPr>
          <w:instrText xml:space="preserve"> PAGEREF _Toc206692309 \h </w:instrText>
        </w:r>
        <w:r>
          <w:rPr>
            <w:noProof/>
            <w:webHidden/>
          </w:rPr>
        </w:r>
        <w:r>
          <w:rPr>
            <w:noProof/>
            <w:webHidden/>
          </w:rPr>
          <w:fldChar w:fldCharType="separate"/>
        </w:r>
        <w:r w:rsidR="002A135C">
          <w:rPr>
            <w:noProof/>
            <w:webHidden/>
          </w:rPr>
          <w:t>23</w:t>
        </w:r>
        <w:r>
          <w:rPr>
            <w:noProof/>
            <w:webHidden/>
          </w:rPr>
          <w:fldChar w:fldCharType="end"/>
        </w:r>
      </w:hyperlink>
    </w:p>
    <w:p w14:paraId="22F5AF2B" w14:textId="6E604D33"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0" w:history="1">
        <w:r w:rsidRPr="004E4CA8">
          <w:rPr>
            <w:rStyle w:val="Hyperlink"/>
            <w:noProof/>
          </w:rPr>
          <w:t>Figure 11 International experience by institution type and course level, 2024 (% positive response)</w:t>
        </w:r>
        <w:r>
          <w:rPr>
            <w:noProof/>
            <w:webHidden/>
          </w:rPr>
          <w:tab/>
        </w:r>
        <w:r>
          <w:rPr>
            <w:noProof/>
            <w:webHidden/>
          </w:rPr>
          <w:fldChar w:fldCharType="begin"/>
        </w:r>
        <w:r>
          <w:rPr>
            <w:noProof/>
            <w:webHidden/>
          </w:rPr>
          <w:instrText xml:space="preserve"> PAGEREF _Toc206692310 \h </w:instrText>
        </w:r>
        <w:r>
          <w:rPr>
            <w:noProof/>
            <w:webHidden/>
          </w:rPr>
        </w:r>
        <w:r>
          <w:rPr>
            <w:noProof/>
            <w:webHidden/>
          </w:rPr>
          <w:fldChar w:fldCharType="separate"/>
        </w:r>
        <w:r w:rsidR="002A135C">
          <w:rPr>
            <w:noProof/>
            <w:webHidden/>
          </w:rPr>
          <w:t>25</w:t>
        </w:r>
        <w:r>
          <w:rPr>
            <w:noProof/>
            <w:webHidden/>
          </w:rPr>
          <w:fldChar w:fldCharType="end"/>
        </w:r>
      </w:hyperlink>
    </w:p>
    <w:p w14:paraId="464DC91B" w14:textId="7692162B"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1" w:history="1">
        <w:r w:rsidRPr="004E4CA8">
          <w:rPr>
            <w:rStyle w:val="Hyperlink"/>
            <w:noProof/>
          </w:rPr>
          <w:t>Figure 12 Overall Educational Experience for international undergraduate university students, 2024 (% positive rating)</w:t>
        </w:r>
        <w:r>
          <w:rPr>
            <w:noProof/>
            <w:webHidden/>
          </w:rPr>
          <w:tab/>
        </w:r>
        <w:r>
          <w:rPr>
            <w:noProof/>
            <w:webHidden/>
          </w:rPr>
          <w:fldChar w:fldCharType="begin"/>
        </w:r>
        <w:r>
          <w:rPr>
            <w:noProof/>
            <w:webHidden/>
          </w:rPr>
          <w:instrText xml:space="preserve"> PAGEREF _Toc206692311 \h </w:instrText>
        </w:r>
        <w:r>
          <w:rPr>
            <w:noProof/>
            <w:webHidden/>
          </w:rPr>
        </w:r>
        <w:r>
          <w:rPr>
            <w:noProof/>
            <w:webHidden/>
          </w:rPr>
          <w:fldChar w:fldCharType="separate"/>
        </w:r>
        <w:r w:rsidR="002A135C">
          <w:rPr>
            <w:noProof/>
            <w:webHidden/>
          </w:rPr>
          <w:t>26</w:t>
        </w:r>
        <w:r>
          <w:rPr>
            <w:noProof/>
            <w:webHidden/>
          </w:rPr>
          <w:fldChar w:fldCharType="end"/>
        </w:r>
      </w:hyperlink>
    </w:p>
    <w:p w14:paraId="3128EB66" w14:textId="2C1BFF3B"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2" w:history="1">
        <w:r w:rsidRPr="004E4CA8">
          <w:rPr>
            <w:rStyle w:val="Hyperlink"/>
            <w:noProof/>
          </w:rPr>
          <w:t>Figure 13 Overall Educational Experience for international postgraduate coursework university students, 2024 (% positive rating)</w:t>
        </w:r>
        <w:r>
          <w:rPr>
            <w:noProof/>
            <w:webHidden/>
          </w:rPr>
          <w:tab/>
        </w:r>
        <w:r>
          <w:rPr>
            <w:noProof/>
            <w:webHidden/>
          </w:rPr>
          <w:fldChar w:fldCharType="begin"/>
        </w:r>
        <w:r>
          <w:rPr>
            <w:noProof/>
            <w:webHidden/>
          </w:rPr>
          <w:instrText xml:space="preserve"> PAGEREF _Toc206692312 \h </w:instrText>
        </w:r>
        <w:r>
          <w:rPr>
            <w:noProof/>
            <w:webHidden/>
          </w:rPr>
        </w:r>
        <w:r>
          <w:rPr>
            <w:noProof/>
            <w:webHidden/>
          </w:rPr>
          <w:fldChar w:fldCharType="separate"/>
        </w:r>
        <w:r w:rsidR="002A135C">
          <w:rPr>
            <w:noProof/>
            <w:webHidden/>
          </w:rPr>
          <w:t>27</w:t>
        </w:r>
        <w:r>
          <w:rPr>
            <w:noProof/>
            <w:webHidden/>
          </w:rPr>
          <w:fldChar w:fldCharType="end"/>
        </w:r>
      </w:hyperlink>
    </w:p>
    <w:p w14:paraId="09DB72B0" w14:textId="62A2A1F1"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3" w:history="1">
        <w:r w:rsidRPr="004E4CA8">
          <w:rPr>
            <w:rStyle w:val="Hyperlink"/>
            <w:noProof/>
          </w:rPr>
          <w:t>Figure 14 Overall Educational Experience for international undergraduate non-university higher education institution (NUHEI) students, pooled 2023-2024 (% positive rating)</w:t>
        </w:r>
        <w:r>
          <w:rPr>
            <w:noProof/>
            <w:webHidden/>
          </w:rPr>
          <w:tab/>
        </w:r>
        <w:r>
          <w:rPr>
            <w:noProof/>
            <w:webHidden/>
          </w:rPr>
          <w:fldChar w:fldCharType="begin"/>
        </w:r>
        <w:r>
          <w:rPr>
            <w:noProof/>
            <w:webHidden/>
          </w:rPr>
          <w:instrText xml:space="preserve"> PAGEREF _Toc206692313 \h </w:instrText>
        </w:r>
        <w:r>
          <w:rPr>
            <w:noProof/>
            <w:webHidden/>
          </w:rPr>
        </w:r>
        <w:r>
          <w:rPr>
            <w:noProof/>
            <w:webHidden/>
          </w:rPr>
          <w:fldChar w:fldCharType="separate"/>
        </w:r>
        <w:r w:rsidR="002A135C">
          <w:rPr>
            <w:noProof/>
            <w:webHidden/>
          </w:rPr>
          <w:t>29</w:t>
        </w:r>
        <w:r>
          <w:rPr>
            <w:noProof/>
            <w:webHidden/>
          </w:rPr>
          <w:fldChar w:fldCharType="end"/>
        </w:r>
      </w:hyperlink>
    </w:p>
    <w:p w14:paraId="42CB7A1E" w14:textId="44D157EA"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4" w:history="1">
        <w:r w:rsidRPr="004E4CA8">
          <w:rPr>
            <w:rStyle w:val="Hyperlink"/>
            <w:noProof/>
          </w:rPr>
          <w:t>Figure 15 Overall Educational Experience for international postgraduate coursework non-university higher education institution (NUHEI) students, pooled 2023-2024 (% positive rating)</w:t>
        </w:r>
        <w:r>
          <w:rPr>
            <w:noProof/>
            <w:webHidden/>
          </w:rPr>
          <w:tab/>
        </w:r>
        <w:r>
          <w:rPr>
            <w:noProof/>
            <w:webHidden/>
          </w:rPr>
          <w:fldChar w:fldCharType="begin"/>
        </w:r>
        <w:r>
          <w:rPr>
            <w:noProof/>
            <w:webHidden/>
          </w:rPr>
          <w:instrText xml:space="preserve"> PAGEREF _Toc206692314 \h </w:instrText>
        </w:r>
        <w:r>
          <w:rPr>
            <w:noProof/>
            <w:webHidden/>
          </w:rPr>
        </w:r>
        <w:r>
          <w:rPr>
            <w:noProof/>
            <w:webHidden/>
          </w:rPr>
          <w:fldChar w:fldCharType="separate"/>
        </w:r>
        <w:r w:rsidR="002A135C">
          <w:rPr>
            <w:noProof/>
            <w:webHidden/>
          </w:rPr>
          <w:t>30</w:t>
        </w:r>
        <w:r>
          <w:rPr>
            <w:noProof/>
            <w:webHidden/>
          </w:rPr>
          <w:fldChar w:fldCharType="end"/>
        </w:r>
      </w:hyperlink>
    </w:p>
    <w:p w14:paraId="1318A2E0" w14:textId="5EAAF9ED"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5" w:history="1">
        <w:r w:rsidRPr="004E4CA8">
          <w:rPr>
            <w:rStyle w:val="Hyperlink"/>
            <w:noProof/>
          </w:rPr>
          <w:t>Figure 16 International student sense of belonging by institution type, 2017-2024 (% positive rating)</w:t>
        </w:r>
        <w:r>
          <w:rPr>
            <w:noProof/>
            <w:webHidden/>
          </w:rPr>
          <w:tab/>
        </w:r>
        <w:r>
          <w:rPr>
            <w:noProof/>
            <w:webHidden/>
          </w:rPr>
          <w:fldChar w:fldCharType="begin"/>
        </w:r>
        <w:r>
          <w:rPr>
            <w:noProof/>
            <w:webHidden/>
          </w:rPr>
          <w:instrText xml:space="preserve"> PAGEREF _Toc206692315 \h </w:instrText>
        </w:r>
        <w:r>
          <w:rPr>
            <w:noProof/>
            <w:webHidden/>
          </w:rPr>
        </w:r>
        <w:r>
          <w:rPr>
            <w:noProof/>
            <w:webHidden/>
          </w:rPr>
          <w:fldChar w:fldCharType="separate"/>
        </w:r>
        <w:r w:rsidR="002A135C">
          <w:rPr>
            <w:noProof/>
            <w:webHidden/>
          </w:rPr>
          <w:t>31</w:t>
        </w:r>
        <w:r>
          <w:rPr>
            <w:noProof/>
            <w:webHidden/>
          </w:rPr>
          <w:fldChar w:fldCharType="end"/>
        </w:r>
      </w:hyperlink>
    </w:p>
    <w:p w14:paraId="332D13EA" w14:textId="15481B2D"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6" w:history="1">
        <w:r w:rsidRPr="004E4CA8">
          <w:rPr>
            <w:rStyle w:val="Hyperlink"/>
            <w:noProof/>
          </w:rPr>
          <w:t>Figure 17 International student sense of belonging by source country, 2024 (% positive rating)</w:t>
        </w:r>
        <w:r>
          <w:rPr>
            <w:noProof/>
            <w:webHidden/>
          </w:rPr>
          <w:tab/>
        </w:r>
        <w:r>
          <w:rPr>
            <w:noProof/>
            <w:webHidden/>
          </w:rPr>
          <w:fldChar w:fldCharType="begin"/>
        </w:r>
        <w:r>
          <w:rPr>
            <w:noProof/>
            <w:webHidden/>
          </w:rPr>
          <w:instrText xml:space="preserve"> PAGEREF _Toc206692316 \h </w:instrText>
        </w:r>
        <w:r>
          <w:rPr>
            <w:noProof/>
            <w:webHidden/>
          </w:rPr>
        </w:r>
        <w:r>
          <w:rPr>
            <w:noProof/>
            <w:webHidden/>
          </w:rPr>
          <w:fldChar w:fldCharType="separate"/>
        </w:r>
        <w:r w:rsidR="002A135C">
          <w:rPr>
            <w:noProof/>
            <w:webHidden/>
          </w:rPr>
          <w:t>32</w:t>
        </w:r>
        <w:r>
          <w:rPr>
            <w:noProof/>
            <w:webHidden/>
          </w:rPr>
          <w:fldChar w:fldCharType="end"/>
        </w:r>
      </w:hyperlink>
    </w:p>
    <w:p w14:paraId="6361B5BF" w14:textId="7963164D"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7" w:history="1">
        <w:r w:rsidRPr="004E4CA8">
          <w:rPr>
            <w:rStyle w:val="Hyperlink"/>
            <w:noProof/>
          </w:rPr>
          <w:t>Figure 18 Proportion of undergraduate students who considered early departure from institution by citizenship status, 2017-2024</w:t>
        </w:r>
        <w:r>
          <w:rPr>
            <w:noProof/>
            <w:webHidden/>
          </w:rPr>
          <w:tab/>
        </w:r>
        <w:r>
          <w:rPr>
            <w:noProof/>
            <w:webHidden/>
          </w:rPr>
          <w:fldChar w:fldCharType="begin"/>
        </w:r>
        <w:r>
          <w:rPr>
            <w:noProof/>
            <w:webHidden/>
          </w:rPr>
          <w:instrText xml:space="preserve"> PAGEREF _Toc206692317 \h </w:instrText>
        </w:r>
        <w:r>
          <w:rPr>
            <w:noProof/>
            <w:webHidden/>
          </w:rPr>
        </w:r>
        <w:r>
          <w:rPr>
            <w:noProof/>
            <w:webHidden/>
          </w:rPr>
          <w:fldChar w:fldCharType="separate"/>
        </w:r>
        <w:r w:rsidR="002A135C">
          <w:rPr>
            <w:noProof/>
            <w:webHidden/>
          </w:rPr>
          <w:t>32</w:t>
        </w:r>
        <w:r>
          <w:rPr>
            <w:noProof/>
            <w:webHidden/>
          </w:rPr>
          <w:fldChar w:fldCharType="end"/>
        </w:r>
      </w:hyperlink>
    </w:p>
    <w:p w14:paraId="36865401" w14:textId="721DCDC6"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8" w:history="1">
        <w:r w:rsidRPr="004E4CA8">
          <w:rPr>
            <w:rStyle w:val="Hyperlink"/>
            <w:noProof/>
          </w:rPr>
          <w:t>Figure 19 Proportion of postgraduate coursework students who considered early departure from institution by citizenship status, 2017-2024</w:t>
        </w:r>
        <w:r>
          <w:rPr>
            <w:noProof/>
            <w:webHidden/>
          </w:rPr>
          <w:tab/>
        </w:r>
        <w:r>
          <w:rPr>
            <w:noProof/>
            <w:webHidden/>
          </w:rPr>
          <w:fldChar w:fldCharType="begin"/>
        </w:r>
        <w:r>
          <w:rPr>
            <w:noProof/>
            <w:webHidden/>
          </w:rPr>
          <w:instrText xml:space="preserve"> PAGEREF _Toc206692318 \h </w:instrText>
        </w:r>
        <w:r>
          <w:rPr>
            <w:noProof/>
            <w:webHidden/>
          </w:rPr>
        </w:r>
        <w:r>
          <w:rPr>
            <w:noProof/>
            <w:webHidden/>
          </w:rPr>
          <w:fldChar w:fldCharType="separate"/>
        </w:r>
        <w:r w:rsidR="002A135C">
          <w:rPr>
            <w:noProof/>
            <w:webHidden/>
          </w:rPr>
          <w:t>33</w:t>
        </w:r>
        <w:r>
          <w:rPr>
            <w:noProof/>
            <w:webHidden/>
          </w:rPr>
          <w:fldChar w:fldCharType="end"/>
        </w:r>
      </w:hyperlink>
    </w:p>
    <w:p w14:paraId="5A516841" w14:textId="6951E956"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9" w:history="1">
        <w:r w:rsidRPr="004E4CA8">
          <w:rPr>
            <w:rStyle w:val="Hyperlink"/>
            <w:noProof/>
          </w:rPr>
          <w:t>Figure 20 Reasons for considering early departure among undergraduate students by citizenship status, 2024 (% of those who had considered leaving)</w:t>
        </w:r>
        <w:r>
          <w:rPr>
            <w:noProof/>
            <w:webHidden/>
          </w:rPr>
          <w:tab/>
        </w:r>
        <w:r>
          <w:rPr>
            <w:noProof/>
            <w:webHidden/>
          </w:rPr>
          <w:fldChar w:fldCharType="begin"/>
        </w:r>
        <w:r>
          <w:rPr>
            <w:noProof/>
            <w:webHidden/>
          </w:rPr>
          <w:instrText xml:space="preserve"> PAGEREF _Toc206692319 \h </w:instrText>
        </w:r>
        <w:r>
          <w:rPr>
            <w:noProof/>
            <w:webHidden/>
          </w:rPr>
        </w:r>
        <w:r>
          <w:rPr>
            <w:noProof/>
            <w:webHidden/>
          </w:rPr>
          <w:fldChar w:fldCharType="separate"/>
        </w:r>
        <w:r w:rsidR="002A135C">
          <w:rPr>
            <w:noProof/>
            <w:webHidden/>
          </w:rPr>
          <w:t>34</w:t>
        </w:r>
        <w:r>
          <w:rPr>
            <w:noProof/>
            <w:webHidden/>
          </w:rPr>
          <w:fldChar w:fldCharType="end"/>
        </w:r>
      </w:hyperlink>
    </w:p>
    <w:p w14:paraId="001960CE" w14:textId="0ED597D2"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0" w:history="1">
        <w:r w:rsidRPr="004E4CA8">
          <w:rPr>
            <w:rStyle w:val="Hyperlink"/>
            <w:noProof/>
          </w:rPr>
          <w:t>Figure 21 Reasons for considering early departure among postgraduate students by citizenship status, 2024 (% of those who had considered leaving)</w:t>
        </w:r>
        <w:r>
          <w:rPr>
            <w:noProof/>
            <w:webHidden/>
          </w:rPr>
          <w:tab/>
        </w:r>
        <w:r>
          <w:rPr>
            <w:noProof/>
            <w:webHidden/>
          </w:rPr>
          <w:fldChar w:fldCharType="begin"/>
        </w:r>
        <w:r>
          <w:rPr>
            <w:noProof/>
            <w:webHidden/>
          </w:rPr>
          <w:instrText xml:space="preserve"> PAGEREF _Toc206692320 \h </w:instrText>
        </w:r>
        <w:r>
          <w:rPr>
            <w:noProof/>
            <w:webHidden/>
          </w:rPr>
        </w:r>
        <w:r>
          <w:rPr>
            <w:noProof/>
            <w:webHidden/>
          </w:rPr>
          <w:fldChar w:fldCharType="separate"/>
        </w:r>
        <w:r w:rsidR="002A135C">
          <w:rPr>
            <w:noProof/>
            <w:webHidden/>
          </w:rPr>
          <w:t>36</w:t>
        </w:r>
        <w:r>
          <w:rPr>
            <w:noProof/>
            <w:webHidden/>
          </w:rPr>
          <w:fldChar w:fldCharType="end"/>
        </w:r>
      </w:hyperlink>
    </w:p>
    <w:p w14:paraId="68A3747C" w14:textId="004B9424"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1" w:history="1">
        <w:r w:rsidRPr="004E4CA8">
          <w:rPr>
            <w:rStyle w:val="Hyperlink"/>
            <w:noProof/>
          </w:rPr>
          <w:t>Figure 22 International student overall living experience by course level, 2020-2024 (% positive rating)</w:t>
        </w:r>
        <w:r>
          <w:rPr>
            <w:noProof/>
            <w:webHidden/>
          </w:rPr>
          <w:tab/>
        </w:r>
        <w:r>
          <w:rPr>
            <w:noProof/>
            <w:webHidden/>
          </w:rPr>
          <w:fldChar w:fldCharType="begin"/>
        </w:r>
        <w:r>
          <w:rPr>
            <w:noProof/>
            <w:webHidden/>
          </w:rPr>
          <w:instrText xml:space="preserve"> PAGEREF _Toc206692321 \h </w:instrText>
        </w:r>
        <w:r>
          <w:rPr>
            <w:noProof/>
            <w:webHidden/>
          </w:rPr>
        </w:r>
        <w:r>
          <w:rPr>
            <w:noProof/>
            <w:webHidden/>
          </w:rPr>
          <w:fldChar w:fldCharType="separate"/>
        </w:r>
        <w:r w:rsidR="002A135C">
          <w:rPr>
            <w:noProof/>
            <w:webHidden/>
          </w:rPr>
          <w:t>37</w:t>
        </w:r>
        <w:r>
          <w:rPr>
            <w:noProof/>
            <w:webHidden/>
          </w:rPr>
          <w:fldChar w:fldCharType="end"/>
        </w:r>
      </w:hyperlink>
    </w:p>
    <w:p w14:paraId="61B894FC" w14:textId="5FD0C60A"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2" w:history="1">
        <w:r w:rsidRPr="004E4CA8">
          <w:rPr>
            <w:rStyle w:val="Hyperlink"/>
            <w:noProof/>
          </w:rPr>
          <w:t>Figure 23 International student living experience by course level, 2024 (% positive rating)</w:t>
        </w:r>
        <w:r>
          <w:rPr>
            <w:noProof/>
            <w:webHidden/>
          </w:rPr>
          <w:tab/>
        </w:r>
        <w:r>
          <w:rPr>
            <w:noProof/>
            <w:webHidden/>
          </w:rPr>
          <w:fldChar w:fldCharType="begin"/>
        </w:r>
        <w:r>
          <w:rPr>
            <w:noProof/>
            <w:webHidden/>
          </w:rPr>
          <w:instrText xml:space="preserve"> PAGEREF _Toc206692322 \h </w:instrText>
        </w:r>
        <w:r>
          <w:rPr>
            <w:noProof/>
            <w:webHidden/>
          </w:rPr>
        </w:r>
        <w:r>
          <w:rPr>
            <w:noProof/>
            <w:webHidden/>
          </w:rPr>
          <w:fldChar w:fldCharType="separate"/>
        </w:r>
        <w:r w:rsidR="002A135C">
          <w:rPr>
            <w:noProof/>
            <w:webHidden/>
          </w:rPr>
          <w:t>38</w:t>
        </w:r>
        <w:r>
          <w:rPr>
            <w:noProof/>
            <w:webHidden/>
          </w:rPr>
          <w:fldChar w:fldCharType="end"/>
        </w:r>
      </w:hyperlink>
    </w:p>
    <w:p w14:paraId="01386A28" w14:textId="291FDB40"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3" w:history="1">
        <w:r w:rsidRPr="004E4CA8">
          <w:rPr>
            <w:rStyle w:val="Hyperlink"/>
            <w:noProof/>
          </w:rPr>
          <w:t>Figure 24 International student accommodation experience, 2020-2024 (% positive rating)</w:t>
        </w:r>
        <w:r>
          <w:rPr>
            <w:noProof/>
            <w:webHidden/>
          </w:rPr>
          <w:tab/>
        </w:r>
        <w:r>
          <w:rPr>
            <w:noProof/>
            <w:webHidden/>
          </w:rPr>
          <w:fldChar w:fldCharType="begin"/>
        </w:r>
        <w:r>
          <w:rPr>
            <w:noProof/>
            <w:webHidden/>
          </w:rPr>
          <w:instrText xml:space="preserve"> PAGEREF _Toc206692323 \h </w:instrText>
        </w:r>
        <w:r>
          <w:rPr>
            <w:noProof/>
            <w:webHidden/>
          </w:rPr>
        </w:r>
        <w:r>
          <w:rPr>
            <w:noProof/>
            <w:webHidden/>
          </w:rPr>
          <w:fldChar w:fldCharType="separate"/>
        </w:r>
        <w:r w:rsidR="002A135C">
          <w:rPr>
            <w:noProof/>
            <w:webHidden/>
          </w:rPr>
          <w:t>41</w:t>
        </w:r>
        <w:r>
          <w:rPr>
            <w:noProof/>
            <w:webHidden/>
          </w:rPr>
          <w:fldChar w:fldCharType="end"/>
        </w:r>
      </w:hyperlink>
    </w:p>
    <w:p w14:paraId="6C4D3581" w14:textId="13C5E657"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4" w:history="1">
        <w:r w:rsidRPr="004E4CA8">
          <w:rPr>
            <w:rStyle w:val="Hyperlink"/>
            <w:noProof/>
          </w:rPr>
          <w:t>Figure 25 International undergraduate student accommodation arrangements by source country, 2024 (%)</w:t>
        </w:r>
        <w:r>
          <w:rPr>
            <w:noProof/>
            <w:webHidden/>
          </w:rPr>
          <w:tab/>
        </w:r>
        <w:r>
          <w:rPr>
            <w:noProof/>
            <w:webHidden/>
          </w:rPr>
          <w:fldChar w:fldCharType="begin"/>
        </w:r>
        <w:r>
          <w:rPr>
            <w:noProof/>
            <w:webHidden/>
          </w:rPr>
          <w:instrText xml:space="preserve"> PAGEREF _Toc206692324 \h </w:instrText>
        </w:r>
        <w:r>
          <w:rPr>
            <w:noProof/>
            <w:webHidden/>
          </w:rPr>
        </w:r>
        <w:r>
          <w:rPr>
            <w:noProof/>
            <w:webHidden/>
          </w:rPr>
          <w:fldChar w:fldCharType="separate"/>
        </w:r>
        <w:r w:rsidR="002A135C">
          <w:rPr>
            <w:noProof/>
            <w:webHidden/>
          </w:rPr>
          <w:t>43</w:t>
        </w:r>
        <w:r>
          <w:rPr>
            <w:noProof/>
            <w:webHidden/>
          </w:rPr>
          <w:fldChar w:fldCharType="end"/>
        </w:r>
      </w:hyperlink>
    </w:p>
    <w:p w14:paraId="690A7FD0" w14:textId="317530E5"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5" w:history="1">
        <w:r w:rsidRPr="004E4CA8">
          <w:rPr>
            <w:rStyle w:val="Hyperlink"/>
            <w:noProof/>
          </w:rPr>
          <w:t>Figure 26 International postgraduate coursework student accommodation arrangements by source country, 2024 (%)</w:t>
        </w:r>
        <w:r>
          <w:rPr>
            <w:noProof/>
            <w:webHidden/>
          </w:rPr>
          <w:tab/>
        </w:r>
        <w:r>
          <w:rPr>
            <w:noProof/>
            <w:webHidden/>
          </w:rPr>
          <w:fldChar w:fldCharType="begin"/>
        </w:r>
        <w:r>
          <w:rPr>
            <w:noProof/>
            <w:webHidden/>
          </w:rPr>
          <w:instrText xml:space="preserve"> PAGEREF _Toc206692325 \h </w:instrText>
        </w:r>
        <w:r>
          <w:rPr>
            <w:noProof/>
            <w:webHidden/>
          </w:rPr>
        </w:r>
        <w:r>
          <w:rPr>
            <w:noProof/>
            <w:webHidden/>
          </w:rPr>
          <w:fldChar w:fldCharType="separate"/>
        </w:r>
        <w:r w:rsidR="002A135C">
          <w:rPr>
            <w:noProof/>
            <w:webHidden/>
          </w:rPr>
          <w:t>44</w:t>
        </w:r>
        <w:r>
          <w:rPr>
            <w:noProof/>
            <w:webHidden/>
          </w:rPr>
          <w:fldChar w:fldCharType="end"/>
        </w:r>
      </w:hyperlink>
    </w:p>
    <w:p w14:paraId="52D62DCC" w14:textId="0678CED5"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6" w:history="1">
        <w:r w:rsidRPr="004E4CA8">
          <w:rPr>
            <w:rStyle w:val="Hyperlink"/>
            <w:noProof/>
          </w:rPr>
          <w:t>Figure 27 Use of and satisfaction with an agent to help with visa application or enrolment by course level and source country, 2024 (% positive rating)</w:t>
        </w:r>
        <w:r>
          <w:rPr>
            <w:noProof/>
            <w:webHidden/>
          </w:rPr>
          <w:tab/>
        </w:r>
        <w:r>
          <w:rPr>
            <w:noProof/>
            <w:webHidden/>
          </w:rPr>
          <w:fldChar w:fldCharType="begin"/>
        </w:r>
        <w:r>
          <w:rPr>
            <w:noProof/>
            <w:webHidden/>
          </w:rPr>
          <w:instrText xml:space="preserve"> PAGEREF _Toc206692326 \h </w:instrText>
        </w:r>
        <w:r>
          <w:rPr>
            <w:noProof/>
            <w:webHidden/>
          </w:rPr>
        </w:r>
        <w:r>
          <w:rPr>
            <w:noProof/>
            <w:webHidden/>
          </w:rPr>
          <w:fldChar w:fldCharType="separate"/>
        </w:r>
        <w:r w:rsidR="002A135C">
          <w:rPr>
            <w:noProof/>
            <w:webHidden/>
          </w:rPr>
          <w:t>45</w:t>
        </w:r>
        <w:r>
          <w:rPr>
            <w:noProof/>
            <w:webHidden/>
          </w:rPr>
          <w:fldChar w:fldCharType="end"/>
        </w:r>
      </w:hyperlink>
    </w:p>
    <w:p w14:paraId="7DA7BFC6" w14:textId="4383F6A5"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7" w:history="1">
        <w:r w:rsidRPr="004E4CA8">
          <w:rPr>
            <w:rStyle w:val="Hyperlink"/>
            <w:noProof/>
          </w:rPr>
          <w:t>Figure 28 International student reasons for choosing to study in Australia by course level, 2024 (% importance rating)</w:t>
        </w:r>
        <w:r>
          <w:rPr>
            <w:noProof/>
            <w:webHidden/>
          </w:rPr>
          <w:tab/>
        </w:r>
        <w:r>
          <w:rPr>
            <w:noProof/>
            <w:webHidden/>
          </w:rPr>
          <w:fldChar w:fldCharType="begin"/>
        </w:r>
        <w:r>
          <w:rPr>
            <w:noProof/>
            <w:webHidden/>
          </w:rPr>
          <w:instrText xml:space="preserve"> PAGEREF _Toc206692327 \h </w:instrText>
        </w:r>
        <w:r>
          <w:rPr>
            <w:noProof/>
            <w:webHidden/>
          </w:rPr>
        </w:r>
        <w:r>
          <w:rPr>
            <w:noProof/>
            <w:webHidden/>
          </w:rPr>
          <w:fldChar w:fldCharType="separate"/>
        </w:r>
        <w:r w:rsidR="002A135C">
          <w:rPr>
            <w:noProof/>
            <w:webHidden/>
          </w:rPr>
          <w:t>46</w:t>
        </w:r>
        <w:r>
          <w:rPr>
            <w:noProof/>
            <w:webHidden/>
          </w:rPr>
          <w:fldChar w:fldCharType="end"/>
        </w:r>
      </w:hyperlink>
    </w:p>
    <w:p w14:paraId="277518E0" w14:textId="2BFD8239"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8" w:history="1">
        <w:r w:rsidRPr="004E4CA8">
          <w:rPr>
            <w:rStyle w:val="Hyperlink"/>
            <w:noProof/>
          </w:rPr>
          <w:t>Figure 29 International student reasons for choosing to study in Australia by source country, 2024 (% importance rating)</w:t>
        </w:r>
        <w:r>
          <w:rPr>
            <w:noProof/>
            <w:webHidden/>
          </w:rPr>
          <w:tab/>
        </w:r>
        <w:r>
          <w:rPr>
            <w:noProof/>
            <w:webHidden/>
          </w:rPr>
          <w:fldChar w:fldCharType="begin"/>
        </w:r>
        <w:r>
          <w:rPr>
            <w:noProof/>
            <w:webHidden/>
          </w:rPr>
          <w:instrText xml:space="preserve"> PAGEREF _Toc206692328 \h </w:instrText>
        </w:r>
        <w:r>
          <w:rPr>
            <w:noProof/>
            <w:webHidden/>
          </w:rPr>
        </w:r>
        <w:r>
          <w:rPr>
            <w:noProof/>
            <w:webHidden/>
          </w:rPr>
          <w:fldChar w:fldCharType="separate"/>
        </w:r>
        <w:r w:rsidR="002A135C">
          <w:rPr>
            <w:noProof/>
            <w:webHidden/>
          </w:rPr>
          <w:t>47</w:t>
        </w:r>
        <w:r>
          <w:rPr>
            <w:noProof/>
            <w:webHidden/>
          </w:rPr>
          <w:fldChar w:fldCharType="end"/>
        </w:r>
      </w:hyperlink>
    </w:p>
    <w:p w14:paraId="52480C49" w14:textId="29826422"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9" w:history="1">
        <w:r w:rsidRPr="004E4CA8">
          <w:rPr>
            <w:rStyle w:val="Hyperlink"/>
            <w:noProof/>
          </w:rPr>
          <w:t>Figure 30 International student reasons for choosing current institution by course level, 2024 (% importance rating)</w:t>
        </w:r>
        <w:r>
          <w:rPr>
            <w:noProof/>
            <w:webHidden/>
          </w:rPr>
          <w:tab/>
        </w:r>
        <w:r>
          <w:rPr>
            <w:noProof/>
            <w:webHidden/>
          </w:rPr>
          <w:fldChar w:fldCharType="begin"/>
        </w:r>
        <w:r>
          <w:rPr>
            <w:noProof/>
            <w:webHidden/>
          </w:rPr>
          <w:instrText xml:space="preserve"> PAGEREF _Toc206692329 \h </w:instrText>
        </w:r>
        <w:r>
          <w:rPr>
            <w:noProof/>
            <w:webHidden/>
          </w:rPr>
        </w:r>
        <w:r>
          <w:rPr>
            <w:noProof/>
            <w:webHidden/>
          </w:rPr>
          <w:fldChar w:fldCharType="separate"/>
        </w:r>
        <w:r w:rsidR="002A135C">
          <w:rPr>
            <w:noProof/>
            <w:webHidden/>
          </w:rPr>
          <w:t>48</w:t>
        </w:r>
        <w:r>
          <w:rPr>
            <w:noProof/>
            <w:webHidden/>
          </w:rPr>
          <w:fldChar w:fldCharType="end"/>
        </w:r>
      </w:hyperlink>
    </w:p>
    <w:p w14:paraId="310C2E3A" w14:textId="55C7B5F7"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30" w:history="1">
        <w:r w:rsidRPr="004E4CA8">
          <w:rPr>
            <w:rStyle w:val="Hyperlink"/>
            <w:noProof/>
          </w:rPr>
          <w:t>Figure 31 International student reasons for choosing to study at current institution by source country, 2024 (% importance rating)</w:t>
        </w:r>
        <w:r>
          <w:rPr>
            <w:noProof/>
            <w:webHidden/>
          </w:rPr>
          <w:tab/>
        </w:r>
        <w:r>
          <w:rPr>
            <w:noProof/>
            <w:webHidden/>
          </w:rPr>
          <w:fldChar w:fldCharType="begin"/>
        </w:r>
        <w:r>
          <w:rPr>
            <w:noProof/>
            <w:webHidden/>
          </w:rPr>
          <w:instrText xml:space="preserve"> PAGEREF _Toc206692330 \h </w:instrText>
        </w:r>
        <w:r>
          <w:rPr>
            <w:noProof/>
            <w:webHidden/>
          </w:rPr>
        </w:r>
        <w:r>
          <w:rPr>
            <w:noProof/>
            <w:webHidden/>
          </w:rPr>
          <w:fldChar w:fldCharType="separate"/>
        </w:r>
        <w:r w:rsidR="002A135C">
          <w:rPr>
            <w:noProof/>
            <w:webHidden/>
          </w:rPr>
          <w:t>49</w:t>
        </w:r>
        <w:r>
          <w:rPr>
            <w:noProof/>
            <w:webHidden/>
          </w:rPr>
          <w:fldChar w:fldCharType="end"/>
        </w:r>
      </w:hyperlink>
    </w:p>
    <w:p w14:paraId="31CF2CF7" w14:textId="3B563B84" w:rsidR="00821227" w:rsidRPr="002867E0" w:rsidRDefault="00821227" w:rsidP="00821227">
      <w:pPr>
        <w:rPr>
          <w:rFonts w:eastAsiaTheme="majorEastAsia" w:cs="Arial"/>
          <w:b/>
          <w:bCs/>
          <w:sz w:val="28"/>
          <w:szCs w:val="28"/>
          <w:highlight w:val="yellow"/>
          <w:lang w:val="en-GB"/>
        </w:rPr>
      </w:pPr>
      <w:r w:rsidRPr="002867E0">
        <w:rPr>
          <w:rFonts w:eastAsiaTheme="majorEastAsia" w:cs="Arial"/>
          <w:b/>
          <w:bCs/>
          <w:sz w:val="28"/>
          <w:szCs w:val="28"/>
          <w:highlight w:val="yellow"/>
          <w:lang w:val="en-GB"/>
        </w:rPr>
        <w:fldChar w:fldCharType="end"/>
      </w:r>
    </w:p>
    <w:p w14:paraId="19620CD6" w14:textId="77777777" w:rsidR="006215D3" w:rsidRPr="002867E0" w:rsidRDefault="00821227" w:rsidP="00821227">
      <w:pPr>
        <w:rPr>
          <w:rFonts w:eastAsiaTheme="majorEastAsia" w:cs="Arial"/>
          <w:b/>
          <w:bCs/>
          <w:sz w:val="28"/>
          <w:szCs w:val="28"/>
          <w:highlight w:val="yellow"/>
          <w:lang w:val="en-GB"/>
        </w:rPr>
        <w:sectPr w:rsidR="006215D3" w:rsidRPr="002867E0" w:rsidSect="00C545B5">
          <w:pgSz w:w="11900" w:h="16840"/>
          <w:pgMar w:top="852" w:right="560" w:bottom="994" w:left="710" w:header="567" w:footer="567" w:gutter="0"/>
          <w:pgNumType w:fmt="lowerRoman"/>
          <w:cols w:space="708"/>
          <w:docGrid w:linePitch="360"/>
        </w:sectPr>
      </w:pPr>
      <w:r w:rsidRPr="002867E0">
        <w:rPr>
          <w:rFonts w:eastAsiaTheme="majorEastAsia" w:cs="Arial"/>
          <w:b/>
          <w:bCs/>
          <w:sz w:val="28"/>
          <w:szCs w:val="28"/>
          <w:highlight w:val="yellow"/>
          <w:lang w:val="en-GB"/>
        </w:rPr>
        <w:br w:type="page"/>
      </w:r>
    </w:p>
    <w:p w14:paraId="456A50C4" w14:textId="77777777" w:rsidR="00821227" w:rsidRPr="00F506E0" w:rsidRDefault="00821227" w:rsidP="00A9284B">
      <w:pPr>
        <w:pStyle w:val="Heading1"/>
        <w:rPr>
          <w:color w:val="000000" w:themeColor="text1"/>
        </w:rPr>
      </w:pPr>
      <w:bookmarkStart w:id="9" w:name="_Toc206692260"/>
      <w:bookmarkStart w:id="10" w:name="_Hlk171893552"/>
      <w:r w:rsidRPr="00F506E0">
        <w:rPr>
          <w:color w:val="000000" w:themeColor="text1"/>
        </w:rPr>
        <w:lastRenderedPageBreak/>
        <w:t>Introduction</w:t>
      </w:r>
      <w:bookmarkEnd w:id="9"/>
    </w:p>
    <w:p w14:paraId="449724C8" w14:textId="77777777" w:rsidR="00434228" w:rsidRPr="00F506E0" w:rsidRDefault="00434228" w:rsidP="00434228">
      <w:pPr>
        <w:pStyle w:val="Heading2"/>
        <w:rPr>
          <w:b/>
          <w:bCs/>
          <w:color w:val="000000" w:themeColor="text1"/>
        </w:rPr>
      </w:pPr>
      <w:bookmarkStart w:id="11" w:name="_Toc195645852"/>
      <w:bookmarkStart w:id="12" w:name="_Toc206692261"/>
      <w:r w:rsidRPr="00F506E0">
        <w:rPr>
          <w:color w:val="000000" w:themeColor="text1"/>
        </w:rPr>
        <w:t>About the SES</w:t>
      </w:r>
      <w:bookmarkEnd w:id="11"/>
      <w:bookmarkEnd w:id="12"/>
    </w:p>
    <w:p w14:paraId="6985A49A" w14:textId="03C16BD9" w:rsidR="00103955" w:rsidRPr="005D459B" w:rsidRDefault="00103955" w:rsidP="00103955">
      <w:pPr>
        <w:pStyle w:val="Body"/>
      </w:pPr>
      <w:r w:rsidRPr="005D459B">
        <w:t>The Student Experience Survey (SES) provides a national framework for collecting data on key aspects of</w:t>
      </w:r>
      <w:r>
        <w:t xml:space="preserve"> the</w:t>
      </w:r>
      <w:r w:rsidRPr="005D459B">
        <w:t xml:space="preserve"> </w:t>
      </w:r>
      <w:r>
        <w:t>international and domestic</w:t>
      </w:r>
      <w:r w:rsidRPr="005D459B">
        <w:t xml:space="preserve"> higher education student experience. It focuses on measurable aspects linked to learning outcomes and influenced by institutions. The SES measures </w:t>
      </w:r>
      <w:r w:rsidR="00F320D0">
        <w:t>5</w:t>
      </w:r>
      <w:r w:rsidRPr="005D459B">
        <w:t xml:space="preserve"> aspects </w:t>
      </w:r>
      <w:r>
        <w:t xml:space="preserve">(or focus areas) </w:t>
      </w:r>
      <w:r w:rsidRPr="005D459B">
        <w:t>of the student experience:</w:t>
      </w:r>
    </w:p>
    <w:p w14:paraId="33E1A406" w14:textId="0E66AA52" w:rsidR="00CD6779" w:rsidRPr="002844AA" w:rsidRDefault="00CD6779" w:rsidP="00CD6779">
      <w:pPr>
        <w:pStyle w:val="Body"/>
        <w:numPr>
          <w:ilvl w:val="0"/>
          <w:numId w:val="16"/>
        </w:numPr>
      </w:pPr>
      <w:r w:rsidRPr="002844AA">
        <w:rPr>
          <w:b/>
          <w:bCs/>
        </w:rPr>
        <w:t>Skills Development</w:t>
      </w:r>
      <w:r w:rsidRPr="002844AA">
        <w:t>: Evaluates how students have developed their skills and knowledge in eight areas, including foundation</w:t>
      </w:r>
      <w:r w:rsidR="009C7B87">
        <w:t>al</w:t>
      </w:r>
      <w:r w:rsidRPr="002844AA">
        <w:t>, collaborative, and adaptive skills.</w:t>
      </w:r>
    </w:p>
    <w:p w14:paraId="725E3A17" w14:textId="77777777" w:rsidR="00CD6779" w:rsidRPr="002844AA" w:rsidRDefault="00CD6779" w:rsidP="00CD6779">
      <w:pPr>
        <w:pStyle w:val="Body"/>
        <w:numPr>
          <w:ilvl w:val="0"/>
          <w:numId w:val="16"/>
        </w:numPr>
      </w:pPr>
      <w:r w:rsidRPr="002844AA">
        <w:rPr>
          <w:b/>
          <w:bCs/>
        </w:rPr>
        <w:t>Peer Engagement</w:t>
      </w:r>
      <w:r w:rsidRPr="002844AA">
        <w:t>: Assesses the frequency of student interactions with peers inside or outside formal study.</w:t>
      </w:r>
    </w:p>
    <w:p w14:paraId="23E7823D" w14:textId="77777777" w:rsidR="00CD6779" w:rsidRPr="002844AA" w:rsidRDefault="00CD6779" w:rsidP="00CD6779">
      <w:pPr>
        <w:pStyle w:val="Body"/>
        <w:numPr>
          <w:ilvl w:val="0"/>
          <w:numId w:val="16"/>
        </w:numPr>
      </w:pPr>
      <w:r w:rsidRPr="002844AA">
        <w:rPr>
          <w:b/>
          <w:bCs/>
        </w:rPr>
        <w:t>Teaching Quality and Engagement</w:t>
      </w:r>
      <w:r w:rsidRPr="002844AA">
        <w:t>: Rates the relevance and focus of courses, overall teaching quality, and academic staff actions such as engaging students and providing feedback.</w:t>
      </w:r>
    </w:p>
    <w:p w14:paraId="037C17A2" w14:textId="77777777" w:rsidR="00CD6779" w:rsidRPr="002844AA" w:rsidRDefault="00CD6779" w:rsidP="00CD6779">
      <w:pPr>
        <w:pStyle w:val="Body"/>
        <w:numPr>
          <w:ilvl w:val="0"/>
          <w:numId w:val="16"/>
        </w:numPr>
      </w:pPr>
      <w:r w:rsidRPr="002844AA">
        <w:rPr>
          <w:b/>
          <w:bCs/>
        </w:rPr>
        <w:t>Student Support and Services</w:t>
      </w:r>
      <w:r w:rsidRPr="002844AA">
        <w:t>: Measures the helpfulness of various supports and services provided by institutions, including administrative, career development, health, and financial services.</w:t>
      </w:r>
    </w:p>
    <w:p w14:paraId="4AA3618A" w14:textId="77777777" w:rsidR="00CD6779" w:rsidRPr="002844AA" w:rsidRDefault="00CD6779" w:rsidP="00CD6779">
      <w:pPr>
        <w:pStyle w:val="Body"/>
        <w:numPr>
          <w:ilvl w:val="0"/>
          <w:numId w:val="16"/>
        </w:numPr>
      </w:pPr>
      <w:r w:rsidRPr="002844AA">
        <w:rPr>
          <w:b/>
          <w:bCs/>
        </w:rPr>
        <w:t>Learning Resources</w:t>
      </w:r>
      <w:r w:rsidRPr="002844AA">
        <w:t>: Evaluates the quality of learning resources in seven areas, including teaching spaces, equipment, and learning materials.</w:t>
      </w:r>
    </w:p>
    <w:p w14:paraId="0BA54681" w14:textId="7FE10850" w:rsidR="00D758D6" w:rsidRPr="005D459B" w:rsidRDefault="00D758D6" w:rsidP="00D758D6">
      <w:pPr>
        <w:pStyle w:val="Body"/>
      </w:pPr>
      <w:r>
        <w:t>The SES also measures</w:t>
      </w:r>
      <w:r w:rsidRPr="005D459B">
        <w:t xml:space="preserve"> the </w:t>
      </w:r>
      <w:r w:rsidR="00366C0A">
        <w:rPr>
          <w:b/>
          <w:bCs/>
        </w:rPr>
        <w:t>Overall Educational Experience</w:t>
      </w:r>
      <w:r>
        <w:t xml:space="preserve"> which is a stand-alone item in the survey. </w:t>
      </w:r>
      <w:r w:rsidR="00366C0A">
        <w:t>Overall Educational Experience</w:t>
      </w:r>
      <w:r>
        <w:t xml:space="preserve"> is closely related to students’ ratings of Teaching Quality and Engagement</w:t>
      </w:r>
      <w:r w:rsidR="00B81AD7">
        <w:t>,</w:t>
      </w:r>
      <w:r>
        <w:t xml:space="preserve"> and Skills Development, and to areas outside the focus areas, such as students’ Sense of Belonging. The Student Experience Survey also includes an international student module which seeks information on students’ satisfaction with aspects of living in Australia and the reasons that they have chosen Australia and their specific institution for their study</w:t>
      </w:r>
      <w:r w:rsidR="00C66CB5">
        <w:t xml:space="preserve"> </w:t>
      </w:r>
      <w:r>
        <w:t>(</w:t>
      </w:r>
      <w:r w:rsidR="00C66CB5">
        <w:t>s</w:t>
      </w:r>
      <w:r>
        <w:t xml:space="preserve">ee </w:t>
      </w:r>
      <w:r w:rsidR="00DC4EFE">
        <w:fldChar w:fldCharType="begin"/>
      </w:r>
      <w:r w:rsidR="00DC4EFE">
        <w:instrText xml:space="preserve"> REF _Ref206424946 \r \h </w:instrText>
      </w:r>
      <w:r w:rsidR="00DC4EFE">
        <w:fldChar w:fldCharType="separate"/>
      </w:r>
      <w:r w:rsidR="00F96AB4">
        <w:t>Appendix 1</w:t>
      </w:r>
      <w:r w:rsidR="00DC4EFE">
        <w:fldChar w:fldCharType="end"/>
      </w:r>
      <w:r w:rsidRPr="0094250A">
        <w:rPr>
          <w:b/>
          <w:bCs/>
        </w:rPr>
        <w:fldChar w:fldCharType="begin"/>
      </w:r>
      <w:r w:rsidRPr="0094250A">
        <w:rPr>
          <w:b/>
          <w:bCs/>
        </w:rPr>
        <w:instrText xml:space="preserve"> REF _Ref195520443 \r \h </w:instrText>
      </w:r>
      <w:r>
        <w:rPr>
          <w:b/>
          <w:bCs/>
        </w:rPr>
        <w:instrText xml:space="preserve"> \* MERGEFORMAT </w:instrText>
      </w:r>
      <w:r w:rsidRPr="0094250A">
        <w:rPr>
          <w:b/>
          <w:bCs/>
        </w:rPr>
      </w:r>
      <w:r w:rsidRPr="0094250A">
        <w:rPr>
          <w:b/>
          <w:bCs/>
        </w:rPr>
        <w:fldChar w:fldCharType="separate"/>
      </w:r>
      <w:r w:rsidR="00F96AB4">
        <w:rPr>
          <w:lang w:val="en-GB"/>
        </w:rPr>
        <w:t>Error! Reference source not found.</w:t>
      </w:r>
      <w:r w:rsidRPr="0094250A">
        <w:rPr>
          <w:b/>
          <w:bCs/>
        </w:rPr>
        <w:fldChar w:fldCharType="end"/>
      </w:r>
      <w:r>
        <w:t xml:space="preserve"> for a list of the individual items in each </w:t>
      </w:r>
      <w:r w:rsidR="00B81AD7">
        <w:t>f</w:t>
      </w:r>
      <w:r>
        <w:t xml:space="preserve">ocus </w:t>
      </w:r>
      <w:r w:rsidR="00B81AD7">
        <w:t>a</w:t>
      </w:r>
      <w:r>
        <w:t xml:space="preserve">rea and all survey items on the </w:t>
      </w:r>
      <w:r w:rsidRPr="0042200F">
        <w:t xml:space="preserve">QILT </w:t>
      </w:r>
      <w:r w:rsidR="00262E71">
        <w:t>w</w:t>
      </w:r>
      <w:r w:rsidRPr="0042200F">
        <w:t>ebs</w:t>
      </w:r>
      <w:bookmarkStart w:id="13" w:name="_Hlt205368276"/>
      <w:bookmarkStart w:id="14" w:name="_Hlt205368277"/>
      <w:r w:rsidRPr="0042200F">
        <w:t>i</w:t>
      </w:r>
      <w:bookmarkEnd w:id="13"/>
      <w:bookmarkEnd w:id="14"/>
      <w:r w:rsidRPr="0042200F">
        <w:t>te</w:t>
      </w:r>
      <w:r w:rsidR="0042200F">
        <w:t xml:space="preserve">: </w:t>
      </w:r>
      <w:hyperlink r:id="rId11" w:history="1">
        <w:r w:rsidR="0042200F" w:rsidRPr="0042200F">
          <w:rPr>
            <w:rStyle w:val="Hyperlink"/>
          </w:rPr>
          <w:t>Student Experience Questionnaire (SEQ)</w:t>
        </w:r>
      </w:hyperlink>
      <w:r w:rsidR="005716DB">
        <w:t>)</w:t>
      </w:r>
      <w:r>
        <w:t>.</w:t>
      </w:r>
    </w:p>
    <w:p w14:paraId="53F5B2C2" w14:textId="77777777" w:rsidR="00AF230A" w:rsidRDefault="00AF230A" w:rsidP="00AF230A">
      <w:pPr>
        <w:pStyle w:val="Body"/>
      </w:pPr>
      <w:r>
        <w:t>Each focus area consists of related survey items that collect student feedback. Ratings are classified as positive or negative based on responses to the underlying items, with scores representing the proportion of students who responded positively.</w:t>
      </w:r>
    </w:p>
    <w:p w14:paraId="5EB70932" w14:textId="77777777" w:rsidR="00C775DE" w:rsidRDefault="00AF230A" w:rsidP="00AF230A">
      <w:pPr>
        <w:pStyle w:val="Body"/>
      </w:pPr>
      <w:r>
        <w:t>Originally developed as the University Experience Survey (UES) in 2011, the SES was renamed in 2015 to include non-university higher education institutions (NUHEIs). Initially focused on undergraduates, the survey expanded to include postgraduate coursework students in 2017.</w:t>
      </w:r>
      <w:r w:rsidR="00503848">
        <w:t xml:space="preserve"> </w:t>
      </w:r>
    </w:p>
    <w:p w14:paraId="50FEEF7A" w14:textId="0B3841A9" w:rsidR="00AF230A" w:rsidRDefault="00AF230A" w:rsidP="00AF230A">
      <w:pPr>
        <w:pStyle w:val="Body"/>
      </w:pPr>
      <w:r>
        <w:t xml:space="preserve">From 2014 to 2019, the survey remained largely unchanged, with minor wording adjustments. In 2020, </w:t>
      </w:r>
      <w:r w:rsidR="00503848">
        <w:t>the</w:t>
      </w:r>
      <w:r>
        <w:t xml:space="preserve"> international student module was added to measure broader aspects of their experience</w:t>
      </w:r>
      <w:r w:rsidR="008D6521">
        <w:t>. I</w:t>
      </w:r>
      <w:r w:rsidR="00566A5B">
        <w:t xml:space="preserve">n </w:t>
      </w:r>
      <w:r>
        <w:t>2021, items on freedom of expression were included.</w:t>
      </w:r>
    </w:p>
    <w:p w14:paraId="443F24E7" w14:textId="77777777" w:rsidR="00F632A0" w:rsidRDefault="00F632A0" w:rsidP="00F632A0">
      <w:pPr>
        <w:pStyle w:val="Body"/>
      </w:pPr>
      <w:r>
        <w:t>A 2022 review led to several changes in the 2023 SES, including renaming focus areas: Learner Engagement to Peer Engagement, and Student Support to Student Support and Services. The Teaching Quality focus area was renamed to Teaching Quality and Engagement, and the Sense of Belonging item became a stand-alone measure.</w:t>
      </w:r>
    </w:p>
    <w:p w14:paraId="7802228A" w14:textId="77777777" w:rsidR="006E17A8" w:rsidRPr="00F506E0" w:rsidRDefault="006E17A8" w:rsidP="006E17A8">
      <w:pPr>
        <w:pStyle w:val="Heading2"/>
        <w:rPr>
          <w:color w:val="000000" w:themeColor="text1"/>
        </w:rPr>
      </w:pPr>
      <w:bookmarkStart w:id="15" w:name="_Toc195645853"/>
      <w:bookmarkStart w:id="16" w:name="_Toc206692262"/>
      <w:r w:rsidRPr="00F506E0">
        <w:rPr>
          <w:color w:val="000000" w:themeColor="text1"/>
        </w:rPr>
        <w:t>Participation in the 2024 SES</w:t>
      </w:r>
      <w:bookmarkEnd w:id="15"/>
      <w:bookmarkEnd w:id="16"/>
    </w:p>
    <w:p w14:paraId="426DF31E" w14:textId="2261E673" w:rsidR="001A6C13" w:rsidRDefault="00423413" w:rsidP="00043E78">
      <w:pPr>
        <w:pStyle w:val="Body"/>
      </w:pPr>
      <w:r>
        <w:t xml:space="preserve">In 2024, </w:t>
      </w:r>
      <w:r w:rsidR="00170A73">
        <w:t xml:space="preserve">of the </w:t>
      </w:r>
      <w:r>
        <w:t xml:space="preserve">149 higher education institutions participated in the SES, </w:t>
      </w:r>
      <w:r w:rsidR="00170A73">
        <w:t>139</w:t>
      </w:r>
      <w:r w:rsidR="00E130C7">
        <w:t xml:space="preserve"> had </w:t>
      </w:r>
      <w:r w:rsidR="000721A6">
        <w:t>international respondents</w:t>
      </w:r>
      <w:r w:rsidR="00D51965">
        <w:t>—</w:t>
      </w:r>
      <w:r>
        <w:t xml:space="preserve">including 42 universities and </w:t>
      </w:r>
      <w:r w:rsidR="000721A6">
        <w:t>9</w:t>
      </w:r>
      <w:r>
        <w:t>7 NUHEIs</w:t>
      </w:r>
      <w:r w:rsidR="00052D6E">
        <w:t>—</w:t>
      </w:r>
      <w:r>
        <w:t>up from 1</w:t>
      </w:r>
      <w:r w:rsidR="007841BA">
        <w:t>34</w:t>
      </w:r>
      <w:r>
        <w:t xml:space="preserve"> in 2023 and 1</w:t>
      </w:r>
      <w:r w:rsidR="007841BA">
        <w:t>2</w:t>
      </w:r>
      <w:r w:rsidR="00BE0372">
        <w:t>9</w:t>
      </w:r>
      <w:r>
        <w:t xml:space="preserve"> in 2022. The survey included commencing and later-year, onshore, undergraduate, and postgraduate coursework students.</w:t>
      </w:r>
      <w:r w:rsidR="00F12A0E">
        <w:t xml:space="preserve"> </w:t>
      </w:r>
      <w:r w:rsidR="00915D9F" w:rsidRPr="008F076F">
        <w:t>A</w:t>
      </w:r>
      <w:r w:rsidR="00C50513" w:rsidRPr="008F076F">
        <w:t>ll 42 universities and 9</w:t>
      </w:r>
      <w:r w:rsidR="002E4DBF" w:rsidRPr="008F076F">
        <w:t>7</w:t>
      </w:r>
      <w:r w:rsidR="00C50513" w:rsidRPr="008F076F">
        <w:t xml:space="preserve"> NUHEIs</w:t>
      </w:r>
      <w:r w:rsidR="00915D9F" w:rsidRPr="008F076F">
        <w:t xml:space="preserve"> had</w:t>
      </w:r>
      <w:r w:rsidR="00C50513" w:rsidRPr="008F076F">
        <w:t xml:space="preserve"> responses from international students, representing </w:t>
      </w:r>
      <w:r w:rsidR="002F4BBD" w:rsidRPr="008F076F">
        <w:t xml:space="preserve">90,378 responses </w:t>
      </w:r>
      <w:r w:rsidR="002F4BBD">
        <w:t xml:space="preserve">at the course level (89,668 responses at the student level) </w:t>
      </w:r>
      <w:r w:rsidR="00043E78" w:rsidRPr="008F076F">
        <w:t xml:space="preserve">and a </w:t>
      </w:r>
      <w:r w:rsidR="00043E78" w:rsidRPr="00A04D18">
        <w:t>response rate of 37.5 per cent.</w:t>
      </w:r>
    </w:p>
    <w:p w14:paraId="5D33F0CD" w14:textId="77777777" w:rsidR="001A6C13" w:rsidRDefault="001A6C13">
      <w:pPr>
        <w:spacing w:after="160" w:line="259" w:lineRule="auto"/>
        <w:rPr>
          <w:rFonts w:eastAsia="Times New Roman" w:cs="Times New Roman"/>
          <w:szCs w:val="20"/>
        </w:rPr>
      </w:pPr>
      <w:r>
        <w:br w:type="page"/>
      </w:r>
    </w:p>
    <w:p w14:paraId="49E22583" w14:textId="77777777" w:rsidR="00043E78" w:rsidRDefault="00043E78" w:rsidP="00043E78">
      <w:pPr>
        <w:pStyle w:val="Body"/>
      </w:pPr>
    </w:p>
    <w:p w14:paraId="2623FD1E" w14:textId="77777777" w:rsidR="00043E78" w:rsidRPr="00D732FB" w:rsidRDefault="00043E78" w:rsidP="00EC55A5">
      <w:pPr>
        <w:pStyle w:val="Body"/>
        <w:pBdr>
          <w:top w:val="single" w:sz="4" w:space="1" w:color="auto"/>
          <w:left w:val="single" w:sz="4" w:space="4" w:color="auto"/>
          <w:bottom w:val="single" w:sz="4" w:space="1" w:color="auto"/>
          <w:right w:val="single" w:sz="4" w:space="1" w:color="auto"/>
        </w:pBdr>
        <w:rPr>
          <w:b/>
          <w:bCs/>
        </w:rPr>
      </w:pPr>
      <w:r w:rsidRPr="00D732FB">
        <w:rPr>
          <w:b/>
          <w:bCs/>
        </w:rPr>
        <w:t>2024 Participation</w:t>
      </w:r>
    </w:p>
    <w:p w14:paraId="4DB22EA1" w14:textId="77777777" w:rsidR="00043E78" w:rsidRDefault="00043E78" w:rsidP="00EC55A5">
      <w:pPr>
        <w:pStyle w:val="Body"/>
        <w:pBdr>
          <w:top w:val="single" w:sz="4" w:space="1" w:color="auto"/>
          <w:left w:val="single" w:sz="4" w:space="4" w:color="auto"/>
          <w:bottom w:val="single" w:sz="4" w:space="1" w:color="auto"/>
          <w:right w:val="single" w:sz="4" w:space="1" w:color="auto"/>
        </w:pBdr>
      </w:pPr>
      <w:r>
        <w:t>139 participating institutions</w:t>
      </w:r>
    </w:p>
    <w:p w14:paraId="47B3C24F" w14:textId="77777777" w:rsidR="00043E78" w:rsidRDefault="00043E78" w:rsidP="00EC55A5">
      <w:pPr>
        <w:pStyle w:val="Body"/>
        <w:pBdr>
          <w:top w:val="single" w:sz="4" w:space="1" w:color="auto"/>
          <w:left w:val="single" w:sz="4" w:space="4" w:color="auto"/>
          <w:bottom w:val="single" w:sz="4" w:space="1" w:color="auto"/>
          <w:right w:val="single" w:sz="4" w:space="1" w:color="auto"/>
        </w:pBdr>
      </w:pPr>
      <w:r>
        <w:t>254,590 invitations sent</w:t>
      </w:r>
    </w:p>
    <w:p w14:paraId="56323926" w14:textId="77777777" w:rsidR="00043E78" w:rsidRDefault="00043E78" w:rsidP="00EC55A5">
      <w:pPr>
        <w:pStyle w:val="Body"/>
        <w:pBdr>
          <w:top w:val="single" w:sz="4" w:space="1" w:color="auto"/>
          <w:left w:val="single" w:sz="4" w:space="4" w:color="auto"/>
          <w:bottom w:val="single" w:sz="4" w:space="1" w:color="auto"/>
          <w:right w:val="single" w:sz="4" w:space="1" w:color="auto"/>
        </w:pBdr>
      </w:pPr>
      <w:r>
        <w:t>89,668 completed surveys</w:t>
      </w:r>
    </w:p>
    <w:p w14:paraId="5FC74896" w14:textId="77777777" w:rsidR="00043E78" w:rsidRDefault="00043E78" w:rsidP="00EC55A5">
      <w:pPr>
        <w:pStyle w:val="Body"/>
        <w:pBdr>
          <w:top w:val="single" w:sz="4" w:space="1" w:color="auto"/>
          <w:left w:val="single" w:sz="4" w:space="4" w:color="auto"/>
          <w:bottom w:val="single" w:sz="4" w:space="1" w:color="auto"/>
          <w:right w:val="single" w:sz="4" w:space="1" w:color="auto"/>
        </w:pBdr>
      </w:pPr>
      <w:r>
        <w:t>37.5% response rate</w:t>
      </w:r>
    </w:p>
    <w:p w14:paraId="7393B86B" w14:textId="0BF0E7CE" w:rsidR="004346EC" w:rsidRPr="004346EC" w:rsidRDefault="004346EC" w:rsidP="004346EC">
      <w:pPr>
        <w:pStyle w:val="Body"/>
      </w:pPr>
      <w:r w:rsidRPr="004346EC">
        <w:t xml:space="preserve">The scope of the Student Experience Survey (SES) has traditionally been limited to </w:t>
      </w:r>
      <w:r w:rsidR="00E967AE">
        <w:t xml:space="preserve">include </w:t>
      </w:r>
      <w:r w:rsidR="00AA0D7F">
        <w:t xml:space="preserve">domestic and </w:t>
      </w:r>
      <w:r w:rsidRPr="004346EC">
        <w:t>international students studying onshore in Australia. However, between 2020 and 2023, this scope was broadened due to COVID-19 travel restrictions. During this period, some international students holding Temporary Entry Visas—while still classified as onshore—were physically located offshore at the time of the survey</w:t>
      </w:r>
      <w:r w:rsidR="00CF5514">
        <w:t xml:space="preserve">. These international students </w:t>
      </w:r>
      <w:r w:rsidRPr="004346EC">
        <w:t>were included in the survey population.</w:t>
      </w:r>
    </w:p>
    <w:p w14:paraId="57A77964" w14:textId="44B48533" w:rsidR="00811EDA" w:rsidRPr="004346EC" w:rsidRDefault="00811EDA" w:rsidP="004346EC">
      <w:pPr>
        <w:pStyle w:val="Body"/>
      </w:pPr>
      <w:r w:rsidRPr="00811EDA">
        <w:t>In 2024, with the end of pandemic-related travel restrictions, the SES returned to its original scope, focusing once again on students l</w:t>
      </w:r>
      <w:r w:rsidR="00BF2A42">
        <w:t>iving in Australia</w:t>
      </w:r>
      <w:r w:rsidRPr="00811EDA">
        <w:t xml:space="preserve">. The proportion of international student respondents located </w:t>
      </w:r>
      <w:r w:rsidR="00A879E2">
        <w:t>overseas</w:t>
      </w:r>
      <w:r w:rsidRPr="00811EDA">
        <w:t xml:space="preserve"> at the time of the survey rose from 9.1</w:t>
      </w:r>
      <w:r w:rsidR="00E01EA1">
        <w:t xml:space="preserve"> per cent</w:t>
      </w:r>
      <w:r w:rsidRPr="00811EDA">
        <w:t xml:space="preserve"> in 2020 to 29.8</w:t>
      </w:r>
      <w:r w:rsidR="00E01EA1">
        <w:t xml:space="preserve"> </w:t>
      </w:r>
      <w:r w:rsidR="00111AE0">
        <w:t>per cent</w:t>
      </w:r>
      <w:r w:rsidRPr="00811EDA">
        <w:t xml:space="preserve"> in 2021, before declining to 8.9</w:t>
      </w:r>
      <w:r w:rsidR="00111AE0">
        <w:t xml:space="preserve"> per cent</w:t>
      </w:r>
      <w:r w:rsidRPr="00811EDA">
        <w:t xml:space="preserve"> in 2022, 3.3</w:t>
      </w:r>
      <w:r w:rsidR="00111AE0">
        <w:t xml:space="preserve"> per cent</w:t>
      </w:r>
      <w:r w:rsidRPr="00811EDA">
        <w:t xml:space="preserve"> in 2023, and </w:t>
      </w:r>
      <w:r w:rsidR="00D105CE" w:rsidRPr="007F57D1">
        <w:t>3.1 per cent in 2024</w:t>
      </w:r>
      <w:r w:rsidR="00D105CE" w:rsidRPr="007F57D1">
        <w:rPr>
          <w:rStyle w:val="FootnoteReference"/>
        </w:rPr>
        <w:footnoteReference w:id="2"/>
      </w:r>
      <w:r w:rsidR="00D105CE" w:rsidRPr="007F57D1">
        <w:t>.</w:t>
      </w:r>
      <w:r w:rsidR="00182233">
        <w:t xml:space="preserve"> </w:t>
      </w:r>
      <w:r w:rsidRPr="00811EDA">
        <w:t xml:space="preserve">Notably, international students </w:t>
      </w:r>
      <w:r w:rsidR="006E219E">
        <w:t xml:space="preserve">who were </w:t>
      </w:r>
      <w:r w:rsidR="003C1F53">
        <w:t>living overseas</w:t>
      </w:r>
      <w:r w:rsidR="006E219E">
        <w:t xml:space="preserve"> at the time of the survey, </w:t>
      </w:r>
      <w:r w:rsidRPr="00811EDA">
        <w:t>consistently rated aspects of their educational experience lower than their counterparts</w:t>
      </w:r>
      <w:r w:rsidR="006E219E">
        <w:t xml:space="preserve"> who were </w:t>
      </w:r>
      <w:r w:rsidR="003C1F53">
        <w:t>living</w:t>
      </w:r>
      <w:r w:rsidR="006E219E">
        <w:t xml:space="preserve"> in Australia</w:t>
      </w:r>
      <w:r w:rsidRPr="00811EDA">
        <w:t xml:space="preserve">. </w:t>
      </w:r>
      <w:r w:rsidR="00120498">
        <w:t>T</w:t>
      </w:r>
      <w:r w:rsidRPr="00811EDA">
        <w:t xml:space="preserve">he impact of offshore respondents on </w:t>
      </w:r>
      <w:r w:rsidR="00F867E3">
        <w:t>the ratings</w:t>
      </w:r>
      <w:r w:rsidRPr="00811EDA">
        <w:t xml:space="preserve"> was minimal </w:t>
      </w:r>
      <w:r w:rsidR="00120498">
        <w:t xml:space="preserve">in 2024 </w:t>
      </w:r>
      <w:r w:rsidRPr="00811EDA">
        <w:t xml:space="preserve">due to the small proportion of students </w:t>
      </w:r>
      <w:r w:rsidR="003C1F53">
        <w:t>living overseas</w:t>
      </w:r>
      <w:r w:rsidR="00DB1F94">
        <w:t xml:space="preserve"> compared to 2021 for example</w:t>
      </w:r>
      <w:r w:rsidRPr="00811EDA">
        <w:t>.</w:t>
      </w:r>
    </w:p>
    <w:p w14:paraId="3BBB3893" w14:textId="0870B3B0" w:rsidR="00C50513" w:rsidRDefault="00C50513" w:rsidP="00C50513">
      <w:pPr>
        <w:pStyle w:val="Body"/>
      </w:pPr>
      <w:r w:rsidRPr="009F4CF3">
        <w:t xml:space="preserve">The main online fieldwork ran from </w:t>
      </w:r>
      <w:r w:rsidR="009F4CF3" w:rsidRPr="009F4CF3">
        <w:t>30</w:t>
      </w:r>
      <w:r w:rsidRPr="009F4CF3">
        <w:t xml:space="preserve"> July to </w:t>
      </w:r>
      <w:r w:rsidR="009F4CF3" w:rsidRPr="009F4CF3">
        <w:t>1 September 2024, with a</w:t>
      </w:r>
      <w:r w:rsidRPr="009F4CF3">
        <w:t xml:space="preserve"> secondary collection from </w:t>
      </w:r>
      <w:r w:rsidR="009F4CF3" w:rsidRPr="009F4CF3">
        <w:t>10</w:t>
      </w:r>
      <w:r w:rsidRPr="009F4CF3">
        <w:t xml:space="preserve"> September to </w:t>
      </w:r>
      <w:r w:rsidR="009F4CF3" w:rsidRPr="009F4CF3">
        <w:t>13</w:t>
      </w:r>
      <w:r w:rsidRPr="009F4CF3">
        <w:t xml:space="preserve"> October </w:t>
      </w:r>
      <w:r w:rsidR="009F4CF3" w:rsidRPr="009F4CF3">
        <w:t>2024.</w:t>
      </w:r>
      <w:r w:rsidRPr="009F4CF3">
        <w:t xml:space="preserve"> </w:t>
      </w:r>
    </w:p>
    <w:p w14:paraId="3AE24521" w14:textId="716E4C53" w:rsidR="00A931B9" w:rsidRDefault="00CD4C98" w:rsidP="00DB6FF8">
      <w:pPr>
        <w:pStyle w:val="Body"/>
      </w:pPr>
      <w:r w:rsidRPr="00F72F6F">
        <w:t>In 2024, international undergraduate students made up approximately 20 per cent of all undergraduate respondents</w:t>
      </w:r>
      <w:r w:rsidR="00036972">
        <w:t>, closely aligning with their proportion in the overall undergraduate student population (20.8 per cent). T</w:t>
      </w:r>
      <w:r w:rsidRPr="00F72F6F">
        <w:t xml:space="preserve">he majority of these </w:t>
      </w:r>
      <w:r w:rsidR="00692418">
        <w:t>respondent</w:t>
      </w:r>
      <w:r w:rsidR="00692418" w:rsidRPr="00F72F6F">
        <w:t xml:space="preserve">s </w:t>
      </w:r>
      <w:r w:rsidRPr="00F72F6F">
        <w:t xml:space="preserve">were from </w:t>
      </w:r>
      <w:r w:rsidR="00F320D0">
        <w:t>5</w:t>
      </w:r>
      <w:r w:rsidRPr="00F72F6F">
        <w:t xml:space="preserve"> countries—Nepal, China (excluding </w:t>
      </w:r>
      <w:r w:rsidR="00565AF0" w:rsidRPr="00F72F6F">
        <w:t>SAR</w:t>
      </w:r>
      <w:r w:rsidRPr="00F72F6F">
        <w:t>s and Taiwan), India, Vietnam, and Malaysia—which together accounted for around 53 per cent of the cohort.</w:t>
      </w:r>
      <w:r w:rsidR="00036972">
        <w:t xml:space="preserve"> Notably</w:t>
      </w:r>
      <w:r w:rsidR="00692418" w:rsidRPr="00F86A83">
        <w:t xml:space="preserve">, </w:t>
      </w:r>
      <w:r w:rsidR="00036972">
        <w:t xml:space="preserve">while </w:t>
      </w:r>
      <w:r w:rsidR="00692418" w:rsidRPr="00F86A83">
        <w:t>students from China (excluding SARs and Taiwan) represent</w:t>
      </w:r>
      <w:r w:rsidR="00A931B9">
        <w:t>ed</w:t>
      </w:r>
      <w:r w:rsidR="00692418" w:rsidRPr="00F86A83">
        <w:t xml:space="preserve"> a larger share of the overall international </w:t>
      </w:r>
      <w:r w:rsidR="00036972">
        <w:t xml:space="preserve">undergraduate </w:t>
      </w:r>
      <w:r w:rsidR="00692418" w:rsidRPr="00F86A83">
        <w:t xml:space="preserve">student </w:t>
      </w:r>
      <w:r w:rsidR="00692418">
        <w:t>population</w:t>
      </w:r>
      <w:r w:rsidR="00692418" w:rsidRPr="00F86A83">
        <w:t xml:space="preserve"> </w:t>
      </w:r>
      <w:r w:rsidR="00036972">
        <w:t xml:space="preserve">(22.7 per cent), they </w:t>
      </w:r>
      <w:r w:rsidR="00692418" w:rsidRPr="00F86A83">
        <w:t>tend</w:t>
      </w:r>
      <w:r w:rsidR="00A931B9">
        <w:t>ed</w:t>
      </w:r>
      <w:r w:rsidR="00692418" w:rsidRPr="00F86A83">
        <w:t xml:space="preserve"> to respond to the survey at lower rates</w:t>
      </w:r>
      <w:r w:rsidR="00036972">
        <w:t xml:space="preserve"> (15.1 per cent). In contrast, </w:t>
      </w:r>
      <w:r w:rsidR="00036972" w:rsidRPr="00036972">
        <w:t>students from Nepal ma</w:t>
      </w:r>
      <w:r w:rsidR="00A931B9">
        <w:t>d</w:t>
      </w:r>
      <w:r w:rsidR="00036972" w:rsidRPr="00036972">
        <w:t>e up 13</w:t>
      </w:r>
      <w:r w:rsidR="00036972">
        <w:t>.0</w:t>
      </w:r>
      <w:r w:rsidR="00036972" w:rsidRPr="00036972">
        <w:t xml:space="preserve"> per cent of the international undergraduate population but accounted for 15.6 per cent of the survey respondents, indicating a relatively high response rate.</w:t>
      </w:r>
      <w:r w:rsidR="00036972">
        <w:t xml:space="preserve"> </w:t>
      </w:r>
    </w:p>
    <w:p w14:paraId="0C977B57" w14:textId="2874A75D" w:rsidR="007F771D" w:rsidRDefault="00036972" w:rsidP="00DB6FF8">
      <w:pPr>
        <w:pStyle w:val="Body"/>
      </w:pPr>
      <w:r w:rsidRPr="00036972">
        <w:t>In terms of study areas, international respondents were </w:t>
      </w:r>
      <w:r w:rsidR="00CD4C98" w:rsidRPr="00F72F6F">
        <w:t xml:space="preserve">concentrated in a small number of study areas, with Business and </w:t>
      </w:r>
      <w:r w:rsidR="00565AF0" w:rsidRPr="00F72F6F">
        <w:t>m</w:t>
      </w:r>
      <w:r w:rsidR="00CD4C98" w:rsidRPr="00F72F6F">
        <w:t xml:space="preserve">anagement, Computing and </w:t>
      </w:r>
      <w:r w:rsidR="00565AF0" w:rsidRPr="00F72F6F">
        <w:t>i</w:t>
      </w:r>
      <w:r w:rsidR="00CD4C98" w:rsidRPr="00F72F6F">
        <w:t xml:space="preserve">nformation </w:t>
      </w:r>
      <w:r w:rsidR="00565AF0" w:rsidRPr="00F72F6F">
        <w:t>s</w:t>
      </w:r>
      <w:r w:rsidR="00CD4C98" w:rsidRPr="00F72F6F">
        <w:t xml:space="preserve">ystems, and Nursing comprising about 53 per cent of </w:t>
      </w:r>
      <w:r w:rsidR="003B3B42">
        <w:t xml:space="preserve">responding </w:t>
      </w:r>
      <w:r w:rsidR="00CD4C98" w:rsidRPr="00F72F6F">
        <w:t xml:space="preserve">enrolments. </w:t>
      </w:r>
    </w:p>
    <w:p w14:paraId="70D28F5B" w14:textId="77777777" w:rsidR="006B7872" w:rsidRPr="006B7872" w:rsidRDefault="006B7872" w:rsidP="006B7872">
      <w:pPr>
        <w:pStyle w:val="Body"/>
      </w:pPr>
      <w:r w:rsidRPr="006B7872">
        <w:t>In 2024, ten universities accounted for roughly 37 per cent of all international undergraduate survey respondents. Monash University and the University of New South Wales contributed the highest numbers, with 1,735 and 1,453 respondents respectively. The University of New South Wales had a response share of 4.6 per cent, closely aligned with its population proportion of 5.0 per cent, indicating good representativeness. In contrast, Monash University was slightly less representative, with a response share of 5.4 per cent compared to a population proportion of 7.2 per cent.</w:t>
      </w:r>
    </w:p>
    <w:p w14:paraId="58D28626" w14:textId="66A4795B" w:rsidR="006B7872" w:rsidRPr="006B7872" w:rsidRDefault="006B7872" w:rsidP="006B7872">
      <w:pPr>
        <w:pStyle w:val="Body"/>
      </w:pPr>
      <w:r w:rsidRPr="006B7872">
        <w:t>RMIT University showed a more pronounced gap, comprising 5.0 per cent of the international undergraduate population but contributing only 2.9 per cent of respondents. These differences highlight that response rates vary across institutions, and this variability should be considered when interpreting comparative results or drawing conclusions about student experience at the institutional level.</w:t>
      </w:r>
    </w:p>
    <w:p w14:paraId="1F7155D2" w14:textId="77777777" w:rsidR="006B7872" w:rsidRPr="006B7872" w:rsidRDefault="006B7872" w:rsidP="006B7872">
      <w:pPr>
        <w:pStyle w:val="Body"/>
      </w:pPr>
      <w:r w:rsidRPr="006B7872">
        <w:t>Additionally, around 31 per cent of international undergraduate respondents were studying at NUHEIs, with Acknowledge Education being the most prominent among them.</w:t>
      </w:r>
    </w:p>
    <w:p w14:paraId="311D23AF" w14:textId="37159751" w:rsidR="009C0B86" w:rsidRPr="009C0B86" w:rsidRDefault="009C0B86" w:rsidP="009C0B86">
      <w:pPr>
        <w:pStyle w:val="Body"/>
      </w:pPr>
      <w:r w:rsidRPr="009C0B86">
        <w:t xml:space="preserve">In contrast to the undergraduate cohort, postgraduate coursework international students comprised around 58 per cent of all SES respondents in 2024, slightly above their share of the overall student population (54.8 per cent). </w:t>
      </w:r>
      <w:r w:rsidR="00F124DE">
        <w:t>The</w:t>
      </w:r>
      <w:r w:rsidRPr="009C0B86">
        <w:t xml:space="preserve"> majority </w:t>
      </w:r>
      <w:r w:rsidRPr="009C0B86">
        <w:lastRenderedPageBreak/>
        <w:t xml:space="preserve">of respondents came from </w:t>
      </w:r>
      <w:r w:rsidR="00F320D0">
        <w:t>5</w:t>
      </w:r>
      <w:r w:rsidRPr="009C0B86">
        <w:t xml:space="preserve"> countries—China (excluding SARs and Taiwan), India, Nepal, Bhutan, and the Philippines—which together represented 6</w:t>
      </w:r>
      <w:r w:rsidR="00BC2A5F">
        <w:t>3</w:t>
      </w:r>
      <w:r w:rsidR="00687742">
        <w:t>.4</w:t>
      </w:r>
      <w:r w:rsidRPr="009C0B86">
        <w:t xml:space="preserve"> per cent of </w:t>
      </w:r>
      <w:r w:rsidR="00BC2A5F">
        <w:t>respondents</w:t>
      </w:r>
      <w:r w:rsidRPr="009C0B86">
        <w:t>.</w:t>
      </w:r>
    </w:p>
    <w:p w14:paraId="45EEB296" w14:textId="13571D3A" w:rsidR="009C0B86" w:rsidRPr="009C0B86" w:rsidRDefault="0072349C" w:rsidP="009C0B86">
      <w:pPr>
        <w:pStyle w:val="Body"/>
      </w:pPr>
      <w:r>
        <w:t>Similar to the international undergraduate cohort, r</w:t>
      </w:r>
      <w:r w:rsidR="009C0B86" w:rsidRPr="009C0B86">
        <w:t>esponse rates</w:t>
      </w:r>
      <w:r>
        <w:t xml:space="preserve"> amongst postgraduate coursework students </w:t>
      </w:r>
      <w:r w:rsidR="009C0B86" w:rsidRPr="009C0B86">
        <w:t xml:space="preserve">varied across </w:t>
      </w:r>
      <w:r>
        <w:t xml:space="preserve">source </w:t>
      </w:r>
      <w:r w:rsidR="009C0B86" w:rsidRPr="009C0B86">
        <w:t>countries.</w:t>
      </w:r>
      <w:r w:rsidR="00BC4EA0">
        <w:t xml:space="preserve"> </w:t>
      </w:r>
      <w:r w:rsidR="009C0B86" w:rsidRPr="009C0B86">
        <w:t>Students from China</w:t>
      </w:r>
      <w:r w:rsidR="00BC4EA0">
        <w:t xml:space="preserve"> (</w:t>
      </w:r>
      <w:r w:rsidR="00BC4EA0" w:rsidRPr="009C0B86">
        <w:t>excluding SARs and Taiwan)</w:t>
      </w:r>
      <w:r w:rsidR="009C0B86" w:rsidRPr="009C0B86">
        <w:t xml:space="preserve"> were again underrepresented, making up 32</w:t>
      </w:r>
      <w:r w:rsidR="00BC4EA0">
        <w:t xml:space="preserve">.0 </w:t>
      </w:r>
      <w:r w:rsidR="009C0B86" w:rsidRPr="009C0B86">
        <w:t>per cent of the postgraduate coursework international student population but only 23.4 per cent of respondents. In contrast, students from Bhutan accounted for just 4.3 per cent of the population but contributed 7.4 per cent of responses, indicating a relatively high response rate. These differences in response patterns should be considered when interpreting country-level insights.</w:t>
      </w:r>
    </w:p>
    <w:p w14:paraId="3B2D712D" w14:textId="32DE5E62" w:rsidR="00CE64CB" w:rsidRDefault="00BC4EA0" w:rsidP="00DB6FF8">
      <w:pPr>
        <w:pStyle w:val="Body"/>
      </w:pPr>
      <w:r w:rsidRPr="00BC4EA0">
        <w:t xml:space="preserve">International postgraduate coursework students were primarily enrolled in Business and </w:t>
      </w:r>
      <w:r w:rsidR="001A6E2B">
        <w:t>m</w:t>
      </w:r>
      <w:r w:rsidRPr="00BC4EA0">
        <w:t xml:space="preserve">anagement, Computing and </w:t>
      </w:r>
      <w:r w:rsidR="001A6E2B">
        <w:t>i</w:t>
      </w:r>
      <w:r w:rsidRPr="00BC4EA0">
        <w:t xml:space="preserve">nformation </w:t>
      </w:r>
      <w:r w:rsidR="001A6E2B">
        <w:t>s</w:t>
      </w:r>
      <w:r w:rsidRPr="00BC4EA0">
        <w:t xml:space="preserve">ystems, Engineering, and Teacher </w:t>
      </w:r>
      <w:r w:rsidR="00814A50">
        <w:t>e</w:t>
      </w:r>
      <w:r w:rsidRPr="00BC4EA0">
        <w:t>ducation—about 71 per cent of the respondents were enrolled in these study areas. This concentration may influence the overall findings, as experiences can vary significantly across disciplines.</w:t>
      </w:r>
      <w:r w:rsidR="00C74B6F" w:rsidRPr="00F72F6F">
        <w:t xml:space="preserve"> </w:t>
      </w:r>
    </w:p>
    <w:p w14:paraId="69CC6DFB" w14:textId="0FE18B94" w:rsidR="00C74B6F" w:rsidRPr="00DB6FF8" w:rsidRDefault="0072349C" w:rsidP="00DB6FF8">
      <w:pPr>
        <w:pStyle w:val="Body"/>
      </w:pPr>
      <w:r w:rsidRPr="0072349C">
        <w:t xml:space="preserve">Ten institutions accounted for approximately 45 per cent of international postgraduate coursework respondents, with the University of Melbourne and the University of New South Wales having the largest shares. The University of Melbourne was slightly overrepresented, contributing 7.5 per cent of respondents compared to its population share of 6.8 per cent. </w:t>
      </w:r>
      <w:r w:rsidR="00687742">
        <w:t>Conversely</w:t>
      </w:r>
      <w:r w:rsidRPr="0072349C">
        <w:t>, the University of New South Wales was slightly underrepresented, with 5.9 per cent of respondents against a population share of 6.6 per cent.</w:t>
      </w:r>
      <w:r>
        <w:t xml:space="preserve"> </w:t>
      </w:r>
      <w:r w:rsidR="00687742" w:rsidRPr="00687742">
        <w:t>Notably, the University of Sydney had the highest share of the in-scope population at 7.1 per cent, yet only 4.7 per cent of respondents.</w:t>
      </w:r>
      <w:r w:rsidR="00687742">
        <w:t xml:space="preserve"> Additionally, a</w:t>
      </w:r>
      <w:r w:rsidR="00C74B6F" w:rsidRPr="00F72F6F">
        <w:t>round 19 per cent of these students were studying at NUHEIs, with Kaplan Business School being the most prominent provider.</w:t>
      </w:r>
    </w:p>
    <w:p w14:paraId="5FD8BD22" w14:textId="77777777" w:rsidR="00762FAE" w:rsidRPr="00F506E0" w:rsidRDefault="00762FAE" w:rsidP="00762FAE">
      <w:pPr>
        <w:pStyle w:val="Heading2"/>
        <w:rPr>
          <w:color w:val="000000" w:themeColor="text1"/>
        </w:rPr>
      </w:pPr>
      <w:bookmarkStart w:id="17" w:name="_Toc195645854"/>
      <w:bookmarkStart w:id="18" w:name="_Toc206692263"/>
      <w:r w:rsidRPr="00F506E0">
        <w:rPr>
          <w:color w:val="000000" w:themeColor="text1"/>
        </w:rPr>
        <w:t>About this report</w:t>
      </w:r>
      <w:bookmarkEnd w:id="17"/>
      <w:bookmarkEnd w:id="18"/>
    </w:p>
    <w:p w14:paraId="0C3EB3AF" w14:textId="77777777" w:rsidR="00F3214F" w:rsidRDefault="002842F0" w:rsidP="00762FAE">
      <w:pPr>
        <w:pStyle w:val="Body"/>
      </w:pPr>
      <w:r w:rsidRPr="00277582">
        <w:t xml:space="preserve">The </w:t>
      </w:r>
      <w:r>
        <w:t>SES I</w:t>
      </w:r>
      <w:r w:rsidRPr="00277582">
        <w:t xml:space="preserve">nternational </w:t>
      </w:r>
      <w:r>
        <w:t>R</w:t>
      </w:r>
      <w:r w:rsidRPr="00277582">
        <w:t xml:space="preserve">eport complements the </w:t>
      </w:r>
      <w:r>
        <w:t>SES N</w:t>
      </w:r>
      <w:r w:rsidRPr="00277582">
        <w:t xml:space="preserve">ational </w:t>
      </w:r>
      <w:r>
        <w:t>R</w:t>
      </w:r>
      <w:r w:rsidRPr="00277582">
        <w:t>eport by providing a focused analysis of international students' experiences</w:t>
      </w:r>
      <w:r>
        <w:t xml:space="preserve">. </w:t>
      </w:r>
    </w:p>
    <w:p w14:paraId="18DCB75E" w14:textId="7BFA151F" w:rsidR="00762FAE" w:rsidRDefault="002842F0" w:rsidP="00762FAE">
      <w:pPr>
        <w:pStyle w:val="Body"/>
      </w:pPr>
      <w:r>
        <w:t>Similar to the SES National report, t</w:t>
      </w:r>
      <w:r w:rsidR="00762FAE">
        <w:t xml:space="preserve">his report </w:t>
      </w:r>
      <w:r w:rsidR="00D830D2">
        <w:t>places particular emphasis on</w:t>
      </w:r>
      <w:r w:rsidR="00762FAE">
        <w:t xml:space="preserve"> the </w:t>
      </w:r>
      <w:r w:rsidR="00366C0A">
        <w:t>Overall Educational Experience</w:t>
      </w:r>
      <w:r w:rsidR="009F6480">
        <w:t xml:space="preserve">, </w:t>
      </w:r>
      <w:r w:rsidR="00762FAE">
        <w:t xml:space="preserve">a stand-alone single item </w:t>
      </w:r>
      <w:r w:rsidR="00FD2501">
        <w:t xml:space="preserve">in the survey </w:t>
      </w:r>
      <w:r w:rsidR="00243E72">
        <w:t xml:space="preserve">that is </w:t>
      </w:r>
      <w:r w:rsidR="00762FAE">
        <w:t xml:space="preserve">strongly associated with student ratings of Teaching Quality and Engagement, </w:t>
      </w:r>
      <w:r w:rsidR="00243E72">
        <w:t>and</w:t>
      </w:r>
      <w:r w:rsidR="00762FAE">
        <w:t xml:space="preserve"> Skills Development. It is also closely related to elements outside the focus areas, such as students' Sense of Belonging.</w:t>
      </w:r>
    </w:p>
    <w:p w14:paraId="667347D8" w14:textId="54542AA1" w:rsidR="00762FAE" w:rsidRDefault="00762FAE" w:rsidP="00762FAE">
      <w:pPr>
        <w:pStyle w:val="Body"/>
      </w:pPr>
      <w:r>
        <w:t xml:space="preserve">Section 2 provides an overview of SES results since 2017, including </w:t>
      </w:r>
      <w:r w:rsidR="00067BB3">
        <w:t>comparison</w:t>
      </w:r>
      <w:r w:rsidR="00977E65">
        <w:t xml:space="preserve"> between international and domestic students</w:t>
      </w:r>
      <w:r>
        <w:t xml:space="preserve">, </w:t>
      </w:r>
      <w:r w:rsidR="003067E1">
        <w:t>as well as</w:t>
      </w:r>
      <w:r w:rsidR="00DD2ED2">
        <w:t xml:space="preserve"> </w:t>
      </w:r>
      <w:r w:rsidR="008F15D2">
        <w:t>high-level</w:t>
      </w:r>
      <w:r w:rsidR="00DD2ED2">
        <w:t xml:space="preserve"> </w:t>
      </w:r>
      <w:r w:rsidR="008F15D2">
        <w:t xml:space="preserve">2024 </w:t>
      </w:r>
      <w:r w:rsidR="00DD2ED2">
        <w:t xml:space="preserve">results </w:t>
      </w:r>
      <w:r w:rsidR="007D3BAE">
        <w:t>across source countries</w:t>
      </w:r>
      <w:r w:rsidR="003E55C9">
        <w:rPr>
          <w:rStyle w:val="FootnoteReference"/>
        </w:rPr>
        <w:footnoteReference w:id="3"/>
      </w:r>
      <w:r w:rsidR="007D3BAE">
        <w:t xml:space="preserve">, </w:t>
      </w:r>
      <w:r>
        <w:t>study areas, and institutions. Detailed results are available in the accompanying tables and Power BI reports on the QILT website.</w:t>
      </w:r>
    </w:p>
    <w:p w14:paraId="6F981A3C" w14:textId="48EF6353" w:rsidR="00762FAE" w:rsidRDefault="00762FAE" w:rsidP="00762FAE">
      <w:pPr>
        <w:pStyle w:val="Body"/>
      </w:pPr>
      <w:r>
        <w:t xml:space="preserve">Section 3 explores </w:t>
      </w:r>
      <w:r w:rsidR="008B4DD6">
        <w:t>additional dimensions</w:t>
      </w:r>
      <w:r>
        <w:t xml:space="preserve"> of the </w:t>
      </w:r>
      <w:r w:rsidR="008B4DD6">
        <w:t xml:space="preserve">international </w:t>
      </w:r>
      <w:r>
        <w:t>student experience, including sense of belonging</w:t>
      </w:r>
      <w:r w:rsidR="00AE22D9">
        <w:t xml:space="preserve"> </w:t>
      </w:r>
      <w:r w:rsidR="00B7384D">
        <w:t>and likelihood</w:t>
      </w:r>
      <w:r>
        <w:t xml:space="preserve"> of considering leaving the institution.</w:t>
      </w:r>
    </w:p>
    <w:p w14:paraId="1348B681" w14:textId="44AA4628" w:rsidR="00B7384D" w:rsidRDefault="00B7384D" w:rsidP="00762FAE">
      <w:pPr>
        <w:pStyle w:val="Body"/>
      </w:pPr>
      <w:r>
        <w:t xml:space="preserve">Section 4 </w:t>
      </w:r>
      <w:r w:rsidR="005A04D1" w:rsidRPr="005A04D1">
        <w:t xml:space="preserve">examines the living experience of international students in Australia, with a focus on accommodation </w:t>
      </w:r>
      <w:r w:rsidR="0086378D">
        <w:t xml:space="preserve">experience </w:t>
      </w:r>
      <w:r w:rsidR="005A04D1" w:rsidRPr="005A04D1">
        <w:t>and the use of education agents</w:t>
      </w:r>
      <w:r w:rsidR="0086378D">
        <w:t xml:space="preserve"> to assist with visa applications and </w:t>
      </w:r>
      <w:r w:rsidR="00FA1004">
        <w:t>enrolment processes</w:t>
      </w:r>
      <w:r w:rsidR="005A04D1" w:rsidRPr="005A04D1">
        <w:t>.</w:t>
      </w:r>
    </w:p>
    <w:p w14:paraId="739E2FE5" w14:textId="7C4ACF39" w:rsidR="00FA738E" w:rsidRPr="00715648" w:rsidRDefault="00FA738E" w:rsidP="00762FAE">
      <w:pPr>
        <w:pStyle w:val="Body"/>
      </w:pPr>
      <w:r>
        <w:t xml:space="preserve">Section 5 </w:t>
      </w:r>
      <w:r w:rsidR="00554BCF" w:rsidRPr="00715648">
        <w:t>outlines the key factors influencing international students’ decisions to study in Australia and choose their institution. It highlights motivations such as education quality, career prospects, lifestyle, and institutional reputation</w:t>
      </w:r>
      <w:r w:rsidR="00715648" w:rsidRPr="00715648">
        <w:t xml:space="preserve">. </w:t>
      </w:r>
    </w:p>
    <w:p w14:paraId="393357CC" w14:textId="77777777" w:rsidR="00762FAE" w:rsidRDefault="00762FAE" w:rsidP="00762FAE">
      <w:pPr>
        <w:pStyle w:val="Body"/>
      </w:pPr>
      <w:r w:rsidRPr="000A2462">
        <w:t>Methodological information previously</w:t>
      </w:r>
      <w:r w:rsidRPr="002C38F9">
        <w:t xml:space="preserve"> included in Appendix 1 of earlier reports is </w:t>
      </w:r>
      <w:r w:rsidRPr="000A2462">
        <w:t>now available in the</w:t>
      </w:r>
      <w:r w:rsidRPr="00F506E0">
        <w:t xml:space="preserve"> 2024 SES Methodological Report. Additional</w:t>
      </w:r>
      <w:r w:rsidRPr="000A2462">
        <w:t xml:space="preserve"> technical details—such as the </w:t>
      </w:r>
      <w:r>
        <w:t>SEQ items</w:t>
      </w:r>
      <w:r w:rsidRPr="000A2462">
        <w:t xml:space="preserve">, </w:t>
      </w:r>
      <w:r>
        <w:t xml:space="preserve">the construction of </w:t>
      </w:r>
      <w:r w:rsidRPr="000A2462">
        <w:t>focus area scores and confidence intervals</w:t>
      </w:r>
      <w:r>
        <w:t>, and the study area concordance</w:t>
      </w:r>
      <w:r w:rsidRPr="000A2462">
        <w:t>—can be found on the</w:t>
      </w:r>
      <w:r>
        <w:t xml:space="preserve"> </w:t>
      </w:r>
      <w:hyperlink r:id="rId12" w:history="1">
        <w:r>
          <w:rPr>
            <w:rStyle w:val="Hyperlink"/>
          </w:rPr>
          <w:t>QILT website</w:t>
        </w:r>
      </w:hyperlink>
      <w:r w:rsidRPr="000A2462">
        <w:t>, rather than</w:t>
      </w:r>
      <w:r w:rsidRPr="002C38F9">
        <w:t xml:space="preserve"> in the </w:t>
      </w:r>
      <w:r w:rsidRPr="000A2462">
        <w:t>appendices as in past reports</w:t>
      </w:r>
      <w:r>
        <w:t>.</w:t>
      </w:r>
    </w:p>
    <w:p w14:paraId="74F6B064" w14:textId="09AEBA09" w:rsidR="00C50513" w:rsidRPr="00F506E0" w:rsidRDefault="00C50513" w:rsidP="004F14AB">
      <w:pPr>
        <w:pStyle w:val="Heading2"/>
        <w:rPr>
          <w:color w:val="000000" w:themeColor="text1"/>
          <w:lang w:val="en-GB"/>
        </w:rPr>
      </w:pPr>
      <w:bookmarkStart w:id="19" w:name="_Toc169679784"/>
      <w:bookmarkStart w:id="20" w:name="_Toc206692264"/>
      <w:r w:rsidRPr="00F506E0">
        <w:rPr>
          <w:color w:val="000000" w:themeColor="text1"/>
          <w:lang w:val="en-GB"/>
        </w:rPr>
        <w:lastRenderedPageBreak/>
        <w:t>Changes to the international student experience since 2019</w:t>
      </w:r>
      <w:bookmarkEnd w:id="19"/>
      <w:bookmarkEnd w:id="20"/>
    </w:p>
    <w:p w14:paraId="36D9DDB2" w14:textId="29B1E62E" w:rsidR="00C50513" w:rsidRPr="00FD3A64" w:rsidRDefault="0025634E" w:rsidP="0025634E">
      <w:pPr>
        <w:pStyle w:val="Body"/>
      </w:pPr>
      <w:r w:rsidRPr="0025634E">
        <w:t>The COVID-19 pandemic brought major disruptions to higher education</w:t>
      </w:r>
      <w:r w:rsidR="006925F1">
        <w:t xml:space="preserve"> in Australia</w:t>
      </w:r>
      <w:r w:rsidRPr="0025634E">
        <w:t xml:space="preserve">, particularly for international students. Institutions rapidly shifted to online learning and adapted their teaching, resources, and student support in response to evolving restrictions. International students faced additional challenges, including travel bans, financial hardship, and the isolation of studying online—whether in Australia or overseas. </w:t>
      </w:r>
      <w:r w:rsidR="002E6453">
        <w:t>Although the primary focus is on the 2024 results, t</w:t>
      </w:r>
      <w:r w:rsidRPr="0025634E">
        <w:t>h</w:t>
      </w:r>
      <w:r w:rsidR="00ED6F3A">
        <w:t>is re</w:t>
      </w:r>
      <w:r w:rsidRPr="0025634E">
        <w:t xml:space="preserve">port </w:t>
      </w:r>
      <w:r w:rsidR="002E6453">
        <w:t xml:space="preserve">also </w:t>
      </w:r>
      <w:r w:rsidRPr="0025634E">
        <w:t xml:space="preserve">presents </w:t>
      </w:r>
      <w:r w:rsidR="00FD3A64" w:rsidRPr="00FD3A64">
        <w:t>trends in international students’ ratings from 2017 to 2024, capturing both the impact of the COVID-19 period and the subsequent recovery in the years that followed.</w:t>
      </w:r>
    </w:p>
    <w:p w14:paraId="4DCE1117" w14:textId="1DE492BC" w:rsidR="007B6936" w:rsidRPr="00F506E0" w:rsidRDefault="00BD3574" w:rsidP="006E281C">
      <w:pPr>
        <w:pStyle w:val="Body"/>
        <w:rPr>
          <w:color w:val="000000" w:themeColor="text1"/>
        </w:rPr>
      </w:pPr>
      <w:r w:rsidRPr="00BD3574">
        <w:t>It is important to note that the proportion of international to domestic student respondents has shifted over time (</w:t>
      </w:r>
      <w:r w:rsidR="004C10DC" w:rsidRPr="003D51EF">
        <w:rPr>
          <w:b/>
          <w:bCs/>
        </w:rPr>
        <w:fldChar w:fldCharType="begin"/>
      </w:r>
      <w:r w:rsidR="004C10DC" w:rsidRPr="003D51EF">
        <w:rPr>
          <w:b/>
          <w:bCs/>
        </w:rPr>
        <w:instrText xml:space="preserve"> REF _Ref197075412 \h </w:instrText>
      </w:r>
      <w:r w:rsidR="003D51EF" w:rsidRPr="003D51EF">
        <w:rPr>
          <w:b/>
          <w:bCs/>
        </w:rPr>
        <w:instrText xml:space="preserve"> \* MERGEFORMAT </w:instrText>
      </w:r>
      <w:r w:rsidR="004C10DC" w:rsidRPr="003D51EF">
        <w:rPr>
          <w:b/>
          <w:bCs/>
        </w:rPr>
      </w:r>
      <w:r w:rsidR="004C10DC" w:rsidRPr="003D51EF">
        <w:rPr>
          <w:b/>
          <w:bCs/>
        </w:rPr>
        <w:fldChar w:fldCharType="separate"/>
      </w:r>
      <w:r w:rsidR="00F96AB4" w:rsidRPr="00F96AB4">
        <w:rPr>
          <w:rFonts w:cs="Arial"/>
          <w:b/>
          <w:bCs/>
          <w:lang w:eastAsia="en-AU"/>
        </w:rPr>
        <w:t xml:space="preserve">Figure </w:t>
      </w:r>
      <w:r w:rsidR="00F96AB4" w:rsidRPr="00F96AB4">
        <w:rPr>
          <w:rFonts w:cs="Arial"/>
          <w:b/>
          <w:bCs/>
          <w:noProof/>
          <w:lang w:eastAsia="en-AU"/>
        </w:rPr>
        <w:t>1</w:t>
      </w:r>
      <w:r w:rsidR="004C10DC" w:rsidRPr="003D51EF">
        <w:rPr>
          <w:b/>
          <w:bCs/>
        </w:rPr>
        <w:fldChar w:fldCharType="end"/>
      </w:r>
      <w:r w:rsidRPr="00BD3574">
        <w:t>), reflecting changes in the underlying student population. The proportion of postgraduate coursework international respondents rose significantly from a six-year low of 35.7 per cent in 2022 to 58.0 per cent in 2024—the highest level recorded since 2017</w:t>
      </w:r>
      <w:r w:rsidR="00034001">
        <w:t xml:space="preserve"> and </w:t>
      </w:r>
      <w:r w:rsidR="00034001" w:rsidRPr="00034001">
        <w:t xml:space="preserve">slightly above their share of the overall </w:t>
      </w:r>
      <w:r w:rsidR="00034001" w:rsidRPr="00BD3574">
        <w:t>postgraduate coursework</w:t>
      </w:r>
      <w:r w:rsidR="00034001" w:rsidRPr="00034001">
        <w:t xml:space="preserve"> student population</w:t>
      </w:r>
      <w:r w:rsidR="00034001">
        <w:t xml:space="preserve"> in 2024</w:t>
      </w:r>
      <w:r w:rsidR="00034001" w:rsidRPr="00034001">
        <w:t xml:space="preserve"> (54.8 per cent)</w:t>
      </w:r>
      <w:r w:rsidR="00034001">
        <w:t>.</w:t>
      </w:r>
      <w:r w:rsidR="00556483">
        <w:t xml:space="preserve"> </w:t>
      </w:r>
      <w:r w:rsidR="006E281C" w:rsidRPr="00822584">
        <w:t>While the proportion of international undergraduate respondents also trended upward</w:t>
      </w:r>
      <w:r w:rsidR="00904BF1" w:rsidRPr="00822584">
        <w:t xml:space="preserve"> during this period</w:t>
      </w:r>
      <w:r w:rsidR="006E281C" w:rsidRPr="00822584">
        <w:t xml:space="preserve">, the increase was more modest, rising from </w:t>
      </w:r>
      <w:r w:rsidR="00B53646" w:rsidRPr="00822584">
        <w:t>16.1</w:t>
      </w:r>
      <w:r w:rsidR="006E281C" w:rsidRPr="00822584">
        <w:t xml:space="preserve"> per cent in 20</w:t>
      </w:r>
      <w:r w:rsidR="00465039" w:rsidRPr="00822584">
        <w:t>21</w:t>
      </w:r>
      <w:r w:rsidR="006E281C" w:rsidRPr="00822584">
        <w:t xml:space="preserve"> to 20.1 per cent in 2024, </w:t>
      </w:r>
      <w:r w:rsidR="00034001" w:rsidRPr="00034001">
        <w:t xml:space="preserve">closely aligning with their </w:t>
      </w:r>
      <w:r w:rsidR="00034001" w:rsidRPr="00F506E0">
        <w:rPr>
          <w:color w:val="000000" w:themeColor="text1"/>
        </w:rPr>
        <w:t xml:space="preserve">proportion in the overall undergraduate student population in 2024 (20.8 per cent). </w:t>
      </w:r>
    </w:p>
    <w:p w14:paraId="19D2F586" w14:textId="50466216" w:rsidR="00C80145" w:rsidRPr="00F506E0" w:rsidRDefault="00C80145" w:rsidP="00765D89">
      <w:pPr>
        <w:pStyle w:val="Caption"/>
        <w:rPr>
          <w:color w:val="000000" w:themeColor="text1"/>
        </w:rPr>
      </w:pPr>
      <w:bookmarkStart w:id="21" w:name="_Ref197075412"/>
      <w:bookmarkStart w:id="22" w:name="_Toc206692300"/>
      <w:bookmarkStart w:id="23" w:name="_Toc197077089"/>
      <w:bookmarkStart w:id="24" w:name="_Ref195569825"/>
      <w:r w:rsidRPr="00F506E0">
        <w:rPr>
          <w:color w:val="000000" w:themeColor="text1"/>
        </w:rPr>
        <w:t xml:space="preserve">Figure </w:t>
      </w:r>
      <w:r w:rsidRPr="00F506E0">
        <w:rPr>
          <w:color w:val="000000" w:themeColor="text1"/>
        </w:rPr>
        <w:fldChar w:fldCharType="begin"/>
      </w:r>
      <w:r w:rsidRPr="00F506E0">
        <w:rPr>
          <w:color w:val="000000" w:themeColor="text1"/>
        </w:rPr>
        <w:instrText xml:space="preserve"> SEQ Figure \* ARABIC </w:instrText>
      </w:r>
      <w:r w:rsidRPr="00F506E0">
        <w:rPr>
          <w:color w:val="000000" w:themeColor="text1"/>
        </w:rPr>
        <w:fldChar w:fldCharType="separate"/>
      </w:r>
      <w:r w:rsidR="00F96AB4">
        <w:rPr>
          <w:noProof/>
          <w:color w:val="000000" w:themeColor="text1"/>
        </w:rPr>
        <w:t>1</w:t>
      </w:r>
      <w:r w:rsidRPr="00F506E0">
        <w:rPr>
          <w:color w:val="000000" w:themeColor="text1"/>
        </w:rPr>
        <w:fldChar w:fldCharType="end"/>
      </w:r>
      <w:bookmarkEnd w:id="21"/>
      <w:r w:rsidRPr="00F506E0">
        <w:rPr>
          <w:color w:val="000000" w:themeColor="text1"/>
        </w:rPr>
        <w:t xml:space="preserve"> Proportion of responses to the SES from international students by course level, 2017</w:t>
      </w:r>
      <w:r w:rsidR="004C57EB" w:rsidRPr="00F506E0">
        <w:rPr>
          <w:color w:val="000000" w:themeColor="text1"/>
        </w:rPr>
        <w:t>-20</w:t>
      </w:r>
      <w:r w:rsidRPr="00F506E0">
        <w:rPr>
          <w:color w:val="000000" w:themeColor="text1"/>
        </w:rPr>
        <w:t>24</w:t>
      </w:r>
      <w:bookmarkEnd w:id="22"/>
      <w:r w:rsidRPr="00F506E0">
        <w:rPr>
          <w:color w:val="000000" w:themeColor="text1"/>
        </w:rPr>
        <w:t xml:space="preserve"> </w:t>
      </w:r>
      <w:bookmarkEnd w:id="23"/>
    </w:p>
    <w:bookmarkEnd w:id="24"/>
    <w:p w14:paraId="5C8AACA6" w14:textId="6D0395C6" w:rsidR="007213E9" w:rsidRPr="00F506E0" w:rsidRDefault="007213E9" w:rsidP="00C80145">
      <w:pPr>
        <w:spacing w:before="120" w:after="120" w:line="300" w:lineRule="auto"/>
        <w:rPr>
          <w:rFonts w:eastAsia="Times New Roman" w:cs="Times New Roman"/>
          <w:color w:val="000000" w:themeColor="text1"/>
          <w:sz w:val="18"/>
        </w:rPr>
      </w:pPr>
      <w:r>
        <w:rPr>
          <w:rFonts w:eastAsia="Times New Roman" w:cs="Times New Roman"/>
          <w:noProof/>
          <w:color w:val="000000" w:themeColor="text1"/>
          <w:sz w:val="18"/>
        </w:rPr>
        <w:drawing>
          <wp:inline distT="0" distB="0" distL="0" distR="0" wp14:anchorId="2EC79403" wp14:editId="5E689406">
            <wp:extent cx="6748780" cy="3218815"/>
            <wp:effectExtent l="0" t="0" r="0" b="635"/>
            <wp:docPr id="25994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8780" cy="3218815"/>
                    </a:xfrm>
                    <a:prstGeom prst="rect">
                      <a:avLst/>
                    </a:prstGeom>
                    <a:noFill/>
                  </pic:spPr>
                </pic:pic>
              </a:graphicData>
            </a:graphic>
          </wp:inline>
        </w:drawing>
      </w:r>
    </w:p>
    <w:p w14:paraId="279E6DA2" w14:textId="3D95C6D7" w:rsidR="00C80145" w:rsidRPr="00C80145" w:rsidRDefault="00C80145" w:rsidP="00C80145">
      <w:pPr>
        <w:spacing w:before="120" w:after="120" w:line="300" w:lineRule="auto"/>
        <w:rPr>
          <w:rFonts w:eastAsia="Times New Roman" w:cs="Times New Roman"/>
          <w:szCs w:val="20"/>
        </w:rPr>
      </w:pPr>
    </w:p>
    <w:p w14:paraId="48813F3E" w14:textId="2A2580CA" w:rsidR="00821227" w:rsidRPr="00252027" w:rsidRDefault="00821227" w:rsidP="006215D3">
      <w:pPr>
        <w:pStyle w:val="Heading1"/>
        <w:rPr>
          <w:b/>
          <w:color w:val="000000" w:themeColor="text1"/>
        </w:rPr>
      </w:pPr>
      <w:bookmarkStart w:id="25" w:name="_Toc206692265"/>
      <w:r w:rsidRPr="00252027">
        <w:rPr>
          <w:color w:val="000000" w:themeColor="text1"/>
        </w:rPr>
        <w:lastRenderedPageBreak/>
        <w:t>The international student</w:t>
      </w:r>
      <w:r w:rsidR="00620E06" w:rsidRPr="00252027">
        <w:rPr>
          <w:rStyle w:val="FootnoteReference"/>
          <w:color w:val="000000" w:themeColor="text1"/>
        </w:rPr>
        <w:footnoteReference w:id="4"/>
      </w:r>
      <w:r w:rsidRPr="00252027">
        <w:rPr>
          <w:color w:val="000000" w:themeColor="text1"/>
        </w:rPr>
        <w:t xml:space="preserve"> experience</w:t>
      </w:r>
      <w:bookmarkEnd w:id="25"/>
    </w:p>
    <w:p w14:paraId="1A1AFC55" w14:textId="7AD0D23B" w:rsidR="006311FD" w:rsidRPr="00252027" w:rsidRDefault="006311FD" w:rsidP="006311FD">
      <w:pPr>
        <w:pStyle w:val="Heading2"/>
        <w:rPr>
          <w:color w:val="000000" w:themeColor="text1"/>
        </w:rPr>
      </w:pPr>
      <w:bookmarkStart w:id="26" w:name="_Toc206692266"/>
      <w:r w:rsidRPr="00252027">
        <w:rPr>
          <w:color w:val="000000" w:themeColor="text1"/>
        </w:rPr>
        <w:t xml:space="preserve">Focus </w:t>
      </w:r>
      <w:r w:rsidR="002361AA" w:rsidRPr="00252027">
        <w:rPr>
          <w:color w:val="000000" w:themeColor="text1"/>
        </w:rPr>
        <w:t>a</w:t>
      </w:r>
      <w:r w:rsidRPr="00252027">
        <w:rPr>
          <w:color w:val="000000" w:themeColor="text1"/>
        </w:rPr>
        <w:t xml:space="preserve">reas and </w:t>
      </w:r>
      <w:r w:rsidR="00366C0A" w:rsidRPr="00252027">
        <w:rPr>
          <w:color w:val="000000" w:themeColor="text1"/>
        </w:rPr>
        <w:t>Overall Educational Experience</w:t>
      </w:r>
      <w:bookmarkEnd w:id="26"/>
    </w:p>
    <w:p w14:paraId="1B606DC0" w14:textId="345245F7" w:rsidR="001259C7" w:rsidRPr="00252027" w:rsidRDefault="00366C0A" w:rsidP="001259C7">
      <w:pPr>
        <w:pStyle w:val="Heading4"/>
        <w:rPr>
          <w:color w:val="000000" w:themeColor="text1"/>
        </w:rPr>
      </w:pPr>
      <w:r w:rsidRPr="00252027">
        <w:rPr>
          <w:color w:val="000000" w:themeColor="text1"/>
        </w:rPr>
        <w:t>Overall Educational Experience</w:t>
      </w:r>
    </w:p>
    <w:p w14:paraId="6702E59F" w14:textId="4EA2D34B" w:rsidR="00E50A67" w:rsidRDefault="001C5995" w:rsidP="00E50A67">
      <w:pPr>
        <w:pStyle w:val="Body"/>
      </w:pPr>
      <w:r w:rsidRPr="001C5995">
        <w:t xml:space="preserve">Between 2017 and 2019, international students consistently rated their </w:t>
      </w:r>
      <w:r w:rsidR="00391941">
        <w:t>O</w:t>
      </w:r>
      <w:r w:rsidRPr="001C5995">
        <w:t xml:space="preserve">verall </w:t>
      </w:r>
      <w:r w:rsidR="00391941">
        <w:t>E</w:t>
      </w:r>
      <w:r w:rsidRPr="001C5995">
        <w:t xml:space="preserve">ducation </w:t>
      </w:r>
      <w:r w:rsidR="00391941">
        <w:t>E</w:t>
      </w:r>
      <w:r w:rsidRPr="001C5995">
        <w:t>xperience in Australia positively, as student numbers continued to grow. However, in 2020, these ratings dropped sharply</w:t>
      </w:r>
      <w:r w:rsidR="0027176C">
        <w:t xml:space="preserve"> (</w:t>
      </w:r>
      <w:r w:rsidR="0027176C" w:rsidRPr="0027176C">
        <w:rPr>
          <w:b/>
          <w:bCs/>
        </w:rPr>
        <w:fldChar w:fldCharType="begin"/>
      </w:r>
      <w:r w:rsidR="0027176C" w:rsidRPr="0027176C">
        <w:rPr>
          <w:b/>
          <w:bCs/>
        </w:rPr>
        <w:instrText xml:space="preserve"> REF _Ref133591198 \h </w:instrText>
      </w:r>
      <w:r w:rsidR="0027176C">
        <w:rPr>
          <w:b/>
          <w:bCs/>
        </w:rPr>
        <w:instrText xml:space="preserve"> \* MERGEFORMAT </w:instrText>
      </w:r>
      <w:r w:rsidR="0027176C" w:rsidRPr="0027176C">
        <w:rPr>
          <w:b/>
          <w:bCs/>
        </w:rPr>
      </w:r>
      <w:r w:rsidR="0027176C" w:rsidRPr="0027176C">
        <w:rPr>
          <w:b/>
          <w:bCs/>
        </w:rPr>
        <w:fldChar w:fldCharType="separate"/>
      </w:r>
      <w:r w:rsidR="00F96AB4" w:rsidRPr="00F96AB4">
        <w:rPr>
          <w:b/>
          <w:bCs/>
        </w:rPr>
        <w:t xml:space="preserve">Figure </w:t>
      </w:r>
      <w:r w:rsidR="00F96AB4" w:rsidRPr="00F96AB4">
        <w:rPr>
          <w:b/>
          <w:bCs/>
          <w:noProof/>
        </w:rPr>
        <w:t>2</w:t>
      </w:r>
      <w:r w:rsidR="0027176C" w:rsidRPr="0027176C">
        <w:rPr>
          <w:b/>
          <w:bCs/>
        </w:rPr>
        <w:fldChar w:fldCharType="end"/>
      </w:r>
      <w:r w:rsidR="0027176C">
        <w:t xml:space="preserve"> and </w:t>
      </w:r>
      <w:r w:rsidR="0027176C" w:rsidRPr="0027176C">
        <w:rPr>
          <w:b/>
          <w:bCs/>
        </w:rPr>
        <w:fldChar w:fldCharType="begin"/>
      </w:r>
      <w:r w:rsidR="0027176C" w:rsidRPr="0027176C">
        <w:rPr>
          <w:b/>
          <w:bCs/>
        </w:rPr>
        <w:instrText xml:space="preserve"> REF _Ref169549592 \h </w:instrText>
      </w:r>
      <w:r w:rsidR="0027176C">
        <w:rPr>
          <w:b/>
          <w:bCs/>
        </w:rPr>
        <w:instrText xml:space="preserve"> \* MERGEFORMAT </w:instrText>
      </w:r>
      <w:r w:rsidR="0027176C" w:rsidRPr="0027176C">
        <w:rPr>
          <w:b/>
          <w:bCs/>
        </w:rPr>
      </w:r>
      <w:r w:rsidR="0027176C" w:rsidRPr="0027176C">
        <w:rPr>
          <w:b/>
          <w:bCs/>
        </w:rPr>
        <w:fldChar w:fldCharType="separate"/>
      </w:r>
      <w:r w:rsidR="00F96AB4" w:rsidRPr="00F96AB4">
        <w:rPr>
          <w:b/>
          <w:bCs/>
        </w:rPr>
        <w:t xml:space="preserve">Figure </w:t>
      </w:r>
      <w:r w:rsidR="00F96AB4" w:rsidRPr="00F96AB4">
        <w:rPr>
          <w:b/>
          <w:bCs/>
          <w:noProof/>
        </w:rPr>
        <w:t>3</w:t>
      </w:r>
      <w:r w:rsidR="0027176C" w:rsidRPr="0027176C">
        <w:rPr>
          <w:b/>
          <w:bCs/>
        </w:rPr>
        <w:fldChar w:fldCharType="end"/>
      </w:r>
      <w:r w:rsidR="0027176C">
        <w:rPr>
          <w:b/>
          <w:bCs/>
        </w:rPr>
        <w:t>)</w:t>
      </w:r>
      <w:r w:rsidRPr="001C5995">
        <w:t xml:space="preserve">. This decline coincided with the rapid changes </w:t>
      </w:r>
      <w:r w:rsidR="00ED67C6">
        <w:t xml:space="preserve">higher education </w:t>
      </w:r>
      <w:r w:rsidR="00DC58DD">
        <w:t>institutions</w:t>
      </w:r>
      <w:r w:rsidRPr="001C5995">
        <w:t xml:space="preserve"> had to make to teaching, learning, and student support due to the COVID-19 pandemic. </w:t>
      </w:r>
    </w:p>
    <w:p w14:paraId="2C591AC0" w14:textId="08B469C5" w:rsidR="00E50A67" w:rsidRPr="00252027" w:rsidRDefault="00E50A67" w:rsidP="00E50A67">
      <w:pPr>
        <w:pStyle w:val="Body"/>
        <w:rPr>
          <w:color w:val="000000" w:themeColor="text1"/>
        </w:rPr>
      </w:pPr>
      <w:r w:rsidRPr="00E50A67">
        <w:t xml:space="preserve">Since 2021, ratings from international undergraduate students have gradually improved, though they have not yet returned to pre-pandemic levels and have remained steady from 2022 to 2024. In contrast, international postgraduate coursework students have reported higher ratings since 2022 compared to earlier years. These ratings have remained </w:t>
      </w:r>
      <w:r w:rsidRPr="00252027">
        <w:rPr>
          <w:color w:val="000000" w:themeColor="text1"/>
        </w:rPr>
        <w:t xml:space="preserve">stable from 2022 to 2024, despite a </w:t>
      </w:r>
      <w:r w:rsidR="00186294" w:rsidRPr="00252027">
        <w:rPr>
          <w:color w:val="000000" w:themeColor="text1"/>
        </w:rPr>
        <w:t>considerable</w:t>
      </w:r>
      <w:r w:rsidRPr="00252027">
        <w:rPr>
          <w:color w:val="000000" w:themeColor="text1"/>
        </w:rPr>
        <w:t xml:space="preserve"> year-on-year increase in enrolments.</w:t>
      </w:r>
    </w:p>
    <w:p w14:paraId="6275A347" w14:textId="1FDFFDB0" w:rsidR="00DA2D40" w:rsidRPr="00252027" w:rsidRDefault="00DA2D40" w:rsidP="00AB7120">
      <w:pPr>
        <w:pStyle w:val="Heading4"/>
        <w:rPr>
          <w:color w:val="000000" w:themeColor="text1"/>
        </w:rPr>
      </w:pPr>
      <w:r w:rsidRPr="00252027">
        <w:rPr>
          <w:color w:val="000000" w:themeColor="text1"/>
        </w:rPr>
        <w:t>Skills Development</w:t>
      </w:r>
    </w:p>
    <w:p w14:paraId="525A3D44" w14:textId="6A38C365" w:rsidR="00821227" w:rsidRPr="00252027" w:rsidRDefault="007A31D2" w:rsidP="00821227">
      <w:pPr>
        <w:pStyle w:val="Body"/>
        <w:rPr>
          <w:color w:val="000000" w:themeColor="text1"/>
        </w:rPr>
      </w:pPr>
      <w:r w:rsidRPr="00252027">
        <w:rPr>
          <w:color w:val="000000" w:themeColor="text1"/>
        </w:rPr>
        <w:t xml:space="preserve">International students’ ratings of their Skills Development—at both undergraduate and postgraduate coursework levels—have improved </w:t>
      </w:r>
      <w:r w:rsidR="00EA39D4" w:rsidRPr="00252027">
        <w:rPr>
          <w:color w:val="000000" w:themeColor="text1"/>
        </w:rPr>
        <w:t>substantially</w:t>
      </w:r>
      <w:r w:rsidRPr="00252027">
        <w:rPr>
          <w:color w:val="000000" w:themeColor="text1"/>
        </w:rPr>
        <w:t xml:space="preserve"> since the low points of 2020 and 2021. While these ratings have remained stable from 2023 to 2024, they are still the highest recorded since 2017</w:t>
      </w:r>
      <w:r w:rsidR="002B1EC4" w:rsidRPr="00252027">
        <w:rPr>
          <w:color w:val="000000" w:themeColor="text1"/>
        </w:rPr>
        <w:t>.</w:t>
      </w:r>
    </w:p>
    <w:p w14:paraId="17789353" w14:textId="77777777" w:rsidR="00F23B19" w:rsidRPr="00252027" w:rsidRDefault="00F23B19" w:rsidP="0005023D">
      <w:pPr>
        <w:pStyle w:val="Heading4"/>
        <w:rPr>
          <w:color w:val="000000" w:themeColor="text1"/>
        </w:rPr>
      </w:pPr>
      <w:r w:rsidRPr="00252027">
        <w:rPr>
          <w:color w:val="000000" w:themeColor="text1"/>
        </w:rPr>
        <w:t>Peer Engagement</w:t>
      </w:r>
    </w:p>
    <w:p w14:paraId="07B88E27" w14:textId="0F7C8D37" w:rsidR="00F23B19" w:rsidRPr="00252027" w:rsidRDefault="00F23B19" w:rsidP="00F23B19">
      <w:pPr>
        <w:pStyle w:val="Body"/>
        <w:rPr>
          <w:color w:val="000000" w:themeColor="text1"/>
        </w:rPr>
      </w:pPr>
      <w:r w:rsidRPr="00252027">
        <w:rPr>
          <w:color w:val="000000" w:themeColor="text1"/>
        </w:rPr>
        <w:t xml:space="preserve">The Peer Engagement focus area was reviewed and updated in 2023, with changes made to the underlying survey items. Since the </w:t>
      </w:r>
      <w:r w:rsidR="00D3285A" w:rsidRPr="00252027">
        <w:rPr>
          <w:color w:val="000000" w:themeColor="text1"/>
        </w:rPr>
        <w:t>marked</w:t>
      </w:r>
      <w:r w:rsidRPr="00252027">
        <w:rPr>
          <w:color w:val="000000" w:themeColor="text1"/>
        </w:rPr>
        <w:t xml:space="preserve"> decline in 2020 and 2021—when many international students were studying primarily online and, in 2021, often still located overseas at the time of the survey—this </w:t>
      </w:r>
      <w:r w:rsidR="00466329" w:rsidRPr="00252027">
        <w:rPr>
          <w:color w:val="000000" w:themeColor="text1"/>
        </w:rPr>
        <w:t>f</w:t>
      </w:r>
      <w:r w:rsidRPr="00252027">
        <w:rPr>
          <w:color w:val="000000" w:themeColor="text1"/>
        </w:rPr>
        <w:t xml:space="preserve">ocus </w:t>
      </w:r>
      <w:r w:rsidR="00466329" w:rsidRPr="00252027">
        <w:rPr>
          <w:color w:val="000000" w:themeColor="text1"/>
        </w:rPr>
        <w:t>a</w:t>
      </w:r>
      <w:r w:rsidRPr="00252027">
        <w:rPr>
          <w:color w:val="000000" w:themeColor="text1"/>
        </w:rPr>
        <w:t>rea has shown year-on-year improvement for both international undergraduate and postgraduate coursework students.</w:t>
      </w:r>
    </w:p>
    <w:p w14:paraId="7D91775E" w14:textId="4025AD1E" w:rsidR="00821227" w:rsidRPr="00252027" w:rsidRDefault="00070650" w:rsidP="0005023D">
      <w:pPr>
        <w:pStyle w:val="Heading4"/>
        <w:rPr>
          <w:color w:val="000000" w:themeColor="text1"/>
        </w:rPr>
      </w:pPr>
      <w:r w:rsidRPr="00252027">
        <w:rPr>
          <w:color w:val="000000" w:themeColor="text1"/>
        </w:rPr>
        <w:t>Teaching Quality and Engagement</w:t>
      </w:r>
    </w:p>
    <w:p w14:paraId="6DAA8119" w14:textId="77777777" w:rsidR="00396AFA" w:rsidRPr="00252027" w:rsidRDefault="00396AFA" w:rsidP="00821227">
      <w:pPr>
        <w:pStyle w:val="Body"/>
        <w:rPr>
          <w:color w:val="000000" w:themeColor="text1"/>
        </w:rPr>
      </w:pPr>
      <w:r w:rsidRPr="00252027">
        <w:rPr>
          <w:color w:val="000000" w:themeColor="text1"/>
        </w:rPr>
        <w:t>For both international undergraduate and postgraduate coursework students, ratings of Teaching Quality and Engagement held steady between 2023 and 2024. Despite this stability, the ratings remain higher than in any year from 2017 to 2022.</w:t>
      </w:r>
    </w:p>
    <w:p w14:paraId="4D5E0670" w14:textId="77777777" w:rsidR="00B4415E" w:rsidRPr="00252027" w:rsidRDefault="00B4415E" w:rsidP="0005023D">
      <w:pPr>
        <w:pStyle w:val="Heading4"/>
        <w:rPr>
          <w:color w:val="000000" w:themeColor="text1"/>
        </w:rPr>
      </w:pPr>
      <w:r w:rsidRPr="00252027">
        <w:rPr>
          <w:color w:val="000000" w:themeColor="text1"/>
        </w:rPr>
        <w:t>Student Support and Services</w:t>
      </w:r>
    </w:p>
    <w:p w14:paraId="2B29D95F" w14:textId="67754DDC" w:rsidR="00B4415E" w:rsidRDefault="0076720E" w:rsidP="00B4415E">
      <w:pPr>
        <w:pStyle w:val="Body"/>
      </w:pPr>
      <w:r w:rsidRPr="0076720E">
        <w:t>The Student Support and Services focus area was also reviewed in 2023, with new survey items introduced as part of that process. For both international undergraduate and postgraduate coursework students, ratings in this area remained steady across 2023 and 2024. Both years recorded higher results than any year from 2017 to 2022, continuing the upward trend that had already been evident prior to the 2023 review and associated changes</w:t>
      </w:r>
      <w:r w:rsidR="00B4415E" w:rsidRPr="0076720E">
        <w:t>.</w:t>
      </w:r>
      <w:r w:rsidR="00B4415E" w:rsidRPr="00A21A86">
        <w:t xml:space="preserve"> </w:t>
      </w:r>
    </w:p>
    <w:p w14:paraId="57E87092" w14:textId="77777777" w:rsidR="00D11D4D" w:rsidRPr="00252027" w:rsidRDefault="00D11D4D" w:rsidP="0005023D">
      <w:pPr>
        <w:pStyle w:val="Heading4"/>
        <w:rPr>
          <w:color w:val="000000" w:themeColor="text1"/>
        </w:rPr>
      </w:pPr>
      <w:r w:rsidRPr="00252027">
        <w:rPr>
          <w:color w:val="000000" w:themeColor="text1"/>
        </w:rPr>
        <w:t>Learning Resources</w:t>
      </w:r>
    </w:p>
    <w:p w14:paraId="2A063976" w14:textId="45A25EE5" w:rsidR="0094761B" w:rsidRPr="0094761B" w:rsidRDefault="0094761B" w:rsidP="0094761B">
      <w:pPr>
        <w:pStyle w:val="Body"/>
      </w:pPr>
      <w:r w:rsidRPr="0094761B">
        <w:t>Undergraduate international student ratings of Learning Resources rose sharply between 2021 and 2022, then remained relatively steady from 2022 to 2023—reaching the highest level recorded since 2017. However, there was a decline of 1.5 percentage points between 2023 and 2024.</w:t>
      </w:r>
      <w:r w:rsidR="00F36C73">
        <w:t xml:space="preserve"> </w:t>
      </w:r>
      <w:r w:rsidRPr="0094761B">
        <w:t>For postgraduate coursework international students, ratings of Learning Resources remained stable between 2023 and 2024. Despite this stability, both years recorded higher results than any year from 2017 to 2022.</w:t>
      </w:r>
    </w:p>
    <w:p w14:paraId="4F9B2416" w14:textId="1CBE857E" w:rsidR="00E967D9" w:rsidRDefault="002760EB" w:rsidP="00821227">
      <w:pPr>
        <w:pStyle w:val="Body"/>
        <w:rPr>
          <w:highlight w:val="yellow"/>
        </w:rPr>
      </w:pPr>
      <w:r w:rsidRPr="005120AD">
        <w:t xml:space="preserve">Detailed tables of results at the individual item level related to each of the </w:t>
      </w:r>
      <w:r w:rsidR="00B81AD7">
        <w:t>f</w:t>
      </w:r>
      <w:r w:rsidRPr="005120AD">
        <w:t xml:space="preserve">ocus </w:t>
      </w:r>
      <w:r w:rsidR="00B81AD7">
        <w:t>a</w:t>
      </w:r>
      <w:r w:rsidRPr="005120AD">
        <w:t>reas are available from the</w:t>
      </w:r>
      <w:r w:rsidR="009547C5">
        <w:t xml:space="preserve"> </w:t>
      </w:r>
      <w:hyperlink r:id="rId14" w:history="1">
        <w:r w:rsidR="009547C5">
          <w:rPr>
            <w:rStyle w:val="Hyperlink"/>
          </w:rPr>
          <w:t>QILT website</w:t>
        </w:r>
      </w:hyperlink>
      <w:r w:rsidRPr="005120AD">
        <w:t xml:space="preserve"> in the additional tables associated with this report.</w:t>
      </w:r>
    </w:p>
    <w:p w14:paraId="6AED4D2A" w14:textId="77777777" w:rsidR="00E967D9" w:rsidRPr="002867E0" w:rsidRDefault="00E967D9" w:rsidP="00821227">
      <w:pPr>
        <w:pStyle w:val="Body"/>
        <w:rPr>
          <w:highlight w:val="yellow"/>
        </w:rPr>
        <w:sectPr w:rsidR="00E967D9" w:rsidRPr="002867E0" w:rsidSect="00C545B5">
          <w:footerReference w:type="default" r:id="rId15"/>
          <w:pgSz w:w="11900" w:h="16840"/>
          <w:pgMar w:top="852" w:right="560" w:bottom="994" w:left="710" w:header="567" w:footer="567" w:gutter="0"/>
          <w:pgNumType w:start="1"/>
          <w:cols w:space="708"/>
          <w:docGrid w:linePitch="360"/>
        </w:sectPr>
      </w:pPr>
    </w:p>
    <w:p w14:paraId="2CB640F1" w14:textId="7B23821F" w:rsidR="00821227" w:rsidRPr="00252027" w:rsidRDefault="00821227" w:rsidP="00821227">
      <w:pPr>
        <w:pStyle w:val="Caption"/>
        <w:rPr>
          <w:color w:val="000000" w:themeColor="text1"/>
        </w:rPr>
      </w:pPr>
      <w:bookmarkStart w:id="27" w:name="_Ref133591198"/>
      <w:bookmarkStart w:id="28" w:name="_Toc206692301"/>
      <w:r w:rsidRPr="00252027">
        <w:rPr>
          <w:color w:val="000000" w:themeColor="text1"/>
        </w:rPr>
        <w:lastRenderedPageBreak/>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2</w:t>
      </w:r>
      <w:r w:rsidR="001E216A" w:rsidRPr="00252027">
        <w:rPr>
          <w:noProof/>
          <w:color w:val="000000" w:themeColor="text1"/>
        </w:rPr>
        <w:fldChar w:fldCharType="end"/>
      </w:r>
      <w:bookmarkEnd w:id="27"/>
      <w:r w:rsidRPr="00252027">
        <w:rPr>
          <w:color w:val="000000" w:themeColor="text1"/>
        </w:rPr>
        <w:t xml:space="preserve"> The international undergraduate student experience, 2017-202</w:t>
      </w:r>
      <w:r w:rsidR="008E3897" w:rsidRPr="00252027">
        <w:rPr>
          <w:color w:val="000000" w:themeColor="text1"/>
        </w:rPr>
        <w:t>4</w:t>
      </w:r>
      <w:r w:rsidRPr="00252027">
        <w:rPr>
          <w:color w:val="000000" w:themeColor="text1"/>
        </w:rPr>
        <w:t xml:space="preserve"> (% positive rating)</w:t>
      </w:r>
      <w:bookmarkEnd w:id="28"/>
    </w:p>
    <w:p w14:paraId="4981AFA4" w14:textId="2A1F9CC0" w:rsidR="00A871BB" w:rsidRDefault="004232CD" w:rsidP="00B05316">
      <w:pPr>
        <w:pStyle w:val="Body"/>
        <w:rPr>
          <w:rStyle w:val="FigureNoteChar"/>
          <w:highlight w:val="yellow"/>
        </w:rPr>
      </w:pPr>
      <w:r w:rsidRPr="00E13BA3">
        <w:rPr>
          <w:rStyle w:val="FigureNoteChar"/>
          <w:noProof/>
        </w:rPr>
        <w:drawing>
          <wp:inline distT="0" distB="0" distL="0" distR="0" wp14:anchorId="2B12974A" wp14:editId="40E93FB6">
            <wp:extent cx="9468000" cy="5040001"/>
            <wp:effectExtent l="0" t="0" r="6350" b="1905"/>
            <wp:docPr id="6136422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42211" name="Picture 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8000" cy="5040001"/>
                    </a:xfrm>
                    <a:prstGeom prst="rect">
                      <a:avLst/>
                    </a:prstGeom>
                    <a:noFill/>
                  </pic:spPr>
                </pic:pic>
              </a:graphicData>
            </a:graphic>
          </wp:inline>
        </w:drawing>
      </w:r>
      <w:r w:rsidR="00B05316" w:rsidRPr="002867E0">
        <w:rPr>
          <w:rStyle w:val="FigureNoteChar"/>
          <w:highlight w:val="yellow"/>
        </w:rPr>
        <w:t xml:space="preserve"> </w:t>
      </w:r>
    </w:p>
    <w:p w14:paraId="347E8311" w14:textId="1127DD13" w:rsidR="004C26CD" w:rsidRDefault="00B05316" w:rsidP="004C26CD">
      <w:pPr>
        <w:pStyle w:val="FigureNote"/>
      </w:pPr>
      <w:r w:rsidRPr="00CE3796">
        <w:t xml:space="preserve">Note that the dotted lines between 2022 and 2023 indicate the change in underlying items of the Peer Engagement and Student Support and Services focus areas. </w:t>
      </w:r>
      <w:r w:rsidRPr="00CE3796">
        <w:rPr>
          <w:rStyle w:val="ui-provider"/>
        </w:rPr>
        <w:t>When comparing year-on-year changes, it is recommended that modifications to underlying questionnaire items be taken into consideration.</w:t>
      </w:r>
      <w:r w:rsidRPr="00CE3796">
        <w:t xml:space="preserve"> </w:t>
      </w:r>
      <w:bookmarkStart w:id="29" w:name="_Hlk180510295"/>
      <w:r w:rsidR="004C26CD" w:rsidRPr="008E3E72">
        <w:t>For more information about these changes, refer to the 2023 SES National Report</w:t>
      </w:r>
      <w:bookmarkEnd w:id="29"/>
      <w:r w:rsidR="004C26CD">
        <w:t>.</w:t>
      </w:r>
    </w:p>
    <w:p w14:paraId="4257113D" w14:textId="7476E3FC" w:rsidR="00B05316" w:rsidRPr="00CE3796" w:rsidRDefault="00B05316" w:rsidP="00B05316">
      <w:pPr>
        <w:pStyle w:val="FigureNote"/>
      </w:pPr>
    </w:p>
    <w:p w14:paraId="6E7CE93B" w14:textId="213D315F" w:rsidR="00B064BA" w:rsidRPr="00CE3796" w:rsidRDefault="00B064BA" w:rsidP="00821227">
      <w:pPr>
        <w:pStyle w:val="Body"/>
        <w:sectPr w:rsidR="00B064BA" w:rsidRPr="00CE3796" w:rsidSect="00821227">
          <w:pgSz w:w="16840" w:h="11900" w:orient="landscape"/>
          <w:pgMar w:top="710" w:right="852" w:bottom="560" w:left="994" w:header="397" w:footer="170" w:gutter="0"/>
          <w:cols w:space="708"/>
          <w:docGrid w:linePitch="360"/>
        </w:sectPr>
      </w:pPr>
    </w:p>
    <w:p w14:paraId="632C1D82" w14:textId="2B1CC3D9" w:rsidR="00B064BA" w:rsidRPr="00252027" w:rsidRDefault="00B064BA" w:rsidP="00B064BA">
      <w:pPr>
        <w:pStyle w:val="Caption"/>
        <w:rPr>
          <w:color w:val="000000" w:themeColor="text1"/>
        </w:rPr>
      </w:pPr>
      <w:bookmarkStart w:id="30" w:name="_Ref169549592"/>
      <w:bookmarkStart w:id="31" w:name="_Toc206692302"/>
      <w:r w:rsidRPr="00252027">
        <w:rPr>
          <w:color w:val="000000" w:themeColor="text1"/>
        </w:rPr>
        <w:lastRenderedPageBreak/>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3</w:t>
      </w:r>
      <w:r w:rsidR="001E216A" w:rsidRPr="00252027">
        <w:rPr>
          <w:noProof/>
          <w:color w:val="000000" w:themeColor="text1"/>
        </w:rPr>
        <w:fldChar w:fldCharType="end"/>
      </w:r>
      <w:bookmarkEnd w:id="30"/>
      <w:r w:rsidRPr="00252027">
        <w:rPr>
          <w:color w:val="000000" w:themeColor="text1"/>
        </w:rPr>
        <w:t xml:space="preserve"> The international postgraduate coursework student experience, 2017-202</w:t>
      </w:r>
      <w:r w:rsidR="008E3897" w:rsidRPr="00252027">
        <w:rPr>
          <w:color w:val="000000" w:themeColor="text1"/>
        </w:rPr>
        <w:t>4</w:t>
      </w:r>
      <w:r w:rsidRPr="00252027">
        <w:rPr>
          <w:color w:val="000000" w:themeColor="text1"/>
        </w:rPr>
        <w:t xml:space="preserve"> (% positive rating)</w:t>
      </w:r>
      <w:bookmarkEnd w:id="31"/>
    </w:p>
    <w:p w14:paraId="4EA6E80D" w14:textId="3B603555" w:rsidR="00C3787C" w:rsidRPr="00362CBC" w:rsidRDefault="0002219C" w:rsidP="00362CBC">
      <w:pPr>
        <w:pStyle w:val="Body"/>
        <w:rPr>
          <w:color w:val="FF0000"/>
          <w:sz w:val="16"/>
          <w:szCs w:val="16"/>
          <w:highlight w:val="yellow"/>
          <w:lang w:eastAsia="en-AU"/>
        </w:rPr>
      </w:pPr>
      <w:r w:rsidRPr="001800F4">
        <w:rPr>
          <w:noProof/>
          <w:color w:val="FF0000"/>
          <w:sz w:val="16"/>
          <w:szCs w:val="16"/>
          <w:lang w:eastAsia="en-AU"/>
        </w:rPr>
        <w:drawing>
          <wp:inline distT="0" distB="0" distL="0" distR="0" wp14:anchorId="40B0A6FF" wp14:editId="4FEF3253">
            <wp:extent cx="9351939" cy="5040000"/>
            <wp:effectExtent l="0" t="0" r="0" b="1905"/>
            <wp:docPr id="79516889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68891" name="Picture 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51939" cy="5040000"/>
                    </a:xfrm>
                    <a:prstGeom prst="rect">
                      <a:avLst/>
                    </a:prstGeom>
                    <a:noFill/>
                  </pic:spPr>
                </pic:pic>
              </a:graphicData>
            </a:graphic>
          </wp:inline>
        </w:drawing>
      </w:r>
    </w:p>
    <w:p w14:paraId="3380DA0E" w14:textId="4158E497" w:rsidR="004C26CD" w:rsidRDefault="00B05316" w:rsidP="004C26CD">
      <w:pPr>
        <w:pStyle w:val="FigureNote"/>
      </w:pPr>
      <w:r w:rsidRPr="00CF5BFD">
        <w:t xml:space="preserve">Note that the dotted lines between 2022 and 2023 indicate the change in underlying items of the Peer Engagement and Student Support and Services focus areas. </w:t>
      </w:r>
      <w:r w:rsidRPr="00CF5BFD">
        <w:rPr>
          <w:rStyle w:val="ui-provider"/>
        </w:rPr>
        <w:t>When comparing year-on-year changes, it is recommended that modifications to underlying questionnaire items be taken into consideration.</w:t>
      </w:r>
      <w:r w:rsidRPr="00CF5BFD">
        <w:t xml:space="preserve"> </w:t>
      </w:r>
      <w:r w:rsidR="004C26CD" w:rsidRPr="008E3E72">
        <w:t>For more information about these changes, refer to the 2023 SES National Report</w:t>
      </w:r>
      <w:r w:rsidR="004C26CD">
        <w:t>.</w:t>
      </w:r>
    </w:p>
    <w:p w14:paraId="7C6EC075" w14:textId="713A2107" w:rsidR="00B05316" w:rsidRPr="00CF5BFD" w:rsidRDefault="00B05316" w:rsidP="00B05316">
      <w:pPr>
        <w:pStyle w:val="FigureNote"/>
      </w:pPr>
    </w:p>
    <w:p w14:paraId="66E61A9E" w14:textId="3FDA43B0" w:rsidR="00821227" w:rsidRPr="00CF5BFD" w:rsidRDefault="00821227" w:rsidP="00821227">
      <w:pPr>
        <w:pStyle w:val="Body"/>
        <w:sectPr w:rsidR="00821227" w:rsidRPr="00CF5BFD" w:rsidSect="00821227">
          <w:pgSz w:w="16840" w:h="11900" w:orient="landscape"/>
          <w:pgMar w:top="710" w:right="852" w:bottom="560" w:left="994" w:header="397" w:footer="170" w:gutter="0"/>
          <w:cols w:space="708"/>
          <w:docGrid w:linePitch="360"/>
        </w:sectPr>
      </w:pPr>
    </w:p>
    <w:p w14:paraId="2497FAAA" w14:textId="738AA7BC" w:rsidR="00821227" w:rsidRPr="00252027" w:rsidRDefault="00DD2328" w:rsidP="00F80DCA">
      <w:pPr>
        <w:pStyle w:val="Heading2"/>
        <w:rPr>
          <w:color w:val="000000" w:themeColor="text1"/>
        </w:rPr>
      </w:pPr>
      <w:bookmarkStart w:id="32" w:name="_Toc206692267"/>
      <w:r w:rsidRPr="00252027">
        <w:rPr>
          <w:color w:val="000000" w:themeColor="text1"/>
        </w:rPr>
        <w:lastRenderedPageBreak/>
        <w:t>C</w:t>
      </w:r>
      <w:r w:rsidR="00890892" w:rsidRPr="00252027">
        <w:rPr>
          <w:color w:val="000000" w:themeColor="text1"/>
        </w:rPr>
        <w:t>omparison</w:t>
      </w:r>
      <w:r w:rsidRPr="00252027">
        <w:rPr>
          <w:color w:val="000000" w:themeColor="text1"/>
        </w:rPr>
        <w:t xml:space="preserve"> between international and domestic student ratings</w:t>
      </w:r>
      <w:bookmarkEnd w:id="32"/>
    </w:p>
    <w:p w14:paraId="0FA3AAAD" w14:textId="2C302FE6" w:rsidR="00A83BBE" w:rsidRPr="00252027" w:rsidRDefault="00366C0A" w:rsidP="0037676E">
      <w:pPr>
        <w:pStyle w:val="Heading4"/>
        <w:rPr>
          <w:color w:val="000000" w:themeColor="text1"/>
        </w:rPr>
      </w:pPr>
      <w:r w:rsidRPr="00252027">
        <w:rPr>
          <w:color w:val="000000" w:themeColor="text1"/>
        </w:rPr>
        <w:t>Overall Educational Experience</w:t>
      </w:r>
    </w:p>
    <w:p w14:paraId="1A07127B" w14:textId="01D9C1A8" w:rsidR="00E523D2" w:rsidRPr="00E523D2" w:rsidRDefault="00AB66AC" w:rsidP="00E523D2">
      <w:pPr>
        <w:pStyle w:val="Body"/>
      </w:pPr>
      <w:r>
        <w:t>As seen in</w:t>
      </w:r>
      <w:r w:rsidR="00F754DA">
        <w:t xml:space="preserve"> </w:t>
      </w:r>
      <w:r w:rsidR="00F754DA" w:rsidRPr="00F754DA">
        <w:rPr>
          <w:b/>
          <w:bCs/>
        </w:rPr>
        <w:fldChar w:fldCharType="begin"/>
      </w:r>
      <w:r w:rsidR="00F754DA" w:rsidRPr="00F754DA">
        <w:rPr>
          <w:b/>
          <w:bCs/>
        </w:rPr>
        <w:instrText xml:space="preserve"> REF _Ref175646284 \h  \* MERGEFORMAT </w:instrText>
      </w:r>
      <w:r w:rsidR="00F754DA" w:rsidRPr="00F754DA">
        <w:rPr>
          <w:b/>
          <w:bCs/>
        </w:rPr>
      </w:r>
      <w:r w:rsidR="00F754DA" w:rsidRPr="00F754DA">
        <w:rPr>
          <w:b/>
          <w:bCs/>
        </w:rPr>
        <w:fldChar w:fldCharType="separate"/>
      </w:r>
      <w:r w:rsidR="00F96AB4" w:rsidRPr="00F96AB4">
        <w:rPr>
          <w:b/>
          <w:bCs/>
        </w:rPr>
        <w:t>Figure 4</w:t>
      </w:r>
      <w:r w:rsidR="00F754DA" w:rsidRPr="00F754DA">
        <w:rPr>
          <w:b/>
          <w:bCs/>
        </w:rPr>
        <w:fldChar w:fldCharType="end"/>
      </w:r>
      <w:r w:rsidR="00F754DA">
        <w:t xml:space="preserve"> and </w:t>
      </w:r>
      <w:r w:rsidR="00F754DA" w:rsidRPr="00516FD6">
        <w:rPr>
          <w:b/>
        </w:rPr>
        <w:fldChar w:fldCharType="begin"/>
      </w:r>
      <w:r w:rsidR="00F754DA" w:rsidRPr="00516FD6">
        <w:rPr>
          <w:b/>
        </w:rPr>
        <w:instrText xml:space="preserve"> REF _Ref199408818 \h  \* MERGEFORMAT </w:instrText>
      </w:r>
      <w:r w:rsidR="00F754DA" w:rsidRPr="00516FD6">
        <w:rPr>
          <w:b/>
        </w:rPr>
      </w:r>
      <w:r w:rsidR="00F754DA" w:rsidRPr="00516FD6">
        <w:rPr>
          <w:b/>
        </w:rPr>
        <w:fldChar w:fldCharType="separate"/>
      </w:r>
      <w:r w:rsidR="00F96AB4" w:rsidRPr="00F96AB4">
        <w:t>Figure 5</w:t>
      </w:r>
      <w:r w:rsidR="00F754DA" w:rsidRPr="00516FD6">
        <w:rPr>
          <w:b/>
        </w:rPr>
        <w:fldChar w:fldCharType="end"/>
      </w:r>
      <w:r w:rsidR="0047148D" w:rsidRPr="008D3CDC">
        <w:t xml:space="preserve">, </w:t>
      </w:r>
      <w:r w:rsidR="00E523D2" w:rsidRPr="00E523D2">
        <w:t xml:space="preserve">international undergraduate students have consistently reported lower ratings of their </w:t>
      </w:r>
      <w:r w:rsidR="00366C0A">
        <w:t>Overall Educational Experience</w:t>
      </w:r>
      <w:r w:rsidR="00E523D2" w:rsidRPr="00E523D2">
        <w:t xml:space="preserve"> compared to domestic students</w:t>
      </w:r>
      <w:r w:rsidR="00F754DA">
        <w:t xml:space="preserve"> since 2017</w:t>
      </w:r>
      <w:r w:rsidR="00E523D2" w:rsidRPr="00E523D2">
        <w:t>. However, the gap between the two groups has narrowed since 2021.</w:t>
      </w:r>
      <w:r w:rsidR="00FB194B">
        <w:t xml:space="preserve"> </w:t>
      </w:r>
      <w:r w:rsidR="00C6112E" w:rsidRPr="00C6112E">
        <w:t xml:space="preserve">Ratings for both domestic and international </w:t>
      </w:r>
      <w:r w:rsidR="00FB194B">
        <w:t xml:space="preserve">undergraduate </w:t>
      </w:r>
      <w:r w:rsidR="00C6112E" w:rsidRPr="00C6112E">
        <w:t>students remained relatively steady between 2023 and 2024, reflecting a period of stability following the post-pandemic recovery. While domestic student ratings in 2024 remain below pre-pandemic levels, international student ratings have returned to levels similar to those seen before the pandemic</w:t>
      </w:r>
      <w:r w:rsidR="00E523D2" w:rsidRPr="00E523D2">
        <w:t>.</w:t>
      </w:r>
    </w:p>
    <w:p w14:paraId="0CD46E7E" w14:textId="7088D984" w:rsidR="00C84B98" w:rsidRPr="00AE6C9F" w:rsidRDefault="00E523D2" w:rsidP="00E523D2">
      <w:pPr>
        <w:pStyle w:val="Body"/>
      </w:pPr>
      <w:r w:rsidRPr="00E523D2">
        <w:t xml:space="preserve">A similar pattern was observed among postgraduate coursework students, with international students generally reporting lower ratings of their </w:t>
      </w:r>
      <w:r w:rsidR="00366C0A">
        <w:t>Overall Educational Experience</w:t>
      </w:r>
      <w:r w:rsidRPr="00E523D2">
        <w:t xml:space="preserve"> compared to domestic students. While domestic student ratings have shown a modest upward trend since 2020, reaching 77.2 per cent in 2024, international student ratings have remained relatively stable since 2022, following a recovery from earlier declines</w:t>
      </w:r>
      <w:r w:rsidR="00466329">
        <w:t>.</w:t>
      </w:r>
    </w:p>
    <w:p w14:paraId="4E41353E" w14:textId="54E3E085" w:rsidR="000D1819" w:rsidRPr="00252027" w:rsidRDefault="00A65647" w:rsidP="00A65647">
      <w:pPr>
        <w:pStyle w:val="Heading4"/>
        <w:rPr>
          <w:color w:val="000000" w:themeColor="text1"/>
        </w:rPr>
      </w:pPr>
      <w:r w:rsidRPr="00252027">
        <w:rPr>
          <w:color w:val="000000" w:themeColor="text1"/>
        </w:rPr>
        <w:t>Skills Development</w:t>
      </w:r>
    </w:p>
    <w:p w14:paraId="461F1A49" w14:textId="119CFA76" w:rsidR="000D1819" w:rsidRPr="00252027" w:rsidRDefault="000D1819" w:rsidP="000D1819">
      <w:pPr>
        <w:pStyle w:val="Body"/>
        <w:rPr>
          <w:color w:val="000000" w:themeColor="text1"/>
        </w:rPr>
      </w:pPr>
      <w:r w:rsidRPr="00252027">
        <w:rPr>
          <w:color w:val="000000" w:themeColor="text1"/>
        </w:rPr>
        <w:t>International student ratings of Skills Development have increased markedly for both undergraduate and postgraduate coursework students since 2020. From 2022 onward, these ratings have surpassed those of domestic students and continued to rise year on year through to 2024. In 2024, international undergraduate students rated their Skills Development 3.3 percentage points higher than domestic undergraduates, while international postgraduate coursework students rated it 6.8 percentage points higher than their domestic counterparts.</w:t>
      </w:r>
    </w:p>
    <w:p w14:paraId="28656F40" w14:textId="5E4F6E6D" w:rsidR="0037676E" w:rsidRPr="00252027" w:rsidRDefault="00A65647" w:rsidP="00A65647">
      <w:pPr>
        <w:pStyle w:val="Heading4"/>
        <w:rPr>
          <w:color w:val="000000" w:themeColor="text1"/>
        </w:rPr>
      </w:pPr>
      <w:r w:rsidRPr="00252027">
        <w:rPr>
          <w:color w:val="000000" w:themeColor="text1"/>
        </w:rPr>
        <w:t>Peer Engagement</w:t>
      </w:r>
    </w:p>
    <w:p w14:paraId="10C19BAA" w14:textId="5A84E219" w:rsidR="005419BB" w:rsidRPr="00252027" w:rsidRDefault="00DD2898" w:rsidP="00821227">
      <w:pPr>
        <w:pStyle w:val="Body"/>
        <w:rPr>
          <w:color w:val="000000" w:themeColor="text1"/>
        </w:rPr>
      </w:pPr>
      <w:r w:rsidRPr="00252027">
        <w:rPr>
          <w:color w:val="000000" w:themeColor="text1"/>
        </w:rPr>
        <w:t xml:space="preserve">In 2024, international undergraduate students reported Peer Engagement ratings that were 14.8 percentage points higher than those of domestic undergraduates, and 37.2 percentage points higher than domestic students in postgraduate coursework programs. While this difference </w:t>
      </w:r>
      <w:r w:rsidR="00CB7BAA" w:rsidRPr="00252027">
        <w:rPr>
          <w:color w:val="000000" w:themeColor="text1"/>
        </w:rPr>
        <w:t>may be influenced by</w:t>
      </w:r>
      <w:r w:rsidRPr="00252027">
        <w:rPr>
          <w:color w:val="000000" w:themeColor="text1"/>
        </w:rPr>
        <w:t xml:space="preserve"> a greater proportion of domestic students studying fully or mostly online—particularly in postgraduate coursework—</w:t>
      </w:r>
      <w:r w:rsidR="00B84D2E" w:rsidRPr="00252027">
        <w:rPr>
          <w:color w:val="000000" w:themeColor="text1"/>
        </w:rPr>
        <w:t>the gap</w:t>
      </w:r>
      <w:r w:rsidR="00B35133" w:rsidRPr="00252027">
        <w:rPr>
          <w:color w:val="000000" w:themeColor="text1"/>
        </w:rPr>
        <w:t xml:space="preserve"> remains </w:t>
      </w:r>
      <w:r w:rsidR="00F82013" w:rsidRPr="00252027">
        <w:rPr>
          <w:color w:val="000000" w:themeColor="text1"/>
        </w:rPr>
        <w:t>similar</w:t>
      </w:r>
      <w:r w:rsidR="00B35133" w:rsidRPr="00252027">
        <w:rPr>
          <w:color w:val="000000" w:themeColor="text1"/>
        </w:rPr>
        <w:t xml:space="preserve"> when compar</w:t>
      </w:r>
      <w:r w:rsidR="00B84D2E" w:rsidRPr="00252027">
        <w:rPr>
          <w:color w:val="000000" w:themeColor="text1"/>
        </w:rPr>
        <w:t xml:space="preserve">ing </w:t>
      </w:r>
      <w:r w:rsidR="00B35133" w:rsidRPr="00252027">
        <w:rPr>
          <w:color w:val="000000" w:themeColor="text1"/>
        </w:rPr>
        <w:t>only to domestic undergraduates studying on</w:t>
      </w:r>
      <w:r w:rsidR="00B84D2E" w:rsidRPr="00252027">
        <w:rPr>
          <w:color w:val="000000" w:themeColor="text1"/>
        </w:rPr>
        <w:t xml:space="preserve"> </w:t>
      </w:r>
      <w:r w:rsidR="00B35133" w:rsidRPr="00252027">
        <w:rPr>
          <w:color w:val="000000" w:themeColor="text1"/>
        </w:rPr>
        <w:t>campus (internal mo</w:t>
      </w:r>
      <w:r w:rsidR="00B84D2E" w:rsidRPr="00252027">
        <w:rPr>
          <w:color w:val="000000" w:themeColor="text1"/>
        </w:rPr>
        <w:t>de)</w:t>
      </w:r>
      <w:r w:rsidR="00B35133" w:rsidRPr="00252027">
        <w:rPr>
          <w:color w:val="000000" w:themeColor="text1"/>
        </w:rPr>
        <w:t>.</w:t>
      </w:r>
      <w:r w:rsidR="00BF3F64" w:rsidRPr="00252027">
        <w:rPr>
          <w:color w:val="000000" w:themeColor="text1"/>
        </w:rPr>
        <w:t xml:space="preserve"> </w:t>
      </w:r>
      <w:r w:rsidR="006A492D" w:rsidRPr="00252027">
        <w:rPr>
          <w:color w:val="000000" w:themeColor="text1"/>
        </w:rPr>
        <w:t>This difference may be associated with international students’ greater reliance on their institution for social, academic and study needs, whereas domestic students may potentially maintain stronger external peer network</w:t>
      </w:r>
      <w:r w:rsidR="00466329" w:rsidRPr="00252027">
        <w:rPr>
          <w:color w:val="000000" w:themeColor="text1"/>
        </w:rPr>
        <w:t>s</w:t>
      </w:r>
      <w:r w:rsidR="006A492D" w:rsidRPr="00252027">
        <w:rPr>
          <w:color w:val="000000" w:themeColor="text1"/>
        </w:rPr>
        <w:t xml:space="preserve"> and access to support</w:t>
      </w:r>
      <w:r w:rsidR="00CA5214" w:rsidRPr="00252027">
        <w:rPr>
          <w:color w:val="000000" w:themeColor="text1"/>
        </w:rPr>
        <w:t>.</w:t>
      </w:r>
    </w:p>
    <w:p w14:paraId="07E7582D" w14:textId="250859C6" w:rsidR="008B39D8" w:rsidRPr="00252027" w:rsidRDefault="008B39D8" w:rsidP="008B39D8">
      <w:pPr>
        <w:pStyle w:val="Heading4"/>
        <w:rPr>
          <w:color w:val="000000" w:themeColor="text1"/>
        </w:rPr>
      </w:pPr>
      <w:r w:rsidRPr="00252027">
        <w:rPr>
          <w:color w:val="000000" w:themeColor="text1"/>
        </w:rPr>
        <w:t>Teaching Quality and Engagement</w:t>
      </w:r>
    </w:p>
    <w:p w14:paraId="7EA5A687" w14:textId="088ED00A" w:rsidR="008B39D8" w:rsidRPr="007213E9" w:rsidRDefault="00576B9E" w:rsidP="008B39D8">
      <w:pPr>
        <w:pStyle w:val="Body"/>
      </w:pPr>
      <w:r>
        <w:t>As s</w:t>
      </w:r>
      <w:r w:rsidR="003E7939">
        <w:t>hown</w:t>
      </w:r>
      <w:r>
        <w:t xml:space="preserve"> in </w:t>
      </w:r>
      <w:r w:rsidR="003F32BA" w:rsidRPr="00B72298">
        <w:rPr>
          <w:b/>
          <w:bCs/>
        </w:rPr>
        <w:fldChar w:fldCharType="begin"/>
      </w:r>
      <w:r w:rsidR="003F32BA" w:rsidRPr="00B72298">
        <w:rPr>
          <w:b/>
          <w:bCs/>
        </w:rPr>
        <w:instrText xml:space="preserve"> REF _Ref175646284 \h </w:instrText>
      </w:r>
      <w:r w:rsidR="00B72298">
        <w:rPr>
          <w:b/>
          <w:bCs/>
        </w:rPr>
        <w:instrText xml:space="preserve"> \* MERGEFORMAT </w:instrText>
      </w:r>
      <w:r w:rsidR="003F32BA" w:rsidRPr="00B72298">
        <w:rPr>
          <w:b/>
          <w:bCs/>
        </w:rPr>
      </w:r>
      <w:r w:rsidR="003F32BA" w:rsidRPr="00B72298">
        <w:rPr>
          <w:b/>
          <w:bCs/>
        </w:rPr>
        <w:fldChar w:fldCharType="separate"/>
      </w:r>
      <w:r w:rsidR="00F96AB4" w:rsidRPr="00F96AB4">
        <w:rPr>
          <w:b/>
          <w:bCs/>
        </w:rPr>
        <w:t xml:space="preserve">Figure </w:t>
      </w:r>
      <w:r w:rsidR="00F96AB4" w:rsidRPr="00F96AB4">
        <w:rPr>
          <w:b/>
          <w:bCs/>
          <w:noProof/>
        </w:rPr>
        <w:t>4</w:t>
      </w:r>
      <w:r w:rsidR="003F32BA" w:rsidRPr="00B72298">
        <w:rPr>
          <w:b/>
          <w:bCs/>
        </w:rPr>
        <w:fldChar w:fldCharType="end"/>
      </w:r>
      <w:r w:rsidR="00A64AAF">
        <w:t xml:space="preserve">, </w:t>
      </w:r>
      <w:r w:rsidR="00CD1B97" w:rsidRPr="00CD1B97">
        <w:t>between 201</w:t>
      </w:r>
      <w:r w:rsidR="008A6CE8">
        <w:t>7</w:t>
      </w:r>
      <w:r w:rsidR="00CD1B97" w:rsidRPr="00CD1B97">
        <w:t xml:space="preserve"> and</w:t>
      </w:r>
      <w:r w:rsidR="00612964">
        <w:t xml:space="preserve"> </w:t>
      </w:r>
      <w:r w:rsidR="00182BE7">
        <w:t>2019</w:t>
      </w:r>
      <w:r w:rsidR="00CD1B97" w:rsidRPr="00CD1B97">
        <w:t>,</w:t>
      </w:r>
      <w:r w:rsidR="00182BE7">
        <w:t xml:space="preserve"> </w:t>
      </w:r>
      <w:r w:rsidR="005C1D3D">
        <w:t>international</w:t>
      </w:r>
      <w:r w:rsidR="0063195D">
        <w:t xml:space="preserve"> undergraduate</w:t>
      </w:r>
      <w:r w:rsidR="005C1D3D">
        <w:t xml:space="preserve"> students </w:t>
      </w:r>
      <w:r w:rsidR="00CD1B97" w:rsidRPr="00CD1B97">
        <w:t xml:space="preserve">consistently </w:t>
      </w:r>
      <w:r w:rsidR="005C1D3D">
        <w:t xml:space="preserve">rated </w:t>
      </w:r>
      <w:r w:rsidR="005256F2">
        <w:t xml:space="preserve">Teaching </w:t>
      </w:r>
      <w:r w:rsidR="00911F0B">
        <w:t>Quality</w:t>
      </w:r>
      <w:r w:rsidR="001C7D87">
        <w:t xml:space="preserve"> and</w:t>
      </w:r>
      <w:r w:rsidR="005256F2">
        <w:t xml:space="preserve"> Engagement between </w:t>
      </w:r>
      <w:r w:rsidR="003918F7">
        <w:t>3</w:t>
      </w:r>
      <w:r w:rsidR="0081478C">
        <w:t>.1</w:t>
      </w:r>
      <w:r w:rsidR="003918F7">
        <w:t xml:space="preserve"> and</w:t>
      </w:r>
      <w:r w:rsidR="0081478C">
        <w:t xml:space="preserve"> 3.</w:t>
      </w:r>
      <w:r w:rsidR="005D2AA9">
        <w:t>3</w:t>
      </w:r>
      <w:r w:rsidR="0081478C">
        <w:t xml:space="preserve"> </w:t>
      </w:r>
      <w:r w:rsidR="00811088">
        <w:t xml:space="preserve">percentage points lower than </w:t>
      </w:r>
      <w:r w:rsidR="00CD1B97" w:rsidRPr="00CD1B97">
        <w:t xml:space="preserve">their </w:t>
      </w:r>
      <w:r w:rsidR="00811088">
        <w:t xml:space="preserve">domestic </w:t>
      </w:r>
      <w:r w:rsidR="00CD1B97" w:rsidRPr="00CD1B97">
        <w:t xml:space="preserve">counterparts. This gap widened in </w:t>
      </w:r>
      <w:r w:rsidR="00BC5FF9">
        <w:t xml:space="preserve">2020, </w:t>
      </w:r>
      <w:r w:rsidR="00CD1B97" w:rsidRPr="00CD1B97">
        <w:t>reaching</w:t>
      </w:r>
      <w:r w:rsidR="00A21706">
        <w:t xml:space="preserve"> </w:t>
      </w:r>
      <w:r w:rsidR="00E04530">
        <w:t xml:space="preserve">5.1 percentage points, </w:t>
      </w:r>
      <w:r w:rsidR="007B358D">
        <w:t xml:space="preserve">and </w:t>
      </w:r>
      <w:r w:rsidR="00DA5885">
        <w:t xml:space="preserve">remained </w:t>
      </w:r>
      <w:r w:rsidR="00CD1B97" w:rsidRPr="00CD1B97">
        <w:t xml:space="preserve">notable in 2021 at </w:t>
      </w:r>
      <w:r w:rsidR="00130395">
        <w:t>4.1 percentage points</w:t>
      </w:r>
      <w:r w:rsidR="00CD1B97" w:rsidRPr="00CD1B97">
        <w:t>.</w:t>
      </w:r>
      <w:r w:rsidR="00130395">
        <w:t xml:space="preserve"> However, </w:t>
      </w:r>
      <w:r w:rsidR="00CD1B97" w:rsidRPr="00CD1B97">
        <w:t>by</w:t>
      </w:r>
      <w:r w:rsidR="00130395">
        <w:t xml:space="preserve"> 2022</w:t>
      </w:r>
      <w:r w:rsidR="00CD1B97" w:rsidRPr="00CD1B97">
        <w:t>,</w:t>
      </w:r>
      <w:r w:rsidR="00A169FE">
        <w:t xml:space="preserve"> international </w:t>
      </w:r>
      <w:r w:rsidR="00CD1B97" w:rsidRPr="007213E9">
        <w:t>students’</w:t>
      </w:r>
      <w:r w:rsidR="00A169FE" w:rsidRPr="007213E9">
        <w:t xml:space="preserve"> ratings </w:t>
      </w:r>
      <w:r w:rsidR="00CD1B97" w:rsidRPr="007213E9">
        <w:t>had aligned closely with those of</w:t>
      </w:r>
      <w:r w:rsidR="0002127D" w:rsidRPr="007213E9">
        <w:t xml:space="preserve"> domestic students</w:t>
      </w:r>
      <w:r w:rsidR="00CD1B97" w:rsidRPr="007213E9">
        <w:t>. In 2023 and 2024, international undergraduates rated these aspects more positively—</w:t>
      </w:r>
      <w:r w:rsidR="00F96010" w:rsidRPr="007213E9">
        <w:t>by</w:t>
      </w:r>
      <w:r w:rsidR="00EF356B" w:rsidRPr="007213E9">
        <w:t xml:space="preserve"> </w:t>
      </w:r>
      <w:r w:rsidR="00975E9D" w:rsidRPr="007213E9">
        <w:t>2.1 and 2.0 per</w:t>
      </w:r>
      <w:r w:rsidR="00E02FA7" w:rsidRPr="007213E9">
        <w:t>centage points</w:t>
      </w:r>
      <w:r w:rsidR="00CD1B97" w:rsidRPr="007213E9">
        <w:t>,</w:t>
      </w:r>
      <w:r w:rsidR="00E02FA7" w:rsidRPr="007213E9">
        <w:t xml:space="preserve"> respectively.</w:t>
      </w:r>
    </w:p>
    <w:p w14:paraId="3249883A" w14:textId="0D4F5F98" w:rsidR="00154B2D" w:rsidRPr="007213E9" w:rsidRDefault="00154B2D" w:rsidP="008B39D8">
      <w:pPr>
        <w:pStyle w:val="Body"/>
      </w:pPr>
      <w:r w:rsidRPr="007213E9">
        <w:t>This pattern is similar at the postgraduate coursework level</w:t>
      </w:r>
      <w:r w:rsidR="00A64AAF" w:rsidRPr="007213E9">
        <w:t xml:space="preserve"> (</w:t>
      </w:r>
      <w:r w:rsidR="00B72298" w:rsidRPr="007213E9">
        <w:rPr>
          <w:b/>
        </w:rPr>
        <w:fldChar w:fldCharType="begin"/>
      </w:r>
      <w:r w:rsidR="00B72298" w:rsidRPr="007213E9">
        <w:rPr>
          <w:b/>
        </w:rPr>
        <w:instrText xml:space="preserve"> REF _Ref199408818 \h  \* MERGEFORMAT </w:instrText>
      </w:r>
      <w:r w:rsidR="00B72298" w:rsidRPr="007213E9">
        <w:rPr>
          <w:b/>
        </w:rPr>
      </w:r>
      <w:r w:rsidR="00B72298" w:rsidRPr="007213E9">
        <w:rPr>
          <w:b/>
        </w:rPr>
        <w:fldChar w:fldCharType="separate"/>
      </w:r>
      <w:r w:rsidR="00F96AB4" w:rsidRPr="007213E9">
        <w:t>Figure 5</w:t>
      </w:r>
      <w:r w:rsidR="00B72298" w:rsidRPr="007213E9">
        <w:rPr>
          <w:b/>
        </w:rPr>
        <w:fldChar w:fldCharType="end"/>
      </w:r>
      <w:r w:rsidR="00B72298" w:rsidRPr="007213E9">
        <w:t>)</w:t>
      </w:r>
      <w:r w:rsidR="007B2091" w:rsidRPr="007213E9">
        <w:t xml:space="preserve">. </w:t>
      </w:r>
      <w:r w:rsidR="0068196B" w:rsidRPr="007213E9">
        <w:t>International and domestic students reported similar ratings for Teaching Quality and Engagement in 2017, but from 2018 onward, domestic ratings improved while international ratings remained steady. A sharp decline in international student ratings occurred in 2020, creating a significant gap compared to domestic students. Although there was some recovery in 2021, international ratings still trailed behind. From 2022, however, international postgraduate ratings rose markedly, surpassing domestic ratings and maintaining that lead through 2024.</w:t>
      </w:r>
      <w:r w:rsidR="005F68DA" w:rsidRPr="007213E9">
        <w:t xml:space="preserve"> </w:t>
      </w:r>
    </w:p>
    <w:p w14:paraId="4FCCFDDE" w14:textId="2FAB7562" w:rsidR="00F45FB1" w:rsidRPr="007213E9" w:rsidRDefault="00292AB8" w:rsidP="00896D86">
      <w:pPr>
        <w:pStyle w:val="Body"/>
      </w:pPr>
      <w:r w:rsidRPr="007213E9">
        <w:rPr>
          <w:b/>
          <w:bCs/>
        </w:rPr>
        <w:t>T</w:t>
      </w:r>
      <w:r w:rsidR="00F45FB1" w:rsidRPr="007213E9">
        <w:rPr>
          <w:b/>
        </w:rPr>
        <w:t xml:space="preserve">eaching Quality and Engagement items with largest differences between domestic and international </w:t>
      </w:r>
      <w:r w:rsidR="00511487" w:rsidRPr="007213E9">
        <w:rPr>
          <w:b/>
          <w:bCs/>
        </w:rPr>
        <w:t xml:space="preserve">student </w:t>
      </w:r>
      <w:r w:rsidR="00F45FB1" w:rsidRPr="007213E9">
        <w:rPr>
          <w:b/>
        </w:rPr>
        <w:t>ratings</w:t>
      </w:r>
      <w:r w:rsidR="00511487" w:rsidRPr="007213E9">
        <w:rPr>
          <w:b/>
          <w:bCs/>
        </w:rPr>
        <w:t>,</w:t>
      </w:r>
      <w:r w:rsidR="00F45FB1" w:rsidRPr="007213E9">
        <w:rPr>
          <w:b/>
        </w:rPr>
        <w:t xml:space="preserve"> 2024</w:t>
      </w:r>
      <w:r w:rsidR="00511487" w:rsidRPr="007213E9">
        <w:rPr>
          <w:b/>
          <w:bCs/>
        </w:rPr>
        <w:t xml:space="preserve"> (% positive rating)</w:t>
      </w:r>
    </w:p>
    <w:p w14:paraId="06341787" w14:textId="371E2F63" w:rsidR="00F45FB1" w:rsidRDefault="005C31DF" w:rsidP="00896D86">
      <w:pPr>
        <w:pStyle w:val="Body"/>
      </w:pPr>
      <w:r w:rsidRPr="007213E9">
        <w:t>In 2024</w:t>
      </w:r>
      <w:r w:rsidR="00520992" w:rsidRPr="007213E9">
        <w:t>,</w:t>
      </w:r>
      <w:r w:rsidRPr="007213E9">
        <w:t xml:space="preserve"> </w:t>
      </w:r>
      <w:r w:rsidR="00520992" w:rsidRPr="007213E9">
        <w:t>i</w:t>
      </w:r>
      <w:r w:rsidRPr="007213E9">
        <w:t xml:space="preserve">nternational students </w:t>
      </w:r>
      <w:r w:rsidR="001B2F8F" w:rsidRPr="007213E9">
        <w:t>rated Teaching Quality and Engagement more highly than their domestic counterparts, particularly in the following aspects</w:t>
      </w:r>
      <w:r w:rsidR="00E26B49" w:rsidRPr="007213E9">
        <w:t>.</w:t>
      </w:r>
    </w:p>
    <w:p w14:paraId="3E48522F" w14:textId="21F69C28" w:rsidR="007213E9" w:rsidRDefault="007213E9" w:rsidP="00896D86">
      <w:pPr>
        <w:pStyle w:val="Body"/>
      </w:pPr>
      <w:r>
        <w:rPr>
          <w:noProof/>
        </w:rPr>
        <w:lastRenderedPageBreak/>
        <w:drawing>
          <wp:inline distT="0" distB="0" distL="0" distR="0" wp14:anchorId="5C6FFE85" wp14:editId="29A45FA9">
            <wp:extent cx="6748780" cy="2566670"/>
            <wp:effectExtent l="0" t="0" r="0" b="5080"/>
            <wp:docPr id="1729483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8780" cy="2566670"/>
                    </a:xfrm>
                    <a:prstGeom prst="rect">
                      <a:avLst/>
                    </a:prstGeom>
                    <a:noFill/>
                  </pic:spPr>
                </pic:pic>
              </a:graphicData>
            </a:graphic>
          </wp:inline>
        </w:drawing>
      </w:r>
    </w:p>
    <w:p w14:paraId="17773C69" w14:textId="1A676F1B" w:rsidR="00F45FB1" w:rsidRDefault="007213E9" w:rsidP="00896D86">
      <w:pPr>
        <w:pStyle w:val="Body"/>
      </w:pPr>
      <w:r>
        <w:rPr>
          <w:noProof/>
        </w:rPr>
        <w:drawing>
          <wp:inline distT="0" distB="0" distL="0" distR="0" wp14:anchorId="47C7B230" wp14:editId="17BBCB00">
            <wp:extent cx="6748780" cy="2573020"/>
            <wp:effectExtent l="0" t="0" r="0" b="0"/>
            <wp:docPr id="618092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8780" cy="2573020"/>
                    </a:xfrm>
                    <a:prstGeom prst="rect">
                      <a:avLst/>
                    </a:prstGeom>
                    <a:noFill/>
                  </pic:spPr>
                </pic:pic>
              </a:graphicData>
            </a:graphic>
          </wp:inline>
        </w:drawing>
      </w:r>
    </w:p>
    <w:p w14:paraId="32E3C012" w14:textId="665AB174" w:rsidR="008B39D8" w:rsidRPr="00252027" w:rsidRDefault="008B39D8" w:rsidP="008B39D8">
      <w:pPr>
        <w:pStyle w:val="Heading4"/>
        <w:rPr>
          <w:color w:val="000000" w:themeColor="text1"/>
        </w:rPr>
      </w:pPr>
      <w:r w:rsidRPr="00252027">
        <w:rPr>
          <w:color w:val="000000" w:themeColor="text1"/>
        </w:rPr>
        <w:t>Student Support and Services</w:t>
      </w:r>
    </w:p>
    <w:p w14:paraId="0AD51390" w14:textId="5AB46868" w:rsidR="00F127C6" w:rsidRPr="00252027" w:rsidRDefault="00F127C6" w:rsidP="00821227">
      <w:pPr>
        <w:pStyle w:val="Body"/>
        <w:rPr>
          <w:color w:val="000000" w:themeColor="text1"/>
        </w:rPr>
      </w:pPr>
      <w:r w:rsidRPr="00252027">
        <w:rPr>
          <w:color w:val="000000" w:themeColor="text1"/>
        </w:rPr>
        <w:t xml:space="preserve">In 2024, international </w:t>
      </w:r>
      <w:r w:rsidR="008E1E88" w:rsidRPr="00252027">
        <w:rPr>
          <w:color w:val="000000" w:themeColor="text1"/>
        </w:rPr>
        <w:t xml:space="preserve">undergraduates </w:t>
      </w:r>
      <w:r w:rsidRPr="00252027">
        <w:rPr>
          <w:color w:val="000000" w:themeColor="text1"/>
        </w:rPr>
        <w:t>rated Student Support and Services 8.3 percentage points higher than domestic students</w:t>
      </w:r>
      <w:r w:rsidR="00B07241" w:rsidRPr="00252027">
        <w:rPr>
          <w:color w:val="000000" w:themeColor="text1"/>
        </w:rPr>
        <w:t xml:space="preserve"> and international postgraduate coursework students rated it 12.8 percentage points higher</w:t>
      </w:r>
      <w:r w:rsidRPr="00252027">
        <w:rPr>
          <w:color w:val="000000" w:themeColor="text1"/>
        </w:rPr>
        <w:t>. Before 2022, international undergraduates typically rated these services less positively than their domestic peers. However, this trend reversed from 2022 onward, with international students at both undergraduate and postgraduate coursework levels consistently giving higher ratings than domestic students. This difference remains</w:t>
      </w:r>
      <w:r w:rsidR="0019495C" w:rsidRPr="00252027">
        <w:rPr>
          <w:color w:val="000000" w:themeColor="text1"/>
        </w:rPr>
        <w:t>,</w:t>
      </w:r>
      <w:r w:rsidRPr="00252027">
        <w:rPr>
          <w:color w:val="000000" w:themeColor="text1"/>
        </w:rPr>
        <w:t xml:space="preserve"> even when comparing with domestic students studying on campus (internal mode), who might be expected to engage more with institutional support services.</w:t>
      </w:r>
    </w:p>
    <w:p w14:paraId="6B407E03" w14:textId="2FDB1EFA" w:rsidR="008B39D8" w:rsidRPr="00252027" w:rsidRDefault="008B39D8" w:rsidP="008B39D8">
      <w:pPr>
        <w:pStyle w:val="Heading4"/>
        <w:rPr>
          <w:color w:val="000000" w:themeColor="text1"/>
        </w:rPr>
      </w:pPr>
      <w:r w:rsidRPr="00252027">
        <w:rPr>
          <w:color w:val="000000" w:themeColor="text1"/>
        </w:rPr>
        <w:t>Learning Resources</w:t>
      </w:r>
    </w:p>
    <w:p w14:paraId="2BF1833B" w14:textId="4A34CF6E" w:rsidR="004E5E0F" w:rsidRPr="004E5E0F" w:rsidRDefault="00DF3C49" w:rsidP="004E5E0F">
      <w:pPr>
        <w:pStyle w:val="Body"/>
      </w:pPr>
      <w:r>
        <w:t>I</w:t>
      </w:r>
      <w:r w:rsidR="004E5E0F" w:rsidRPr="004E5E0F">
        <w:t xml:space="preserve">nternational undergraduate </w:t>
      </w:r>
      <w:r w:rsidRPr="004E5E0F">
        <w:t xml:space="preserve">Learning Resources </w:t>
      </w:r>
      <w:r w:rsidR="004E5E0F" w:rsidRPr="004E5E0F">
        <w:t xml:space="preserve">ratings in 2024 were </w:t>
      </w:r>
      <w:r>
        <w:t>broadly similar to</w:t>
      </w:r>
      <w:r w:rsidR="004E5E0F" w:rsidRPr="004E5E0F">
        <w:t xml:space="preserve"> those of domestic undergraduates. However, international postgraduate coursework students rated Learning Resources 7.9 percentage points higher than domestic students in the same </w:t>
      </w:r>
      <w:r w:rsidR="00F3386E">
        <w:t>course</w:t>
      </w:r>
      <w:r w:rsidR="000A1C8A">
        <w:t xml:space="preserve"> level</w:t>
      </w:r>
      <w:r w:rsidR="004E5E0F" w:rsidRPr="004E5E0F">
        <w:t>.</w:t>
      </w:r>
    </w:p>
    <w:p w14:paraId="231F1669" w14:textId="77777777" w:rsidR="00E95E86" w:rsidRDefault="00E95E86">
      <w:pPr>
        <w:spacing w:after="160" w:line="259" w:lineRule="auto"/>
        <w:rPr>
          <w:rFonts w:eastAsia="Times New Roman" w:cs="Times New Roman"/>
          <w:szCs w:val="20"/>
        </w:rPr>
      </w:pPr>
      <w:r>
        <w:br w:type="page"/>
      </w:r>
    </w:p>
    <w:p w14:paraId="7D0CE4BE" w14:textId="47AEE90B" w:rsidR="00332258" w:rsidRPr="00252027" w:rsidRDefault="00332258" w:rsidP="00332258">
      <w:pPr>
        <w:pStyle w:val="Caption"/>
        <w:rPr>
          <w:color w:val="000000" w:themeColor="text1"/>
        </w:rPr>
      </w:pPr>
      <w:bookmarkStart w:id="33" w:name="_Ref175646284"/>
      <w:bookmarkStart w:id="34" w:name="_Toc206692303"/>
      <w:r w:rsidRPr="00252027">
        <w:rPr>
          <w:color w:val="000000" w:themeColor="text1"/>
        </w:rPr>
        <w:lastRenderedPageBreak/>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4</w:t>
      </w:r>
      <w:r w:rsidR="001E216A" w:rsidRPr="00252027">
        <w:rPr>
          <w:noProof/>
          <w:color w:val="000000" w:themeColor="text1"/>
        </w:rPr>
        <w:fldChar w:fldCharType="end"/>
      </w:r>
      <w:bookmarkEnd w:id="33"/>
      <w:r w:rsidRPr="00252027">
        <w:rPr>
          <w:color w:val="000000" w:themeColor="text1"/>
        </w:rPr>
        <w:t xml:space="preserve"> Undergraduate student experience </w:t>
      </w:r>
      <w:r w:rsidR="00E21A21" w:rsidRPr="00252027">
        <w:rPr>
          <w:color w:val="000000" w:themeColor="text1"/>
        </w:rPr>
        <w:t xml:space="preserve">by </w:t>
      </w:r>
      <w:r w:rsidRPr="00252027">
        <w:rPr>
          <w:color w:val="000000" w:themeColor="text1"/>
        </w:rPr>
        <w:t>citizenship status, 201</w:t>
      </w:r>
      <w:r w:rsidR="00A323FD" w:rsidRPr="00252027">
        <w:rPr>
          <w:color w:val="000000" w:themeColor="text1"/>
        </w:rPr>
        <w:t>7</w:t>
      </w:r>
      <w:r w:rsidRPr="00252027">
        <w:rPr>
          <w:color w:val="000000" w:themeColor="text1"/>
        </w:rPr>
        <w:t>-202</w:t>
      </w:r>
      <w:r w:rsidR="00DD3520" w:rsidRPr="00252027">
        <w:rPr>
          <w:color w:val="000000" w:themeColor="text1"/>
        </w:rPr>
        <w:t>4</w:t>
      </w:r>
      <w:r w:rsidRPr="00252027">
        <w:rPr>
          <w:color w:val="000000" w:themeColor="text1"/>
        </w:rPr>
        <w:t xml:space="preserve"> (% positive rating)</w:t>
      </w:r>
      <w:bookmarkEnd w:id="34"/>
    </w:p>
    <w:p w14:paraId="1FD1FEB2" w14:textId="2D24679A" w:rsidR="007213E9" w:rsidRPr="00252027" w:rsidRDefault="007213E9" w:rsidP="00422F49">
      <w:pPr>
        <w:pStyle w:val="Body"/>
        <w:rPr>
          <w:rFonts w:cs="Arial"/>
          <w:color w:val="000000" w:themeColor="text1"/>
          <w:sz w:val="16"/>
          <w:szCs w:val="16"/>
          <w:lang w:eastAsia="en-AU"/>
        </w:rPr>
      </w:pPr>
      <w:r w:rsidRPr="007213E9">
        <w:rPr>
          <w:rFonts w:cs="Arial"/>
          <w:color w:val="000000" w:themeColor="text1"/>
          <w:sz w:val="16"/>
          <w:szCs w:val="16"/>
          <w:lang w:eastAsia="en-AU"/>
        </w:rPr>
        <w:drawing>
          <wp:inline distT="0" distB="0" distL="0" distR="0" wp14:anchorId="68A741B4" wp14:editId="3EAB79AC">
            <wp:extent cx="6651172" cy="7979905"/>
            <wp:effectExtent l="0" t="0" r="0" b="2540"/>
            <wp:docPr id="667836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36239" name=""/>
                    <pic:cNvPicPr/>
                  </pic:nvPicPr>
                  <pic:blipFill>
                    <a:blip r:embed="rId20"/>
                    <a:stretch>
                      <a:fillRect/>
                    </a:stretch>
                  </pic:blipFill>
                  <pic:spPr>
                    <a:xfrm>
                      <a:off x="0" y="0"/>
                      <a:ext cx="6658232" cy="7988376"/>
                    </a:xfrm>
                    <a:prstGeom prst="rect">
                      <a:avLst/>
                    </a:prstGeom>
                  </pic:spPr>
                </pic:pic>
              </a:graphicData>
            </a:graphic>
          </wp:inline>
        </w:drawing>
      </w:r>
    </w:p>
    <w:p w14:paraId="3A2D5A4C" w14:textId="7BB80E25" w:rsidR="007A6298" w:rsidRDefault="00C94C42" w:rsidP="00C94C42">
      <w:pPr>
        <w:pStyle w:val="FigureNote"/>
        <w:jc w:val="left"/>
      </w:pPr>
      <w:r w:rsidRPr="00350720">
        <w:t>Note that the dotted lines between 2022 and 2023 indicate the change in</w:t>
      </w:r>
      <w:r w:rsidR="00CF7285">
        <w:t xml:space="preserve"> u</w:t>
      </w:r>
      <w:r w:rsidRPr="00350720">
        <w:t xml:space="preserve">nderlying items of the Peer Engagement focus area. </w:t>
      </w:r>
      <w:r w:rsidRPr="00350720">
        <w:rPr>
          <w:rStyle w:val="ui-provider"/>
        </w:rPr>
        <w:t>When comparing year-on-year changes, it is recommended that modifications to underlying questionnaire items be taken into consideration.</w:t>
      </w:r>
      <w:r w:rsidRPr="00350720">
        <w:t xml:space="preserve"> For more information about these changes, refer to the 202</w:t>
      </w:r>
      <w:r>
        <w:t>3</w:t>
      </w:r>
      <w:r w:rsidRPr="00350720">
        <w:t xml:space="preserve"> SES National Report</w:t>
      </w:r>
      <w:r>
        <w:t>.</w:t>
      </w:r>
    </w:p>
    <w:p w14:paraId="37E401BE" w14:textId="77777777" w:rsidR="007A6298" w:rsidRDefault="007A6298">
      <w:pPr>
        <w:spacing w:after="160" w:line="259" w:lineRule="auto"/>
        <w:rPr>
          <w:rFonts w:eastAsia="Calibri" w:cs="Times New Roman"/>
          <w:sz w:val="16"/>
          <w:szCs w:val="22"/>
          <w:lang w:val="en-GB"/>
        </w:rPr>
      </w:pPr>
      <w:r>
        <w:br w:type="page"/>
      </w:r>
    </w:p>
    <w:p w14:paraId="22042654" w14:textId="251ED32A" w:rsidR="00332258" w:rsidRPr="00252027" w:rsidRDefault="00332258" w:rsidP="002B5BAD">
      <w:pPr>
        <w:pStyle w:val="Caption"/>
        <w:rPr>
          <w:rStyle w:val="CaptionChar"/>
          <w:rFonts w:eastAsia="Calibri"/>
          <w:b/>
          <w:bCs/>
          <w:color w:val="000000" w:themeColor="text1"/>
        </w:rPr>
      </w:pPr>
      <w:bookmarkStart w:id="35" w:name="_Ref199408818"/>
      <w:bookmarkStart w:id="36" w:name="_Toc206692304"/>
      <w:r w:rsidRPr="00252027">
        <w:rPr>
          <w:rStyle w:val="CaptionChar"/>
          <w:rFonts w:eastAsia="Calibri"/>
          <w:b/>
          <w:bCs/>
          <w:color w:val="000000" w:themeColor="text1"/>
        </w:rPr>
        <w:lastRenderedPageBreak/>
        <w:t xml:space="preserve">Figure </w:t>
      </w:r>
      <w:r w:rsidR="005F7CB1" w:rsidRPr="00252027">
        <w:rPr>
          <w:rStyle w:val="CaptionChar"/>
          <w:rFonts w:eastAsia="Calibri"/>
          <w:b/>
          <w:bCs/>
          <w:color w:val="000000" w:themeColor="text1"/>
        </w:rPr>
        <w:fldChar w:fldCharType="begin"/>
      </w:r>
      <w:r w:rsidR="005F7CB1" w:rsidRPr="00252027">
        <w:rPr>
          <w:rStyle w:val="CaptionChar"/>
          <w:rFonts w:eastAsia="Calibri"/>
          <w:b/>
          <w:bCs/>
          <w:color w:val="000000" w:themeColor="text1"/>
        </w:rPr>
        <w:instrText xml:space="preserve"> SEQ Figure \* ARABIC </w:instrText>
      </w:r>
      <w:r w:rsidR="005F7CB1" w:rsidRPr="00252027">
        <w:rPr>
          <w:rStyle w:val="CaptionChar"/>
          <w:rFonts w:eastAsia="Calibri"/>
          <w:b/>
          <w:bCs/>
          <w:color w:val="000000" w:themeColor="text1"/>
        </w:rPr>
        <w:fldChar w:fldCharType="separate"/>
      </w:r>
      <w:r w:rsidR="00F96AB4">
        <w:rPr>
          <w:rStyle w:val="CaptionChar"/>
          <w:rFonts w:eastAsia="Calibri"/>
          <w:b/>
          <w:bCs/>
          <w:noProof/>
          <w:color w:val="000000" w:themeColor="text1"/>
        </w:rPr>
        <w:t>5</w:t>
      </w:r>
      <w:r w:rsidR="005F7CB1" w:rsidRPr="00252027">
        <w:rPr>
          <w:rStyle w:val="CaptionChar"/>
          <w:rFonts w:eastAsia="Calibri"/>
          <w:b/>
          <w:bCs/>
          <w:color w:val="000000" w:themeColor="text1"/>
        </w:rPr>
        <w:fldChar w:fldCharType="end"/>
      </w:r>
      <w:bookmarkEnd w:id="35"/>
      <w:r w:rsidRPr="00252027">
        <w:rPr>
          <w:rStyle w:val="CaptionChar"/>
          <w:rFonts w:eastAsia="Calibri"/>
          <w:b/>
          <w:bCs/>
          <w:color w:val="000000" w:themeColor="text1"/>
        </w:rPr>
        <w:t xml:space="preserve"> Postgraduate coursework student experience </w:t>
      </w:r>
      <w:r w:rsidR="00AD7AFE" w:rsidRPr="00252027">
        <w:rPr>
          <w:rStyle w:val="CaptionChar"/>
          <w:rFonts w:eastAsia="Calibri"/>
          <w:b/>
          <w:bCs/>
          <w:color w:val="000000" w:themeColor="text1"/>
        </w:rPr>
        <w:t xml:space="preserve">by </w:t>
      </w:r>
      <w:r w:rsidRPr="00252027">
        <w:rPr>
          <w:rStyle w:val="CaptionChar"/>
          <w:rFonts w:eastAsia="Calibri"/>
          <w:b/>
          <w:bCs/>
          <w:color w:val="000000" w:themeColor="text1"/>
        </w:rPr>
        <w:t>citizenship status, 201</w:t>
      </w:r>
      <w:r w:rsidR="00A323FD" w:rsidRPr="00252027">
        <w:rPr>
          <w:rStyle w:val="CaptionChar"/>
          <w:rFonts w:eastAsia="Calibri"/>
          <w:b/>
          <w:bCs/>
          <w:color w:val="000000" w:themeColor="text1"/>
        </w:rPr>
        <w:t>7</w:t>
      </w:r>
      <w:r w:rsidRPr="00252027">
        <w:rPr>
          <w:rStyle w:val="CaptionChar"/>
          <w:rFonts w:eastAsia="Calibri"/>
          <w:b/>
          <w:bCs/>
          <w:color w:val="000000" w:themeColor="text1"/>
        </w:rPr>
        <w:t>-202</w:t>
      </w:r>
      <w:r w:rsidR="0056755E" w:rsidRPr="00252027">
        <w:rPr>
          <w:rStyle w:val="CaptionChar"/>
          <w:rFonts w:eastAsia="Calibri"/>
          <w:b/>
          <w:bCs/>
          <w:color w:val="000000" w:themeColor="text1"/>
        </w:rPr>
        <w:t>4</w:t>
      </w:r>
      <w:r w:rsidRPr="00252027">
        <w:rPr>
          <w:rStyle w:val="CaptionChar"/>
          <w:rFonts w:eastAsia="Calibri"/>
          <w:b/>
          <w:bCs/>
          <w:color w:val="000000" w:themeColor="text1"/>
        </w:rPr>
        <w:t xml:space="preserve"> (% positive rating)</w:t>
      </w:r>
      <w:bookmarkEnd w:id="36"/>
    </w:p>
    <w:p w14:paraId="4859BD01" w14:textId="0762DA45" w:rsidR="007213E9" w:rsidRPr="00252027" w:rsidRDefault="007213E9" w:rsidP="00745D1A">
      <w:pPr>
        <w:pStyle w:val="Body"/>
        <w:rPr>
          <w:color w:val="000000" w:themeColor="text1"/>
        </w:rPr>
      </w:pPr>
      <w:r w:rsidRPr="007213E9">
        <w:rPr>
          <w:color w:val="000000" w:themeColor="text1"/>
        </w:rPr>
        <w:drawing>
          <wp:inline distT="0" distB="0" distL="0" distR="0" wp14:anchorId="765C4B60" wp14:editId="03B43CCE">
            <wp:extent cx="6522720" cy="7950278"/>
            <wp:effectExtent l="0" t="0" r="0" b="0"/>
            <wp:docPr id="1634495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95248" name=""/>
                    <pic:cNvPicPr/>
                  </pic:nvPicPr>
                  <pic:blipFill>
                    <a:blip r:embed="rId21"/>
                    <a:stretch>
                      <a:fillRect/>
                    </a:stretch>
                  </pic:blipFill>
                  <pic:spPr>
                    <a:xfrm>
                      <a:off x="0" y="0"/>
                      <a:ext cx="6525468" cy="7953627"/>
                    </a:xfrm>
                    <a:prstGeom prst="rect">
                      <a:avLst/>
                    </a:prstGeom>
                  </pic:spPr>
                </pic:pic>
              </a:graphicData>
            </a:graphic>
          </wp:inline>
        </w:drawing>
      </w:r>
    </w:p>
    <w:p w14:paraId="11470773" w14:textId="5F039C9F" w:rsidR="00B32FF3" w:rsidRPr="00350720" w:rsidRDefault="00B32FF3" w:rsidP="00B32FF3">
      <w:pPr>
        <w:pStyle w:val="FigureNote"/>
        <w:jc w:val="left"/>
      </w:pPr>
      <w:r w:rsidRPr="00350720">
        <w:t xml:space="preserve">Note that the dotted lines between 2022 and 2023 indicate the change in underlying items of the Peer Engagement focus area. </w:t>
      </w:r>
      <w:r w:rsidRPr="00350720">
        <w:rPr>
          <w:rStyle w:val="ui-provider"/>
        </w:rPr>
        <w:t>When comparing year-on-year changes, it is recommended that modifications to underlying questionnaire items be taken into consideration.</w:t>
      </w:r>
      <w:r w:rsidRPr="00350720">
        <w:t xml:space="preserve"> For more information about these changes, refer to the 202</w:t>
      </w:r>
      <w:r>
        <w:t>3</w:t>
      </w:r>
      <w:r w:rsidRPr="00350720">
        <w:t xml:space="preserve"> SES National Report</w:t>
      </w:r>
      <w:r>
        <w:t>.</w:t>
      </w:r>
    </w:p>
    <w:p w14:paraId="2A8F2826" w14:textId="6730CA99" w:rsidR="00962CC2" w:rsidRPr="00B1699F" w:rsidRDefault="00962CC2" w:rsidP="00332258">
      <w:pPr>
        <w:pStyle w:val="FigureNote"/>
        <w:sectPr w:rsidR="00962CC2" w:rsidRPr="00B1699F" w:rsidSect="00956A4A">
          <w:pgSz w:w="11900" w:h="16840"/>
          <w:pgMar w:top="852" w:right="560" w:bottom="994" w:left="710" w:header="567" w:footer="567" w:gutter="0"/>
          <w:cols w:space="708"/>
          <w:docGrid w:linePitch="360"/>
        </w:sectPr>
      </w:pPr>
    </w:p>
    <w:p w14:paraId="14140061" w14:textId="7BCA8973" w:rsidR="00821227" w:rsidRPr="00252027" w:rsidRDefault="00890892" w:rsidP="00890892">
      <w:pPr>
        <w:pStyle w:val="Heading2"/>
        <w:rPr>
          <w:color w:val="000000" w:themeColor="text1"/>
        </w:rPr>
      </w:pPr>
      <w:bookmarkStart w:id="37" w:name="_Ref124425672"/>
      <w:bookmarkStart w:id="38" w:name="_Toc206692268"/>
      <w:r w:rsidRPr="00252027">
        <w:rPr>
          <w:color w:val="000000" w:themeColor="text1"/>
        </w:rPr>
        <w:lastRenderedPageBreak/>
        <w:t>S</w:t>
      </w:r>
      <w:r w:rsidR="00821227" w:rsidRPr="00252027">
        <w:rPr>
          <w:color w:val="000000" w:themeColor="text1"/>
        </w:rPr>
        <w:t>ource country</w:t>
      </w:r>
      <w:bookmarkEnd w:id="37"/>
      <w:r w:rsidR="00BC7A9B" w:rsidRPr="00252027">
        <w:rPr>
          <w:color w:val="000000" w:themeColor="text1"/>
        </w:rPr>
        <w:t xml:space="preserve"> comparison</w:t>
      </w:r>
      <w:r w:rsidR="00DA102D" w:rsidRPr="00252027">
        <w:rPr>
          <w:color w:val="000000" w:themeColor="text1"/>
        </w:rPr>
        <w:t>s</w:t>
      </w:r>
      <w:bookmarkEnd w:id="38"/>
    </w:p>
    <w:p w14:paraId="60F19A39" w14:textId="13A15765" w:rsidR="008A36E9" w:rsidRPr="008A36E9" w:rsidRDefault="008A36E9" w:rsidP="008A36E9">
      <w:pPr>
        <w:pStyle w:val="Body"/>
      </w:pPr>
      <w:r w:rsidRPr="008A36E9">
        <w:t xml:space="preserve">This section presents international student experience results broken down by students’ source country and </w:t>
      </w:r>
      <w:r w:rsidR="00F02ADD">
        <w:t>course</w:t>
      </w:r>
      <w:r w:rsidR="000D3E5D">
        <w:t xml:space="preserve"> </w:t>
      </w:r>
      <w:r w:rsidRPr="008A36E9">
        <w:t xml:space="preserve">level. Countries are listed in order of </w:t>
      </w:r>
      <w:r w:rsidR="00C50E10">
        <w:t>the number of</w:t>
      </w:r>
      <w:r w:rsidRPr="008A36E9">
        <w:t xml:space="preserve"> survey </w:t>
      </w:r>
      <w:r w:rsidR="00C50E10">
        <w:t>respondents</w:t>
      </w:r>
      <w:r w:rsidRPr="008A36E9">
        <w:t xml:space="preserve"> at each </w:t>
      </w:r>
      <w:r w:rsidR="00F02ADD">
        <w:t>course</w:t>
      </w:r>
      <w:r w:rsidRPr="008A36E9">
        <w:t xml:space="preserve"> level</w:t>
      </w:r>
      <w:r w:rsidR="00487E80">
        <w:rPr>
          <w:rStyle w:val="FootnoteReference"/>
        </w:rPr>
        <w:footnoteReference w:id="5"/>
      </w:r>
      <w:r w:rsidRPr="008A36E9">
        <w:t>.</w:t>
      </w:r>
    </w:p>
    <w:p w14:paraId="2FB65F04" w14:textId="71ECD3E1" w:rsidR="008A36E9" w:rsidRDefault="00940177" w:rsidP="008A36E9">
      <w:pPr>
        <w:pStyle w:val="Body"/>
      </w:pPr>
      <w:r w:rsidRPr="00940177">
        <w:t xml:space="preserve">Please note that </w:t>
      </w:r>
      <w:r w:rsidR="007158D2">
        <w:t>from</w:t>
      </w:r>
      <w:r w:rsidRPr="00940177">
        <w:t xml:space="preserve"> 2024</w:t>
      </w:r>
      <w:r w:rsidR="00602297">
        <w:t xml:space="preserve"> onward</w:t>
      </w:r>
      <w:r w:rsidRPr="00940177">
        <w:t>, ‘source country’ is based on the</w:t>
      </w:r>
      <w:r w:rsidR="001D1D29">
        <w:t xml:space="preserve"> </w:t>
      </w:r>
      <w:r w:rsidRPr="00925C30">
        <w:t>Residential Address Country Code</w:t>
      </w:r>
      <w:r w:rsidR="00B75055" w:rsidRPr="00925C30">
        <w:t xml:space="preserve"> (E658)</w:t>
      </w:r>
      <w:r w:rsidR="00B75055">
        <w:rPr>
          <w:b/>
          <w:bCs/>
        </w:rPr>
        <w:t xml:space="preserve"> </w:t>
      </w:r>
      <w:r w:rsidRPr="00940177">
        <w:t>from the</w:t>
      </w:r>
      <w:r w:rsidR="001D1D29">
        <w:t xml:space="preserve"> </w:t>
      </w:r>
      <w:r w:rsidRPr="00925C30">
        <w:t>Tertiary Collection of Student Information (TCSI)</w:t>
      </w:r>
      <w:r w:rsidR="0020779F">
        <w:t xml:space="preserve"> system</w:t>
      </w:r>
      <w:r w:rsidRPr="00940177">
        <w:t xml:space="preserve">. In earlier years, </w:t>
      </w:r>
      <w:r w:rsidR="0020779F">
        <w:t>source country</w:t>
      </w:r>
      <w:r w:rsidRPr="00940177">
        <w:t xml:space="preserve"> was </w:t>
      </w:r>
      <w:r w:rsidR="0020779F">
        <w:t>based on</w:t>
      </w:r>
      <w:r w:rsidRPr="00940177">
        <w:t xml:space="preserve"> the</w:t>
      </w:r>
      <w:r w:rsidR="001D1D29">
        <w:t xml:space="preserve"> </w:t>
      </w:r>
      <w:r w:rsidRPr="00925C30">
        <w:t>Birth Country Code</w:t>
      </w:r>
      <w:r w:rsidR="00C93487" w:rsidRPr="00925C30">
        <w:t xml:space="preserve"> (E346)</w:t>
      </w:r>
      <w:r w:rsidR="0094341A">
        <w:t xml:space="preserve">. This change </w:t>
      </w:r>
      <w:r w:rsidR="006F3CCE">
        <w:t xml:space="preserve">has </w:t>
      </w:r>
      <w:r w:rsidR="00810A2A">
        <w:t xml:space="preserve">some </w:t>
      </w:r>
      <w:r w:rsidR="006F3CCE">
        <w:t>minor impact on</w:t>
      </w:r>
      <w:r w:rsidRPr="00940177">
        <w:t xml:space="preserve"> year-on-year comparisons</w:t>
      </w:r>
      <w:r w:rsidR="008A36E9" w:rsidRPr="008A36E9">
        <w:t>.</w:t>
      </w:r>
    </w:p>
    <w:p w14:paraId="36BF2BC0" w14:textId="7AFD40AF" w:rsidR="002A3CEB" w:rsidRDefault="008A36E9" w:rsidP="002A3CEB">
      <w:pPr>
        <w:pStyle w:val="Body"/>
      </w:pPr>
      <w:r w:rsidRPr="008A36E9">
        <w:t>In 2024, the largest source countries for international</w:t>
      </w:r>
      <w:r w:rsidR="00602BD0">
        <w:t xml:space="preserve"> </w:t>
      </w:r>
      <w:r w:rsidR="00637721">
        <w:t>respondent</w:t>
      </w:r>
      <w:r w:rsidRPr="008A36E9">
        <w:t>s</w:t>
      </w:r>
      <w:r w:rsidR="00244682">
        <w:t xml:space="preserve"> are shown </w:t>
      </w:r>
      <w:r w:rsidR="00244682" w:rsidRPr="00D946A5">
        <w:t>in</w:t>
      </w:r>
      <w:r w:rsidR="002A3CEB">
        <w:t xml:space="preserve"> </w:t>
      </w:r>
      <w:r w:rsidR="002A3CEB" w:rsidRPr="002A3CEB">
        <w:rPr>
          <w:b/>
          <w:bCs/>
        </w:rPr>
        <w:fldChar w:fldCharType="begin"/>
      </w:r>
      <w:r w:rsidR="002A3CEB" w:rsidRPr="002A3CEB">
        <w:rPr>
          <w:b/>
          <w:bCs/>
        </w:rPr>
        <w:instrText xml:space="preserve"> REF _Ref205225154 \h </w:instrText>
      </w:r>
      <w:r w:rsidR="002A3CEB">
        <w:rPr>
          <w:b/>
          <w:bCs/>
        </w:rPr>
        <w:instrText xml:space="preserve"> \* MERGEFORMAT </w:instrText>
      </w:r>
      <w:r w:rsidR="002A3CEB" w:rsidRPr="002A3CEB">
        <w:rPr>
          <w:b/>
          <w:bCs/>
        </w:rPr>
      </w:r>
      <w:r w:rsidR="002A3CEB" w:rsidRPr="002A3CEB">
        <w:rPr>
          <w:b/>
          <w:bCs/>
        </w:rPr>
        <w:fldChar w:fldCharType="separate"/>
      </w:r>
      <w:r w:rsidR="00F96AB4" w:rsidRPr="00F96AB4">
        <w:rPr>
          <w:b/>
          <w:bCs/>
        </w:rPr>
        <w:t xml:space="preserve">Figure </w:t>
      </w:r>
      <w:r w:rsidR="00F96AB4" w:rsidRPr="00F96AB4">
        <w:rPr>
          <w:b/>
          <w:bCs/>
          <w:noProof/>
        </w:rPr>
        <w:t>6</w:t>
      </w:r>
      <w:r w:rsidR="002A3CEB" w:rsidRPr="002A3CEB">
        <w:rPr>
          <w:b/>
          <w:bCs/>
        </w:rPr>
        <w:fldChar w:fldCharType="end"/>
      </w:r>
      <w:r w:rsidR="002A3CEB">
        <w:t>.</w:t>
      </w:r>
    </w:p>
    <w:p w14:paraId="144909CF" w14:textId="1B73F165" w:rsidR="008A36E9" w:rsidRPr="008A36E9" w:rsidRDefault="00244682" w:rsidP="00D04441">
      <w:pPr>
        <w:pStyle w:val="Body"/>
      </w:pPr>
      <w:r w:rsidRPr="00244682">
        <w:t xml:space="preserve">The top </w:t>
      </w:r>
      <w:r w:rsidR="00D946A5">
        <w:t xml:space="preserve">5 source </w:t>
      </w:r>
      <w:r w:rsidRPr="00244682">
        <w:t>countries for each cohort accounted for 53.1 per cent of all international undergraduate </w:t>
      </w:r>
      <w:r w:rsidRPr="00D04441">
        <w:t>survey respondents</w:t>
      </w:r>
      <w:r w:rsidRPr="00244682">
        <w:t> and 63.4 per cent of </w:t>
      </w:r>
      <w:r w:rsidRPr="00D04441">
        <w:t>postgraduate coursework survey respondents</w:t>
      </w:r>
      <w:r w:rsidRPr="00244682">
        <w:t>, respectively.</w:t>
      </w:r>
      <w:r>
        <w:t xml:space="preserve"> </w:t>
      </w:r>
    </w:p>
    <w:p w14:paraId="040C8625" w14:textId="77777777" w:rsidR="00D946A5" w:rsidRDefault="00D946A5" w:rsidP="00ED35AF">
      <w:pPr>
        <w:pStyle w:val="Caption"/>
      </w:pPr>
      <w:bookmarkStart w:id="39" w:name="_Ref202526946"/>
      <w:bookmarkStart w:id="40" w:name="_Ref202526939"/>
    </w:p>
    <w:p w14:paraId="37573FAA" w14:textId="1BE5C688" w:rsidR="00391F46" w:rsidRDefault="00ED35AF" w:rsidP="00D04441">
      <w:pPr>
        <w:pStyle w:val="Caption"/>
        <w:rPr>
          <w:color w:val="000000" w:themeColor="text1"/>
        </w:rPr>
      </w:pPr>
      <w:bookmarkStart w:id="41" w:name="_Ref205225154"/>
      <w:bookmarkStart w:id="42" w:name="_Toc206692305"/>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6</w:t>
      </w:r>
      <w:r w:rsidR="001E216A" w:rsidRPr="00252027">
        <w:rPr>
          <w:noProof/>
          <w:color w:val="000000" w:themeColor="text1"/>
        </w:rPr>
        <w:fldChar w:fldCharType="end"/>
      </w:r>
      <w:bookmarkEnd w:id="39"/>
      <w:bookmarkEnd w:id="41"/>
      <w:r w:rsidRPr="00252027">
        <w:rPr>
          <w:color w:val="000000" w:themeColor="text1"/>
        </w:rPr>
        <w:t xml:space="preserve"> Top </w:t>
      </w:r>
      <w:r w:rsidR="004449EB" w:rsidRPr="00252027">
        <w:rPr>
          <w:color w:val="000000" w:themeColor="text1"/>
        </w:rPr>
        <w:t>5</w:t>
      </w:r>
      <w:r w:rsidR="00244682" w:rsidRPr="00252027">
        <w:rPr>
          <w:color w:val="000000" w:themeColor="text1"/>
        </w:rPr>
        <w:t xml:space="preserve"> </w:t>
      </w:r>
      <w:r w:rsidRPr="00252027">
        <w:rPr>
          <w:color w:val="000000" w:themeColor="text1"/>
        </w:rPr>
        <w:t xml:space="preserve">source countries </w:t>
      </w:r>
      <w:r w:rsidR="00244682" w:rsidRPr="00252027">
        <w:rPr>
          <w:color w:val="000000" w:themeColor="text1"/>
        </w:rPr>
        <w:t xml:space="preserve">for international students </w:t>
      </w:r>
      <w:r w:rsidRPr="00252027">
        <w:rPr>
          <w:color w:val="000000" w:themeColor="text1"/>
        </w:rPr>
        <w:t>by course level</w:t>
      </w:r>
      <w:r w:rsidR="00244682" w:rsidRPr="00252027">
        <w:rPr>
          <w:color w:val="000000" w:themeColor="text1"/>
        </w:rPr>
        <w:t xml:space="preserve">, based on </w:t>
      </w:r>
      <w:r w:rsidR="00602008" w:rsidRPr="00252027">
        <w:rPr>
          <w:color w:val="000000" w:themeColor="text1"/>
        </w:rPr>
        <w:t xml:space="preserve">responses to the </w:t>
      </w:r>
      <w:r w:rsidRPr="00252027">
        <w:rPr>
          <w:color w:val="000000" w:themeColor="text1"/>
        </w:rPr>
        <w:t>2024 SES</w:t>
      </w:r>
      <w:bookmarkEnd w:id="42"/>
      <w:r w:rsidR="00244682" w:rsidRPr="00252027">
        <w:rPr>
          <w:color w:val="000000" w:themeColor="text1"/>
        </w:rPr>
        <w:t xml:space="preserve"> </w:t>
      </w:r>
      <w:bookmarkEnd w:id="40"/>
    </w:p>
    <w:p w14:paraId="6B179017" w14:textId="55470A2E" w:rsidR="007213E9" w:rsidRPr="007213E9" w:rsidRDefault="007213E9" w:rsidP="007213E9">
      <w:pPr>
        <w:pStyle w:val="Body"/>
        <w:rPr>
          <w:lang w:eastAsia="en-AU"/>
        </w:rPr>
      </w:pPr>
      <w:r w:rsidRPr="007213E9">
        <w:rPr>
          <w:lang w:eastAsia="en-AU"/>
        </w:rPr>
        <w:drawing>
          <wp:inline distT="0" distB="0" distL="0" distR="0" wp14:anchorId="215E5DEE" wp14:editId="346907B0">
            <wp:extent cx="6385560" cy="3412040"/>
            <wp:effectExtent l="0" t="0" r="0" b="0"/>
            <wp:docPr id="1924382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82346" name=""/>
                    <pic:cNvPicPr/>
                  </pic:nvPicPr>
                  <pic:blipFill>
                    <a:blip r:embed="rId22"/>
                    <a:stretch>
                      <a:fillRect/>
                    </a:stretch>
                  </pic:blipFill>
                  <pic:spPr>
                    <a:xfrm>
                      <a:off x="0" y="0"/>
                      <a:ext cx="6389479" cy="3414134"/>
                    </a:xfrm>
                    <a:prstGeom prst="rect">
                      <a:avLst/>
                    </a:prstGeom>
                  </pic:spPr>
                </pic:pic>
              </a:graphicData>
            </a:graphic>
          </wp:inline>
        </w:drawing>
      </w:r>
    </w:p>
    <w:p w14:paraId="494CCFC9" w14:textId="629CA75C" w:rsidR="003230C1" w:rsidRPr="00016C8B" w:rsidRDefault="00581B9F" w:rsidP="00920821">
      <w:pPr>
        <w:rPr>
          <w:rFonts w:eastAsia="Calibri" w:cs="Times New Roman"/>
          <w:sz w:val="16"/>
          <w:szCs w:val="22"/>
          <w:lang w:val="en-GB"/>
        </w:rPr>
      </w:pPr>
      <w:r w:rsidRPr="00DF7B1E">
        <w:rPr>
          <w:noProof/>
        </w:rPr>
        <w:t xml:space="preserve"> </w:t>
      </w:r>
      <w:r w:rsidR="005C41E7">
        <w:rPr>
          <w:rFonts w:eastAsia="Calibri" w:cs="Times New Roman"/>
          <w:sz w:val="16"/>
          <w:szCs w:val="22"/>
          <w:lang w:val="en-GB"/>
        </w:rPr>
        <w:t xml:space="preserve">Note: </w:t>
      </w:r>
      <w:r w:rsidR="00032DAB" w:rsidRPr="00016C8B">
        <w:rPr>
          <w:rFonts w:eastAsia="Calibri" w:cs="Times New Roman"/>
          <w:sz w:val="16"/>
          <w:szCs w:val="22"/>
          <w:lang w:val="en-GB"/>
        </w:rPr>
        <w:t>Source country</w:t>
      </w:r>
      <w:r w:rsidR="00E677EF" w:rsidRPr="00016C8B">
        <w:rPr>
          <w:rFonts w:eastAsia="Calibri" w:cs="Times New Roman"/>
          <w:sz w:val="16"/>
          <w:szCs w:val="22"/>
          <w:lang w:val="en-GB"/>
        </w:rPr>
        <w:t xml:space="preserve"> in 2024</w:t>
      </w:r>
      <w:r w:rsidR="00032DAB" w:rsidRPr="00016C8B">
        <w:rPr>
          <w:rFonts w:eastAsia="Calibri" w:cs="Times New Roman"/>
          <w:sz w:val="16"/>
          <w:szCs w:val="22"/>
          <w:lang w:val="en-GB"/>
        </w:rPr>
        <w:t xml:space="preserve"> </w:t>
      </w:r>
      <w:r w:rsidR="005C41E7">
        <w:rPr>
          <w:rFonts w:eastAsia="Calibri" w:cs="Times New Roman"/>
          <w:sz w:val="16"/>
          <w:szCs w:val="22"/>
          <w:lang w:val="en-GB"/>
        </w:rPr>
        <w:t>wa</w:t>
      </w:r>
      <w:r w:rsidR="00F13A88" w:rsidRPr="00016C8B">
        <w:rPr>
          <w:rFonts w:eastAsia="Calibri" w:cs="Times New Roman"/>
          <w:sz w:val="16"/>
          <w:szCs w:val="22"/>
          <w:lang w:val="en-GB"/>
        </w:rPr>
        <w:t xml:space="preserve">s based on TCSI variable </w:t>
      </w:r>
      <w:r w:rsidR="00D92539" w:rsidRPr="00016C8B">
        <w:rPr>
          <w:rFonts w:eastAsia="Calibri" w:cs="Times New Roman"/>
          <w:sz w:val="16"/>
          <w:szCs w:val="22"/>
          <w:lang w:val="en-GB"/>
        </w:rPr>
        <w:t>E6</w:t>
      </w:r>
      <w:r w:rsidR="003D2A35" w:rsidRPr="00016C8B">
        <w:rPr>
          <w:rFonts w:eastAsia="Calibri" w:cs="Times New Roman"/>
          <w:sz w:val="16"/>
          <w:szCs w:val="22"/>
          <w:lang w:val="en-GB"/>
        </w:rPr>
        <w:t>58 (Residential address country code)</w:t>
      </w:r>
      <w:r w:rsidR="005C41E7">
        <w:rPr>
          <w:rFonts w:eastAsia="Calibri" w:cs="Times New Roman"/>
          <w:sz w:val="16"/>
          <w:szCs w:val="22"/>
          <w:lang w:val="en-GB"/>
        </w:rPr>
        <w:t>.</w:t>
      </w:r>
      <w:r w:rsidR="00131F2A" w:rsidRPr="00016C8B">
        <w:rPr>
          <w:rFonts w:eastAsia="Calibri" w:cs="Times New Roman"/>
          <w:sz w:val="16"/>
          <w:szCs w:val="22"/>
          <w:lang w:val="en-GB"/>
        </w:rPr>
        <w:t xml:space="preserve"> </w:t>
      </w:r>
    </w:p>
    <w:p w14:paraId="468FEB41" w14:textId="77777777" w:rsidR="00D946A5" w:rsidRDefault="00D946A5" w:rsidP="00821227">
      <w:pPr>
        <w:pStyle w:val="Body"/>
        <w:rPr>
          <w:rFonts w:cs="Arial"/>
          <w:b/>
          <w:bCs/>
          <w:lang w:val="en-GB"/>
        </w:rPr>
      </w:pPr>
    </w:p>
    <w:p w14:paraId="0CC4F837" w14:textId="77777777" w:rsidR="00EC55A5" w:rsidRDefault="00EC55A5" w:rsidP="00821227">
      <w:pPr>
        <w:pStyle w:val="Body"/>
        <w:rPr>
          <w:rFonts w:cs="Arial"/>
          <w:b/>
          <w:bCs/>
          <w:lang w:val="en-GB"/>
        </w:rPr>
      </w:pPr>
      <w:r>
        <w:rPr>
          <w:rFonts w:cs="Arial"/>
          <w:b/>
          <w:bCs/>
          <w:lang w:val="en-GB"/>
        </w:rPr>
        <w:br w:type="page"/>
      </w:r>
    </w:p>
    <w:p w14:paraId="069E9FEB" w14:textId="16D167A7" w:rsidR="00FD6B67" w:rsidRDefault="00306F9F" w:rsidP="00821227">
      <w:pPr>
        <w:pStyle w:val="Body"/>
        <w:rPr>
          <w:rFonts w:cs="Arial"/>
          <w:color w:val="000000"/>
          <w:lang w:eastAsia="en-AU"/>
        </w:rPr>
      </w:pPr>
      <w:r w:rsidRPr="007213E9">
        <w:rPr>
          <w:rFonts w:cs="Arial"/>
          <w:b/>
          <w:bCs/>
          <w:color w:val="000000"/>
          <w:lang w:eastAsia="en-AU"/>
        </w:rPr>
        <w:lastRenderedPageBreak/>
        <w:t xml:space="preserve">Key </w:t>
      </w:r>
      <w:r w:rsidR="005E6FEB" w:rsidRPr="007213E9">
        <w:rPr>
          <w:rFonts w:cs="Arial"/>
          <w:b/>
          <w:bCs/>
          <w:color w:val="000000"/>
          <w:lang w:eastAsia="en-AU"/>
        </w:rPr>
        <w:t xml:space="preserve">study areas </w:t>
      </w:r>
      <w:r w:rsidR="003346AA" w:rsidRPr="007213E9">
        <w:rPr>
          <w:rFonts w:cs="Arial"/>
          <w:b/>
          <w:bCs/>
          <w:color w:val="000000"/>
          <w:lang w:eastAsia="en-AU"/>
        </w:rPr>
        <w:t xml:space="preserve">by top </w:t>
      </w:r>
      <w:r w:rsidR="008832DA" w:rsidRPr="007213E9">
        <w:rPr>
          <w:rFonts w:cs="Arial"/>
          <w:b/>
          <w:bCs/>
          <w:color w:val="000000"/>
          <w:lang w:eastAsia="en-AU"/>
        </w:rPr>
        <w:t>5</w:t>
      </w:r>
      <w:r w:rsidR="003346AA" w:rsidRPr="007213E9">
        <w:rPr>
          <w:rFonts w:cs="Arial"/>
          <w:b/>
          <w:bCs/>
          <w:color w:val="000000"/>
          <w:lang w:eastAsia="en-AU"/>
        </w:rPr>
        <w:t xml:space="preserve"> source countries</w:t>
      </w:r>
      <w:r w:rsidR="004E1416" w:rsidRPr="007213E9">
        <w:rPr>
          <w:rFonts w:cs="Arial"/>
          <w:b/>
          <w:bCs/>
          <w:color w:val="000000"/>
          <w:lang w:eastAsia="en-AU"/>
        </w:rPr>
        <w:t xml:space="preserve"> </w:t>
      </w:r>
      <w:r w:rsidR="00C01CAF" w:rsidRPr="007213E9">
        <w:rPr>
          <w:rFonts w:cs="Arial"/>
          <w:b/>
          <w:bCs/>
          <w:color w:val="000000"/>
          <w:lang w:eastAsia="en-AU"/>
        </w:rPr>
        <w:t>based on responses to the 2024 SES</w:t>
      </w:r>
      <w:r w:rsidR="004E1416" w:rsidRPr="00254692">
        <w:rPr>
          <w:rFonts w:cs="Arial"/>
          <w:color w:val="000000"/>
          <w:lang w:eastAsia="en-AU"/>
        </w:rPr>
        <w:t xml:space="preserve"> </w:t>
      </w:r>
    </w:p>
    <w:p w14:paraId="0E8404CB" w14:textId="350170D8" w:rsidR="007213E9" w:rsidRPr="00D05BAF" w:rsidRDefault="007213E9" w:rsidP="00821227">
      <w:pPr>
        <w:pStyle w:val="Body"/>
        <w:rPr>
          <w:color w:val="FF0000"/>
        </w:rPr>
      </w:pPr>
      <w:r>
        <w:rPr>
          <w:noProof/>
          <w:color w:val="FF0000"/>
        </w:rPr>
        <w:drawing>
          <wp:inline distT="0" distB="0" distL="0" distR="0" wp14:anchorId="3B19CAAE" wp14:editId="35270541">
            <wp:extent cx="6748780" cy="3883660"/>
            <wp:effectExtent l="0" t="0" r="0" b="2540"/>
            <wp:docPr id="1163416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48780" cy="3883660"/>
                    </a:xfrm>
                    <a:prstGeom prst="rect">
                      <a:avLst/>
                    </a:prstGeom>
                    <a:noFill/>
                  </pic:spPr>
                </pic:pic>
              </a:graphicData>
            </a:graphic>
          </wp:inline>
        </w:drawing>
      </w:r>
    </w:p>
    <w:p w14:paraId="056AA496" w14:textId="5B5A0970" w:rsidR="00FD6B67" w:rsidRDefault="007213E9" w:rsidP="00821227">
      <w:pPr>
        <w:pStyle w:val="Body"/>
      </w:pPr>
      <w:r>
        <w:rPr>
          <w:noProof/>
        </w:rPr>
        <w:drawing>
          <wp:inline distT="0" distB="0" distL="0" distR="0" wp14:anchorId="253CE28D" wp14:editId="3AE4172E">
            <wp:extent cx="6748780" cy="3877310"/>
            <wp:effectExtent l="0" t="0" r="0" b="8890"/>
            <wp:docPr id="1451134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48780" cy="3877310"/>
                    </a:xfrm>
                    <a:prstGeom prst="rect">
                      <a:avLst/>
                    </a:prstGeom>
                    <a:noFill/>
                  </pic:spPr>
                </pic:pic>
              </a:graphicData>
            </a:graphic>
          </wp:inline>
        </w:drawing>
      </w:r>
    </w:p>
    <w:p w14:paraId="29CA0C54" w14:textId="47898F92" w:rsidR="00B76B5D" w:rsidRPr="00016C8B" w:rsidRDefault="005C41E7" w:rsidP="00B76B5D">
      <w:pPr>
        <w:rPr>
          <w:rFonts w:eastAsia="Calibri" w:cs="Times New Roman"/>
          <w:sz w:val="16"/>
          <w:szCs w:val="22"/>
          <w:lang w:val="en-GB"/>
        </w:rPr>
      </w:pPr>
      <w:r>
        <w:rPr>
          <w:rFonts w:eastAsia="Calibri" w:cs="Times New Roman"/>
          <w:sz w:val="16"/>
          <w:szCs w:val="22"/>
          <w:lang w:val="en-GB"/>
        </w:rPr>
        <w:t xml:space="preserve">Note: </w:t>
      </w:r>
      <w:r w:rsidR="00B76B5D" w:rsidRPr="00016C8B">
        <w:rPr>
          <w:rFonts w:eastAsia="Calibri" w:cs="Times New Roman"/>
          <w:sz w:val="16"/>
          <w:szCs w:val="22"/>
          <w:lang w:val="en-GB"/>
        </w:rPr>
        <w:t xml:space="preserve">Source country in 2024 </w:t>
      </w:r>
      <w:r>
        <w:rPr>
          <w:rFonts w:eastAsia="Calibri" w:cs="Times New Roman"/>
          <w:sz w:val="16"/>
          <w:szCs w:val="22"/>
          <w:lang w:val="en-GB"/>
        </w:rPr>
        <w:t>wa</w:t>
      </w:r>
      <w:r w:rsidR="00B76B5D" w:rsidRPr="00016C8B">
        <w:rPr>
          <w:rFonts w:eastAsia="Calibri" w:cs="Times New Roman"/>
          <w:sz w:val="16"/>
          <w:szCs w:val="22"/>
          <w:lang w:val="en-GB"/>
        </w:rPr>
        <w:t>s based on TCSI variable E658 (Residential address country code)</w:t>
      </w:r>
      <w:r>
        <w:rPr>
          <w:rFonts w:eastAsia="Calibri" w:cs="Times New Roman"/>
          <w:sz w:val="16"/>
          <w:szCs w:val="22"/>
          <w:lang w:val="en-GB"/>
        </w:rPr>
        <w:t>.</w:t>
      </w:r>
      <w:r w:rsidR="00B76B5D" w:rsidRPr="00016C8B">
        <w:rPr>
          <w:rFonts w:eastAsia="Calibri" w:cs="Times New Roman"/>
          <w:sz w:val="16"/>
          <w:szCs w:val="22"/>
          <w:lang w:val="en-GB"/>
        </w:rPr>
        <w:t xml:space="preserve"> </w:t>
      </w:r>
    </w:p>
    <w:p w14:paraId="4F06B1C6" w14:textId="77777777" w:rsidR="00420C97" w:rsidRDefault="00420C97" w:rsidP="00821227">
      <w:pPr>
        <w:pStyle w:val="Body"/>
      </w:pPr>
    </w:p>
    <w:p w14:paraId="690587C2" w14:textId="77777777" w:rsidR="007213E9" w:rsidRDefault="007213E9">
      <w:pPr>
        <w:spacing w:after="160" w:line="259" w:lineRule="auto"/>
        <w:rPr>
          <w:rFonts w:eastAsia="Times New Roman" w:cs="Times New Roman"/>
          <w:szCs w:val="20"/>
        </w:rPr>
      </w:pPr>
      <w:r>
        <w:br w:type="page"/>
      </w:r>
    </w:p>
    <w:p w14:paraId="5451DBF7" w14:textId="487FC717" w:rsidR="00821227" w:rsidRDefault="0082140A" w:rsidP="00821227">
      <w:pPr>
        <w:pStyle w:val="Body"/>
      </w:pPr>
      <w:r w:rsidRPr="0082140A">
        <w:lastRenderedPageBreak/>
        <w:t>Although Section 2.1 noted</w:t>
      </w:r>
      <w:r w:rsidR="00821227" w:rsidRPr="00EB1049">
        <w:t xml:space="preserve"> that international undergraduates’ </w:t>
      </w:r>
      <w:r w:rsidR="00366C0A">
        <w:t>Overall Educational Experience</w:t>
      </w:r>
      <w:r w:rsidR="002264AC" w:rsidRPr="00EB1049">
        <w:t xml:space="preserve"> remained relatively stable between 2023 and 2024</w:t>
      </w:r>
      <w:r w:rsidRPr="0082140A">
        <w:t>,</w:t>
      </w:r>
      <w:r w:rsidR="009D4828" w:rsidRPr="00EB1049">
        <w:t xml:space="preserve"> ratings </w:t>
      </w:r>
      <w:r w:rsidRPr="0082140A">
        <w:t>for</w:t>
      </w:r>
      <w:r w:rsidR="00821396">
        <w:t xml:space="preserve"> the </w:t>
      </w:r>
      <w:r w:rsidR="00366C0A">
        <w:t>Overall Educational Experience</w:t>
      </w:r>
      <w:r w:rsidR="00821396">
        <w:t xml:space="preserve"> and </w:t>
      </w:r>
      <w:r w:rsidRPr="0082140A">
        <w:t xml:space="preserve">specific </w:t>
      </w:r>
      <w:r w:rsidR="00805EAA">
        <w:t>f</w:t>
      </w:r>
      <w:r w:rsidR="00821396">
        <w:t xml:space="preserve">ocus </w:t>
      </w:r>
      <w:r w:rsidR="00805EAA">
        <w:t>a</w:t>
      </w:r>
      <w:r w:rsidR="00821396">
        <w:t>reas</w:t>
      </w:r>
      <w:r w:rsidR="00556B10">
        <w:t xml:space="preserve"> </w:t>
      </w:r>
      <w:r w:rsidRPr="0082140A">
        <w:t>varied across</w:t>
      </w:r>
      <w:r w:rsidR="00556B10">
        <w:t xml:space="preserve"> the </w:t>
      </w:r>
      <w:r w:rsidR="004D19FA">
        <w:t>top 5</w:t>
      </w:r>
      <w:r w:rsidR="00556B10">
        <w:t xml:space="preserve"> </w:t>
      </w:r>
      <w:r w:rsidR="009D4828" w:rsidRPr="00EB1049">
        <w:t xml:space="preserve">source </w:t>
      </w:r>
      <w:r w:rsidRPr="0082140A">
        <w:t>countr</w:t>
      </w:r>
      <w:r w:rsidR="004D19FA">
        <w:t>ies</w:t>
      </w:r>
      <w:r w:rsidR="00BB1F7A">
        <w:t xml:space="preserve">, as shown in </w:t>
      </w:r>
      <w:r w:rsidR="00BB1F7A" w:rsidRPr="002F34BA">
        <w:rPr>
          <w:b/>
          <w:bCs/>
        </w:rPr>
        <w:fldChar w:fldCharType="begin"/>
      </w:r>
      <w:r w:rsidR="00BB1F7A" w:rsidRPr="002F34BA">
        <w:rPr>
          <w:b/>
          <w:bCs/>
        </w:rPr>
        <w:instrText xml:space="preserve"> REF _Ref197681138 \h </w:instrText>
      </w:r>
      <w:r w:rsidR="002F34BA">
        <w:rPr>
          <w:b/>
          <w:bCs/>
        </w:rPr>
        <w:instrText xml:space="preserve"> \* MERGEFORMAT </w:instrText>
      </w:r>
      <w:r w:rsidR="00BB1F7A" w:rsidRPr="002F34BA">
        <w:rPr>
          <w:b/>
          <w:bCs/>
        </w:rPr>
      </w:r>
      <w:r w:rsidR="00BB1F7A" w:rsidRPr="002F34BA">
        <w:rPr>
          <w:b/>
          <w:bCs/>
        </w:rPr>
        <w:fldChar w:fldCharType="separate"/>
      </w:r>
      <w:r w:rsidR="00F96AB4" w:rsidRPr="00F96AB4">
        <w:rPr>
          <w:b/>
          <w:bCs/>
        </w:rPr>
        <w:t xml:space="preserve">Figure </w:t>
      </w:r>
      <w:r w:rsidR="00F96AB4" w:rsidRPr="00F96AB4">
        <w:rPr>
          <w:b/>
          <w:bCs/>
          <w:noProof/>
        </w:rPr>
        <w:t>7</w:t>
      </w:r>
      <w:r w:rsidR="00BB1F7A" w:rsidRPr="002F34BA">
        <w:rPr>
          <w:b/>
          <w:bCs/>
        </w:rPr>
        <w:fldChar w:fldCharType="end"/>
      </w:r>
      <w:r w:rsidR="00BB1F7A">
        <w:t xml:space="preserve"> and </w:t>
      </w:r>
      <w:r w:rsidR="002F34BA" w:rsidRPr="002F34BA">
        <w:rPr>
          <w:b/>
          <w:bCs/>
        </w:rPr>
        <w:fldChar w:fldCharType="begin"/>
      </w:r>
      <w:r w:rsidR="002F34BA" w:rsidRPr="002F34BA">
        <w:rPr>
          <w:b/>
          <w:bCs/>
        </w:rPr>
        <w:instrText xml:space="preserve"> REF _Ref197683836 \h </w:instrText>
      </w:r>
      <w:r w:rsidR="002F34BA">
        <w:rPr>
          <w:b/>
          <w:bCs/>
        </w:rPr>
        <w:instrText xml:space="preserve"> \* MERGEFORMAT </w:instrText>
      </w:r>
      <w:r w:rsidR="002F34BA" w:rsidRPr="002F34BA">
        <w:rPr>
          <w:b/>
          <w:bCs/>
        </w:rPr>
      </w:r>
      <w:r w:rsidR="002F34BA" w:rsidRPr="002F34BA">
        <w:rPr>
          <w:b/>
          <w:bCs/>
        </w:rPr>
        <w:fldChar w:fldCharType="separate"/>
      </w:r>
      <w:r w:rsidR="00F96AB4" w:rsidRPr="00F96AB4">
        <w:rPr>
          <w:b/>
          <w:bCs/>
        </w:rPr>
        <w:t xml:space="preserve">Figure </w:t>
      </w:r>
      <w:r w:rsidR="00F96AB4" w:rsidRPr="00F96AB4">
        <w:rPr>
          <w:b/>
          <w:bCs/>
          <w:noProof/>
        </w:rPr>
        <w:t>8</w:t>
      </w:r>
      <w:r w:rsidR="002F34BA" w:rsidRPr="002F34BA">
        <w:rPr>
          <w:b/>
          <w:bCs/>
        </w:rPr>
        <w:fldChar w:fldCharType="end"/>
      </w:r>
      <w:r w:rsidR="002F34BA">
        <w:t xml:space="preserve">. </w:t>
      </w:r>
    </w:p>
    <w:p w14:paraId="42D148C8" w14:textId="46EBCF69" w:rsidR="00A83582" w:rsidRPr="00252027" w:rsidRDefault="00A83582" w:rsidP="00A83582">
      <w:pPr>
        <w:pStyle w:val="Caption"/>
        <w:rPr>
          <w:color w:val="000000" w:themeColor="text1"/>
        </w:rPr>
      </w:pPr>
      <w:bookmarkStart w:id="43" w:name="_Ref197681138"/>
      <w:bookmarkStart w:id="44" w:name="_Toc206692306"/>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7</w:t>
      </w:r>
      <w:r w:rsidR="001E216A" w:rsidRPr="00252027">
        <w:rPr>
          <w:noProof/>
          <w:color w:val="000000" w:themeColor="text1"/>
        </w:rPr>
        <w:fldChar w:fldCharType="end"/>
      </w:r>
      <w:bookmarkEnd w:id="43"/>
      <w:r w:rsidRPr="00252027">
        <w:rPr>
          <w:color w:val="000000" w:themeColor="text1"/>
        </w:rPr>
        <w:t xml:space="preserve"> Undergraduate educational experience and focus areas by source country, 2024 (% positive rating)</w:t>
      </w:r>
      <w:bookmarkEnd w:id="44"/>
    </w:p>
    <w:p w14:paraId="40C65885" w14:textId="553822A3" w:rsidR="007213E9" w:rsidRPr="00252027" w:rsidRDefault="007213E9" w:rsidP="00105D78">
      <w:pPr>
        <w:pStyle w:val="Body"/>
        <w:rPr>
          <w:color w:val="000000" w:themeColor="text1"/>
          <w:sz w:val="16"/>
          <w:szCs w:val="16"/>
          <w:lang w:eastAsia="en-AU"/>
        </w:rPr>
      </w:pPr>
      <w:r>
        <w:rPr>
          <w:noProof/>
          <w:color w:val="000000" w:themeColor="text1"/>
          <w:sz w:val="16"/>
          <w:szCs w:val="16"/>
          <w:lang w:eastAsia="en-AU"/>
        </w:rPr>
        <w:drawing>
          <wp:inline distT="0" distB="0" distL="0" distR="0" wp14:anchorId="4405CB3B" wp14:editId="2C730FF6">
            <wp:extent cx="6748780" cy="2493645"/>
            <wp:effectExtent l="0" t="0" r="0" b="1905"/>
            <wp:docPr id="10721084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48780" cy="2493645"/>
                    </a:xfrm>
                    <a:prstGeom prst="rect">
                      <a:avLst/>
                    </a:prstGeom>
                    <a:noFill/>
                  </pic:spPr>
                </pic:pic>
              </a:graphicData>
            </a:graphic>
          </wp:inline>
        </w:drawing>
      </w:r>
    </w:p>
    <w:p w14:paraId="4A9A405C" w14:textId="412A5990" w:rsidR="00E93FD0" w:rsidRDefault="005C41E7" w:rsidP="00534AA9">
      <w:r>
        <w:rPr>
          <w:rFonts w:eastAsia="Calibri" w:cs="Times New Roman"/>
          <w:sz w:val="16"/>
          <w:szCs w:val="22"/>
          <w:lang w:val="en-GB"/>
        </w:rPr>
        <w:t xml:space="preserve">Note: </w:t>
      </w:r>
      <w:r w:rsidR="00DF50BA" w:rsidRPr="00016C8B">
        <w:rPr>
          <w:rFonts w:eastAsia="Calibri" w:cs="Times New Roman"/>
          <w:sz w:val="16"/>
          <w:szCs w:val="22"/>
          <w:lang w:val="en-GB"/>
        </w:rPr>
        <w:t xml:space="preserve">Source country in 2024 </w:t>
      </w:r>
      <w:r>
        <w:rPr>
          <w:rFonts w:eastAsia="Calibri" w:cs="Times New Roman"/>
          <w:sz w:val="16"/>
          <w:szCs w:val="22"/>
          <w:lang w:val="en-GB"/>
        </w:rPr>
        <w:t>wa</w:t>
      </w:r>
      <w:r w:rsidR="00DF50BA" w:rsidRPr="00016C8B">
        <w:rPr>
          <w:rFonts w:eastAsia="Calibri" w:cs="Times New Roman"/>
          <w:sz w:val="16"/>
          <w:szCs w:val="22"/>
          <w:lang w:val="en-GB"/>
        </w:rPr>
        <w:t>s based on E658 Residential address country code</w:t>
      </w:r>
      <w:r>
        <w:rPr>
          <w:rFonts w:eastAsia="Calibri" w:cs="Times New Roman"/>
          <w:sz w:val="16"/>
          <w:szCs w:val="22"/>
          <w:lang w:val="en-GB"/>
        </w:rPr>
        <w:t xml:space="preserve">. </w:t>
      </w:r>
      <w:r w:rsidR="00DD1715" w:rsidRPr="009F41B5">
        <w:rPr>
          <w:rFonts w:eastAsia="Calibri"/>
          <w:sz w:val="16"/>
          <w:szCs w:val="22"/>
        </w:rPr>
        <w:t xml:space="preserve">Source countries shown in this figure represent the top </w:t>
      </w:r>
      <w:r w:rsidR="00F320D0">
        <w:rPr>
          <w:rFonts w:eastAsia="Calibri"/>
          <w:sz w:val="16"/>
          <w:szCs w:val="22"/>
        </w:rPr>
        <w:t>5</w:t>
      </w:r>
      <w:r w:rsidR="00DD1715" w:rsidRPr="009F41B5">
        <w:rPr>
          <w:rFonts w:eastAsia="Calibri"/>
          <w:sz w:val="16"/>
          <w:szCs w:val="22"/>
        </w:rPr>
        <w:t xml:space="preserve"> by number of survey respondents, ordered from left to right from largest to smallest.</w:t>
      </w:r>
    </w:p>
    <w:p w14:paraId="0E029AFB" w14:textId="08F2AB78" w:rsidR="00027F64" w:rsidRPr="00027F64" w:rsidRDefault="00027F64" w:rsidP="00027F64">
      <w:pPr>
        <w:pStyle w:val="Body"/>
      </w:pPr>
      <w:r>
        <w:t>For example, in 2024</w:t>
      </w:r>
      <w:r w:rsidRPr="00027F64">
        <w:t xml:space="preserve">, among undergraduate international students who responded to the survey, those from India rated their </w:t>
      </w:r>
      <w:r w:rsidR="00366C0A">
        <w:t>Overall Educational Experience</w:t>
      </w:r>
      <w:r w:rsidRPr="00027F64">
        <w:t xml:space="preserve"> higher than respondents from any of the other top </w:t>
      </w:r>
      <w:r w:rsidR="00F320D0">
        <w:t xml:space="preserve">5 </w:t>
      </w:r>
      <w:r w:rsidRPr="00027F64">
        <w:t xml:space="preserve">source countries, </w:t>
      </w:r>
      <w:r>
        <w:t>as shown</w:t>
      </w:r>
      <w:r w:rsidRPr="00AF67E4">
        <w:t xml:space="preserve"> in</w:t>
      </w:r>
      <w:r>
        <w:t xml:space="preserve"> </w:t>
      </w:r>
      <w:r w:rsidR="00E46377">
        <w:fldChar w:fldCharType="begin"/>
      </w:r>
      <w:r w:rsidR="00E46377">
        <w:instrText xml:space="preserve"> REF _Ref197681138 \h  \* MERGEFORMAT </w:instrText>
      </w:r>
      <w:r w:rsidR="00E46377">
        <w:fldChar w:fldCharType="separate"/>
      </w:r>
      <w:r w:rsidR="00F96AB4" w:rsidRPr="00F96AB4">
        <w:rPr>
          <w:b/>
          <w:bCs/>
        </w:rPr>
        <w:t xml:space="preserve">Figure </w:t>
      </w:r>
      <w:r w:rsidR="00F96AB4" w:rsidRPr="00F96AB4">
        <w:rPr>
          <w:b/>
          <w:bCs/>
          <w:noProof/>
        </w:rPr>
        <w:t>7</w:t>
      </w:r>
      <w:r w:rsidR="00E46377">
        <w:fldChar w:fldCharType="end"/>
      </w:r>
      <w:r w:rsidRPr="00027F64">
        <w:t xml:space="preserve">. Respondents from Nepal also gave </w:t>
      </w:r>
      <w:r w:rsidR="00805EAA" w:rsidRPr="00027F64">
        <w:t xml:space="preserve">ratings </w:t>
      </w:r>
      <w:r w:rsidR="007C5AFD">
        <w:t>3.8</w:t>
      </w:r>
      <w:r w:rsidR="00805EAA">
        <w:t xml:space="preserve"> percentage points </w:t>
      </w:r>
      <w:r w:rsidRPr="00027F64">
        <w:t xml:space="preserve">higher than those from China (excluding SARs and Taiwan). In fact, international undergraduate respondents </w:t>
      </w:r>
      <w:r>
        <w:t xml:space="preserve">from China </w:t>
      </w:r>
      <w:r w:rsidRPr="00027F64">
        <w:t>(excluding SARs and Taiwan)</w:t>
      </w:r>
      <w:r>
        <w:t xml:space="preserve"> </w:t>
      </w:r>
      <w:r w:rsidRPr="00027F64">
        <w:t xml:space="preserve">reported lower scores across all </w:t>
      </w:r>
      <w:r w:rsidR="00805EAA">
        <w:t>f</w:t>
      </w:r>
      <w:r w:rsidRPr="00027F64">
        <w:t xml:space="preserve">ocus </w:t>
      </w:r>
      <w:r w:rsidR="00805EAA">
        <w:t>a</w:t>
      </w:r>
      <w:r w:rsidRPr="00027F64">
        <w:t xml:space="preserve">reas—except for Learning Resources, where </w:t>
      </w:r>
      <w:r w:rsidR="00B07241">
        <w:t xml:space="preserve">they gave the highest ratings among the top </w:t>
      </w:r>
      <w:r w:rsidR="00F320D0">
        <w:t>5</w:t>
      </w:r>
      <w:r w:rsidR="00B07241">
        <w:t xml:space="preserve"> source countries. </w:t>
      </w:r>
    </w:p>
    <w:p w14:paraId="15005266" w14:textId="6C1107F9" w:rsidR="009E5FB3" w:rsidRDefault="00027F64" w:rsidP="00027F64">
      <w:pPr>
        <w:pStyle w:val="Body"/>
      </w:pPr>
      <w:r w:rsidRPr="00027F64">
        <w:t xml:space="preserve">Peer Engagement ratings in 2024 also varied significantly among respondents from the top </w:t>
      </w:r>
      <w:r w:rsidR="00F320D0">
        <w:t>5</w:t>
      </w:r>
      <w:r w:rsidRPr="00027F64">
        <w:t xml:space="preserve"> source countries. Undergraduate respondents from China (excluding SARs and Taiwan)</w:t>
      </w:r>
      <w:r>
        <w:t xml:space="preserve"> </w:t>
      </w:r>
      <w:r w:rsidRPr="00027F64">
        <w:t xml:space="preserve">rated their Peer Engagement much lower than those from India and Nepal, </w:t>
      </w:r>
      <w:r w:rsidR="0076100A">
        <w:t xml:space="preserve">both </w:t>
      </w:r>
      <w:r w:rsidRPr="00027F64">
        <w:t xml:space="preserve">with </w:t>
      </w:r>
      <w:r w:rsidR="009115D1">
        <w:t xml:space="preserve">a </w:t>
      </w:r>
      <w:r w:rsidRPr="00027F64">
        <w:t>gap of 14.</w:t>
      </w:r>
      <w:r w:rsidR="00B87392">
        <w:t>9</w:t>
      </w:r>
      <w:r w:rsidRPr="00027F64">
        <w:t xml:space="preserve"> percentage points. This trend is not new</w:t>
      </w:r>
      <w:r>
        <w:t>—</w:t>
      </w:r>
      <w:r w:rsidRPr="00027F64">
        <w:t xml:space="preserve">international students </w:t>
      </w:r>
      <w:r>
        <w:t xml:space="preserve">from China </w:t>
      </w:r>
      <w:r w:rsidRPr="00027F64">
        <w:t>(excluding SARs and Taiwan)</w:t>
      </w:r>
      <w:r>
        <w:t xml:space="preserve"> </w:t>
      </w:r>
      <w:r w:rsidRPr="00027F64">
        <w:t>have consistently reported lower Peer Engagement scores than their Indian and Nepali peers since 2017, at both undergraduate and postgraduate coursework levels. Respondents from Malaysia also rated Peer Engagement lower than those from India and Nepal.</w:t>
      </w:r>
    </w:p>
    <w:p w14:paraId="442C7A32" w14:textId="5C1D2315" w:rsidR="008D75D6" w:rsidRDefault="008D75D6" w:rsidP="008D75D6">
      <w:pPr>
        <w:pStyle w:val="Caption"/>
        <w:rPr>
          <w:color w:val="000000" w:themeColor="text1"/>
        </w:rPr>
      </w:pPr>
      <w:bookmarkStart w:id="45" w:name="_Ref197683836"/>
      <w:bookmarkStart w:id="46" w:name="_Toc206692307"/>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8</w:t>
      </w:r>
      <w:r w:rsidR="001E216A" w:rsidRPr="00252027">
        <w:rPr>
          <w:noProof/>
          <w:color w:val="000000" w:themeColor="text1"/>
        </w:rPr>
        <w:fldChar w:fldCharType="end"/>
      </w:r>
      <w:bookmarkEnd w:id="45"/>
      <w:r w:rsidRPr="00252027">
        <w:rPr>
          <w:color w:val="000000" w:themeColor="text1"/>
        </w:rPr>
        <w:t xml:space="preserve"> Postgraduate coursework educational experience and focus areas by source country, 2024 (% positive rating)</w:t>
      </w:r>
      <w:bookmarkEnd w:id="46"/>
    </w:p>
    <w:p w14:paraId="6C95FB16" w14:textId="207307D0" w:rsidR="007213E9" w:rsidRPr="007213E9" w:rsidRDefault="007213E9" w:rsidP="007213E9">
      <w:pPr>
        <w:pStyle w:val="Body"/>
        <w:rPr>
          <w:lang w:eastAsia="en-AU"/>
        </w:rPr>
      </w:pPr>
      <w:r>
        <w:rPr>
          <w:noProof/>
          <w:lang w:eastAsia="en-AU"/>
        </w:rPr>
        <w:drawing>
          <wp:inline distT="0" distB="0" distL="0" distR="0" wp14:anchorId="1B000E6F" wp14:editId="0D5C13DF">
            <wp:extent cx="6748780" cy="2493645"/>
            <wp:effectExtent l="0" t="0" r="0" b="1905"/>
            <wp:docPr id="2049697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48780" cy="2493645"/>
                    </a:xfrm>
                    <a:prstGeom prst="rect">
                      <a:avLst/>
                    </a:prstGeom>
                    <a:noFill/>
                  </pic:spPr>
                </pic:pic>
              </a:graphicData>
            </a:graphic>
          </wp:inline>
        </w:drawing>
      </w:r>
    </w:p>
    <w:p w14:paraId="5655C64E" w14:textId="55754D03" w:rsidR="00016C8B" w:rsidRDefault="005C41E7" w:rsidP="00A06187">
      <w:pPr>
        <w:rPr>
          <w:highlight w:val="yellow"/>
        </w:rPr>
      </w:pPr>
      <w:r>
        <w:rPr>
          <w:rFonts w:eastAsia="Calibri" w:cs="Times New Roman"/>
          <w:sz w:val="16"/>
          <w:szCs w:val="22"/>
          <w:lang w:val="en-GB"/>
        </w:rPr>
        <w:t xml:space="preserve">Note: </w:t>
      </w:r>
      <w:r w:rsidR="00016C8B" w:rsidRPr="00016C8B">
        <w:rPr>
          <w:rFonts w:eastAsia="Calibri" w:cs="Times New Roman"/>
          <w:sz w:val="16"/>
          <w:szCs w:val="22"/>
          <w:lang w:val="en-GB"/>
        </w:rPr>
        <w:t xml:space="preserve">Source country in 2024 </w:t>
      </w:r>
      <w:r>
        <w:rPr>
          <w:rFonts w:eastAsia="Calibri" w:cs="Times New Roman"/>
          <w:sz w:val="16"/>
          <w:szCs w:val="22"/>
          <w:lang w:val="en-GB"/>
        </w:rPr>
        <w:t>wa</w:t>
      </w:r>
      <w:r w:rsidR="00016C8B" w:rsidRPr="00016C8B">
        <w:rPr>
          <w:rFonts w:eastAsia="Calibri" w:cs="Times New Roman"/>
          <w:sz w:val="16"/>
          <w:szCs w:val="22"/>
          <w:lang w:val="en-GB"/>
        </w:rPr>
        <w:t>s based on E658 Residential address country code</w:t>
      </w:r>
      <w:r>
        <w:rPr>
          <w:rFonts w:eastAsia="Calibri" w:cs="Times New Roman"/>
          <w:sz w:val="16"/>
          <w:szCs w:val="22"/>
          <w:lang w:val="en-GB"/>
        </w:rPr>
        <w:t>.</w:t>
      </w:r>
      <w:r w:rsidR="00EC55A5">
        <w:rPr>
          <w:rFonts w:eastAsia="Calibri" w:cs="Times New Roman"/>
          <w:sz w:val="16"/>
          <w:szCs w:val="22"/>
          <w:lang w:val="en-GB"/>
        </w:rPr>
        <w:t xml:space="preserve"> </w:t>
      </w:r>
      <w:r w:rsidR="00DD1715" w:rsidRPr="009F41B5">
        <w:rPr>
          <w:rFonts w:eastAsia="Calibri"/>
          <w:sz w:val="16"/>
          <w:szCs w:val="22"/>
        </w:rPr>
        <w:t xml:space="preserve">Source countries shown in this figure represent the top </w:t>
      </w:r>
      <w:r w:rsidR="00F320D0">
        <w:rPr>
          <w:rFonts w:eastAsia="Calibri"/>
          <w:sz w:val="16"/>
          <w:szCs w:val="22"/>
        </w:rPr>
        <w:t>5</w:t>
      </w:r>
      <w:r w:rsidR="00DD1715" w:rsidRPr="009F41B5">
        <w:rPr>
          <w:rFonts w:eastAsia="Calibri"/>
          <w:sz w:val="16"/>
          <w:szCs w:val="22"/>
        </w:rPr>
        <w:t xml:space="preserve"> by number of survey respondents, ordered from left to right from largest to smallest.</w:t>
      </w:r>
    </w:p>
    <w:p w14:paraId="694945A5" w14:textId="6A6FBF8B" w:rsidR="00EA1CEB" w:rsidRPr="00EA1CEB" w:rsidRDefault="009B7C23" w:rsidP="00EA1CEB">
      <w:pPr>
        <w:pStyle w:val="Body"/>
      </w:pPr>
      <w:r w:rsidRPr="009B7C23">
        <w:rPr>
          <w:b/>
          <w:bCs/>
        </w:rPr>
        <w:lastRenderedPageBreak/>
        <w:fldChar w:fldCharType="begin"/>
      </w:r>
      <w:r w:rsidRPr="009B7C23">
        <w:rPr>
          <w:b/>
          <w:bCs/>
        </w:rPr>
        <w:instrText xml:space="preserve"> REF _Ref197683836 \h  \* MERGEFORMAT </w:instrText>
      </w:r>
      <w:r w:rsidRPr="009B7C23">
        <w:rPr>
          <w:b/>
          <w:bCs/>
        </w:rPr>
      </w:r>
      <w:r w:rsidRPr="009B7C23">
        <w:rPr>
          <w:b/>
          <w:bCs/>
        </w:rPr>
        <w:fldChar w:fldCharType="separate"/>
      </w:r>
      <w:r w:rsidR="00F96AB4" w:rsidRPr="00F96AB4">
        <w:rPr>
          <w:b/>
          <w:bCs/>
        </w:rPr>
        <w:t xml:space="preserve">Figure </w:t>
      </w:r>
      <w:r w:rsidR="00F96AB4" w:rsidRPr="00F96AB4">
        <w:rPr>
          <w:b/>
          <w:bCs/>
          <w:noProof/>
        </w:rPr>
        <w:t>8</w:t>
      </w:r>
      <w:r w:rsidRPr="009B7C23">
        <w:rPr>
          <w:b/>
          <w:bCs/>
        </w:rPr>
        <w:fldChar w:fldCharType="end"/>
      </w:r>
      <w:r w:rsidR="00EA1CEB" w:rsidRPr="00EA1CEB">
        <w:t xml:space="preserve"> presents focus area ratings from postgraduate coursework international </w:t>
      </w:r>
      <w:r w:rsidR="00027F64">
        <w:t>respondents</w:t>
      </w:r>
      <w:r w:rsidR="00EA1CEB" w:rsidRPr="00EA1CEB">
        <w:t xml:space="preserve"> by source country. </w:t>
      </w:r>
      <w:r w:rsidR="00EA1CEB">
        <w:t>Similar</w:t>
      </w:r>
      <w:r w:rsidR="0005306B">
        <w:t xml:space="preserve"> t</w:t>
      </w:r>
      <w:r w:rsidR="00D337D3">
        <w:t>o</w:t>
      </w:r>
      <w:r w:rsidR="0005306B" w:rsidRPr="00EA1CEB">
        <w:t xml:space="preserve"> </w:t>
      </w:r>
      <w:r w:rsidR="00EA1CEB" w:rsidRPr="00EA1CEB">
        <w:t xml:space="preserve">the undergraduate results, </w:t>
      </w:r>
      <w:r w:rsidR="00027F64">
        <w:t>responden</w:t>
      </w:r>
      <w:r w:rsidR="00027F64" w:rsidRPr="00EA1CEB">
        <w:t>ts</w:t>
      </w:r>
      <w:r w:rsidR="00EA1CEB" w:rsidRPr="00EA1CEB">
        <w:t xml:space="preserve"> from China </w:t>
      </w:r>
      <w:r w:rsidR="00027F64" w:rsidRPr="00027F64">
        <w:t>(excluding SARs and Taiwan)</w:t>
      </w:r>
      <w:r w:rsidR="00EA1CEB" w:rsidRPr="00EA1CEB">
        <w:t xml:space="preserve"> rated their </w:t>
      </w:r>
      <w:r w:rsidR="00366C0A">
        <w:t>Overall Educational Experience</w:t>
      </w:r>
      <w:r w:rsidR="00EA1CEB" w:rsidRPr="00EA1CEB">
        <w:t xml:space="preserve"> and most </w:t>
      </w:r>
      <w:r w:rsidR="00B81AD7">
        <w:t>f</w:t>
      </w:r>
      <w:r w:rsidR="00EA1CEB" w:rsidRPr="00EA1CEB">
        <w:t xml:space="preserve">ocus </w:t>
      </w:r>
      <w:r w:rsidR="00B81AD7">
        <w:t>a</w:t>
      </w:r>
      <w:r w:rsidR="00EA1CEB" w:rsidRPr="00EA1CEB">
        <w:t xml:space="preserve">reas lower than </w:t>
      </w:r>
      <w:r w:rsidR="00027F64">
        <w:t xml:space="preserve">their peers from </w:t>
      </w:r>
      <w:r w:rsidR="00EA1CEB" w:rsidRPr="00EA1CEB">
        <w:t>other major source countr</w:t>
      </w:r>
      <w:r w:rsidR="00D337D3">
        <w:t>ies</w:t>
      </w:r>
      <w:r w:rsidR="00EA1CEB" w:rsidRPr="00EA1CEB">
        <w:t>, with particularly low ratings for Peer Engagement. The only exception was Learning Resources, where their ratings were comparatively higher</w:t>
      </w:r>
      <w:r w:rsidR="00121835">
        <w:t xml:space="preserve"> than their ratings </w:t>
      </w:r>
      <w:r w:rsidR="00176611">
        <w:t>on other focus areas</w:t>
      </w:r>
      <w:r w:rsidR="00EA1CEB" w:rsidRPr="00EA1CEB">
        <w:t xml:space="preserve">. In contrast, </w:t>
      </w:r>
      <w:r w:rsidR="00027F64">
        <w:t>respondent</w:t>
      </w:r>
      <w:r w:rsidR="00EA1CEB" w:rsidRPr="00EA1CEB">
        <w:t>s from Nepal gave the lowest ratings for Learning Resources among the top source countries.</w:t>
      </w:r>
    </w:p>
    <w:p w14:paraId="3B01B856" w14:textId="3FDA3CC5" w:rsidR="00EA1CEB" w:rsidRPr="00EA1CEB" w:rsidRDefault="00EA1CEB" w:rsidP="00EA1CEB">
      <w:pPr>
        <w:pStyle w:val="Body"/>
      </w:pPr>
      <w:r w:rsidRPr="00EA1CEB">
        <w:t xml:space="preserve">Postgraduate coursework </w:t>
      </w:r>
      <w:r w:rsidR="00027F64">
        <w:t>respondent</w:t>
      </w:r>
      <w:r w:rsidRPr="00EA1CEB">
        <w:t xml:space="preserve">s from the Philippines rated their </w:t>
      </w:r>
      <w:r w:rsidR="00366C0A">
        <w:t>Overall Educational Experience</w:t>
      </w:r>
      <w:r w:rsidRPr="00EA1CEB">
        <w:t xml:space="preserve"> higher than </w:t>
      </w:r>
      <w:r w:rsidR="00027F64">
        <w:t>respondents</w:t>
      </w:r>
      <w:r w:rsidRPr="00EA1CEB">
        <w:t xml:space="preserve"> from any of the other four major source countries.</w:t>
      </w:r>
    </w:p>
    <w:p w14:paraId="4C099C93" w14:textId="396377D6" w:rsidR="00EA1CEB" w:rsidRPr="00EA1CEB" w:rsidRDefault="00AB694E" w:rsidP="00EA1CEB">
      <w:pPr>
        <w:pStyle w:val="Body"/>
        <w:rPr>
          <w:highlight w:val="yellow"/>
        </w:rPr>
      </w:pPr>
      <w:r w:rsidRPr="00AB694E">
        <w:t xml:space="preserve">Given that most international students undertake their studies primarily in internal mode, these findings suggest that students from different source countries may have varying expectations and experiences of higher education in Australia. This highlights the importance for institutions to understand the diverse motivations and expectations of their international student cohorts, particularly within specific study areas. Further analysis of source country differences related to the student living experience, as well as reasons for choosing Australia and their specific institution, is </w:t>
      </w:r>
      <w:r w:rsidR="00434FE4">
        <w:t>provided</w:t>
      </w:r>
      <w:r w:rsidRPr="00AB694E">
        <w:t xml:space="preserve"> in Section 4 of this report.</w:t>
      </w:r>
    </w:p>
    <w:p w14:paraId="744314CC" w14:textId="77777777" w:rsidR="00A83582" w:rsidRDefault="00A83582" w:rsidP="00821227">
      <w:pPr>
        <w:pStyle w:val="Body"/>
        <w:rPr>
          <w:highlight w:val="yellow"/>
        </w:rPr>
      </w:pPr>
    </w:p>
    <w:p w14:paraId="3DA11D91" w14:textId="63CB8116" w:rsidR="00A83582" w:rsidRPr="002867E0" w:rsidRDefault="00A83582" w:rsidP="00821227">
      <w:pPr>
        <w:pStyle w:val="Body"/>
        <w:rPr>
          <w:highlight w:val="yellow"/>
        </w:rPr>
        <w:sectPr w:rsidR="00A83582" w:rsidRPr="002867E0" w:rsidSect="00254692">
          <w:pgSz w:w="11900" w:h="16840"/>
          <w:pgMar w:top="852" w:right="560" w:bottom="994" w:left="710" w:header="567" w:footer="567" w:gutter="0"/>
          <w:cols w:space="708"/>
          <w:docGrid w:linePitch="360"/>
        </w:sectPr>
      </w:pPr>
    </w:p>
    <w:p w14:paraId="44913590" w14:textId="0E519467" w:rsidR="00821227" w:rsidRPr="00252027" w:rsidRDefault="00890892" w:rsidP="00890892">
      <w:pPr>
        <w:pStyle w:val="Heading2"/>
        <w:rPr>
          <w:color w:val="000000" w:themeColor="text1"/>
        </w:rPr>
      </w:pPr>
      <w:bookmarkStart w:id="47" w:name="_Toc206692269"/>
      <w:r w:rsidRPr="00252027">
        <w:rPr>
          <w:color w:val="000000" w:themeColor="text1"/>
        </w:rPr>
        <w:lastRenderedPageBreak/>
        <w:t xml:space="preserve">Study </w:t>
      </w:r>
      <w:r w:rsidR="00821227" w:rsidRPr="00252027">
        <w:rPr>
          <w:color w:val="000000" w:themeColor="text1"/>
        </w:rPr>
        <w:t>area</w:t>
      </w:r>
      <w:r w:rsidR="003E55E6" w:rsidRPr="00252027">
        <w:rPr>
          <w:color w:val="000000" w:themeColor="text1"/>
        </w:rPr>
        <w:t xml:space="preserve"> comparisons</w:t>
      </w:r>
      <w:bookmarkEnd w:id="47"/>
    </w:p>
    <w:p w14:paraId="3E170786" w14:textId="072C78F0" w:rsidR="009269F4" w:rsidRPr="00DB2676" w:rsidRDefault="00BA0BC0" w:rsidP="009269F4">
      <w:pPr>
        <w:pStyle w:val="Body"/>
      </w:pPr>
      <w:bookmarkStart w:id="48" w:name="OLE_LINK1"/>
      <w:r>
        <w:t xml:space="preserve">This section explores the international student ratings broken down by study areas. </w:t>
      </w:r>
      <w:r w:rsidR="009269F4">
        <w:t xml:space="preserve">The study areas with the largest number of international undergraduate respondents were Business and </w:t>
      </w:r>
      <w:r w:rsidR="00A45C1C">
        <w:t>m</w:t>
      </w:r>
      <w:r w:rsidR="009269F4">
        <w:t xml:space="preserve">anagement, Computing and </w:t>
      </w:r>
      <w:r w:rsidR="00A45C1C">
        <w:t>i</w:t>
      </w:r>
      <w:r w:rsidR="009269F4">
        <w:t xml:space="preserve">nformation </w:t>
      </w:r>
      <w:r w:rsidR="00A45C1C">
        <w:t>s</w:t>
      </w:r>
      <w:r w:rsidR="009269F4">
        <w:t xml:space="preserve">ystems, and Nursing. Together, these three </w:t>
      </w:r>
      <w:r w:rsidR="00F156DA">
        <w:t>study area</w:t>
      </w:r>
      <w:r w:rsidR="009269F4">
        <w:t>s accounted for over half of all international undergraduate respondents.</w:t>
      </w:r>
    </w:p>
    <w:p w14:paraId="28375AE7" w14:textId="45482170" w:rsidR="00821227" w:rsidRPr="005B0C86" w:rsidRDefault="009269F4" w:rsidP="0027783D">
      <w:pPr>
        <w:pStyle w:val="Body"/>
      </w:pPr>
      <w:r>
        <w:t>At</w:t>
      </w:r>
      <w:r w:rsidR="0027783D" w:rsidRPr="005B0C86">
        <w:t xml:space="preserve"> the postgraduate coursework level</w:t>
      </w:r>
      <w:r>
        <w:t>, international respondents were even more concentrated. More</w:t>
      </w:r>
      <w:r w:rsidR="0027783D" w:rsidRPr="005B0C86">
        <w:t xml:space="preserve"> than half of </w:t>
      </w:r>
      <w:r>
        <w:t>all respondents</w:t>
      </w:r>
      <w:r w:rsidR="0027783D" w:rsidRPr="005B0C86">
        <w:t xml:space="preserve"> came from</w:t>
      </w:r>
      <w:r w:rsidR="006F7F77">
        <w:t xml:space="preserve"> just </w:t>
      </w:r>
      <w:r>
        <w:t>two</w:t>
      </w:r>
      <w:r w:rsidR="006F7F77">
        <w:t xml:space="preserve"> study areas</w:t>
      </w:r>
      <w:r>
        <w:t>:</w:t>
      </w:r>
      <w:r w:rsidR="0027783D" w:rsidRPr="005B0C86">
        <w:t xml:space="preserve"> Business and </w:t>
      </w:r>
      <w:r w:rsidR="00B81AD7">
        <w:t>m</w:t>
      </w:r>
      <w:r>
        <w:t>anagement</w:t>
      </w:r>
      <w:r w:rsidR="00D51DE5">
        <w:t>,</w:t>
      </w:r>
      <w:r w:rsidR="0027783D" w:rsidRPr="005B0C86">
        <w:t xml:space="preserve"> and Computing and </w:t>
      </w:r>
      <w:r w:rsidR="00B81AD7">
        <w:t>i</w:t>
      </w:r>
      <w:r>
        <w:t xml:space="preserve">nformation </w:t>
      </w:r>
      <w:r w:rsidR="00B81AD7">
        <w:t>s</w:t>
      </w:r>
      <w:r>
        <w:t>ystems</w:t>
      </w:r>
      <w:r w:rsidR="0027783D" w:rsidRPr="005B0C86">
        <w:t>.</w:t>
      </w:r>
    </w:p>
    <w:p w14:paraId="07CFD0D7" w14:textId="4D49BE89" w:rsidR="4EF02478" w:rsidRDefault="00A40262" w:rsidP="63038837">
      <w:pPr>
        <w:pStyle w:val="Body"/>
      </w:pPr>
      <w:r>
        <w:rPr>
          <w:lang w:eastAsia="en-GB"/>
        </w:rPr>
        <w:t>Overall, t</w:t>
      </w:r>
      <w:r w:rsidRPr="00D644B8">
        <w:rPr>
          <w:lang w:eastAsia="en-GB"/>
        </w:rPr>
        <w:t xml:space="preserve">he 2024 results </w:t>
      </w:r>
      <w:r>
        <w:rPr>
          <w:lang w:eastAsia="en-GB"/>
        </w:rPr>
        <w:t>revealed</w:t>
      </w:r>
      <w:r w:rsidRPr="00D644B8">
        <w:rPr>
          <w:lang w:eastAsia="en-GB"/>
        </w:rPr>
        <w:t xml:space="preserve"> a </w:t>
      </w:r>
      <w:r>
        <w:rPr>
          <w:lang w:eastAsia="en-GB"/>
        </w:rPr>
        <w:t>diverse</w:t>
      </w:r>
      <w:r w:rsidRPr="00D644B8">
        <w:rPr>
          <w:lang w:eastAsia="en-GB"/>
        </w:rPr>
        <w:t xml:space="preserve"> international student experience across different </w:t>
      </w:r>
      <w:r>
        <w:rPr>
          <w:lang w:eastAsia="en-GB"/>
        </w:rPr>
        <w:t>study areas</w:t>
      </w:r>
      <w:r w:rsidRPr="00D644B8">
        <w:rPr>
          <w:lang w:eastAsia="en-GB"/>
        </w:rPr>
        <w:t xml:space="preserve">. </w:t>
      </w:r>
      <w:r>
        <w:rPr>
          <w:lang w:eastAsia="en-GB"/>
        </w:rPr>
        <w:t xml:space="preserve">Undergraduate students </w:t>
      </w:r>
      <w:r w:rsidRPr="00D644B8">
        <w:rPr>
          <w:lang w:eastAsia="en-GB"/>
        </w:rPr>
        <w:t xml:space="preserve">in areas such as Tourism, </w:t>
      </w:r>
      <w:r>
        <w:rPr>
          <w:lang w:eastAsia="en-GB"/>
        </w:rPr>
        <w:t>h</w:t>
      </w:r>
      <w:r w:rsidRPr="00D644B8">
        <w:rPr>
          <w:lang w:eastAsia="en-GB"/>
        </w:rPr>
        <w:t xml:space="preserve">ospitality, </w:t>
      </w:r>
      <w:r>
        <w:rPr>
          <w:lang w:eastAsia="en-GB"/>
        </w:rPr>
        <w:t>personal services, s</w:t>
      </w:r>
      <w:r w:rsidRPr="00D644B8">
        <w:rPr>
          <w:lang w:eastAsia="en-GB"/>
        </w:rPr>
        <w:t xml:space="preserve">port and </w:t>
      </w:r>
      <w:r>
        <w:rPr>
          <w:lang w:eastAsia="en-GB"/>
        </w:rPr>
        <w:t>r</w:t>
      </w:r>
      <w:r w:rsidRPr="00D644B8">
        <w:rPr>
          <w:lang w:eastAsia="en-GB"/>
        </w:rPr>
        <w:t xml:space="preserve">ecreation, </w:t>
      </w:r>
      <w:r>
        <w:rPr>
          <w:lang w:eastAsia="en-GB"/>
        </w:rPr>
        <w:t xml:space="preserve">Health services and support and </w:t>
      </w:r>
      <w:r w:rsidRPr="00D644B8">
        <w:rPr>
          <w:lang w:eastAsia="en-GB"/>
        </w:rPr>
        <w:t>Nursing</w:t>
      </w:r>
      <w:r>
        <w:rPr>
          <w:lang w:eastAsia="en-GB"/>
        </w:rPr>
        <w:t xml:space="preserve"> reported higher ratings in their Overall Educational Experience. In contrast, </w:t>
      </w:r>
      <w:r w:rsidRPr="00D644B8">
        <w:rPr>
          <w:lang w:eastAsia="en-GB"/>
        </w:rPr>
        <w:t xml:space="preserve">students </w:t>
      </w:r>
      <w:r>
        <w:rPr>
          <w:lang w:eastAsia="en-GB"/>
        </w:rPr>
        <w:t xml:space="preserve">in </w:t>
      </w:r>
      <w:r w:rsidRPr="00D644B8">
        <w:rPr>
          <w:lang w:eastAsia="en-GB"/>
        </w:rPr>
        <w:t xml:space="preserve">Computing and </w:t>
      </w:r>
      <w:r>
        <w:rPr>
          <w:lang w:eastAsia="en-GB"/>
        </w:rPr>
        <w:t>i</w:t>
      </w:r>
      <w:r w:rsidRPr="00D644B8">
        <w:rPr>
          <w:lang w:eastAsia="en-GB"/>
        </w:rPr>
        <w:t xml:space="preserve">nformation </w:t>
      </w:r>
      <w:r>
        <w:rPr>
          <w:lang w:eastAsia="en-GB"/>
        </w:rPr>
        <w:t>s</w:t>
      </w:r>
      <w:r w:rsidRPr="00D644B8">
        <w:rPr>
          <w:lang w:eastAsia="en-GB"/>
        </w:rPr>
        <w:t>ystems, Rehabilitation</w:t>
      </w:r>
      <w:r>
        <w:rPr>
          <w:lang w:eastAsia="en-GB"/>
        </w:rPr>
        <w:t xml:space="preserve"> and Architecture and built environment gave lower ratings. At the postgraduate coursework level, students from </w:t>
      </w:r>
      <w:r w:rsidRPr="00D644B8">
        <w:rPr>
          <w:lang w:eastAsia="en-GB"/>
        </w:rPr>
        <w:t>Humanities</w:t>
      </w:r>
      <w:r>
        <w:rPr>
          <w:lang w:eastAsia="en-GB"/>
        </w:rPr>
        <w:t xml:space="preserve">, culture and social sciences and Health services and support provided more positive feedback, while those in Dentistry, Rehabilitation and Medicine were less positive. </w:t>
      </w:r>
      <w:r w:rsidRPr="00D644B8">
        <w:rPr>
          <w:lang w:eastAsia="en-GB"/>
        </w:rPr>
        <w:t xml:space="preserve">These differences point to </w:t>
      </w:r>
      <w:r>
        <w:rPr>
          <w:lang w:eastAsia="en-GB"/>
        </w:rPr>
        <w:t xml:space="preserve">opportunities </w:t>
      </w:r>
      <w:r w:rsidRPr="00D644B8">
        <w:rPr>
          <w:lang w:eastAsia="en-GB"/>
        </w:rPr>
        <w:t xml:space="preserve">for targeted improvements, particularly in high-enrolment disciplines where student feedback suggests a need for </w:t>
      </w:r>
      <w:r>
        <w:rPr>
          <w:lang w:eastAsia="en-GB"/>
        </w:rPr>
        <w:t>improvement in various aspects of the educational experience</w:t>
      </w:r>
      <w:r w:rsidRPr="00D644B8">
        <w:rPr>
          <w:lang w:eastAsia="en-GB"/>
        </w:rPr>
        <w:t>.</w:t>
      </w:r>
      <w:r>
        <w:rPr>
          <w:rFonts w:eastAsia="Arial" w:cs="Arial"/>
          <w:color w:val="000000" w:themeColor="text1"/>
        </w:rPr>
        <w:t xml:space="preserve"> A</w:t>
      </w:r>
      <w:r w:rsidR="4EF02478" w:rsidRPr="63038837">
        <w:rPr>
          <w:rFonts w:eastAsia="Arial" w:cs="Arial"/>
          <w:color w:val="000000" w:themeColor="text1"/>
        </w:rPr>
        <w:t>ddressing these disparities—particularly in high-enrolment and low-performing study areas—will be essential to ensuring a more equitable, engaging, and supportive experience for all international students.</w:t>
      </w:r>
    </w:p>
    <w:p w14:paraId="3AD1B7DF" w14:textId="36B907EE" w:rsidR="00984AB0" w:rsidRDefault="00984AB0" w:rsidP="00984AB0">
      <w:pPr>
        <w:rPr>
          <w:rFonts w:eastAsia="Times New Roman" w:cs="Arial"/>
          <w:b/>
          <w:bCs/>
          <w:color w:val="000000" w:themeColor="text1"/>
          <w:szCs w:val="20"/>
          <w:lang w:eastAsia="en-AU"/>
        </w:rPr>
      </w:pPr>
      <w:bookmarkStart w:id="49" w:name="_Ref130225542"/>
      <w:r w:rsidRPr="007213E9">
        <w:rPr>
          <w:rFonts w:eastAsia="Times New Roman" w:cs="Arial"/>
          <w:b/>
          <w:bCs/>
          <w:color w:val="000000" w:themeColor="text1"/>
          <w:szCs w:val="20"/>
          <w:lang w:eastAsia="en-AU"/>
        </w:rPr>
        <w:t>Undergraduate study area profile (proportions based on responses to the 202</w:t>
      </w:r>
      <w:r w:rsidR="003720A7" w:rsidRPr="007213E9">
        <w:rPr>
          <w:rFonts w:eastAsia="Times New Roman" w:cs="Arial"/>
          <w:b/>
          <w:bCs/>
          <w:color w:val="000000" w:themeColor="text1"/>
          <w:szCs w:val="20"/>
          <w:lang w:eastAsia="en-AU"/>
        </w:rPr>
        <w:t>4</w:t>
      </w:r>
      <w:r w:rsidRPr="007213E9">
        <w:rPr>
          <w:rFonts w:eastAsia="Times New Roman" w:cs="Arial"/>
          <w:b/>
          <w:bCs/>
          <w:color w:val="000000" w:themeColor="text1"/>
          <w:szCs w:val="20"/>
          <w:lang w:eastAsia="en-AU"/>
        </w:rPr>
        <w:t xml:space="preserve"> SES)</w:t>
      </w:r>
    </w:p>
    <w:p w14:paraId="185BD472" w14:textId="4D057D1D" w:rsidR="007213E9" w:rsidRPr="007213E9" w:rsidRDefault="007213E9" w:rsidP="00984AB0">
      <w:pPr>
        <w:rPr>
          <w:rFonts w:eastAsia="Times New Roman" w:cs="Arial"/>
          <w:color w:val="000000" w:themeColor="text1"/>
          <w:sz w:val="22"/>
          <w:szCs w:val="22"/>
          <w:lang w:eastAsia="en-AU"/>
        </w:rPr>
      </w:pPr>
      <w:r>
        <w:rPr>
          <w:rFonts w:eastAsia="Times New Roman" w:cs="Arial"/>
          <w:noProof/>
          <w:color w:val="000000" w:themeColor="text1"/>
          <w:sz w:val="22"/>
          <w:szCs w:val="22"/>
          <w:lang w:eastAsia="en-AU"/>
        </w:rPr>
        <w:drawing>
          <wp:inline distT="0" distB="0" distL="0" distR="0" wp14:anchorId="627090B3" wp14:editId="21D6EB16">
            <wp:extent cx="6748780" cy="4029710"/>
            <wp:effectExtent l="0" t="0" r="0" b="8890"/>
            <wp:docPr id="2373575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48780" cy="4029710"/>
                    </a:xfrm>
                    <a:prstGeom prst="rect">
                      <a:avLst/>
                    </a:prstGeom>
                    <a:noFill/>
                  </pic:spPr>
                </pic:pic>
              </a:graphicData>
            </a:graphic>
          </wp:inline>
        </w:drawing>
      </w:r>
    </w:p>
    <w:p w14:paraId="5493D4C8" w14:textId="669D9E5F" w:rsidR="00131709" w:rsidRPr="008A029E" w:rsidRDefault="00131709" w:rsidP="00984AB0">
      <w:pPr>
        <w:rPr>
          <w:rFonts w:ascii="Public Sans Medium" w:eastAsia="Times New Roman" w:hAnsi="Public Sans Medium" w:cs="Times New Roman"/>
          <w:b/>
          <w:bCs/>
          <w:color w:val="FF0000"/>
          <w:sz w:val="16"/>
          <w:szCs w:val="16"/>
          <w:highlight w:val="yellow"/>
          <w:lang w:eastAsia="en-AU"/>
        </w:rPr>
      </w:pPr>
    </w:p>
    <w:bookmarkEnd w:id="49"/>
    <w:p w14:paraId="1A64D268" w14:textId="4DC3EE97" w:rsidR="00D92C9B" w:rsidRDefault="00D92C9B">
      <w:pPr>
        <w:spacing w:after="160" w:line="259" w:lineRule="auto"/>
        <w:rPr>
          <w:highlight w:val="yellow"/>
        </w:rPr>
      </w:pPr>
      <w:r>
        <w:rPr>
          <w:highlight w:val="yellow"/>
        </w:rPr>
        <w:br w:type="page"/>
      </w:r>
    </w:p>
    <w:p w14:paraId="70A4F33D" w14:textId="77777777" w:rsidR="00821227" w:rsidRPr="00252027" w:rsidRDefault="00821227" w:rsidP="00821227">
      <w:pPr>
        <w:rPr>
          <w:color w:val="000000" w:themeColor="text1"/>
          <w:highlight w:val="yellow"/>
        </w:rPr>
      </w:pPr>
    </w:p>
    <w:p w14:paraId="5408B421" w14:textId="2041C8A2" w:rsidR="003C595B" w:rsidRDefault="003C595B" w:rsidP="003C595B">
      <w:pPr>
        <w:rPr>
          <w:rFonts w:eastAsia="Times New Roman" w:cs="Arial"/>
          <w:b/>
          <w:bCs/>
          <w:color w:val="000000" w:themeColor="text1"/>
          <w:szCs w:val="20"/>
          <w:lang w:eastAsia="en-AU"/>
        </w:rPr>
      </w:pPr>
      <w:r w:rsidRPr="007213E9">
        <w:rPr>
          <w:rFonts w:eastAsia="Times New Roman" w:cs="Arial"/>
          <w:b/>
          <w:bCs/>
          <w:color w:val="000000" w:themeColor="text1"/>
          <w:szCs w:val="20"/>
          <w:lang w:eastAsia="en-AU"/>
        </w:rPr>
        <w:t>Postgraduate coursework study area profile (proportions based on responses to the 2024 SES)</w:t>
      </w:r>
    </w:p>
    <w:p w14:paraId="08CA8270" w14:textId="114801A7" w:rsidR="007213E9" w:rsidRPr="007213E9" w:rsidRDefault="007213E9" w:rsidP="003C595B">
      <w:pPr>
        <w:rPr>
          <w:rFonts w:eastAsia="Times New Roman" w:cs="Arial"/>
          <w:color w:val="000000" w:themeColor="text1"/>
          <w:sz w:val="22"/>
          <w:szCs w:val="22"/>
          <w:lang w:eastAsia="en-AU"/>
        </w:rPr>
      </w:pPr>
      <w:r>
        <w:rPr>
          <w:rFonts w:eastAsia="Times New Roman" w:cs="Arial"/>
          <w:noProof/>
          <w:color w:val="000000" w:themeColor="text1"/>
          <w:sz w:val="22"/>
          <w:szCs w:val="22"/>
          <w:lang w:eastAsia="en-AU"/>
        </w:rPr>
        <w:drawing>
          <wp:inline distT="0" distB="0" distL="0" distR="0" wp14:anchorId="3D113096" wp14:editId="6F61AD73">
            <wp:extent cx="6748780" cy="4023995"/>
            <wp:effectExtent l="0" t="0" r="0" b="0"/>
            <wp:docPr id="4007632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48780" cy="4023995"/>
                    </a:xfrm>
                    <a:prstGeom prst="rect">
                      <a:avLst/>
                    </a:prstGeom>
                    <a:noFill/>
                  </pic:spPr>
                </pic:pic>
              </a:graphicData>
            </a:graphic>
          </wp:inline>
        </w:drawing>
      </w:r>
    </w:p>
    <w:p w14:paraId="3E02641D" w14:textId="1274144D" w:rsidR="003C595B" w:rsidRPr="00383ABD" w:rsidRDefault="003C595B" w:rsidP="003C595B">
      <w:pPr>
        <w:rPr>
          <w:rFonts w:ascii="Public Sans Medium" w:eastAsia="Times New Roman" w:hAnsi="Public Sans Medium" w:cs="Times New Roman"/>
          <w:color w:val="3A3A3A"/>
          <w:sz w:val="22"/>
          <w:szCs w:val="22"/>
          <w:lang w:eastAsia="en-AU"/>
        </w:rPr>
      </w:pPr>
    </w:p>
    <w:p w14:paraId="2A57D151" w14:textId="6BDB707C" w:rsidR="00540B88" w:rsidRPr="00252027" w:rsidRDefault="00540B88" w:rsidP="00E54E7C">
      <w:pPr>
        <w:pStyle w:val="Heading3"/>
        <w:rPr>
          <w:color w:val="000000" w:themeColor="text1"/>
        </w:rPr>
      </w:pPr>
      <w:bookmarkStart w:id="50" w:name="_Toc206692270"/>
      <w:r w:rsidRPr="00252027">
        <w:rPr>
          <w:color w:val="000000" w:themeColor="text1"/>
        </w:rPr>
        <w:t>Interna</w:t>
      </w:r>
      <w:r w:rsidR="00E54E7C" w:rsidRPr="00252027">
        <w:rPr>
          <w:color w:val="000000" w:themeColor="text1"/>
        </w:rPr>
        <w:t>tional undergraduate students</w:t>
      </w:r>
      <w:bookmarkEnd w:id="50"/>
    </w:p>
    <w:p w14:paraId="6C6E1C3A" w14:textId="38488FE1" w:rsidR="00FE63D2" w:rsidRPr="00252027" w:rsidRDefault="00125742" w:rsidP="00FE63D2">
      <w:pPr>
        <w:pStyle w:val="Body"/>
        <w:rPr>
          <w:color w:val="000000" w:themeColor="text1"/>
        </w:rPr>
      </w:pPr>
      <w:r w:rsidRPr="00252027">
        <w:rPr>
          <w:color w:val="000000" w:themeColor="text1"/>
        </w:rPr>
        <w:t xml:space="preserve">The </w:t>
      </w:r>
      <w:r w:rsidR="0081318E" w:rsidRPr="00252027">
        <w:rPr>
          <w:color w:val="000000" w:themeColor="text1"/>
        </w:rPr>
        <w:t xml:space="preserve">educational </w:t>
      </w:r>
      <w:r w:rsidRPr="00252027">
        <w:rPr>
          <w:color w:val="000000" w:themeColor="text1"/>
        </w:rPr>
        <w:t xml:space="preserve">experience </w:t>
      </w:r>
      <w:r w:rsidR="0081318E" w:rsidRPr="00252027">
        <w:rPr>
          <w:color w:val="000000" w:themeColor="text1"/>
        </w:rPr>
        <w:t>of</w:t>
      </w:r>
      <w:r w:rsidRPr="00252027">
        <w:rPr>
          <w:color w:val="000000" w:themeColor="text1"/>
        </w:rPr>
        <w:t xml:space="preserve"> international </w:t>
      </w:r>
      <w:r w:rsidR="001469AA" w:rsidRPr="00252027">
        <w:rPr>
          <w:color w:val="000000" w:themeColor="text1"/>
        </w:rPr>
        <w:t xml:space="preserve">undergraduate </w:t>
      </w:r>
      <w:r w:rsidRPr="00252027">
        <w:rPr>
          <w:color w:val="000000" w:themeColor="text1"/>
        </w:rPr>
        <w:t xml:space="preserve">students disaggregated by study area is shown in </w:t>
      </w:r>
      <w:r w:rsidR="00300AAF" w:rsidRPr="00252027">
        <w:rPr>
          <w:b/>
          <w:bCs/>
          <w:color w:val="000000" w:themeColor="text1"/>
        </w:rPr>
        <w:fldChar w:fldCharType="begin"/>
      </w:r>
      <w:r w:rsidR="00300AAF" w:rsidRPr="00252027">
        <w:rPr>
          <w:b/>
          <w:bCs/>
          <w:color w:val="000000" w:themeColor="text1"/>
        </w:rPr>
        <w:instrText xml:space="preserve"> REF _Ref199601314 \h  \* MERGEFORMAT </w:instrText>
      </w:r>
      <w:r w:rsidR="00300AAF" w:rsidRPr="00252027">
        <w:rPr>
          <w:b/>
          <w:bCs/>
          <w:color w:val="000000" w:themeColor="text1"/>
        </w:rPr>
      </w:r>
      <w:r w:rsidR="00300AAF" w:rsidRPr="00252027">
        <w:rPr>
          <w:b/>
          <w:bCs/>
          <w:color w:val="000000" w:themeColor="text1"/>
        </w:rPr>
        <w:fldChar w:fldCharType="separate"/>
      </w:r>
      <w:r w:rsidR="00F96AB4" w:rsidRPr="00F96AB4">
        <w:rPr>
          <w:b/>
          <w:bCs/>
          <w:color w:val="000000" w:themeColor="text1"/>
        </w:rPr>
        <w:t xml:space="preserve">Table </w:t>
      </w:r>
      <w:r w:rsidR="00F96AB4" w:rsidRPr="00F96AB4">
        <w:rPr>
          <w:b/>
          <w:bCs/>
          <w:noProof/>
          <w:color w:val="000000" w:themeColor="text1"/>
        </w:rPr>
        <w:t>6</w:t>
      </w:r>
      <w:r w:rsidR="00300AAF" w:rsidRPr="00252027">
        <w:rPr>
          <w:b/>
          <w:bCs/>
          <w:color w:val="000000" w:themeColor="text1"/>
        </w:rPr>
        <w:fldChar w:fldCharType="end"/>
      </w:r>
      <w:r w:rsidR="006B51AA" w:rsidRPr="00252027">
        <w:rPr>
          <w:b/>
          <w:bCs/>
          <w:color w:val="000000" w:themeColor="text1"/>
        </w:rPr>
        <w:t xml:space="preserve"> in Appendix 2</w:t>
      </w:r>
      <w:r w:rsidR="00300AAF" w:rsidRPr="00252027">
        <w:rPr>
          <w:color w:val="000000" w:themeColor="text1"/>
        </w:rPr>
        <w:t>.</w:t>
      </w:r>
    </w:p>
    <w:p w14:paraId="484ED6DF" w14:textId="494B5A6D" w:rsidR="007B0B9C" w:rsidRPr="00252027" w:rsidRDefault="00366C0A" w:rsidP="005E731B">
      <w:pPr>
        <w:pStyle w:val="Heading4"/>
        <w:rPr>
          <w:color w:val="000000" w:themeColor="text1"/>
        </w:rPr>
      </w:pPr>
      <w:r w:rsidRPr="00252027">
        <w:rPr>
          <w:color w:val="000000" w:themeColor="text1"/>
        </w:rPr>
        <w:t>Overall Educational Experience</w:t>
      </w:r>
    </w:p>
    <w:p w14:paraId="1A3DCE64" w14:textId="1D4A777E" w:rsidR="00B66422" w:rsidRPr="00B66422" w:rsidRDefault="009E117D" w:rsidP="00B66422">
      <w:pPr>
        <w:pStyle w:val="Body"/>
      </w:pPr>
      <w:r>
        <w:t>In 2024</w:t>
      </w:r>
      <w:r w:rsidR="00B66422" w:rsidRPr="00B66422">
        <w:t xml:space="preserve">, international undergraduate students gave the highest ratings for </w:t>
      </w:r>
      <w:r w:rsidR="00366C0A">
        <w:t>Overall Educational Experience</w:t>
      </w:r>
      <w:r w:rsidR="00B66422" w:rsidRPr="00B66422">
        <w:t xml:space="preserve"> in the following study areas:</w:t>
      </w:r>
    </w:p>
    <w:p w14:paraId="5023990F" w14:textId="0A5CF2C1" w:rsidR="00B66422" w:rsidRPr="00B66422" w:rsidRDefault="00B66422" w:rsidP="00B66422">
      <w:pPr>
        <w:pStyle w:val="Body"/>
        <w:numPr>
          <w:ilvl w:val="0"/>
          <w:numId w:val="19"/>
        </w:numPr>
      </w:pPr>
      <w:r w:rsidRPr="00B66422">
        <w:t>Tourism, hospitality, personal services, sport and recreation</w:t>
      </w:r>
      <w:r w:rsidR="005F2199">
        <w:t xml:space="preserve"> (82.1 per cent)</w:t>
      </w:r>
    </w:p>
    <w:p w14:paraId="00B3C046" w14:textId="3DA93E91" w:rsidR="00B66422" w:rsidRPr="00B66422" w:rsidRDefault="00B66422" w:rsidP="00B66422">
      <w:pPr>
        <w:pStyle w:val="Body"/>
        <w:numPr>
          <w:ilvl w:val="0"/>
          <w:numId w:val="19"/>
        </w:numPr>
      </w:pPr>
      <w:r w:rsidRPr="00B66422">
        <w:t>Nursing (the third largest undergraduate study area)</w:t>
      </w:r>
      <w:r w:rsidR="005F2199">
        <w:t xml:space="preserve"> (80.6 per cent)</w:t>
      </w:r>
    </w:p>
    <w:p w14:paraId="0AE3FF85" w14:textId="0C0D1629" w:rsidR="00B66422" w:rsidRPr="00B66422" w:rsidRDefault="00B66422" w:rsidP="00B66422">
      <w:pPr>
        <w:pStyle w:val="Body"/>
        <w:numPr>
          <w:ilvl w:val="0"/>
          <w:numId w:val="19"/>
        </w:numPr>
      </w:pPr>
      <w:r w:rsidRPr="00B66422">
        <w:t>Health services and support</w:t>
      </w:r>
      <w:r w:rsidR="005F2199">
        <w:t xml:space="preserve"> (80.6</w:t>
      </w:r>
      <w:r w:rsidR="00327260">
        <w:t xml:space="preserve"> per cent)</w:t>
      </w:r>
    </w:p>
    <w:p w14:paraId="67CE4CBC" w14:textId="03948C02" w:rsidR="00B66422" w:rsidRPr="00B66422" w:rsidRDefault="00B66422" w:rsidP="00B66422">
      <w:pPr>
        <w:pStyle w:val="Body"/>
        <w:numPr>
          <w:ilvl w:val="0"/>
          <w:numId w:val="19"/>
        </w:numPr>
      </w:pPr>
      <w:r w:rsidRPr="00B66422">
        <w:t>Teacher education</w:t>
      </w:r>
      <w:r w:rsidR="00327260">
        <w:t xml:space="preserve"> (80.0 per cent)</w:t>
      </w:r>
      <w:r w:rsidR="003F7909">
        <w:t>.</w:t>
      </w:r>
    </w:p>
    <w:p w14:paraId="7062AF35" w14:textId="77777777" w:rsidR="00B66422" w:rsidRPr="00B66422" w:rsidRDefault="00B66422" w:rsidP="00B66422">
      <w:pPr>
        <w:pStyle w:val="Body"/>
      </w:pPr>
      <w:r w:rsidRPr="00B66422">
        <w:t>On the other hand, the lowest ratings came from:</w:t>
      </w:r>
    </w:p>
    <w:p w14:paraId="14E883C9" w14:textId="623AB078" w:rsidR="00B66422" w:rsidRPr="00B66422" w:rsidRDefault="00B66422" w:rsidP="00B66422">
      <w:pPr>
        <w:pStyle w:val="Body"/>
        <w:numPr>
          <w:ilvl w:val="0"/>
          <w:numId w:val="20"/>
        </w:numPr>
      </w:pPr>
      <w:r w:rsidRPr="00B66422">
        <w:t>Computing and information systems (the second largest undergraduate study area)</w:t>
      </w:r>
      <w:r w:rsidR="00327260">
        <w:t xml:space="preserve"> (</w:t>
      </w:r>
      <w:r w:rsidRPr="00B66422">
        <w:t>68.3 per cent</w:t>
      </w:r>
      <w:r w:rsidR="00327260">
        <w:t>)</w:t>
      </w:r>
    </w:p>
    <w:p w14:paraId="37146F7E" w14:textId="77777777" w:rsidR="00B66422" w:rsidRPr="00B66422" w:rsidRDefault="00B66422" w:rsidP="00B66422">
      <w:pPr>
        <w:pStyle w:val="Body"/>
        <w:numPr>
          <w:ilvl w:val="0"/>
          <w:numId w:val="20"/>
        </w:numPr>
      </w:pPr>
      <w:r w:rsidRPr="00B66422">
        <w:t>Rehabilitation (69.4 per cent)</w:t>
      </w:r>
    </w:p>
    <w:p w14:paraId="2605F477" w14:textId="44FD2F26" w:rsidR="00B66422" w:rsidRPr="00B66422" w:rsidRDefault="00B66422" w:rsidP="00B66422">
      <w:pPr>
        <w:pStyle w:val="Body"/>
        <w:numPr>
          <w:ilvl w:val="0"/>
          <w:numId w:val="20"/>
        </w:numPr>
      </w:pPr>
      <w:r w:rsidRPr="00B66422">
        <w:t>Architecture and built environment (70.4 per cent)</w:t>
      </w:r>
      <w:r w:rsidR="003F7909">
        <w:t>.</w:t>
      </w:r>
    </w:p>
    <w:p w14:paraId="4D803BD7" w14:textId="2606F9C4" w:rsidR="00B66422" w:rsidRPr="00B66422" w:rsidRDefault="00EB6267" w:rsidP="00EB6267">
      <w:pPr>
        <w:pStyle w:val="Body"/>
      </w:pPr>
      <w:r w:rsidRPr="00EB6267">
        <w:t xml:space="preserve">This 13.8 percentage point gap </w:t>
      </w:r>
      <w:r>
        <w:t xml:space="preserve">between the highest and the lowest scoring study </w:t>
      </w:r>
      <w:r w:rsidR="009D6008">
        <w:t xml:space="preserve">areas </w:t>
      </w:r>
      <w:r w:rsidRPr="00EB6267">
        <w:t>highlights the need to focus on improving the student experience in lower-performing areas, particularly those with high enrolments, where changes could benefit a large number of students.</w:t>
      </w:r>
    </w:p>
    <w:p w14:paraId="56859E3D" w14:textId="30FBF782" w:rsidR="006F70DB" w:rsidRPr="00252027" w:rsidRDefault="006F70DB" w:rsidP="00671D81">
      <w:pPr>
        <w:pStyle w:val="Heading4"/>
        <w:rPr>
          <w:color w:val="000000" w:themeColor="text1"/>
        </w:rPr>
      </w:pPr>
      <w:r w:rsidRPr="00252027">
        <w:rPr>
          <w:color w:val="000000" w:themeColor="text1"/>
        </w:rPr>
        <w:t>Teaching Quality and Engagement</w:t>
      </w:r>
    </w:p>
    <w:p w14:paraId="4A78E793" w14:textId="08B302F8" w:rsidR="007B0B9C" w:rsidRPr="007B0B9C" w:rsidRDefault="007B0B9C" w:rsidP="007B0B9C">
      <w:pPr>
        <w:pStyle w:val="Body"/>
      </w:pPr>
      <w:r w:rsidRPr="007B0B9C">
        <w:t>The highest ratings for Teaching Quality and Engagement came from:</w:t>
      </w:r>
    </w:p>
    <w:p w14:paraId="1B58DB9B" w14:textId="77777777" w:rsidR="007B0B9C" w:rsidRPr="007B0B9C" w:rsidRDefault="007B0B9C" w:rsidP="007B0B9C">
      <w:pPr>
        <w:pStyle w:val="Body"/>
        <w:numPr>
          <w:ilvl w:val="0"/>
          <w:numId w:val="23"/>
        </w:numPr>
      </w:pPr>
      <w:r w:rsidRPr="007B0B9C">
        <w:lastRenderedPageBreak/>
        <w:t>Tourism, hospitality, personal services, sport and recreation (91.6 per cent)</w:t>
      </w:r>
    </w:p>
    <w:p w14:paraId="3AED7DAF" w14:textId="77777777" w:rsidR="007B0B9C" w:rsidRPr="007B0B9C" w:rsidRDefault="007B0B9C" w:rsidP="007B0B9C">
      <w:pPr>
        <w:pStyle w:val="Body"/>
        <w:numPr>
          <w:ilvl w:val="0"/>
          <w:numId w:val="23"/>
        </w:numPr>
      </w:pPr>
      <w:r w:rsidRPr="007B0B9C">
        <w:t>Health services and support (86.2 per cent)</w:t>
      </w:r>
    </w:p>
    <w:p w14:paraId="43FB7B24" w14:textId="77777777" w:rsidR="007B0B9C" w:rsidRPr="007B0B9C" w:rsidRDefault="007B0B9C" w:rsidP="007B0B9C">
      <w:pPr>
        <w:pStyle w:val="Body"/>
        <w:numPr>
          <w:ilvl w:val="0"/>
          <w:numId w:val="23"/>
        </w:numPr>
      </w:pPr>
      <w:r w:rsidRPr="007B0B9C">
        <w:t>Teacher education (85.3 per cent)</w:t>
      </w:r>
    </w:p>
    <w:p w14:paraId="21AFE261" w14:textId="59EDF11A" w:rsidR="007B0B9C" w:rsidRPr="007B0B9C" w:rsidRDefault="007B0B9C" w:rsidP="007B0B9C">
      <w:pPr>
        <w:pStyle w:val="Body"/>
        <w:numPr>
          <w:ilvl w:val="0"/>
          <w:numId w:val="23"/>
        </w:numPr>
      </w:pPr>
      <w:r w:rsidRPr="007B0B9C">
        <w:t>Humanities, culture and social sciences (85.0 per cent)</w:t>
      </w:r>
      <w:r w:rsidR="00E15D55" w:rsidDel="00E15D55">
        <w:t xml:space="preserve"> </w:t>
      </w:r>
    </w:p>
    <w:p w14:paraId="303DC743" w14:textId="388AE48E" w:rsidR="00B27156" w:rsidRPr="007B0B9C" w:rsidRDefault="00B27156" w:rsidP="007B0B9C">
      <w:pPr>
        <w:pStyle w:val="Body"/>
        <w:numPr>
          <w:ilvl w:val="0"/>
          <w:numId w:val="23"/>
        </w:numPr>
      </w:pPr>
      <w:r>
        <w:t>Psychology (85.0 per cent)</w:t>
      </w:r>
      <w:r w:rsidR="00E15D55">
        <w:t>.</w:t>
      </w:r>
    </w:p>
    <w:p w14:paraId="738C75F5" w14:textId="77777777" w:rsidR="007B0B9C" w:rsidRPr="007B0B9C" w:rsidRDefault="007B0B9C" w:rsidP="007B0B9C">
      <w:pPr>
        <w:pStyle w:val="Body"/>
      </w:pPr>
      <w:r w:rsidRPr="007B0B9C">
        <w:t>The lowest ratings were recorded in:</w:t>
      </w:r>
    </w:p>
    <w:p w14:paraId="6E962639" w14:textId="77777777" w:rsidR="007B0B9C" w:rsidRPr="007B0B9C" w:rsidRDefault="007B0B9C" w:rsidP="007B0B9C">
      <w:pPr>
        <w:pStyle w:val="Body"/>
        <w:numPr>
          <w:ilvl w:val="0"/>
          <w:numId w:val="24"/>
        </w:numPr>
      </w:pPr>
      <w:r w:rsidRPr="007B0B9C">
        <w:t>Rehabilitation (74.3 per cent)</w:t>
      </w:r>
    </w:p>
    <w:p w14:paraId="11453A0B" w14:textId="77777777" w:rsidR="007B0B9C" w:rsidRPr="007B0B9C" w:rsidRDefault="007B0B9C" w:rsidP="007B0B9C">
      <w:pPr>
        <w:pStyle w:val="Body"/>
        <w:numPr>
          <w:ilvl w:val="0"/>
          <w:numId w:val="24"/>
        </w:numPr>
      </w:pPr>
      <w:r w:rsidRPr="007B0B9C">
        <w:t>Law and paralegal studies (75.9 per cent)</w:t>
      </w:r>
    </w:p>
    <w:p w14:paraId="27D069AD" w14:textId="3D648094" w:rsidR="007B0B9C" w:rsidRPr="007B0B9C" w:rsidRDefault="007B0B9C" w:rsidP="007B0B9C">
      <w:pPr>
        <w:pStyle w:val="Body"/>
        <w:numPr>
          <w:ilvl w:val="0"/>
          <w:numId w:val="24"/>
        </w:numPr>
      </w:pPr>
      <w:r w:rsidRPr="007B0B9C">
        <w:t>Computing and information systems (76.3 per cent)</w:t>
      </w:r>
      <w:r w:rsidR="003F7909">
        <w:t>.</w:t>
      </w:r>
    </w:p>
    <w:p w14:paraId="0172D5BD" w14:textId="688FB274" w:rsidR="007B0B9C" w:rsidRDefault="0052759D" w:rsidP="007B0B9C">
      <w:pPr>
        <w:pStyle w:val="Body"/>
      </w:pPr>
      <w:r w:rsidRPr="0052759D">
        <w:t xml:space="preserve">Given the strong </w:t>
      </w:r>
      <w:r w:rsidR="00E40F20">
        <w:t>association</w:t>
      </w:r>
      <w:r w:rsidR="00E40F20" w:rsidRPr="0052759D">
        <w:t xml:space="preserve"> </w:t>
      </w:r>
      <w:r w:rsidRPr="0052759D">
        <w:t xml:space="preserve">between this </w:t>
      </w:r>
      <w:r w:rsidR="00B81AD7">
        <w:t>f</w:t>
      </w:r>
      <w:r w:rsidRPr="0052759D">
        <w:t>ocus</w:t>
      </w:r>
      <w:r w:rsidR="00826D70">
        <w:t xml:space="preserve"> </w:t>
      </w:r>
      <w:r w:rsidR="00B81AD7">
        <w:t>a</w:t>
      </w:r>
      <w:r w:rsidRPr="0052759D">
        <w:t xml:space="preserve">rea and </w:t>
      </w:r>
      <w:r w:rsidR="00366C0A">
        <w:t>Overall Educational Experience</w:t>
      </w:r>
      <w:r w:rsidRPr="0052759D">
        <w:t xml:space="preserve">, </w:t>
      </w:r>
      <w:r w:rsidR="00BF3561">
        <w:t>e</w:t>
      </w:r>
      <w:r w:rsidR="00AB28F3" w:rsidRPr="00BF3561">
        <w:t xml:space="preserve">nhancing </w:t>
      </w:r>
      <w:r w:rsidR="00BF3561">
        <w:t>T</w:t>
      </w:r>
      <w:r w:rsidR="00AB28F3" w:rsidRPr="00BF3561">
        <w:t xml:space="preserve">eaching </w:t>
      </w:r>
      <w:r w:rsidR="00B81AD7">
        <w:t>Q</w:t>
      </w:r>
      <w:r w:rsidR="00AB28F3" w:rsidRPr="00BF3561">
        <w:t xml:space="preserve">uality and </w:t>
      </w:r>
      <w:r w:rsidR="00BF3561">
        <w:t>E</w:t>
      </w:r>
      <w:r w:rsidR="00AB28F3" w:rsidRPr="00BF3561">
        <w:t xml:space="preserve">ngagement in high-enrolment </w:t>
      </w:r>
      <w:r w:rsidR="00BF3561">
        <w:t xml:space="preserve">study </w:t>
      </w:r>
      <w:r w:rsidR="00AB28F3" w:rsidRPr="00BF3561">
        <w:t xml:space="preserve">areas could significantly boost students’ </w:t>
      </w:r>
      <w:r w:rsidR="00BF3561">
        <w:t>o</w:t>
      </w:r>
      <w:r w:rsidR="00AB28F3" w:rsidRPr="00BF3561">
        <w:t xml:space="preserve">verall </w:t>
      </w:r>
      <w:r w:rsidR="00367FB7">
        <w:t>experience</w:t>
      </w:r>
      <w:r w:rsidR="00367FB7" w:rsidRPr="00BF3561">
        <w:t xml:space="preserve"> </w:t>
      </w:r>
      <w:r w:rsidR="00AB28F3" w:rsidRPr="00BF3561">
        <w:t>and learning outcomes</w:t>
      </w:r>
      <w:r w:rsidR="009746E8">
        <w:t xml:space="preserve"> in institutions</w:t>
      </w:r>
      <w:r w:rsidR="00AB28F3" w:rsidRPr="00BF3561">
        <w:t>.</w:t>
      </w:r>
    </w:p>
    <w:p w14:paraId="5E6CC37A" w14:textId="10025F32" w:rsidR="00B66422" w:rsidRPr="00252027" w:rsidRDefault="006C4780" w:rsidP="006C4780">
      <w:pPr>
        <w:pStyle w:val="Heading4"/>
        <w:rPr>
          <w:color w:val="000000" w:themeColor="text1"/>
        </w:rPr>
      </w:pPr>
      <w:r w:rsidRPr="00252027">
        <w:rPr>
          <w:color w:val="000000" w:themeColor="text1"/>
        </w:rPr>
        <w:t>Skills Development</w:t>
      </w:r>
    </w:p>
    <w:p w14:paraId="09396B1A" w14:textId="77777777" w:rsidR="004713F3" w:rsidRPr="00252027" w:rsidRDefault="004713F3" w:rsidP="004713F3">
      <w:pPr>
        <w:pStyle w:val="Body"/>
        <w:rPr>
          <w:color w:val="000000" w:themeColor="text1"/>
        </w:rPr>
      </w:pPr>
      <w:r w:rsidRPr="00252027">
        <w:rPr>
          <w:color w:val="000000" w:themeColor="text1"/>
        </w:rPr>
        <w:t>Study areas with the highest ratings for Skills Development included:</w:t>
      </w:r>
    </w:p>
    <w:p w14:paraId="7ACE7AD7" w14:textId="77777777" w:rsidR="004713F3" w:rsidRPr="00252027" w:rsidRDefault="004713F3" w:rsidP="004713F3">
      <w:pPr>
        <w:pStyle w:val="Body"/>
        <w:numPr>
          <w:ilvl w:val="0"/>
          <w:numId w:val="25"/>
        </w:numPr>
        <w:rPr>
          <w:color w:val="000000" w:themeColor="text1"/>
        </w:rPr>
      </w:pPr>
      <w:r w:rsidRPr="00252027">
        <w:rPr>
          <w:color w:val="000000" w:themeColor="text1"/>
        </w:rPr>
        <w:t>Nursing (89.9 per cent)</w:t>
      </w:r>
    </w:p>
    <w:p w14:paraId="5E4B855C" w14:textId="77777777" w:rsidR="004713F3" w:rsidRPr="00252027" w:rsidRDefault="004713F3" w:rsidP="004713F3">
      <w:pPr>
        <w:pStyle w:val="Body"/>
        <w:numPr>
          <w:ilvl w:val="0"/>
          <w:numId w:val="25"/>
        </w:numPr>
        <w:rPr>
          <w:color w:val="000000" w:themeColor="text1"/>
        </w:rPr>
      </w:pPr>
      <w:r w:rsidRPr="00252027">
        <w:rPr>
          <w:color w:val="000000" w:themeColor="text1"/>
        </w:rPr>
        <w:t>Teacher education (89.5 per cent)</w:t>
      </w:r>
    </w:p>
    <w:p w14:paraId="124812FC" w14:textId="47E17C33" w:rsidR="004713F3" w:rsidRPr="00252027" w:rsidRDefault="004713F3" w:rsidP="004713F3">
      <w:pPr>
        <w:pStyle w:val="Body"/>
        <w:numPr>
          <w:ilvl w:val="0"/>
          <w:numId w:val="25"/>
        </w:numPr>
        <w:rPr>
          <w:color w:val="000000" w:themeColor="text1"/>
        </w:rPr>
      </w:pPr>
      <w:r w:rsidRPr="00252027">
        <w:rPr>
          <w:color w:val="000000" w:themeColor="text1"/>
        </w:rPr>
        <w:t>Social work (88.5 per cent)</w:t>
      </w:r>
      <w:r w:rsidR="00162A2C" w:rsidRPr="00252027">
        <w:rPr>
          <w:color w:val="000000" w:themeColor="text1"/>
        </w:rPr>
        <w:t>.</w:t>
      </w:r>
    </w:p>
    <w:p w14:paraId="720D0AFC" w14:textId="77777777" w:rsidR="004713F3" w:rsidRPr="00252027" w:rsidRDefault="004713F3" w:rsidP="004713F3">
      <w:pPr>
        <w:pStyle w:val="Body"/>
        <w:rPr>
          <w:color w:val="000000" w:themeColor="text1"/>
        </w:rPr>
      </w:pPr>
      <w:r w:rsidRPr="00252027">
        <w:rPr>
          <w:color w:val="000000" w:themeColor="text1"/>
        </w:rPr>
        <w:t>Lower ratings were seen in:</w:t>
      </w:r>
    </w:p>
    <w:p w14:paraId="4A25CF3C" w14:textId="77777777" w:rsidR="00610C09" w:rsidRPr="00252027" w:rsidRDefault="004713F3" w:rsidP="004713F3">
      <w:pPr>
        <w:pStyle w:val="Body"/>
        <w:numPr>
          <w:ilvl w:val="0"/>
          <w:numId w:val="26"/>
        </w:numPr>
        <w:rPr>
          <w:color w:val="000000" w:themeColor="text1"/>
        </w:rPr>
      </w:pPr>
      <w:r w:rsidRPr="00252027">
        <w:rPr>
          <w:color w:val="000000" w:themeColor="text1"/>
        </w:rPr>
        <w:t>Computing and information systems (77.5 per cent)</w:t>
      </w:r>
    </w:p>
    <w:p w14:paraId="796B63A6" w14:textId="367C8A24" w:rsidR="004713F3" w:rsidRPr="00252027" w:rsidRDefault="00610C09" w:rsidP="004713F3">
      <w:pPr>
        <w:pStyle w:val="Body"/>
        <w:numPr>
          <w:ilvl w:val="0"/>
          <w:numId w:val="26"/>
        </w:numPr>
        <w:rPr>
          <w:color w:val="000000" w:themeColor="text1"/>
        </w:rPr>
      </w:pPr>
      <w:r w:rsidRPr="00252027">
        <w:rPr>
          <w:color w:val="000000" w:themeColor="text1"/>
        </w:rPr>
        <w:t>Veterinary science (78.0 per cent</w:t>
      </w:r>
      <w:r w:rsidR="004713F3" w:rsidRPr="00252027">
        <w:rPr>
          <w:color w:val="000000" w:themeColor="text1"/>
        </w:rPr>
        <w:t>)</w:t>
      </w:r>
      <w:r w:rsidR="00162A2C" w:rsidRPr="00252027">
        <w:rPr>
          <w:color w:val="000000" w:themeColor="text1"/>
        </w:rPr>
        <w:t>.</w:t>
      </w:r>
    </w:p>
    <w:p w14:paraId="5FAEC737" w14:textId="08BDE4C0" w:rsidR="002D5232" w:rsidRPr="00252027" w:rsidRDefault="003D23FA" w:rsidP="002D5232">
      <w:pPr>
        <w:pStyle w:val="Body"/>
        <w:rPr>
          <w:color w:val="000000" w:themeColor="text1"/>
        </w:rPr>
      </w:pPr>
      <w:r w:rsidRPr="00252027">
        <w:rPr>
          <w:color w:val="000000" w:themeColor="text1"/>
        </w:rPr>
        <w:t xml:space="preserve">Given the consistently lower ratings across several </w:t>
      </w:r>
      <w:r w:rsidR="00B81AD7" w:rsidRPr="00252027">
        <w:rPr>
          <w:color w:val="000000" w:themeColor="text1"/>
        </w:rPr>
        <w:t>f</w:t>
      </w:r>
      <w:r w:rsidRPr="00252027">
        <w:rPr>
          <w:color w:val="000000" w:themeColor="text1"/>
        </w:rPr>
        <w:t xml:space="preserve">ocus </w:t>
      </w:r>
      <w:r w:rsidR="00B81AD7" w:rsidRPr="00252027">
        <w:rPr>
          <w:color w:val="000000" w:themeColor="text1"/>
        </w:rPr>
        <w:t>a</w:t>
      </w:r>
      <w:r w:rsidRPr="00252027">
        <w:rPr>
          <w:color w:val="000000" w:themeColor="text1"/>
        </w:rPr>
        <w:t xml:space="preserve">reas and the high number of international undergraduate enrolments, the Computing and information systems study area </w:t>
      </w:r>
      <w:r w:rsidR="00F14502" w:rsidRPr="00252027">
        <w:rPr>
          <w:color w:val="000000" w:themeColor="text1"/>
        </w:rPr>
        <w:t>may benefit from</w:t>
      </w:r>
      <w:r w:rsidRPr="00252027">
        <w:rPr>
          <w:color w:val="000000" w:themeColor="text1"/>
        </w:rPr>
        <w:t xml:space="preserve"> closer scrutiny and targeted improvement efforts</w:t>
      </w:r>
      <w:r w:rsidR="00F13FF9" w:rsidRPr="00252027">
        <w:rPr>
          <w:color w:val="000000" w:themeColor="text1"/>
        </w:rPr>
        <w:t>.</w:t>
      </w:r>
    </w:p>
    <w:p w14:paraId="22FA722D" w14:textId="6A54FA74" w:rsidR="006C4780" w:rsidRPr="00252027" w:rsidRDefault="00867462" w:rsidP="00867462">
      <w:pPr>
        <w:pStyle w:val="Heading4"/>
        <w:rPr>
          <w:color w:val="000000" w:themeColor="text1"/>
        </w:rPr>
      </w:pPr>
      <w:r w:rsidRPr="00252027">
        <w:rPr>
          <w:color w:val="000000" w:themeColor="text1"/>
        </w:rPr>
        <w:t>Peer Engagement</w:t>
      </w:r>
    </w:p>
    <w:p w14:paraId="4CD158BE" w14:textId="77777777" w:rsidR="00B650CF" w:rsidRPr="00B650CF" w:rsidRDefault="00B650CF" w:rsidP="00B650CF">
      <w:pPr>
        <w:pStyle w:val="Body"/>
      </w:pPr>
      <w:r w:rsidRPr="00B650CF">
        <w:t>The highest ratings for Peer Engagement came from:</w:t>
      </w:r>
    </w:p>
    <w:p w14:paraId="164645FF" w14:textId="77777777" w:rsidR="00B650CF" w:rsidRPr="00B650CF" w:rsidRDefault="00B650CF" w:rsidP="00B650CF">
      <w:pPr>
        <w:pStyle w:val="Body"/>
        <w:numPr>
          <w:ilvl w:val="0"/>
          <w:numId w:val="27"/>
        </w:numPr>
      </w:pPr>
      <w:r w:rsidRPr="00B650CF">
        <w:t>Tourism, hospitality, personal services, sport and recreation (86.7 per cent)</w:t>
      </w:r>
    </w:p>
    <w:p w14:paraId="20F7FA5E" w14:textId="41AAB53E" w:rsidR="00B650CF" w:rsidRPr="00B650CF" w:rsidRDefault="00B650CF" w:rsidP="00B650CF">
      <w:pPr>
        <w:pStyle w:val="Body"/>
        <w:numPr>
          <w:ilvl w:val="0"/>
          <w:numId w:val="27"/>
        </w:numPr>
      </w:pPr>
      <w:r w:rsidRPr="00B650CF">
        <w:t>Social work (84.7 per cent)</w:t>
      </w:r>
      <w:r w:rsidR="00162A2C">
        <w:t>.</w:t>
      </w:r>
    </w:p>
    <w:p w14:paraId="644C9A80" w14:textId="77777777" w:rsidR="00B650CF" w:rsidRPr="00B650CF" w:rsidRDefault="00B650CF" w:rsidP="00B650CF">
      <w:pPr>
        <w:pStyle w:val="Body"/>
      </w:pPr>
      <w:r w:rsidRPr="00B650CF">
        <w:t>The lowest ratings were in:</w:t>
      </w:r>
    </w:p>
    <w:p w14:paraId="69CFFCBC" w14:textId="77777777" w:rsidR="00B650CF" w:rsidRPr="00B650CF" w:rsidRDefault="00B650CF" w:rsidP="00B650CF">
      <w:pPr>
        <w:pStyle w:val="Body"/>
        <w:numPr>
          <w:ilvl w:val="0"/>
          <w:numId w:val="28"/>
        </w:numPr>
      </w:pPr>
      <w:r w:rsidRPr="00B650CF">
        <w:t>Law and paralegal studies (55.5 per cent)</w:t>
      </w:r>
    </w:p>
    <w:p w14:paraId="6B1FA923" w14:textId="77777777" w:rsidR="00B650CF" w:rsidRPr="00B650CF" w:rsidRDefault="00B650CF" w:rsidP="00B650CF">
      <w:pPr>
        <w:pStyle w:val="Body"/>
        <w:numPr>
          <w:ilvl w:val="0"/>
          <w:numId w:val="28"/>
        </w:numPr>
      </w:pPr>
      <w:r w:rsidRPr="00B650CF">
        <w:t>Psychology (58.2 per cent)</w:t>
      </w:r>
    </w:p>
    <w:p w14:paraId="38A892AF" w14:textId="651E9084" w:rsidR="00B650CF" w:rsidRPr="00B650CF" w:rsidRDefault="00B650CF" w:rsidP="00B650CF">
      <w:pPr>
        <w:pStyle w:val="Body"/>
        <w:numPr>
          <w:ilvl w:val="0"/>
          <w:numId w:val="28"/>
        </w:numPr>
      </w:pPr>
      <w:r w:rsidRPr="00B650CF">
        <w:t>Veterinary science (58.8 per cent)</w:t>
      </w:r>
      <w:r w:rsidR="00162A2C">
        <w:t>.</w:t>
      </w:r>
    </w:p>
    <w:p w14:paraId="36101DDD" w14:textId="5028C67C" w:rsidR="00B650CF" w:rsidRPr="00B650CF" w:rsidRDefault="00C76717" w:rsidP="00B650CF">
      <w:pPr>
        <w:pStyle w:val="Body"/>
      </w:pPr>
      <w:r>
        <w:t xml:space="preserve">There was a 31.2 percentage point difference between the highest and the lowest rated study areas. </w:t>
      </w:r>
      <w:r w:rsidR="00D040A3" w:rsidRPr="00D040A3">
        <w:t xml:space="preserve">While students studying online often report lower levels of </w:t>
      </w:r>
      <w:r w:rsidR="00B05879">
        <w:t>P</w:t>
      </w:r>
      <w:r w:rsidR="00D040A3" w:rsidRPr="00D040A3">
        <w:t xml:space="preserve">eer </w:t>
      </w:r>
      <w:r w:rsidR="00B05879">
        <w:t>E</w:t>
      </w:r>
      <w:r w:rsidR="00D040A3" w:rsidRPr="00D040A3">
        <w:t xml:space="preserve">ngagement, most international students study on campus or in mixed modes. This suggests that their lower </w:t>
      </w:r>
      <w:r w:rsidR="00904C40">
        <w:t>rating</w:t>
      </w:r>
      <w:r w:rsidR="00D040A3" w:rsidRPr="00D040A3">
        <w:t xml:space="preserve">s </w:t>
      </w:r>
      <w:r w:rsidR="002A1FD9">
        <w:t>were</w:t>
      </w:r>
      <w:r w:rsidR="00D040A3" w:rsidRPr="00D040A3">
        <w:t xml:space="preserve"> less likely to be related to study mode. Further analysis may be needed to explore the underlying causes</w:t>
      </w:r>
      <w:r w:rsidR="00D040A3">
        <w:t>.</w:t>
      </w:r>
      <w:r w:rsidR="004A553B">
        <w:t xml:space="preserve"> </w:t>
      </w:r>
    </w:p>
    <w:p w14:paraId="01BC25A5" w14:textId="77777777" w:rsidR="001968FE" w:rsidRPr="00252027" w:rsidRDefault="001968FE" w:rsidP="001968FE">
      <w:pPr>
        <w:pStyle w:val="Heading4"/>
        <w:rPr>
          <w:color w:val="000000" w:themeColor="text1"/>
        </w:rPr>
      </w:pPr>
      <w:r w:rsidRPr="00252027">
        <w:rPr>
          <w:color w:val="000000" w:themeColor="text1"/>
        </w:rPr>
        <w:t>Student Support and Services</w:t>
      </w:r>
    </w:p>
    <w:p w14:paraId="29FCD55A" w14:textId="71EB7BE6" w:rsidR="001968FE" w:rsidRPr="001968FE" w:rsidRDefault="001968FE" w:rsidP="001968FE">
      <w:pPr>
        <w:pStyle w:val="Body"/>
      </w:pPr>
      <w:r w:rsidRPr="001968FE">
        <w:t>In 2024, international students’ ratings of Student Support and Services varied by 20.0 percentage points</w:t>
      </w:r>
      <w:r w:rsidR="00D621A6">
        <w:t xml:space="preserve"> between the highest and the lowest</w:t>
      </w:r>
      <w:r w:rsidRPr="001968FE">
        <w:t>:</w:t>
      </w:r>
    </w:p>
    <w:p w14:paraId="6391B031" w14:textId="77777777" w:rsidR="001968FE" w:rsidRPr="001968FE" w:rsidRDefault="001968FE" w:rsidP="001968FE">
      <w:pPr>
        <w:pStyle w:val="Body"/>
        <w:numPr>
          <w:ilvl w:val="0"/>
          <w:numId w:val="29"/>
        </w:numPr>
      </w:pPr>
      <w:r w:rsidRPr="001968FE">
        <w:lastRenderedPageBreak/>
        <w:t>Highest: Nursing (84.1 per cent)</w:t>
      </w:r>
    </w:p>
    <w:p w14:paraId="6721381E" w14:textId="2B1DFBF4" w:rsidR="001968FE" w:rsidRPr="001968FE" w:rsidRDefault="001968FE" w:rsidP="001968FE">
      <w:pPr>
        <w:pStyle w:val="Body"/>
        <w:numPr>
          <w:ilvl w:val="0"/>
          <w:numId w:val="29"/>
        </w:numPr>
      </w:pPr>
      <w:r w:rsidRPr="001968FE">
        <w:t>Lowest: Veterinary science (64.1 per cent)</w:t>
      </w:r>
      <w:r w:rsidR="007C7A05">
        <w:t xml:space="preserve">. </w:t>
      </w:r>
    </w:p>
    <w:p w14:paraId="0072BB75" w14:textId="77777777" w:rsidR="001968FE" w:rsidRPr="001968FE" w:rsidRDefault="001968FE" w:rsidP="001968FE">
      <w:pPr>
        <w:pStyle w:val="Body"/>
      </w:pPr>
      <w:r w:rsidRPr="001968FE">
        <w:t>Other lower-scoring areas included:</w:t>
      </w:r>
    </w:p>
    <w:p w14:paraId="4C8E21D7" w14:textId="77777777" w:rsidR="001968FE" w:rsidRPr="001968FE" w:rsidRDefault="001968FE" w:rsidP="001968FE">
      <w:pPr>
        <w:pStyle w:val="Body"/>
        <w:numPr>
          <w:ilvl w:val="0"/>
          <w:numId w:val="30"/>
        </w:numPr>
      </w:pPr>
      <w:r w:rsidRPr="001968FE">
        <w:t>Medicine (65.2 per cent)</w:t>
      </w:r>
    </w:p>
    <w:p w14:paraId="03B500A3" w14:textId="6876C127" w:rsidR="001968FE" w:rsidRPr="001968FE" w:rsidRDefault="001968FE" w:rsidP="001968FE">
      <w:pPr>
        <w:pStyle w:val="Body"/>
        <w:numPr>
          <w:ilvl w:val="0"/>
          <w:numId w:val="30"/>
        </w:numPr>
      </w:pPr>
      <w:r w:rsidRPr="001968FE">
        <w:t>Rehabilitation (70.7 per cent)</w:t>
      </w:r>
      <w:r w:rsidR="003F7909">
        <w:t>.</w:t>
      </w:r>
    </w:p>
    <w:p w14:paraId="51E62FC0" w14:textId="356E5EFA" w:rsidR="001968FE" w:rsidRPr="001968FE" w:rsidRDefault="001968FE" w:rsidP="001968FE">
      <w:pPr>
        <w:pStyle w:val="Body"/>
      </w:pPr>
      <w:r w:rsidRPr="001968FE">
        <w:t xml:space="preserve">This </w:t>
      </w:r>
      <w:r w:rsidR="00B81AD7">
        <w:t>f</w:t>
      </w:r>
      <w:r w:rsidRPr="001968FE">
        <w:t xml:space="preserve">ocus </w:t>
      </w:r>
      <w:r w:rsidR="00B81AD7">
        <w:t>a</w:t>
      </w:r>
      <w:r w:rsidRPr="001968FE">
        <w:t>rea is becoming more important under the Support for Students Policy</w:t>
      </w:r>
      <w:r w:rsidR="00BC3121">
        <w:rPr>
          <w:rStyle w:val="FootnoteReference"/>
        </w:rPr>
        <w:footnoteReference w:id="6"/>
      </w:r>
      <w:r w:rsidRPr="001968FE">
        <w:t>, which aims to help students succeed by improving both academic and non-academic support.</w:t>
      </w:r>
      <w:r w:rsidR="00CB2AA3">
        <w:t xml:space="preserve"> </w:t>
      </w:r>
      <w:r w:rsidR="00CB2AA3" w:rsidRPr="00CF4316">
        <w:t>Addressing the disparities in support services is essential to ensuring that all international students—regardless of their field of study—have equitable opportunities to succeed and feel supported throughout their academic journey.</w:t>
      </w:r>
    </w:p>
    <w:p w14:paraId="06C2BDFB" w14:textId="77777777" w:rsidR="001968FE" w:rsidRPr="00252027" w:rsidRDefault="001968FE" w:rsidP="004B10B8">
      <w:pPr>
        <w:pStyle w:val="Heading4"/>
        <w:rPr>
          <w:color w:val="000000" w:themeColor="text1"/>
        </w:rPr>
      </w:pPr>
      <w:r w:rsidRPr="00252027">
        <w:rPr>
          <w:color w:val="000000" w:themeColor="text1"/>
        </w:rPr>
        <w:t>Learning Resources</w:t>
      </w:r>
    </w:p>
    <w:p w14:paraId="77FF08DE" w14:textId="412C6577" w:rsidR="001968FE" w:rsidRPr="001968FE" w:rsidRDefault="001968FE" w:rsidP="001968FE">
      <w:pPr>
        <w:pStyle w:val="Body"/>
      </w:pPr>
      <w:r w:rsidRPr="001968FE">
        <w:t xml:space="preserve">There was a 19.0 </w:t>
      </w:r>
      <w:r w:rsidR="00D407F0">
        <w:t xml:space="preserve">percentage </w:t>
      </w:r>
      <w:r w:rsidRPr="001968FE">
        <w:t>point</w:t>
      </w:r>
      <w:r w:rsidR="00D407F0">
        <w:t xml:space="preserve"> </w:t>
      </w:r>
      <w:r w:rsidRPr="001968FE">
        <w:t xml:space="preserve">gap </w:t>
      </w:r>
      <w:r w:rsidR="00D407F0">
        <w:t>between the highest and the lowest</w:t>
      </w:r>
      <w:r w:rsidR="00F1541F">
        <w:t xml:space="preserve"> </w:t>
      </w:r>
      <w:r w:rsidR="00F1541F" w:rsidRPr="001968FE">
        <w:t>ratings for Learning Resources</w:t>
      </w:r>
      <w:r w:rsidR="00D407F0">
        <w:t xml:space="preserve">. </w:t>
      </w:r>
    </w:p>
    <w:p w14:paraId="75AEFA91" w14:textId="00C68CDC" w:rsidR="00745A46" w:rsidRDefault="00E129A0" w:rsidP="00745A46">
      <w:pPr>
        <w:pStyle w:val="Body"/>
      </w:pPr>
      <w:r>
        <w:t>The highest ratings were in</w:t>
      </w:r>
      <w:bookmarkEnd w:id="48"/>
      <w:r w:rsidR="001968FE" w:rsidRPr="001968FE">
        <w:t xml:space="preserve">: </w:t>
      </w:r>
    </w:p>
    <w:p w14:paraId="45D78BDE" w14:textId="4F04E5B3" w:rsidR="00E176BA" w:rsidRDefault="001968FE" w:rsidP="007D486A">
      <w:pPr>
        <w:pStyle w:val="Bullets1"/>
      </w:pPr>
      <w:r w:rsidRPr="001968FE">
        <w:t>Humanities, culture and social sciences (88.4 per cent)</w:t>
      </w:r>
    </w:p>
    <w:p w14:paraId="5CBE1EF2" w14:textId="5EC6ADD5" w:rsidR="00745A46" w:rsidRDefault="001968FE" w:rsidP="007D486A">
      <w:pPr>
        <w:pStyle w:val="Bullets1"/>
      </w:pPr>
      <w:r w:rsidRPr="001968FE">
        <w:t>Science and mathematics (88.2 per cent)</w:t>
      </w:r>
    </w:p>
    <w:p w14:paraId="57F9BAEB" w14:textId="6BEC9EE8" w:rsidR="00745A46" w:rsidRDefault="001968FE" w:rsidP="007D486A">
      <w:pPr>
        <w:pStyle w:val="Bullets1"/>
      </w:pPr>
      <w:r w:rsidRPr="001968FE">
        <w:t>Nursing (87.3 per cent)</w:t>
      </w:r>
    </w:p>
    <w:p w14:paraId="585BBEEC" w14:textId="6295E149" w:rsidR="00745A46" w:rsidRDefault="001968FE" w:rsidP="007D486A">
      <w:pPr>
        <w:pStyle w:val="Bullets1"/>
      </w:pPr>
      <w:r w:rsidRPr="001968FE">
        <w:t>Psychology (87.3 per cent)</w:t>
      </w:r>
    </w:p>
    <w:p w14:paraId="0E041FD1" w14:textId="5F132521" w:rsidR="001968FE" w:rsidRPr="001968FE" w:rsidRDefault="001968FE" w:rsidP="007D486A">
      <w:pPr>
        <w:pStyle w:val="Bullets1"/>
      </w:pPr>
      <w:r w:rsidRPr="001968FE">
        <w:t>Engineering (87.1 per cent)</w:t>
      </w:r>
      <w:r w:rsidR="003F7909">
        <w:t>.</w:t>
      </w:r>
    </w:p>
    <w:p w14:paraId="02B16FF9" w14:textId="5C167770" w:rsidR="00745A46" w:rsidRDefault="00E129A0" w:rsidP="00745A46">
      <w:pPr>
        <w:pStyle w:val="Body"/>
      </w:pPr>
      <w:r>
        <w:t>The lowest ratings were in</w:t>
      </w:r>
      <w:r w:rsidR="001968FE" w:rsidRPr="001968FE">
        <w:t xml:space="preserve">: </w:t>
      </w:r>
    </w:p>
    <w:p w14:paraId="55C623DC" w14:textId="0770D92B" w:rsidR="00745A46" w:rsidRPr="007D486A" w:rsidRDefault="001968FE" w:rsidP="007D486A">
      <w:pPr>
        <w:pStyle w:val="Bullets1"/>
      </w:pPr>
      <w:r w:rsidRPr="007D486A">
        <w:t>Social work (69.4 per cent)</w:t>
      </w:r>
    </w:p>
    <w:p w14:paraId="56F0A726" w14:textId="6E1BBA4F" w:rsidR="00745A46" w:rsidRPr="007D486A" w:rsidRDefault="001968FE" w:rsidP="007D486A">
      <w:pPr>
        <w:pStyle w:val="Bullets1"/>
      </w:pPr>
      <w:r w:rsidRPr="007D486A">
        <w:t>Medicine (72.8 per cent</w:t>
      </w:r>
      <w:r w:rsidR="00745A46" w:rsidRPr="007D486A">
        <w:t>)</w:t>
      </w:r>
    </w:p>
    <w:p w14:paraId="4F454F72" w14:textId="562B40CD" w:rsidR="001968FE" w:rsidRDefault="001968FE" w:rsidP="007D486A">
      <w:pPr>
        <w:pStyle w:val="Bullets1"/>
      </w:pPr>
      <w:r w:rsidRPr="007D486A">
        <w:t>Rehabilitation (74.9 per cent)</w:t>
      </w:r>
      <w:r w:rsidR="003F7909">
        <w:t>.</w:t>
      </w:r>
    </w:p>
    <w:p w14:paraId="28904A73" w14:textId="77777777" w:rsidR="00CB5D0E" w:rsidRPr="00CB5D0E" w:rsidRDefault="00CB5D0E" w:rsidP="00CB5D0E">
      <w:pPr>
        <w:pStyle w:val="Body"/>
      </w:pPr>
      <w:r w:rsidRPr="00CB5D0E">
        <w:t>These differences highlight the need to ensure consistent access to high-quality learning resources across all study areas, so that all international students can benefit from an equitable and well-supported academic environment.</w:t>
      </w:r>
    </w:p>
    <w:p w14:paraId="7D6CEBF7" w14:textId="40283419" w:rsidR="00F03A73" w:rsidRPr="00252027" w:rsidRDefault="00E54E7C" w:rsidP="00E54E7C">
      <w:pPr>
        <w:pStyle w:val="Heading3"/>
        <w:rPr>
          <w:color w:val="000000" w:themeColor="text1"/>
        </w:rPr>
      </w:pPr>
      <w:bookmarkStart w:id="51" w:name="_Toc206692271"/>
      <w:r w:rsidRPr="00252027">
        <w:rPr>
          <w:color w:val="000000" w:themeColor="text1"/>
        </w:rPr>
        <w:t>International postgraduate coursework students</w:t>
      </w:r>
      <w:bookmarkEnd w:id="51"/>
    </w:p>
    <w:p w14:paraId="591968F1" w14:textId="77777777" w:rsidR="00F96AB4" w:rsidRPr="00F96AB4" w:rsidRDefault="00F03A73" w:rsidP="00F96AB4">
      <w:pPr>
        <w:pStyle w:val="Body"/>
        <w:rPr>
          <w:b/>
          <w:bCs/>
          <w:color w:val="000000" w:themeColor="text1"/>
        </w:rPr>
      </w:pPr>
      <w:r w:rsidRPr="00252027">
        <w:rPr>
          <w:color w:val="000000" w:themeColor="text1"/>
        </w:rPr>
        <w:t xml:space="preserve">A similar pattern can be observed for international postgraduate coursework students, where there is variation between study areas across the focus areas and </w:t>
      </w:r>
      <w:r w:rsidR="00366C0A" w:rsidRPr="00252027">
        <w:rPr>
          <w:color w:val="000000" w:themeColor="text1"/>
        </w:rPr>
        <w:t>Overall Educational Experience</w:t>
      </w:r>
      <w:r w:rsidR="00C0502E" w:rsidRPr="00252027">
        <w:rPr>
          <w:color w:val="000000" w:themeColor="text1"/>
        </w:rPr>
        <w:t xml:space="preserve"> (</w:t>
      </w:r>
      <w:r w:rsidR="005C5B14" w:rsidRPr="00252027">
        <w:rPr>
          <w:b/>
          <w:bCs/>
          <w:color w:val="000000" w:themeColor="text1"/>
        </w:rPr>
        <w:fldChar w:fldCharType="begin"/>
      </w:r>
      <w:r w:rsidR="005C5B14" w:rsidRPr="00252027">
        <w:rPr>
          <w:b/>
          <w:bCs/>
          <w:color w:val="000000" w:themeColor="text1"/>
        </w:rPr>
        <w:instrText xml:space="preserve"> REF _Ref197685716 \h  \* MERGEFORMAT </w:instrText>
      </w:r>
      <w:r w:rsidR="005C5B14" w:rsidRPr="00252027">
        <w:rPr>
          <w:b/>
          <w:bCs/>
          <w:color w:val="000000" w:themeColor="text1"/>
        </w:rPr>
      </w:r>
      <w:r w:rsidR="005C5B14" w:rsidRPr="00252027">
        <w:rPr>
          <w:b/>
          <w:bCs/>
          <w:color w:val="000000" w:themeColor="text1"/>
        </w:rPr>
        <w:fldChar w:fldCharType="separate"/>
      </w:r>
    </w:p>
    <w:p w14:paraId="3EDBDCD6" w14:textId="77777777" w:rsidR="00F96AB4" w:rsidRPr="00F96AB4" w:rsidRDefault="00F96AB4" w:rsidP="00F96AB4">
      <w:pPr>
        <w:pStyle w:val="Body"/>
        <w:rPr>
          <w:b/>
          <w:bCs/>
          <w:noProof/>
          <w:color w:val="000000" w:themeColor="text1"/>
        </w:rPr>
      </w:pPr>
      <w:r w:rsidRPr="00F96AB4">
        <w:rPr>
          <w:b/>
          <w:bCs/>
          <w:color w:val="000000" w:themeColor="text1"/>
        </w:rPr>
        <w:br w:type="page"/>
      </w:r>
    </w:p>
    <w:p w14:paraId="364814C9" w14:textId="765F356B" w:rsidR="00F03A73" w:rsidRPr="00252027" w:rsidRDefault="00F96AB4" w:rsidP="00F03A73">
      <w:pPr>
        <w:pStyle w:val="Body"/>
        <w:rPr>
          <w:color w:val="000000" w:themeColor="text1"/>
        </w:rPr>
      </w:pPr>
      <w:r w:rsidRPr="00E40220">
        <w:rPr>
          <w:color w:val="000000" w:themeColor="text1"/>
        </w:rPr>
        <w:lastRenderedPageBreak/>
        <w:t xml:space="preserve">Table </w:t>
      </w:r>
      <w:r>
        <w:rPr>
          <w:noProof/>
          <w:color w:val="000000" w:themeColor="text1"/>
        </w:rPr>
        <w:t>7</w:t>
      </w:r>
      <w:r w:rsidR="005C5B14" w:rsidRPr="00252027">
        <w:rPr>
          <w:b/>
          <w:bCs/>
          <w:color w:val="000000" w:themeColor="text1"/>
        </w:rPr>
        <w:fldChar w:fldCharType="end"/>
      </w:r>
      <w:r w:rsidR="005C5B14" w:rsidRPr="00252027">
        <w:rPr>
          <w:color w:val="000000" w:themeColor="text1"/>
        </w:rPr>
        <w:t>).</w:t>
      </w:r>
    </w:p>
    <w:p w14:paraId="06523140" w14:textId="30A89165" w:rsidR="00F03A73" w:rsidRPr="00252027" w:rsidRDefault="00366C0A" w:rsidP="00C72DD4">
      <w:pPr>
        <w:pStyle w:val="Heading4"/>
        <w:rPr>
          <w:color w:val="000000" w:themeColor="text1"/>
        </w:rPr>
      </w:pPr>
      <w:r w:rsidRPr="00252027">
        <w:rPr>
          <w:color w:val="000000" w:themeColor="text1"/>
        </w:rPr>
        <w:t>Overall Educational Experience</w:t>
      </w:r>
    </w:p>
    <w:p w14:paraId="1A3809A4" w14:textId="6FC1D31B" w:rsidR="00F03A73" w:rsidRPr="00F03A73" w:rsidRDefault="00F03A73" w:rsidP="00F03A73">
      <w:pPr>
        <w:pStyle w:val="Body"/>
      </w:pPr>
      <w:r w:rsidRPr="00F03A73">
        <w:t xml:space="preserve">In 2024, the study areas with the highest </w:t>
      </w:r>
      <w:r w:rsidR="00366C0A">
        <w:t>Overall Educational Experience</w:t>
      </w:r>
      <w:r w:rsidRPr="00F03A73">
        <w:t xml:space="preserve"> </w:t>
      </w:r>
      <w:r w:rsidR="00DA5349">
        <w:t>rating</w:t>
      </w:r>
      <w:r w:rsidRPr="00F03A73">
        <w:t xml:space="preserve">s </w:t>
      </w:r>
      <w:r w:rsidR="00DA5349">
        <w:t>were</w:t>
      </w:r>
      <w:r w:rsidRPr="00F03A73">
        <w:t>:</w:t>
      </w:r>
    </w:p>
    <w:p w14:paraId="72D6A48D" w14:textId="5E043B52" w:rsidR="00F03A73" w:rsidRPr="00F03A73" w:rsidRDefault="00F03A73" w:rsidP="00F03A73">
      <w:pPr>
        <w:pStyle w:val="Body"/>
        <w:numPr>
          <w:ilvl w:val="0"/>
          <w:numId w:val="32"/>
        </w:numPr>
      </w:pPr>
      <w:r w:rsidRPr="00F03A73">
        <w:t xml:space="preserve">Humanities, culture and social sciences (82.3 per cent), </w:t>
      </w:r>
    </w:p>
    <w:p w14:paraId="2F73BC78" w14:textId="77777777" w:rsidR="00F03A73" w:rsidRPr="00F03A73" w:rsidRDefault="00F03A73" w:rsidP="00F03A73">
      <w:pPr>
        <w:pStyle w:val="Body"/>
        <w:numPr>
          <w:ilvl w:val="0"/>
          <w:numId w:val="32"/>
        </w:numPr>
      </w:pPr>
      <w:r w:rsidRPr="00F03A73">
        <w:t>Health services and support (80.1 per cent)</w:t>
      </w:r>
    </w:p>
    <w:p w14:paraId="06121C31" w14:textId="390B99E8" w:rsidR="00F03A73" w:rsidRPr="00F03A73" w:rsidRDefault="00F03A73" w:rsidP="00F03A73">
      <w:pPr>
        <w:pStyle w:val="Body"/>
        <w:numPr>
          <w:ilvl w:val="0"/>
          <w:numId w:val="32"/>
        </w:numPr>
      </w:pPr>
      <w:r w:rsidRPr="00F03A73">
        <w:t>Business and management (78.7 per cent), the largest study area</w:t>
      </w:r>
      <w:r w:rsidR="00C96983">
        <w:t xml:space="preserve"> for postgraduate coursework international students</w:t>
      </w:r>
    </w:p>
    <w:p w14:paraId="7FD03A0C" w14:textId="77777777" w:rsidR="00F03A73" w:rsidRPr="00F03A73" w:rsidRDefault="00F03A73" w:rsidP="00F03A73">
      <w:pPr>
        <w:pStyle w:val="Body"/>
        <w:numPr>
          <w:ilvl w:val="0"/>
          <w:numId w:val="32"/>
        </w:numPr>
      </w:pPr>
      <w:r w:rsidRPr="00F03A73">
        <w:t>Nursing (77.6 per cent)</w:t>
      </w:r>
    </w:p>
    <w:p w14:paraId="724FCBAD" w14:textId="77045B7C" w:rsidR="00F03A73" w:rsidRPr="00F03A73" w:rsidRDefault="00F03A73" w:rsidP="00F03A73">
      <w:pPr>
        <w:pStyle w:val="Body"/>
        <w:numPr>
          <w:ilvl w:val="0"/>
          <w:numId w:val="32"/>
        </w:numPr>
      </w:pPr>
      <w:r w:rsidRPr="00F03A73">
        <w:t>Science and mathematics (77.6 per cent)</w:t>
      </w:r>
      <w:r w:rsidR="0058172C">
        <w:t>.</w:t>
      </w:r>
    </w:p>
    <w:p w14:paraId="7A45ACA5" w14:textId="39C350E1" w:rsidR="00F03A73" w:rsidRPr="00F03A73" w:rsidRDefault="00F03A73" w:rsidP="00F03A73">
      <w:pPr>
        <w:pStyle w:val="Body"/>
      </w:pPr>
      <w:r w:rsidRPr="00F03A73">
        <w:t xml:space="preserve">The study </w:t>
      </w:r>
      <w:r w:rsidR="001056BF">
        <w:t>areas with the</w:t>
      </w:r>
      <w:r w:rsidRPr="00F03A73">
        <w:t xml:space="preserve"> lowest </w:t>
      </w:r>
      <w:r w:rsidR="001056BF">
        <w:t xml:space="preserve">ratings for </w:t>
      </w:r>
      <w:r w:rsidR="00366C0A">
        <w:t>Overall Educational Experience</w:t>
      </w:r>
      <w:r w:rsidR="001056BF">
        <w:t xml:space="preserve"> </w:t>
      </w:r>
      <w:r w:rsidRPr="00F03A73">
        <w:t>were:</w:t>
      </w:r>
    </w:p>
    <w:p w14:paraId="54FBEC93" w14:textId="77777777" w:rsidR="00C51BC4" w:rsidRDefault="00C51BC4" w:rsidP="00F03A73">
      <w:pPr>
        <w:pStyle w:val="Body"/>
        <w:numPr>
          <w:ilvl w:val="0"/>
          <w:numId w:val="33"/>
        </w:numPr>
      </w:pPr>
      <w:r w:rsidRPr="00F03A73">
        <w:t>Dentistry (56.9 per cent)</w:t>
      </w:r>
    </w:p>
    <w:p w14:paraId="00A47D9E" w14:textId="77777777" w:rsidR="00797486" w:rsidRPr="00F03A73" w:rsidRDefault="00797486" w:rsidP="00797486">
      <w:pPr>
        <w:pStyle w:val="Body"/>
        <w:numPr>
          <w:ilvl w:val="0"/>
          <w:numId w:val="33"/>
        </w:numPr>
      </w:pPr>
      <w:r w:rsidRPr="00F03A73">
        <w:t>Rehabilitation (</w:t>
      </w:r>
      <w:r>
        <w:t>64.3</w:t>
      </w:r>
      <w:r w:rsidRPr="00F03A73">
        <w:t xml:space="preserve"> per cent)</w:t>
      </w:r>
    </w:p>
    <w:p w14:paraId="3E329DD0" w14:textId="77777777" w:rsidR="00C51BC4" w:rsidRPr="00F03A73" w:rsidRDefault="00C51BC4" w:rsidP="00C51BC4">
      <w:pPr>
        <w:pStyle w:val="Body"/>
        <w:numPr>
          <w:ilvl w:val="0"/>
          <w:numId w:val="33"/>
        </w:numPr>
      </w:pPr>
      <w:r w:rsidRPr="00F03A73">
        <w:t>Medicine (64.7 per cent)</w:t>
      </w:r>
    </w:p>
    <w:p w14:paraId="5DFD3F6F" w14:textId="6FF91952" w:rsidR="00F03A73" w:rsidRPr="00F03A73" w:rsidRDefault="00F03A73" w:rsidP="00F03A73">
      <w:pPr>
        <w:pStyle w:val="Body"/>
        <w:numPr>
          <w:ilvl w:val="0"/>
          <w:numId w:val="33"/>
        </w:numPr>
      </w:pPr>
      <w:r w:rsidRPr="00F03A73">
        <w:t>Veterinary science (</w:t>
      </w:r>
      <w:r w:rsidR="006A34EC">
        <w:t>66.2</w:t>
      </w:r>
      <w:r w:rsidRPr="00F03A73">
        <w:t xml:space="preserve"> per cent)</w:t>
      </w:r>
      <w:r w:rsidR="00AF7517">
        <w:t>.</w:t>
      </w:r>
    </w:p>
    <w:p w14:paraId="6228755B" w14:textId="42121E9A" w:rsidR="00F03A73" w:rsidRPr="00F03A73" w:rsidRDefault="001056BF" w:rsidP="00F03A73">
      <w:pPr>
        <w:pStyle w:val="Body"/>
      </w:pPr>
      <w:r w:rsidRPr="00DA440A">
        <w:t xml:space="preserve">There was a </w:t>
      </w:r>
      <w:r w:rsidRPr="00F03A73">
        <w:t xml:space="preserve">25.4 percentage points </w:t>
      </w:r>
      <w:r w:rsidR="006207AA" w:rsidRPr="00DA440A">
        <w:t xml:space="preserve">difference between the highest and </w:t>
      </w:r>
      <w:r w:rsidRPr="00F03A73">
        <w:t xml:space="preserve">the lowest </w:t>
      </w:r>
      <w:r w:rsidR="006207AA" w:rsidRPr="00DA440A">
        <w:t>rated study</w:t>
      </w:r>
      <w:r w:rsidRPr="00F03A73">
        <w:t xml:space="preserve"> area</w:t>
      </w:r>
      <w:r w:rsidR="00B75716">
        <w:t>s</w:t>
      </w:r>
      <w:r w:rsidR="006207AA" w:rsidRPr="00DA440A">
        <w:t xml:space="preserve">. </w:t>
      </w:r>
      <w:r w:rsidR="003D64B1" w:rsidRPr="00F03A73">
        <w:t>This wide variation</w:t>
      </w:r>
      <w:r w:rsidR="00F03A73" w:rsidRPr="00F03A73">
        <w:t xml:space="preserve"> highlights the importance of addressing lower-performing areas to ensure a more consistent and equitable experience across disciplines.</w:t>
      </w:r>
    </w:p>
    <w:p w14:paraId="452B07DD" w14:textId="77777777" w:rsidR="00F03A73" w:rsidRPr="00252027" w:rsidRDefault="00F03A73" w:rsidP="00C72DD4">
      <w:pPr>
        <w:pStyle w:val="Heading4"/>
        <w:rPr>
          <w:color w:val="000000" w:themeColor="text1"/>
        </w:rPr>
      </w:pPr>
      <w:r w:rsidRPr="00252027">
        <w:rPr>
          <w:color w:val="000000" w:themeColor="text1"/>
        </w:rPr>
        <w:t>Teaching Quality and Engagement</w:t>
      </w:r>
    </w:p>
    <w:p w14:paraId="1ED98107" w14:textId="1FF50856" w:rsidR="00F03A73" w:rsidRPr="00252027" w:rsidRDefault="006B2894" w:rsidP="00F03A73">
      <w:pPr>
        <w:pStyle w:val="Body"/>
        <w:rPr>
          <w:color w:val="000000" w:themeColor="text1"/>
        </w:rPr>
      </w:pPr>
      <w:r w:rsidRPr="00252027">
        <w:rPr>
          <w:color w:val="000000" w:themeColor="text1"/>
        </w:rPr>
        <w:t xml:space="preserve">Study area trends in Teaching Quality and Engagement closely aligned with those observed in </w:t>
      </w:r>
      <w:r w:rsidR="00366C0A" w:rsidRPr="00252027">
        <w:rPr>
          <w:color w:val="000000" w:themeColor="text1"/>
        </w:rPr>
        <w:t>Overall Educational Experience</w:t>
      </w:r>
      <w:r w:rsidR="00A51B18" w:rsidRPr="00252027">
        <w:rPr>
          <w:color w:val="000000" w:themeColor="text1"/>
        </w:rPr>
        <w:t xml:space="preserve">. </w:t>
      </w:r>
      <w:r w:rsidR="00F03A73" w:rsidRPr="00252027">
        <w:rPr>
          <w:color w:val="000000" w:themeColor="text1"/>
        </w:rPr>
        <w:t>The highest ratings came from:</w:t>
      </w:r>
    </w:p>
    <w:p w14:paraId="1937B7EC" w14:textId="77777777" w:rsidR="00F03A73" w:rsidRPr="00252027" w:rsidRDefault="00F03A73" w:rsidP="00F03A73">
      <w:pPr>
        <w:pStyle w:val="Body"/>
        <w:numPr>
          <w:ilvl w:val="0"/>
          <w:numId w:val="34"/>
        </w:numPr>
        <w:rPr>
          <w:color w:val="000000" w:themeColor="text1"/>
        </w:rPr>
      </w:pPr>
      <w:r w:rsidRPr="00252027">
        <w:rPr>
          <w:color w:val="000000" w:themeColor="text1"/>
        </w:rPr>
        <w:t>Humanities, culture and social sciences (90.7 per cent)</w:t>
      </w:r>
    </w:p>
    <w:p w14:paraId="09978C10" w14:textId="4C9109B9" w:rsidR="00F03A73" w:rsidRPr="00252027" w:rsidRDefault="00F03A73" w:rsidP="00F03A73">
      <w:pPr>
        <w:pStyle w:val="Body"/>
        <w:numPr>
          <w:ilvl w:val="0"/>
          <w:numId w:val="34"/>
        </w:numPr>
        <w:rPr>
          <w:color w:val="000000" w:themeColor="text1"/>
        </w:rPr>
      </w:pPr>
      <w:r w:rsidRPr="00252027">
        <w:rPr>
          <w:color w:val="000000" w:themeColor="text1"/>
        </w:rPr>
        <w:t>Health services and support (88.4 per cent)</w:t>
      </w:r>
      <w:r w:rsidR="00E36A64" w:rsidRPr="00252027">
        <w:rPr>
          <w:color w:val="000000" w:themeColor="text1"/>
        </w:rPr>
        <w:t>.</w:t>
      </w:r>
    </w:p>
    <w:p w14:paraId="15E5058D" w14:textId="77777777" w:rsidR="00F03A73" w:rsidRPr="00252027" w:rsidRDefault="00F03A73" w:rsidP="00F03A73">
      <w:pPr>
        <w:pStyle w:val="Body"/>
        <w:rPr>
          <w:color w:val="000000" w:themeColor="text1"/>
        </w:rPr>
      </w:pPr>
      <w:r w:rsidRPr="00252027">
        <w:rPr>
          <w:color w:val="000000" w:themeColor="text1"/>
        </w:rPr>
        <w:t>The lowest ratings were recorded in:</w:t>
      </w:r>
    </w:p>
    <w:p w14:paraId="0E12AD7F" w14:textId="77777777" w:rsidR="00F03A73" w:rsidRPr="00252027" w:rsidRDefault="00F03A73" w:rsidP="00F03A73">
      <w:pPr>
        <w:pStyle w:val="Body"/>
        <w:numPr>
          <w:ilvl w:val="0"/>
          <w:numId w:val="35"/>
        </w:numPr>
        <w:rPr>
          <w:color w:val="000000" w:themeColor="text1"/>
        </w:rPr>
      </w:pPr>
      <w:r w:rsidRPr="00252027">
        <w:rPr>
          <w:color w:val="000000" w:themeColor="text1"/>
        </w:rPr>
        <w:t>Dentistry (60.3 per cent)</w:t>
      </w:r>
    </w:p>
    <w:p w14:paraId="7D96883F" w14:textId="77777777" w:rsidR="00F03A73" w:rsidRPr="00252027" w:rsidRDefault="00F03A73" w:rsidP="00F03A73">
      <w:pPr>
        <w:pStyle w:val="Body"/>
        <w:numPr>
          <w:ilvl w:val="0"/>
          <w:numId w:val="35"/>
        </w:numPr>
        <w:rPr>
          <w:color w:val="000000" w:themeColor="text1"/>
        </w:rPr>
      </w:pPr>
      <w:r w:rsidRPr="00252027">
        <w:rPr>
          <w:color w:val="000000" w:themeColor="text1"/>
        </w:rPr>
        <w:t>Medicine (67.1 per cent)</w:t>
      </w:r>
    </w:p>
    <w:p w14:paraId="12F5D20D" w14:textId="77777777" w:rsidR="00F03A73" w:rsidRPr="00252027" w:rsidRDefault="00F03A73" w:rsidP="00F03A73">
      <w:pPr>
        <w:pStyle w:val="Body"/>
        <w:numPr>
          <w:ilvl w:val="0"/>
          <w:numId w:val="35"/>
        </w:numPr>
        <w:rPr>
          <w:color w:val="000000" w:themeColor="text1"/>
        </w:rPr>
      </w:pPr>
      <w:r w:rsidRPr="00252027">
        <w:rPr>
          <w:color w:val="000000" w:themeColor="text1"/>
        </w:rPr>
        <w:t>Rehabilitation (71.9 per cent)</w:t>
      </w:r>
    </w:p>
    <w:p w14:paraId="7B87E541" w14:textId="5DC539C5" w:rsidR="00F03A73" w:rsidRPr="00252027" w:rsidRDefault="00F03A73" w:rsidP="00F03A73">
      <w:pPr>
        <w:pStyle w:val="Body"/>
        <w:numPr>
          <w:ilvl w:val="0"/>
          <w:numId w:val="35"/>
        </w:numPr>
        <w:rPr>
          <w:color w:val="000000" w:themeColor="text1"/>
        </w:rPr>
      </w:pPr>
      <w:r w:rsidRPr="00252027">
        <w:rPr>
          <w:color w:val="000000" w:themeColor="text1"/>
        </w:rPr>
        <w:t>Veterinary science (79.7 per cent)</w:t>
      </w:r>
    </w:p>
    <w:p w14:paraId="2772F915" w14:textId="72462915" w:rsidR="00F03A73" w:rsidRPr="00252027" w:rsidRDefault="00F03A73" w:rsidP="00F03A73">
      <w:pPr>
        <w:pStyle w:val="Body"/>
        <w:numPr>
          <w:ilvl w:val="0"/>
          <w:numId w:val="35"/>
        </w:numPr>
        <w:rPr>
          <w:color w:val="000000" w:themeColor="text1"/>
        </w:rPr>
      </w:pPr>
      <w:r w:rsidRPr="00252027">
        <w:rPr>
          <w:color w:val="000000" w:themeColor="text1"/>
        </w:rPr>
        <w:t>Computing and information systems (79.8 per cent), which is one of the largest study areas and may warrant intervention at a sector-wide level</w:t>
      </w:r>
      <w:r w:rsidR="00E36A64" w:rsidRPr="00252027">
        <w:rPr>
          <w:color w:val="000000" w:themeColor="text1"/>
        </w:rPr>
        <w:t>.</w:t>
      </w:r>
    </w:p>
    <w:p w14:paraId="00CA67E2" w14:textId="56272153" w:rsidR="00F03A73" w:rsidRPr="00252027" w:rsidRDefault="00E078C5" w:rsidP="00F03A73">
      <w:pPr>
        <w:pStyle w:val="Body"/>
        <w:rPr>
          <w:color w:val="000000" w:themeColor="text1"/>
        </w:rPr>
      </w:pPr>
      <w:r w:rsidRPr="00252027">
        <w:rPr>
          <w:color w:val="000000" w:themeColor="text1"/>
        </w:rPr>
        <w:t xml:space="preserve">The </w:t>
      </w:r>
      <w:r w:rsidR="00A51B18" w:rsidRPr="00252027">
        <w:rPr>
          <w:color w:val="000000" w:themeColor="text1"/>
        </w:rPr>
        <w:t xml:space="preserve">gap between the highest and lowest </w:t>
      </w:r>
      <w:r w:rsidRPr="00252027">
        <w:rPr>
          <w:color w:val="000000" w:themeColor="text1"/>
        </w:rPr>
        <w:t xml:space="preserve">rated </w:t>
      </w:r>
      <w:r w:rsidR="0080262E" w:rsidRPr="00252027">
        <w:rPr>
          <w:color w:val="000000" w:themeColor="text1"/>
        </w:rPr>
        <w:t xml:space="preserve">study area was </w:t>
      </w:r>
      <w:r w:rsidR="00A51B18" w:rsidRPr="00252027">
        <w:rPr>
          <w:color w:val="000000" w:themeColor="text1"/>
        </w:rPr>
        <w:t>30.4 percentage points</w:t>
      </w:r>
      <w:r w:rsidR="00F03A73" w:rsidRPr="00252027">
        <w:rPr>
          <w:b/>
          <w:bCs/>
          <w:color w:val="000000" w:themeColor="text1"/>
        </w:rPr>
        <w:t>.</w:t>
      </w:r>
    </w:p>
    <w:p w14:paraId="700006FD" w14:textId="77777777" w:rsidR="00F03A73" w:rsidRPr="00252027" w:rsidRDefault="00F03A73" w:rsidP="00C72DD4">
      <w:pPr>
        <w:pStyle w:val="Heading4"/>
        <w:rPr>
          <w:color w:val="000000" w:themeColor="text1"/>
        </w:rPr>
      </w:pPr>
      <w:r w:rsidRPr="00252027">
        <w:rPr>
          <w:color w:val="000000" w:themeColor="text1"/>
        </w:rPr>
        <w:t>Skills Development</w:t>
      </w:r>
    </w:p>
    <w:p w14:paraId="4C191976" w14:textId="73F74494" w:rsidR="00F03A73" w:rsidRPr="00F03A73" w:rsidRDefault="00F03A73" w:rsidP="00F03A73">
      <w:pPr>
        <w:pStyle w:val="Body"/>
      </w:pPr>
      <w:r w:rsidRPr="00F03A73">
        <w:t xml:space="preserve">The Skills Development focus area had the lowest difference between </w:t>
      </w:r>
      <w:r w:rsidR="006D4E18">
        <w:t xml:space="preserve">study </w:t>
      </w:r>
      <w:r w:rsidRPr="00F03A73">
        <w:t>areas, with a 12.6 percentage point gap between the highest and lowest rated study areas. Most study areas performed well at the postgraduate coursework level, including:</w:t>
      </w:r>
    </w:p>
    <w:p w14:paraId="79F2AB7D" w14:textId="77777777" w:rsidR="00F03A73" w:rsidRPr="00F03A73" w:rsidRDefault="00F03A73" w:rsidP="00F03A73">
      <w:pPr>
        <w:pStyle w:val="Body"/>
        <w:numPr>
          <w:ilvl w:val="0"/>
          <w:numId w:val="36"/>
        </w:numPr>
      </w:pPr>
      <w:r w:rsidRPr="00F03A73">
        <w:t>Veterinary science (91.9 per cent)</w:t>
      </w:r>
    </w:p>
    <w:p w14:paraId="6DA9E2A1" w14:textId="77777777" w:rsidR="00F03A73" w:rsidRPr="00F03A73" w:rsidRDefault="00F03A73" w:rsidP="00F03A73">
      <w:pPr>
        <w:pStyle w:val="Body"/>
        <w:numPr>
          <w:ilvl w:val="0"/>
          <w:numId w:val="36"/>
        </w:numPr>
      </w:pPr>
      <w:r w:rsidRPr="00F03A73">
        <w:t>Health services and support (90.2 per cent)</w:t>
      </w:r>
    </w:p>
    <w:p w14:paraId="29681D05" w14:textId="77777777" w:rsidR="00F03A73" w:rsidRPr="00F03A73" w:rsidRDefault="00F03A73" w:rsidP="00F03A73">
      <w:pPr>
        <w:pStyle w:val="Body"/>
      </w:pPr>
      <w:r w:rsidRPr="00F03A73">
        <w:t>The lowest performing area was:</w:t>
      </w:r>
    </w:p>
    <w:p w14:paraId="1A2E1D43" w14:textId="77777777" w:rsidR="00F03A73" w:rsidRPr="00F03A73" w:rsidRDefault="00F03A73" w:rsidP="00F03A73">
      <w:pPr>
        <w:pStyle w:val="Body"/>
        <w:numPr>
          <w:ilvl w:val="0"/>
          <w:numId w:val="37"/>
        </w:numPr>
      </w:pPr>
      <w:r w:rsidRPr="00F03A73">
        <w:t>Rehabilitation (79.3 per cent)</w:t>
      </w:r>
    </w:p>
    <w:p w14:paraId="76256203" w14:textId="71F8A5AC" w:rsidR="00F03A73" w:rsidRPr="00252027" w:rsidRDefault="00F03A73" w:rsidP="00F03A73">
      <w:pPr>
        <w:pStyle w:val="Body"/>
        <w:rPr>
          <w:color w:val="000000" w:themeColor="text1"/>
        </w:rPr>
      </w:pPr>
      <w:r w:rsidRPr="00252027">
        <w:rPr>
          <w:color w:val="000000" w:themeColor="text1"/>
        </w:rPr>
        <w:lastRenderedPageBreak/>
        <w:t xml:space="preserve">The relatively small gap in this </w:t>
      </w:r>
      <w:r w:rsidR="00B81AD7" w:rsidRPr="00252027">
        <w:rPr>
          <w:color w:val="000000" w:themeColor="text1"/>
        </w:rPr>
        <w:t>f</w:t>
      </w:r>
      <w:r w:rsidR="005C2B42" w:rsidRPr="00252027">
        <w:rPr>
          <w:color w:val="000000" w:themeColor="text1"/>
        </w:rPr>
        <w:t xml:space="preserve">ocus </w:t>
      </w:r>
      <w:r w:rsidR="00B81AD7" w:rsidRPr="00252027">
        <w:rPr>
          <w:color w:val="000000" w:themeColor="text1"/>
        </w:rPr>
        <w:t>a</w:t>
      </w:r>
      <w:r w:rsidR="005C2B42" w:rsidRPr="00252027">
        <w:rPr>
          <w:color w:val="000000" w:themeColor="text1"/>
        </w:rPr>
        <w:t>r</w:t>
      </w:r>
      <w:r w:rsidRPr="00252027">
        <w:rPr>
          <w:color w:val="000000" w:themeColor="text1"/>
        </w:rPr>
        <w:t xml:space="preserve">ea suggests that postgraduate coursework programs are generally effective in building skills, though continued attention is </w:t>
      </w:r>
      <w:r w:rsidR="00830777" w:rsidRPr="00252027">
        <w:rPr>
          <w:color w:val="000000" w:themeColor="text1"/>
        </w:rPr>
        <w:t xml:space="preserve">still </w:t>
      </w:r>
      <w:r w:rsidRPr="00252027">
        <w:rPr>
          <w:color w:val="000000" w:themeColor="text1"/>
        </w:rPr>
        <w:t xml:space="preserve">needed in lower-scoring </w:t>
      </w:r>
      <w:r w:rsidR="00830777" w:rsidRPr="00252027">
        <w:rPr>
          <w:color w:val="000000" w:themeColor="text1"/>
        </w:rPr>
        <w:t xml:space="preserve">study </w:t>
      </w:r>
      <w:r w:rsidRPr="00252027">
        <w:rPr>
          <w:color w:val="000000" w:themeColor="text1"/>
        </w:rPr>
        <w:t>areas.</w:t>
      </w:r>
    </w:p>
    <w:p w14:paraId="132E02A8" w14:textId="77777777" w:rsidR="00F03A73" w:rsidRPr="00252027" w:rsidRDefault="00F03A73" w:rsidP="00C72DD4">
      <w:pPr>
        <w:pStyle w:val="Heading4"/>
        <w:rPr>
          <w:color w:val="000000" w:themeColor="text1"/>
        </w:rPr>
      </w:pPr>
      <w:r w:rsidRPr="00252027">
        <w:rPr>
          <w:color w:val="000000" w:themeColor="text1"/>
        </w:rPr>
        <w:t>Peer Engagement</w:t>
      </w:r>
    </w:p>
    <w:p w14:paraId="67289A5B" w14:textId="64384769" w:rsidR="00F03A73" w:rsidRPr="00252027" w:rsidRDefault="00F03A73" w:rsidP="00F03A73">
      <w:pPr>
        <w:pStyle w:val="Body"/>
        <w:rPr>
          <w:color w:val="000000" w:themeColor="text1"/>
        </w:rPr>
      </w:pPr>
      <w:r w:rsidRPr="00252027">
        <w:rPr>
          <w:color w:val="000000" w:themeColor="text1"/>
        </w:rPr>
        <w:t>The highest ratings came from:</w:t>
      </w:r>
    </w:p>
    <w:p w14:paraId="1BB67F29" w14:textId="77777777" w:rsidR="00F03A73" w:rsidRPr="00252027" w:rsidRDefault="00F03A73" w:rsidP="00F03A73">
      <w:pPr>
        <w:pStyle w:val="Body"/>
        <w:numPr>
          <w:ilvl w:val="0"/>
          <w:numId w:val="38"/>
        </w:numPr>
        <w:rPr>
          <w:color w:val="000000" w:themeColor="text1"/>
        </w:rPr>
      </w:pPr>
      <w:r w:rsidRPr="00252027">
        <w:rPr>
          <w:color w:val="000000" w:themeColor="text1"/>
        </w:rPr>
        <w:t>Tourism, hospitality, personal services, sport and recreation (83.8 per cent)</w:t>
      </w:r>
    </w:p>
    <w:p w14:paraId="4339032A" w14:textId="77777777" w:rsidR="00F03A73" w:rsidRPr="00252027" w:rsidRDefault="00F03A73" w:rsidP="00F03A73">
      <w:pPr>
        <w:pStyle w:val="Body"/>
        <w:numPr>
          <w:ilvl w:val="0"/>
          <w:numId w:val="38"/>
        </w:numPr>
        <w:rPr>
          <w:color w:val="000000" w:themeColor="text1"/>
        </w:rPr>
      </w:pPr>
      <w:r w:rsidRPr="00252027">
        <w:rPr>
          <w:color w:val="000000" w:themeColor="text1"/>
        </w:rPr>
        <w:t>Pharmacy (81.7 per cent)</w:t>
      </w:r>
    </w:p>
    <w:p w14:paraId="7D3B2FBB" w14:textId="36A170BB" w:rsidR="00F03A73" w:rsidRPr="00252027" w:rsidRDefault="00F03A73" w:rsidP="00F03A73">
      <w:pPr>
        <w:pStyle w:val="Body"/>
        <w:numPr>
          <w:ilvl w:val="0"/>
          <w:numId w:val="38"/>
        </w:numPr>
        <w:rPr>
          <w:color w:val="000000" w:themeColor="text1"/>
        </w:rPr>
      </w:pPr>
      <w:r w:rsidRPr="00252027">
        <w:rPr>
          <w:color w:val="000000" w:themeColor="text1"/>
        </w:rPr>
        <w:t>Business and management (81.2 per cent), the largest study area</w:t>
      </w:r>
      <w:r w:rsidR="00D6019B" w:rsidRPr="00252027">
        <w:rPr>
          <w:color w:val="000000" w:themeColor="text1"/>
        </w:rPr>
        <w:t>.</w:t>
      </w:r>
    </w:p>
    <w:p w14:paraId="62A31217" w14:textId="77777777" w:rsidR="00F03A73" w:rsidRPr="00252027" w:rsidRDefault="00F03A73" w:rsidP="00F03A73">
      <w:pPr>
        <w:pStyle w:val="Body"/>
        <w:rPr>
          <w:color w:val="000000" w:themeColor="text1"/>
        </w:rPr>
      </w:pPr>
      <w:r w:rsidRPr="00252027">
        <w:rPr>
          <w:color w:val="000000" w:themeColor="text1"/>
        </w:rPr>
        <w:t>The lowest ratings were recorded in:</w:t>
      </w:r>
    </w:p>
    <w:p w14:paraId="24F9F19F" w14:textId="2B1C8B0B" w:rsidR="00F03A73" w:rsidRPr="00252027" w:rsidRDefault="00F03A73" w:rsidP="00F03A73">
      <w:pPr>
        <w:pStyle w:val="Body"/>
        <w:numPr>
          <w:ilvl w:val="0"/>
          <w:numId w:val="39"/>
        </w:numPr>
        <w:rPr>
          <w:color w:val="000000" w:themeColor="text1"/>
        </w:rPr>
      </w:pPr>
      <w:r w:rsidRPr="00252027">
        <w:rPr>
          <w:color w:val="000000" w:themeColor="text1"/>
        </w:rPr>
        <w:t>Law and paralegal studies (66.2 per cent)</w:t>
      </w:r>
      <w:r w:rsidR="00E435E3" w:rsidRPr="00252027">
        <w:rPr>
          <w:color w:val="000000" w:themeColor="text1"/>
        </w:rPr>
        <w:t>.</w:t>
      </w:r>
    </w:p>
    <w:p w14:paraId="23B71E81" w14:textId="3E2D9B49" w:rsidR="00F03A73" w:rsidRPr="00252027" w:rsidRDefault="00774027" w:rsidP="00F03A73">
      <w:pPr>
        <w:pStyle w:val="Body"/>
        <w:rPr>
          <w:color w:val="000000" w:themeColor="text1"/>
        </w:rPr>
      </w:pPr>
      <w:r w:rsidRPr="00252027">
        <w:rPr>
          <w:color w:val="000000" w:themeColor="text1"/>
        </w:rPr>
        <w:t>T</w:t>
      </w:r>
      <w:r w:rsidR="00F6585E" w:rsidRPr="00252027">
        <w:rPr>
          <w:color w:val="000000" w:themeColor="text1"/>
        </w:rPr>
        <w:t xml:space="preserve">here </w:t>
      </w:r>
      <w:r w:rsidRPr="00252027">
        <w:rPr>
          <w:color w:val="000000" w:themeColor="text1"/>
        </w:rPr>
        <w:t>wa</w:t>
      </w:r>
      <w:r w:rsidR="00F6585E" w:rsidRPr="00252027">
        <w:rPr>
          <w:color w:val="000000" w:themeColor="text1"/>
        </w:rPr>
        <w:t xml:space="preserve">s a 17.6 percentage point difference </w:t>
      </w:r>
      <w:r w:rsidRPr="00252027">
        <w:rPr>
          <w:color w:val="000000" w:themeColor="text1"/>
        </w:rPr>
        <w:t xml:space="preserve">between </w:t>
      </w:r>
      <w:r w:rsidR="00F6585E" w:rsidRPr="00252027">
        <w:rPr>
          <w:color w:val="000000" w:themeColor="text1"/>
        </w:rPr>
        <w:t>the highest and lowest performing study areas</w:t>
      </w:r>
      <w:r w:rsidRPr="00252027">
        <w:rPr>
          <w:color w:val="000000" w:themeColor="text1"/>
        </w:rPr>
        <w:t xml:space="preserve">. </w:t>
      </w:r>
    </w:p>
    <w:p w14:paraId="431A081D" w14:textId="77777777" w:rsidR="00F03A73" w:rsidRPr="00252027" w:rsidRDefault="00F03A73" w:rsidP="00C72DD4">
      <w:pPr>
        <w:pStyle w:val="Heading4"/>
        <w:rPr>
          <w:color w:val="000000" w:themeColor="text1"/>
        </w:rPr>
      </w:pPr>
      <w:r w:rsidRPr="00252027">
        <w:rPr>
          <w:color w:val="000000" w:themeColor="text1"/>
        </w:rPr>
        <w:t>Student Support and Services</w:t>
      </w:r>
    </w:p>
    <w:p w14:paraId="66A537CD" w14:textId="77777777" w:rsidR="00FD3370" w:rsidRPr="00F03A73" w:rsidRDefault="00FD3370" w:rsidP="00FD3370">
      <w:pPr>
        <w:pStyle w:val="Body"/>
      </w:pPr>
      <w:r w:rsidRPr="00F03A73">
        <w:t>The highest ratings came from:</w:t>
      </w:r>
    </w:p>
    <w:p w14:paraId="6B5AABE1" w14:textId="77777777" w:rsidR="00FD3370" w:rsidRPr="00F03A73" w:rsidRDefault="00FD3370" w:rsidP="00FD3370">
      <w:pPr>
        <w:pStyle w:val="Body"/>
        <w:numPr>
          <w:ilvl w:val="0"/>
          <w:numId w:val="41"/>
        </w:numPr>
      </w:pPr>
      <w:r w:rsidRPr="00F03A73">
        <w:t>Tourism, hospitality, personal services, sport and recreation (85.7 per cent)</w:t>
      </w:r>
    </w:p>
    <w:p w14:paraId="1080D2F9" w14:textId="0D52BE60" w:rsidR="00FD3370" w:rsidRPr="00F03A73" w:rsidRDefault="00FD3370" w:rsidP="00FD3370">
      <w:pPr>
        <w:pStyle w:val="Body"/>
        <w:numPr>
          <w:ilvl w:val="0"/>
          <w:numId w:val="41"/>
        </w:numPr>
      </w:pPr>
      <w:r w:rsidRPr="00F03A73">
        <w:t>Humanities, culture and social sciences (</w:t>
      </w:r>
      <w:r w:rsidR="009E5CAC">
        <w:t>84.0</w:t>
      </w:r>
      <w:r w:rsidRPr="00F03A73">
        <w:t xml:space="preserve"> per cent)</w:t>
      </w:r>
      <w:r w:rsidR="00E435E3">
        <w:t>.</w:t>
      </w:r>
    </w:p>
    <w:p w14:paraId="58B624CA" w14:textId="54802D6F" w:rsidR="00F03A73" w:rsidRPr="00F03A73" w:rsidRDefault="00FD3370" w:rsidP="00F03A73">
      <w:pPr>
        <w:pStyle w:val="Body"/>
      </w:pPr>
      <w:r>
        <w:t xml:space="preserve">The </w:t>
      </w:r>
      <w:r w:rsidR="00F03A73" w:rsidRPr="00F03A73">
        <w:t xml:space="preserve">lowest </w:t>
      </w:r>
      <w:r>
        <w:t>ratings came from</w:t>
      </w:r>
      <w:r w:rsidR="00F03A73" w:rsidRPr="00F03A73">
        <w:t>:</w:t>
      </w:r>
    </w:p>
    <w:p w14:paraId="5EAE3492" w14:textId="77777777" w:rsidR="00F03A73" w:rsidRPr="00F03A73" w:rsidRDefault="00F03A73" w:rsidP="00F03A73">
      <w:pPr>
        <w:pStyle w:val="Body"/>
        <w:numPr>
          <w:ilvl w:val="0"/>
          <w:numId w:val="40"/>
        </w:numPr>
      </w:pPr>
      <w:r w:rsidRPr="00F03A73">
        <w:t>Dentistry (40.9 per cent)</w:t>
      </w:r>
    </w:p>
    <w:p w14:paraId="5C23A10D" w14:textId="77777777" w:rsidR="00F03A73" w:rsidRPr="00F03A73" w:rsidRDefault="00F03A73" w:rsidP="00F03A73">
      <w:pPr>
        <w:pStyle w:val="Body"/>
        <w:numPr>
          <w:ilvl w:val="0"/>
          <w:numId w:val="40"/>
        </w:numPr>
      </w:pPr>
      <w:r w:rsidRPr="00F03A73">
        <w:t>Medicine (54.4 per cent)</w:t>
      </w:r>
    </w:p>
    <w:p w14:paraId="5DE64BA8" w14:textId="77777777" w:rsidR="00F03A73" w:rsidRPr="00F03A73" w:rsidRDefault="00F03A73" w:rsidP="00F03A73">
      <w:pPr>
        <w:pStyle w:val="Body"/>
        <w:numPr>
          <w:ilvl w:val="0"/>
          <w:numId w:val="40"/>
        </w:numPr>
      </w:pPr>
      <w:r w:rsidRPr="00F03A73">
        <w:t>Veterinary science (56.0 per cent)</w:t>
      </w:r>
    </w:p>
    <w:p w14:paraId="66F1675C" w14:textId="585148C2" w:rsidR="00F03A73" w:rsidRPr="00F03A73" w:rsidRDefault="00F03A73" w:rsidP="00F03A73">
      <w:pPr>
        <w:pStyle w:val="Body"/>
        <w:numPr>
          <w:ilvl w:val="0"/>
          <w:numId w:val="40"/>
        </w:numPr>
      </w:pPr>
      <w:r w:rsidRPr="00F03A73">
        <w:t>Rehabilitation (57.7 per cent)</w:t>
      </w:r>
      <w:r w:rsidR="00E435E3">
        <w:t>.</w:t>
      </w:r>
    </w:p>
    <w:p w14:paraId="612A3BA2" w14:textId="1553599A" w:rsidR="00F03A73" w:rsidRPr="00F03A73" w:rsidRDefault="009D78F8" w:rsidP="00F03A73">
      <w:pPr>
        <w:pStyle w:val="Body"/>
      </w:pPr>
      <w:r w:rsidRPr="009D78F8">
        <w:t>As discussed earlier, there is growing emphasis on Student Services and Support through the Universities Accord and the implementation of the Support for Students Policy, which aims to strengthen both academic and non-academic assistance to help students progress and complete their studies. The substantial 44.8 percentage point gap between the highest and lowest support ratings suggests that some study areas may benefit from more tailored or visible services to better meet the needs of international students</w:t>
      </w:r>
      <w:r w:rsidR="00F03A73" w:rsidRPr="00F03A73">
        <w:t>.</w:t>
      </w:r>
    </w:p>
    <w:p w14:paraId="2C3E9011" w14:textId="77777777" w:rsidR="00F03A73" w:rsidRPr="00252027" w:rsidRDefault="00F03A73" w:rsidP="00C72DD4">
      <w:pPr>
        <w:pStyle w:val="Heading4"/>
        <w:rPr>
          <w:color w:val="000000" w:themeColor="text1"/>
        </w:rPr>
      </w:pPr>
      <w:r w:rsidRPr="00252027">
        <w:rPr>
          <w:color w:val="000000" w:themeColor="text1"/>
        </w:rPr>
        <w:t>Learning Resources</w:t>
      </w:r>
    </w:p>
    <w:p w14:paraId="7729AA53" w14:textId="14F41FDF" w:rsidR="00F03A73" w:rsidRDefault="00A06428" w:rsidP="00F03A73">
      <w:pPr>
        <w:pStyle w:val="Body"/>
      </w:pPr>
      <w:r w:rsidRPr="00A06428">
        <w:t>Dentistry was the lowest scoring study area (54.4 per cent), with a 40.6 percentage point gap compared to the highest, Tourism, hospitality, personal services, sport and recreation (95.0 per cent)</w:t>
      </w:r>
      <w:r w:rsidR="00F03A73" w:rsidRPr="00F03A73">
        <w:t>.</w:t>
      </w:r>
    </w:p>
    <w:p w14:paraId="1444256C" w14:textId="77777777" w:rsidR="00DB2676" w:rsidRDefault="00DB2676" w:rsidP="009515D5">
      <w:pPr>
        <w:pStyle w:val="Body"/>
      </w:pPr>
    </w:p>
    <w:p w14:paraId="24ADAAA6" w14:textId="77777777" w:rsidR="007A7AA4" w:rsidRPr="002867E0" w:rsidRDefault="007A7AA4" w:rsidP="00821227">
      <w:pPr>
        <w:pStyle w:val="Body"/>
        <w:rPr>
          <w:highlight w:val="yellow"/>
        </w:rPr>
        <w:sectPr w:rsidR="007A7AA4" w:rsidRPr="002867E0" w:rsidSect="00A06187">
          <w:pgSz w:w="11900" w:h="16840"/>
          <w:pgMar w:top="852" w:right="560" w:bottom="994" w:left="710" w:header="567" w:footer="567" w:gutter="0"/>
          <w:cols w:space="708"/>
          <w:docGrid w:linePitch="360"/>
        </w:sectPr>
      </w:pPr>
    </w:p>
    <w:p w14:paraId="17119504" w14:textId="5ADF5F9A" w:rsidR="007847EB" w:rsidRDefault="007847EB" w:rsidP="007847EB">
      <w:pPr>
        <w:pStyle w:val="Caption"/>
        <w:rPr>
          <w:color w:val="000000" w:themeColor="text1"/>
        </w:rPr>
      </w:pPr>
      <w:bookmarkStart w:id="52" w:name="_Toc206692308"/>
      <w:r w:rsidRPr="00252027">
        <w:rPr>
          <w:color w:val="000000" w:themeColor="text1"/>
        </w:rPr>
        <w:lastRenderedPageBreak/>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9</w:t>
      </w:r>
      <w:r w:rsidR="001E216A" w:rsidRPr="00252027">
        <w:rPr>
          <w:noProof/>
          <w:color w:val="000000" w:themeColor="text1"/>
        </w:rPr>
        <w:fldChar w:fldCharType="end"/>
      </w:r>
      <w:r w:rsidRPr="00252027">
        <w:rPr>
          <w:color w:val="000000" w:themeColor="text1"/>
        </w:rPr>
        <w:t xml:space="preserve"> International undergraduate </w:t>
      </w:r>
      <w:r w:rsidR="00366C0A" w:rsidRPr="00252027">
        <w:rPr>
          <w:color w:val="000000" w:themeColor="text1"/>
        </w:rPr>
        <w:t>Overall Educational Experience</w:t>
      </w:r>
      <w:r w:rsidRPr="00252027">
        <w:rPr>
          <w:color w:val="000000" w:themeColor="text1"/>
        </w:rPr>
        <w:t xml:space="preserve"> by study area, 2024 (% positive rating)</w:t>
      </w:r>
      <w:bookmarkEnd w:id="52"/>
    </w:p>
    <w:p w14:paraId="6DF29E62" w14:textId="0FC7EF93" w:rsidR="007213E9" w:rsidRPr="007213E9" w:rsidRDefault="007213E9" w:rsidP="007213E9">
      <w:pPr>
        <w:pStyle w:val="Body"/>
        <w:rPr>
          <w:lang w:eastAsia="en-AU"/>
        </w:rPr>
      </w:pPr>
      <w:r>
        <w:rPr>
          <w:noProof/>
          <w:lang w:eastAsia="en-AU"/>
        </w:rPr>
        <w:drawing>
          <wp:inline distT="0" distB="0" distL="0" distR="0" wp14:anchorId="616CF335" wp14:editId="259993CD">
            <wp:extent cx="9522460" cy="4633595"/>
            <wp:effectExtent l="0" t="0" r="2540" b="0"/>
            <wp:docPr id="6098754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2460" cy="4633595"/>
                    </a:xfrm>
                    <a:prstGeom prst="rect">
                      <a:avLst/>
                    </a:prstGeom>
                    <a:noFill/>
                  </pic:spPr>
                </pic:pic>
              </a:graphicData>
            </a:graphic>
          </wp:inline>
        </w:drawing>
      </w:r>
    </w:p>
    <w:p w14:paraId="28770BA6" w14:textId="77777777" w:rsidR="00661EEF" w:rsidRPr="00661EEF" w:rsidRDefault="00661EEF" w:rsidP="00661EEF">
      <w:pPr>
        <w:pStyle w:val="Body"/>
        <w:rPr>
          <w:sz w:val="16"/>
          <w:szCs w:val="16"/>
          <w:highlight w:val="yellow"/>
        </w:rPr>
      </w:pPr>
      <w:r>
        <w:rPr>
          <w:sz w:val="16"/>
          <w:szCs w:val="16"/>
        </w:rPr>
        <w:t xml:space="preserve">Note: </w:t>
      </w:r>
      <w:r w:rsidRPr="00661EEF">
        <w:rPr>
          <w:sz w:val="16"/>
          <w:szCs w:val="16"/>
        </w:rPr>
        <w:t>The error bars in</w:t>
      </w:r>
      <w:r>
        <w:rPr>
          <w:sz w:val="16"/>
          <w:szCs w:val="16"/>
        </w:rPr>
        <w:t xml:space="preserve"> this figure</w:t>
      </w:r>
      <w:r w:rsidRPr="00661EEF">
        <w:rPr>
          <w:sz w:val="16"/>
          <w:szCs w:val="16"/>
        </w:rPr>
        <w:t xml:space="preserve"> represent </w:t>
      </w:r>
      <w:r>
        <w:rPr>
          <w:sz w:val="16"/>
          <w:szCs w:val="16"/>
        </w:rPr>
        <w:t xml:space="preserve">the </w:t>
      </w:r>
      <w:r w:rsidRPr="00661EEF">
        <w:rPr>
          <w:sz w:val="16"/>
          <w:szCs w:val="16"/>
        </w:rPr>
        <w:t xml:space="preserve">90 per cent confidence intervals around the point estimates. These intervals have been calculated as 1.645 times the standard error, which has been adjusted using a finite population correction. Further details on the calculation of these confidence intervals are available on the </w:t>
      </w:r>
      <w:hyperlink r:id="rId30" w:history="1">
        <w:r w:rsidRPr="00661EEF">
          <w:rPr>
            <w:rStyle w:val="Hyperlink"/>
            <w:sz w:val="16"/>
            <w:szCs w:val="16"/>
          </w:rPr>
          <w:t>QILT website</w:t>
        </w:r>
      </w:hyperlink>
      <w:r w:rsidRPr="00661EEF">
        <w:rPr>
          <w:sz w:val="16"/>
          <w:szCs w:val="16"/>
        </w:rPr>
        <w:t>.</w:t>
      </w:r>
    </w:p>
    <w:p w14:paraId="6BEB0286" w14:textId="7F871BAE" w:rsidR="00B81517" w:rsidRDefault="00B81517">
      <w:pPr>
        <w:spacing w:after="160" w:line="259" w:lineRule="auto"/>
        <w:rPr>
          <w:color w:val="FF0000"/>
          <w:sz w:val="16"/>
          <w:szCs w:val="16"/>
          <w:lang w:eastAsia="en-AU"/>
        </w:rPr>
      </w:pPr>
      <w:r>
        <w:rPr>
          <w:color w:val="FF0000"/>
          <w:sz w:val="16"/>
          <w:szCs w:val="16"/>
          <w:lang w:eastAsia="en-AU"/>
        </w:rPr>
        <w:br w:type="page"/>
      </w:r>
    </w:p>
    <w:p w14:paraId="770C5DCE" w14:textId="03B91A6D" w:rsidR="00B81517" w:rsidRPr="00252027" w:rsidRDefault="00B81517" w:rsidP="00B81517">
      <w:pPr>
        <w:pStyle w:val="Caption"/>
        <w:rPr>
          <w:color w:val="000000" w:themeColor="text1"/>
        </w:rPr>
      </w:pPr>
      <w:bookmarkStart w:id="53" w:name="_Toc206692309"/>
      <w:r w:rsidRPr="00252027">
        <w:rPr>
          <w:color w:val="000000" w:themeColor="text1"/>
        </w:rPr>
        <w:lastRenderedPageBreak/>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10</w:t>
      </w:r>
      <w:r w:rsidR="001E216A" w:rsidRPr="00252027">
        <w:rPr>
          <w:noProof/>
          <w:color w:val="000000" w:themeColor="text1"/>
        </w:rPr>
        <w:fldChar w:fldCharType="end"/>
      </w:r>
      <w:r w:rsidRPr="00252027">
        <w:rPr>
          <w:color w:val="000000" w:themeColor="text1"/>
        </w:rPr>
        <w:t xml:space="preserve"> International postgraduate coursework </w:t>
      </w:r>
      <w:r w:rsidR="00366C0A" w:rsidRPr="00252027">
        <w:rPr>
          <w:color w:val="000000" w:themeColor="text1"/>
        </w:rPr>
        <w:t>Overall Educational Experience</w:t>
      </w:r>
      <w:r w:rsidRPr="00252027">
        <w:rPr>
          <w:color w:val="000000" w:themeColor="text1"/>
        </w:rPr>
        <w:t xml:space="preserve"> by study area, 2024 (% positive rating)</w:t>
      </w:r>
      <w:bookmarkEnd w:id="53"/>
    </w:p>
    <w:p w14:paraId="4DB10787" w14:textId="3785E907" w:rsidR="007213E9" w:rsidRPr="00252027" w:rsidRDefault="007213E9" w:rsidP="00814910">
      <w:pPr>
        <w:pStyle w:val="Body"/>
        <w:rPr>
          <w:color w:val="000000" w:themeColor="text1"/>
          <w:sz w:val="16"/>
          <w:szCs w:val="16"/>
          <w:lang w:eastAsia="en-AU"/>
        </w:rPr>
      </w:pPr>
      <w:r>
        <w:rPr>
          <w:noProof/>
          <w:color w:val="000000" w:themeColor="text1"/>
          <w:sz w:val="16"/>
          <w:szCs w:val="16"/>
          <w:lang w:eastAsia="en-AU"/>
        </w:rPr>
        <w:drawing>
          <wp:inline distT="0" distB="0" distL="0" distR="0" wp14:anchorId="48B0C5A8" wp14:editId="621E17DA">
            <wp:extent cx="9522460" cy="4639310"/>
            <wp:effectExtent l="0" t="0" r="2540" b="8890"/>
            <wp:docPr id="4062457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2460" cy="4639310"/>
                    </a:xfrm>
                    <a:prstGeom prst="rect">
                      <a:avLst/>
                    </a:prstGeom>
                    <a:noFill/>
                  </pic:spPr>
                </pic:pic>
              </a:graphicData>
            </a:graphic>
          </wp:inline>
        </w:drawing>
      </w:r>
    </w:p>
    <w:p w14:paraId="49604EC5" w14:textId="77777777" w:rsidR="00661EEF" w:rsidRPr="00661EEF" w:rsidRDefault="00661EEF" w:rsidP="00661EEF">
      <w:pPr>
        <w:pStyle w:val="Body"/>
        <w:rPr>
          <w:sz w:val="16"/>
          <w:szCs w:val="16"/>
          <w:highlight w:val="yellow"/>
        </w:rPr>
      </w:pPr>
      <w:r>
        <w:rPr>
          <w:sz w:val="16"/>
          <w:szCs w:val="16"/>
        </w:rPr>
        <w:t xml:space="preserve">Note: </w:t>
      </w:r>
      <w:r w:rsidRPr="00661EEF">
        <w:rPr>
          <w:sz w:val="16"/>
          <w:szCs w:val="16"/>
        </w:rPr>
        <w:t>The error bars in</w:t>
      </w:r>
      <w:r>
        <w:rPr>
          <w:sz w:val="16"/>
          <w:szCs w:val="16"/>
        </w:rPr>
        <w:t xml:space="preserve"> this figure</w:t>
      </w:r>
      <w:r w:rsidRPr="00661EEF">
        <w:rPr>
          <w:sz w:val="16"/>
          <w:szCs w:val="16"/>
        </w:rPr>
        <w:t xml:space="preserve"> represent </w:t>
      </w:r>
      <w:r>
        <w:rPr>
          <w:sz w:val="16"/>
          <w:szCs w:val="16"/>
        </w:rPr>
        <w:t xml:space="preserve">the </w:t>
      </w:r>
      <w:r w:rsidRPr="00661EEF">
        <w:rPr>
          <w:sz w:val="16"/>
          <w:szCs w:val="16"/>
        </w:rPr>
        <w:t xml:space="preserve">90 per cent confidence intervals around the point estimates. These intervals have been calculated as 1.645 times the standard error, which has been adjusted using a finite population correction. Further details on the calculation of these confidence intervals are available on the </w:t>
      </w:r>
      <w:hyperlink r:id="rId32" w:history="1">
        <w:r w:rsidRPr="00661EEF">
          <w:rPr>
            <w:rStyle w:val="Hyperlink"/>
            <w:sz w:val="16"/>
            <w:szCs w:val="16"/>
          </w:rPr>
          <w:t>QILT website</w:t>
        </w:r>
      </w:hyperlink>
      <w:r w:rsidRPr="00661EEF">
        <w:rPr>
          <w:sz w:val="16"/>
          <w:szCs w:val="16"/>
        </w:rPr>
        <w:t>.</w:t>
      </w:r>
    </w:p>
    <w:p w14:paraId="6CF6FBE8" w14:textId="7CB9AB5E" w:rsidR="00661EEF" w:rsidRPr="002867E0" w:rsidRDefault="00661EEF" w:rsidP="00821227">
      <w:pPr>
        <w:pStyle w:val="Body"/>
        <w:rPr>
          <w:highlight w:val="yellow"/>
        </w:rPr>
        <w:sectPr w:rsidR="00661EEF" w:rsidRPr="002867E0" w:rsidSect="00821227">
          <w:pgSz w:w="16840" w:h="11900" w:orient="landscape"/>
          <w:pgMar w:top="710" w:right="852" w:bottom="560" w:left="994" w:header="397" w:footer="170" w:gutter="0"/>
          <w:cols w:space="708"/>
          <w:docGrid w:linePitch="360"/>
        </w:sectPr>
      </w:pPr>
    </w:p>
    <w:p w14:paraId="5A2AD403" w14:textId="6EB93F02" w:rsidR="00821227" w:rsidRPr="00252027" w:rsidRDefault="00890892" w:rsidP="00890892">
      <w:pPr>
        <w:pStyle w:val="Heading2"/>
        <w:rPr>
          <w:color w:val="000000" w:themeColor="text1"/>
        </w:rPr>
      </w:pPr>
      <w:bookmarkStart w:id="54" w:name="_Toc206692272"/>
      <w:r w:rsidRPr="00252027">
        <w:rPr>
          <w:color w:val="000000" w:themeColor="text1"/>
        </w:rPr>
        <w:lastRenderedPageBreak/>
        <w:t>I</w:t>
      </w:r>
      <w:r w:rsidR="00821227" w:rsidRPr="00252027">
        <w:rPr>
          <w:color w:val="000000" w:themeColor="text1"/>
        </w:rPr>
        <w:t>nstitution</w:t>
      </w:r>
      <w:r w:rsidR="003E55E6" w:rsidRPr="00252027">
        <w:rPr>
          <w:color w:val="000000" w:themeColor="text1"/>
        </w:rPr>
        <w:t>al comparisons</w:t>
      </w:r>
      <w:bookmarkEnd w:id="54"/>
      <w:r w:rsidR="00821227" w:rsidRPr="00252027">
        <w:rPr>
          <w:color w:val="000000" w:themeColor="text1"/>
        </w:rPr>
        <w:t xml:space="preserve"> </w:t>
      </w:r>
    </w:p>
    <w:p w14:paraId="3FF9778D" w14:textId="7438F8BF" w:rsidR="004D027E" w:rsidRDefault="004D027E" w:rsidP="00821227">
      <w:pPr>
        <w:pStyle w:val="Body"/>
      </w:pPr>
      <w:r w:rsidRPr="004D027E">
        <w:t xml:space="preserve">International students’ ratings of the </w:t>
      </w:r>
      <w:r w:rsidR="00366C0A">
        <w:t>Overall Educational Experience</w:t>
      </w:r>
      <w:r w:rsidRPr="004D027E">
        <w:t xml:space="preserve"> vary across institutions.</w:t>
      </w:r>
      <w:r>
        <w:t xml:space="preserve"> </w:t>
      </w:r>
      <w:r w:rsidR="001908F1">
        <w:t xml:space="preserve">University </w:t>
      </w:r>
      <w:r w:rsidR="00A652A9" w:rsidRPr="00A652A9">
        <w:t xml:space="preserve">results are presented in </w:t>
      </w:r>
      <w:r w:rsidR="00D946A5" w:rsidRPr="00D946A5">
        <w:rPr>
          <w:b/>
        </w:rPr>
        <w:fldChar w:fldCharType="begin"/>
      </w:r>
      <w:r w:rsidR="00D946A5" w:rsidRPr="00D946A5">
        <w:rPr>
          <w:b/>
        </w:rPr>
        <w:instrText xml:space="preserve"> REF _Ref199595623 \h </w:instrText>
      </w:r>
      <w:r w:rsidR="00D946A5" w:rsidRPr="00D04441">
        <w:rPr>
          <w:b/>
        </w:rPr>
        <w:instrText xml:space="preserve"> \* MERGEFORMAT </w:instrText>
      </w:r>
      <w:r w:rsidR="00D946A5" w:rsidRPr="00D946A5">
        <w:rPr>
          <w:b/>
        </w:rPr>
      </w:r>
      <w:r w:rsidR="00D946A5" w:rsidRPr="00D946A5">
        <w:rPr>
          <w:b/>
        </w:rPr>
        <w:fldChar w:fldCharType="separate"/>
      </w:r>
      <w:r w:rsidR="00F96AB4" w:rsidRPr="00F96AB4">
        <w:rPr>
          <w:b/>
        </w:rPr>
        <w:t xml:space="preserve">Figure </w:t>
      </w:r>
      <w:r w:rsidR="00F96AB4" w:rsidRPr="00F96AB4">
        <w:rPr>
          <w:b/>
          <w:noProof/>
        </w:rPr>
        <w:t>12</w:t>
      </w:r>
      <w:r w:rsidR="00D946A5" w:rsidRPr="00D946A5">
        <w:rPr>
          <w:b/>
        </w:rPr>
        <w:fldChar w:fldCharType="end"/>
      </w:r>
      <w:r w:rsidR="00D946A5">
        <w:rPr>
          <w:b/>
        </w:rPr>
        <w:t xml:space="preserve"> </w:t>
      </w:r>
      <w:r w:rsidR="009F614E">
        <w:t xml:space="preserve">and </w:t>
      </w:r>
      <w:r w:rsidR="009F614E" w:rsidRPr="00527D3F">
        <w:rPr>
          <w:b/>
          <w:bCs/>
        </w:rPr>
        <w:fldChar w:fldCharType="begin"/>
      </w:r>
      <w:r w:rsidR="009F614E" w:rsidRPr="00527D3F">
        <w:rPr>
          <w:b/>
          <w:bCs/>
        </w:rPr>
        <w:instrText xml:space="preserve"> REF _Ref197953493 \h </w:instrText>
      </w:r>
      <w:r w:rsidR="00527D3F">
        <w:rPr>
          <w:b/>
          <w:bCs/>
        </w:rPr>
        <w:instrText xml:space="preserve"> \* MERGEFORMAT </w:instrText>
      </w:r>
      <w:r w:rsidR="009F614E" w:rsidRPr="00527D3F">
        <w:rPr>
          <w:b/>
          <w:bCs/>
        </w:rPr>
      </w:r>
      <w:r w:rsidR="009F614E" w:rsidRPr="00527D3F">
        <w:rPr>
          <w:b/>
          <w:bCs/>
        </w:rPr>
        <w:fldChar w:fldCharType="separate"/>
      </w:r>
      <w:r w:rsidR="00F96AB4" w:rsidRPr="00F96AB4">
        <w:rPr>
          <w:b/>
          <w:bCs/>
        </w:rPr>
        <w:t xml:space="preserve">Figure </w:t>
      </w:r>
      <w:r w:rsidR="00F96AB4" w:rsidRPr="00F96AB4">
        <w:rPr>
          <w:b/>
          <w:bCs/>
          <w:noProof/>
        </w:rPr>
        <w:t>13</w:t>
      </w:r>
      <w:r w:rsidR="009F614E" w:rsidRPr="00527D3F">
        <w:rPr>
          <w:b/>
          <w:bCs/>
        </w:rPr>
        <w:fldChar w:fldCharType="end"/>
      </w:r>
      <w:r w:rsidR="00E02699">
        <w:t xml:space="preserve">, </w:t>
      </w:r>
      <w:r w:rsidR="001908F1">
        <w:t>and NUHEIs results in</w:t>
      </w:r>
      <w:r w:rsidR="00E02699">
        <w:t xml:space="preserve"> </w:t>
      </w:r>
      <w:r w:rsidR="00967FDF" w:rsidRPr="00D04441">
        <w:rPr>
          <w:b/>
          <w:bCs/>
        </w:rPr>
        <w:fldChar w:fldCharType="begin"/>
      </w:r>
      <w:r w:rsidR="00967FDF" w:rsidRPr="00D04441">
        <w:rPr>
          <w:b/>
          <w:bCs/>
        </w:rPr>
        <w:instrText xml:space="preserve"> REF _Ref98844501 \h </w:instrText>
      </w:r>
      <w:r w:rsidR="00D946A5">
        <w:rPr>
          <w:b/>
          <w:bCs/>
        </w:rPr>
        <w:instrText xml:space="preserve"> \* MERGEFORMAT </w:instrText>
      </w:r>
      <w:r w:rsidR="00967FDF" w:rsidRPr="00D04441">
        <w:rPr>
          <w:b/>
          <w:bCs/>
        </w:rPr>
      </w:r>
      <w:r w:rsidR="00967FDF" w:rsidRPr="00D04441">
        <w:rPr>
          <w:b/>
          <w:bCs/>
        </w:rPr>
        <w:fldChar w:fldCharType="separate"/>
      </w:r>
      <w:r w:rsidR="00F96AB4" w:rsidRPr="00F96AB4">
        <w:rPr>
          <w:b/>
          <w:bCs/>
        </w:rPr>
        <w:t xml:space="preserve">Figure </w:t>
      </w:r>
      <w:r w:rsidR="00F96AB4" w:rsidRPr="00F96AB4">
        <w:rPr>
          <w:b/>
          <w:bCs/>
          <w:noProof/>
        </w:rPr>
        <w:t>14</w:t>
      </w:r>
      <w:r w:rsidR="00967FDF" w:rsidRPr="00D04441">
        <w:rPr>
          <w:b/>
          <w:bCs/>
        </w:rPr>
        <w:fldChar w:fldCharType="end"/>
      </w:r>
      <w:r w:rsidR="00967FDF">
        <w:t xml:space="preserve"> and </w:t>
      </w:r>
      <w:r w:rsidR="00967FDF" w:rsidRPr="00527D3F">
        <w:rPr>
          <w:b/>
          <w:bCs/>
        </w:rPr>
        <w:fldChar w:fldCharType="begin"/>
      </w:r>
      <w:r w:rsidR="00967FDF" w:rsidRPr="00527D3F">
        <w:rPr>
          <w:b/>
          <w:bCs/>
        </w:rPr>
        <w:instrText xml:space="preserve"> REF _Ref176437224 \h </w:instrText>
      </w:r>
      <w:r w:rsidR="00527D3F">
        <w:rPr>
          <w:b/>
          <w:bCs/>
        </w:rPr>
        <w:instrText xml:space="preserve"> \* MERGEFORMAT </w:instrText>
      </w:r>
      <w:r w:rsidR="00967FDF" w:rsidRPr="00527D3F">
        <w:rPr>
          <w:b/>
          <w:bCs/>
        </w:rPr>
      </w:r>
      <w:r w:rsidR="00967FDF" w:rsidRPr="00527D3F">
        <w:rPr>
          <w:b/>
          <w:bCs/>
        </w:rPr>
        <w:fldChar w:fldCharType="separate"/>
      </w:r>
      <w:r w:rsidR="00F96AB4" w:rsidRPr="00F96AB4">
        <w:rPr>
          <w:b/>
          <w:bCs/>
        </w:rPr>
        <w:t xml:space="preserve">Figure </w:t>
      </w:r>
      <w:r w:rsidR="00F96AB4" w:rsidRPr="00F96AB4">
        <w:rPr>
          <w:b/>
          <w:bCs/>
          <w:noProof/>
        </w:rPr>
        <w:t>15</w:t>
      </w:r>
      <w:r w:rsidR="00967FDF" w:rsidRPr="00527D3F">
        <w:rPr>
          <w:b/>
          <w:bCs/>
        </w:rPr>
        <w:fldChar w:fldCharType="end"/>
      </w:r>
      <w:r w:rsidR="00A652A9" w:rsidRPr="00E02699">
        <w:rPr>
          <w:b/>
          <w:bCs/>
        </w:rPr>
        <w:t>.</w:t>
      </w:r>
      <w:r w:rsidR="00A652A9" w:rsidRPr="00A652A9">
        <w:t xml:space="preserve"> However, it</w:t>
      </w:r>
      <w:r w:rsidR="00F0525D">
        <w:t xml:space="preserve"> i</w:t>
      </w:r>
      <w:r w:rsidR="00A652A9" w:rsidRPr="00A652A9">
        <w:t>s important to note that results for universities and NUHEIs are not directly comparable, as NUHEI data is pooled over two years to ensure sufficient sample sizes for smaller institutions.</w:t>
      </w:r>
    </w:p>
    <w:p w14:paraId="161A1028" w14:textId="77777777" w:rsidR="00F71F68" w:rsidRPr="00F71F68" w:rsidRDefault="00F71F68" w:rsidP="00F71F68">
      <w:pPr>
        <w:pStyle w:val="Body"/>
      </w:pPr>
      <w:r w:rsidRPr="00F71F68">
        <w:t>Annual comparison data is available through the QILT website’s Power BI dashboards, while aggregate comparisons can be accessed via the ComparED website.</w:t>
      </w:r>
    </w:p>
    <w:p w14:paraId="00EA84A2" w14:textId="31453EB7" w:rsidR="00F71F68" w:rsidRPr="00F71F68" w:rsidRDefault="00F71F68" w:rsidP="00F71F68">
      <w:pPr>
        <w:pStyle w:val="Body"/>
      </w:pPr>
      <w:r w:rsidRPr="00F71F68">
        <w:t>When interpreting these results, it</w:t>
      </w:r>
      <w:r w:rsidR="00F0525D">
        <w:t xml:space="preserve"> i</w:t>
      </w:r>
      <w:r w:rsidRPr="00F71F68">
        <w:t>s important to consider that factors beyond educational quality—such as course offerings and student demographics—may influence student ratings. Additionally, where confidence intervals overlap between institutions, no statistically significant difference can be inferred.</w:t>
      </w:r>
    </w:p>
    <w:p w14:paraId="3FEEF3DF" w14:textId="297BB2EA" w:rsidR="00F71F68" w:rsidRPr="00F71F68" w:rsidRDefault="00F71F68" w:rsidP="00F71F68">
      <w:pPr>
        <w:pStyle w:val="Body"/>
      </w:pPr>
      <w:r w:rsidRPr="00F71F68">
        <w:t>As with source country and study area, international undergraduate responses are concentrated among a relatively small number of institutions. For example</w:t>
      </w:r>
      <w:r w:rsidR="008C7522">
        <w:t xml:space="preserve">, </w:t>
      </w:r>
      <w:r w:rsidR="007E3804" w:rsidRPr="008E729C">
        <w:t xml:space="preserve">10 </w:t>
      </w:r>
      <w:r w:rsidR="007E3804">
        <w:t>out of 42 universities</w:t>
      </w:r>
      <w:r w:rsidR="007E3804" w:rsidRPr="008E729C">
        <w:t xml:space="preserve"> </w:t>
      </w:r>
      <w:r w:rsidRPr="00F71F68">
        <w:t>account for approximately 5</w:t>
      </w:r>
      <w:r w:rsidR="00C36901">
        <w:t>1</w:t>
      </w:r>
      <w:r w:rsidRPr="00F71F68">
        <w:t xml:space="preserve"> per cent of all international undergraduate responses</w:t>
      </w:r>
      <w:r w:rsidR="00AC3393">
        <w:t xml:space="preserve"> in 2024</w:t>
      </w:r>
      <w:r w:rsidRPr="00F71F68">
        <w:t xml:space="preserve">. These universities, in order of </w:t>
      </w:r>
      <w:r w:rsidR="002A1B2F">
        <w:t xml:space="preserve">survey </w:t>
      </w:r>
      <w:r w:rsidRPr="00F71F68">
        <w:t xml:space="preserve">response volume, </w:t>
      </w:r>
      <w:r w:rsidR="002A7715">
        <w:t>were</w:t>
      </w:r>
      <w:r w:rsidR="008264EB">
        <w:t xml:space="preserve"> </w:t>
      </w:r>
      <w:r w:rsidRPr="00F71F68">
        <w:t>Monash University, University of New South Wales, University of Sydney, Macquarie University, University of Queensland, Swinburne University of Technology, Deakin University, RMIT University, University of Melbourne, and University of South Australia.</w:t>
      </w:r>
    </w:p>
    <w:p w14:paraId="4D0E949E" w14:textId="301BE8EE" w:rsidR="00F71F68" w:rsidRPr="00F71F68" w:rsidRDefault="00F71F68" w:rsidP="00F71F68">
      <w:pPr>
        <w:pStyle w:val="Body"/>
      </w:pPr>
      <w:r w:rsidRPr="00F71F68">
        <w:t xml:space="preserve">A similar pattern </w:t>
      </w:r>
      <w:r w:rsidR="002A7715">
        <w:t>wa</w:t>
      </w:r>
      <w:r w:rsidRPr="00F71F68">
        <w:t>s seen at the postgraduate coursework level, where the top 10 universities account for around 54 per cent of responses. These include</w:t>
      </w:r>
      <w:r w:rsidR="002A7715">
        <w:t xml:space="preserve">d </w:t>
      </w:r>
      <w:r w:rsidRPr="00F71F68">
        <w:t>University of Melbourne, University of New South Wales, Monash University, University of Sydney, Murdoch University, Edith Cowan University, University of Queensland, Macquarie University, RMIT University, and Curtin University.</w:t>
      </w:r>
    </w:p>
    <w:p w14:paraId="43685833" w14:textId="098B868A" w:rsidR="00F71F68" w:rsidRPr="00F71F68" w:rsidRDefault="00F71F68" w:rsidP="00F71F68">
      <w:pPr>
        <w:pStyle w:val="Body"/>
      </w:pPr>
      <w:r w:rsidRPr="00F71F68">
        <w:t>Among NUHEIs, international undergraduate students represent</w:t>
      </w:r>
      <w:r w:rsidR="00901D77">
        <w:t>ed</w:t>
      </w:r>
      <w:r w:rsidRPr="00F71F68">
        <w:t xml:space="preserve"> about 31 per cent of total responses, spread across 82 institutions. The largest contributor </w:t>
      </w:r>
      <w:r w:rsidR="00901D77">
        <w:t xml:space="preserve">in 2024 </w:t>
      </w:r>
      <w:r w:rsidRPr="00F71F68">
        <w:t>was Acknowledge Education, accounting for approximately 1</w:t>
      </w:r>
      <w:r w:rsidR="00C36901">
        <w:t>4</w:t>
      </w:r>
      <w:r w:rsidRPr="00F71F68">
        <w:t xml:space="preserve"> per cent of NUHEI undergraduate responses.</w:t>
      </w:r>
    </w:p>
    <w:p w14:paraId="150C7E76" w14:textId="65AE9F22" w:rsidR="00F71F68" w:rsidRPr="00F71F68" w:rsidRDefault="00F71F68" w:rsidP="00F71F68">
      <w:pPr>
        <w:pStyle w:val="Body"/>
      </w:pPr>
      <w:r w:rsidRPr="00F71F68">
        <w:t>For international postgraduate coursework students, NUHEIs made up around 19 per cent of total responses</w:t>
      </w:r>
      <w:r w:rsidR="00901D77">
        <w:t xml:space="preserve"> in 2024</w:t>
      </w:r>
      <w:r w:rsidRPr="00F71F68">
        <w:t xml:space="preserve">. Of the 52 NUHEIs with reportable data, the largest </w:t>
      </w:r>
      <w:r w:rsidR="008605AC">
        <w:t xml:space="preserve">contributors </w:t>
      </w:r>
      <w:r w:rsidRPr="00F71F68">
        <w:t>were Kaplan Business School (22 per cent), Holmes Institute (1</w:t>
      </w:r>
      <w:r w:rsidR="00C36901">
        <w:t>3</w:t>
      </w:r>
      <w:r w:rsidRPr="00F71F68">
        <w:t xml:space="preserve"> per cent), and the Victorian Institute of Technology (</w:t>
      </w:r>
      <w:r w:rsidR="00C36901">
        <w:t xml:space="preserve">also </w:t>
      </w:r>
      <w:r w:rsidRPr="00F71F68">
        <w:t>1</w:t>
      </w:r>
      <w:r w:rsidR="00C36901">
        <w:t>3</w:t>
      </w:r>
      <w:r w:rsidRPr="00F71F68">
        <w:t xml:space="preserve"> per cent).</w:t>
      </w:r>
    </w:p>
    <w:p w14:paraId="4A1416EC" w14:textId="04578113" w:rsidR="00384110" w:rsidRPr="00252027" w:rsidRDefault="00AD45EA" w:rsidP="00384110">
      <w:pPr>
        <w:pStyle w:val="Heading3"/>
        <w:rPr>
          <w:color w:val="000000" w:themeColor="text1"/>
        </w:rPr>
      </w:pPr>
      <w:bookmarkStart w:id="55" w:name="_Toc206692273"/>
      <w:r w:rsidRPr="00252027">
        <w:rPr>
          <w:color w:val="000000" w:themeColor="text1"/>
        </w:rPr>
        <w:t xml:space="preserve">Higher </w:t>
      </w:r>
      <w:r w:rsidR="00497DA1" w:rsidRPr="00252027">
        <w:rPr>
          <w:color w:val="000000" w:themeColor="text1"/>
        </w:rPr>
        <w:t>e</w:t>
      </w:r>
      <w:r w:rsidRPr="00252027">
        <w:rPr>
          <w:color w:val="000000" w:themeColor="text1"/>
        </w:rPr>
        <w:t xml:space="preserve">ducation </w:t>
      </w:r>
      <w:r w:rsidR="00497DA1" w:rsidRPr="00252027">
        <w:rPr>
          <w:color w:val="000000" w:themeColor="text1"/>
        </w:rPr>
        <w:t>i</w:t>
      </w:r>
      <w:r w:rsidR="00384110" w:rsidRPr="00252027">
        <w:rPr>
          <w:color w:val="000000" w:themeColor="text1"/>
        </w:rPr>
        <w:t xml:space="preserve">nstitution </w:t>
      </w:r>
      <w:r w:rsidR="00497DA1" w:rsidRPr="00252027">
        <w:rPr>
          <w:color w:val="000000" w:themeColor="text1"/>
        </w:rPr>
        <w:t>t</w:t>
      </w:r>
      <w:r w:rsidR="00384110" w:rsidRPr="00252027">
        <w:rPr>
          <w:color w:val="000000" w:themeColor="text1"/>
        </w:rPr>
        <w:t>ype</w:t>
      </w:r>
      <w:bookmarkEnd w:id="55"/>
    </w:p>
    <w:p w14:paraId="272300BC" w14:textId="793F2C56" w:rsidR="002D0EA3" w:rsidRDefault="002D0EA3" w:rsidP="009D1FAE">
      <w:pPr>
        <w:pStyle w:val="Body"/>
      </w:pPr>
      <w:r w:rsidRPr="002D0EA3">
        <w:t xml:space="preserve">In 2024, international students at Non-University Higher Education Institutions (NUHEIs) generally rated their </w:t>
      </w:r>
      <w:r w:rsidR="00366C0A">
        <w:t>Overall Educational Experience</w:t>
      </w:r>
      <w:r w:rsidRPr="002D0EA3">
        <w:t xml:space="preserve"> and other focus areas more positively than those at universities, for both undergraduate and postgraduate coursework levels, with the exception of Learning Resources.</w:t>
      </w:r>
    </w:p>
    <w:p w14:paraId="10550698" w14:textId="3A9147C0" w:rsidR="004F7222" w:rsidRPr="004F7222" w:rsidRDefault="004F7222" w:rsidP="004F7222">
      <w:pPr>
        <w:pStyle w:val="Body"/>
      </w:pPr>
      <w:r w:rsidRPr="004F7222">
        <w:t xml:space="preserve">Among undergraduate students, ratings for </w:t>
      </w:r>
      <w:r w:rsidR="00366C0A">
        <w:t>Overall Educational Experience</w:t>
      </w:r>
      <w:r w:rsidRPr="004F7222">
        <w:t xml:space="preserve"> were similar between NUHEIs and universities (see</w:t>
      </w:r>
      <w:r>
        <w:t xml:space="preserve"> </w:t>
      </w:r>
      <w:r w:rsidR="00EF4755" w:rsidRPr="00D946A5">
        <w:rPr>
          <w:b/>
          <w:bCs/>
        </w:rPr>
        <w:fldChar w:fldCharType="begin"/>
      </w:r>
      <w:r w:rsidR="00EF4755" w:rsidRPr="00D946A5">
        <w:rPr>
          <w:b/>
          <w:bCs/>
        </w:rPr>
        <w:instrText xml:space="preserve"> REF _Ref199416317 \h  \* MERGEFORMAT </w:instrText>
      </w:r>
      <w:r w:rsidR="00EF4755" w:rsidRPr="00D946A5">
        <w:rPr>
          <w:b/>
          <w:bCs/>
        </w:rPr>
      </w:r>
      <w:r w:rsidR="00EF4755" w:rsidRPr="00D946A5">
        <w:rPr>
          <w:b/>
          <w:bCs/>
        </w:rPr>
        <w:fldChar w:fldCharType="separate"/>
      </w:r>
      <w:r w:rsidR="00F96AB4" w:rsidRPr="00F96AB4">
        <w:t xml:space="preserve">Figure </w:t>
      </w:r>
      <w:r w:rsidR="00F96AB4" w:rsidRPr="00F96AB4">
        <w:rPr>
          <w:b/>
          <w:bCs/>
          <w:noProof/>
        </w:rPr>
        <w:t>11</w:t>
      </w:r>
      <w:r w:rsidR="00EF4755" w:rsidRPr="00D946A5">
        <w:rPr>
          <w:b/>
          <w:bCs/>
        </w:rPr>
        <w:fldChar w:fldCharType="end"/>
      </w:r>
      <w:r w:rsidRPr="004F7222">
        <w:t>). However, postgraduate coursework students at NUHEIs rated their experience 10.5 percentage points higher than their university counterparts.</w:t>
      </w:r>
    </w:p>
    <w:p w14:paraId="28EAA70C" w14:textId="77777777" w:rsidR="004F7222" w:rsidRPr="004F7222" w:rsidRDefault="004F7222" w:rsidP="004F7222">
      <w:pPr>
        <w:pStyle w:val="Body"/>
      </w:pPr>
      <w:r w:rsidRPr="004F7222">
        <w:t>The most notable difference in undergraduate ratings was in Peer Engagement, where NUHEIs outperformed universities by 12.0 percentage points. Ratings for Student Support and Services were similar across both institution types at the undergraduate level. In contrast, postgraduate coursework students at NUHEIs rated this area 6.7 percentage points higher than those at universities.</w:t>
      </w:r>
    </w:p>
    <w:p w14:paraId="4D17492E" w14:textId="6780C5C7" w:rsidR="004F7222" w:rsidRPr="004F7222" w:rsidRDefault="004F7222" w:rsidP="004F7222">
      <w:pPr>
        <w:pStyle w:val="Body"/>
      </w:pPr>
      <w:r w:rsidRPr="004F7222">
        <w:t>Learning Resources was the only area where universities received higher ratings. In 2024, international undergraduate students at universities rated Learning Resources 10.7 percentage points higher than those at NUHEIs, and postgraduate coursework students rated it 5.6 percentage points higher.</w:t>
      </w:r>
    </w:p>
    <w:p w14:paraId="457D2ED7" w14:textId="4F8A2845" w:rsidR="00CE4E5D" w:rsidRPr="009D1FAE" w:rsidRDefault="004F7222" w:rsidP="00CE4E5D">
      <w:pPr>
        <w:pStyle w:val="Body"/>
      </w:pPr>
      <w:r w:rsidRPr="004F7222">
        <w:t>It is important to note</w:t>
      </w:r>
      <w:r w:rsidR="00CE4E5D" w:rsidRPr="009D1FAE">
        <w:t xml:space="preserve"> that </w:t>
      </w:r>
      <w:r w:rsidRPr="004F7222">
        <w:t xml:space="preserve">differences in </w:t>
      </w:r>
      <w:r w:rsidR="00CE4E5D" w:rsidRPr="009D1FAE">
        <w:t xml:space="preserve">course offerings, study area profiles, and </w:t>
      </w:r>
      <w:r w:rsidRPr="004F7222">
        <w:t xml:space="preserve">the composition of the international student </w:t>
      </w:r>
      <w:r w:rsidR="00CE4E5D" w:rsidRPr="009D1FAE">
        <w:t>population</w:t>
      </w:r>
      <w:r w:rsidRPr="004F7222">
        <w:t>—</w:t>
      </w:r>
      <w:r w:rsidR="00CE4E5D">
        <w:t xml:space="preserve">including source </w:t>
      </w:r>
      <w:r w:rsidRPr="004F7222">
        <w:t>countries—</w:t>
      </w:r>
      <w:r w:rsidR="00CE4E5D" w:rsidRPr="009D1FAE">
        <w:t xml:space="preserve">can </w:t>
      </w:r>
      <w:r w:rsidRPr="004F7222">
        <w:t>influence these</w:t>
      </w:r>
      <w:r w:rsidR="00CE4E5D" w:rsidRPr="009D1FAE">
        <w:t xml:space="preserve"> results.</w:t>
      </w:r>
    </w:p>
    <w:p w14:paraId="278ABB0F" w14:textId="77777777" w:rsidR="0057124F" w:rsidRDefault="0057124F" w:rsidP="00CE4E5D">
      <w:pPr>
        <w:pStyle w:val="Body"/>
      </w:pPr>
    </w:p>
    <w:p w14:paraId="43239096" w14:textId="77777777" w:rsidR="00FE54CC" w:rsidRPr="009D1FAE" w:rsidRDefault="00FE54CC" w:rsidP="00CE4E5D">
      <w:pPr>
        <w:pStyle w:val="Body"/>
      </w:pPr>
    </w:p>
    <w:p w14:paraId="1B78931E" w14:textId="44B1119B" w:rsidR="00FE54CC" w:rsidRDefault="00CB5B77" w:rsidP="004D1D04">
      <w:pPr>
        <w:pStyle w:val="Caption"/>
        <w:rPr>
          <w:b w:val="0"/>
          <w:color w:val="000000" w:themeColor="text1"/>
        </w:rPr>
      </w:pPr>
      <w:bookmarkStart w:id="56" w:name="_Ref199416317"/>
      <w:bookmarkStart w:id="57" w:name="_Toc206692310"/>
      <w:r w:rsidRPr="00252027">
        <w:rPr>
          <w:rStyle w:val="CaptionChar"/>
          <w:b/>
          <w:bCs/>
          <w:color w:val="000000" w:themeColor="text1"/>
        </w:rPr>
        <w:lastRenderedPageBreak/>
        <w:t xml:space="preserve">Figure </w:t>
      </w:r>
      <w:r w:rsidRPr="00252027">
        <w:rPr>
          <w:rStyle w:val="CaptionChar"/>
          <w:color w:val="000000" w:themeColor="text1"/>
        </w:rPr>
        <w:fldChar w:fldCharType="begin"/>
      </w:r>
      <w:r w:rsidRPr="00252027">
        <w:rPr>
          <w:bCs w:val="0"/>
          <w:color w:val="000000" w:themeColor="text1"/>
        </w:rPr>
        <w:instrText xml:space="preserve"> SEQ Figure \* ARABIC </w:instrText>
      </w:r>
      <w:r w:rsidRPr="00252027">
        <w:rPr>
          <w:rStyle w:val="CaptionChar"/>
          <w:color w:val="000000" w:themeColor="text1"/>
        </w:rPr>
        <w:fldChar w:fldCharType="separate"/>
      </w:r>
      <w:r w:rsidR="00F96AB4">
        <w:rPr>
          <w:bCs w:val="0"/>
          <w:noProof/>
          <w:color w:val="000000" w:themeColor="text1"/>
        </w:rPr>
        <w:t>11</w:t>
      </w:r>
      <w:r w:rsidRPr="00252027">
        <w:rPr>
          <w:rStyle w:val="CaptionChar"/>
          <w:color w:val="000000" w:themeColor="text1"/>
        </w:rPr>
        <w:fldChar w:fldCharType="end"/>
      </w:r>
      <w:bookmarkEnd w:id="56"/>
      <w:r w:rsidRPr="00252027">
        <w:rPr>
          <w:rStyle w:val="CaptionChar"/>
          <w:b/>
          <w:bCs/>
          <w:color w:val="000000" w:themeColor="text1"/>
        </w:rPr>
        <w:t xml:space="preserve"> International </w:t>
      </w:r>
      <w:r w:rsidR="004349AB" w:rsidRPr="00252027">
        <w:rPr>
          <w:rStyle w:val="CaptionChar"/>
          <w:b/>
          <w:bCs/>
          <w:color w:val="000000" w:themeColor="text1"/>
        </w:rPr>
        <w:t>e</w:t>
      </w:r>
      <w:r w:rsidRPr="00252027">
        <w:rPr>
          <w:rStyle w:val="CaptionChar"/>
          <w:b/>
          <w:bCs/>
          <w:color w:val="000000" w:themeColor="text1"/>
        </w:rPr>
        <w:t xml:space="preserve">xperience by </w:t>
      </w:r>
      <w:r w:rsidR="007E35A6" w:rsidRPr="00252027">
        <w:rPr>
          <w:rStyle w:val="CaptionChar"/>
          <w:b/>
          <w:bCs/>
          <w:color w:val="000000" w:themeColor="text1"/>
        </w:rPr>
        <w:t xml:space="preserve">institution type </w:t>
      </w:r>
      <w:r w:rsidR="00491C8E" w:rsidRPr="00252027">
        <w:rPr>
          <w:rStyle w:val="CaptionChar"/>
          <w:b/>
          <w:bCs/>
          <w:color w:val="000000" w:themeColor="text1"/>
        </w:rPr>
        <w:t xml:space="preserve">and </w:t>
      </w:r>
      <w:r w:rsidR="00F02ADD" w:rsidRPr="00252027">
        <w:rPr>
          <w:rStyle w:val="CaptionChar"/>
          <w:b/>
          <w:bCs/>
          <w:color w:val="000000" w:themeColor="text1"/>
        </w:rPr>
        <w:t>course</w:t>
      </w:r>
      <w:r w:rsidR="007E35A6" w:rsidRPr="00252027">
        <w:rPr>
          <w:rStyle w:val="CaptionChar"/>
          <w:b/>
          <w:bCs/>
          <w:color w:val="000000" w:themeColor="text1"/>
        </w:rPr>
        <w:t xml:space="preserve"> level</w:t>
      </w:r>
      <w:r w:rsidRPr="00252027">
        <w:rPr>
          <w:rStyle w:val="CaptionChar"/>
          <w:b/>
          <w:bCs/>
          <w:color w:val="000000" w:themeColor="text1"/>
        </w:rPr>
        <w:t>, 2024 (% positive response)</w:t>
      </w:r>
      <w:bookmarkEnd w:id="57"/>
      <w:r w:rsidR="00A46367" w:rsidRPr="00252027">
        <w:rPr>
          <w:b w:val="0"/>
          <w:color w:val="000000" w:themeColor="text1"/>
        </w:rPr>
        <w:t xml:space="preserve"> </w:t>
      </w:r>
    </w:p>
    <w:p w14:paraId="5D0B6411" w14:textId="23784885" w:rsidR="007213E9" w:rsidRPr="007213E9" w:rsidRDefault="007213E9" w:rsidP="007213E9">
      <w:pPr>
        <w:pStyle w:val="Body"/>
        <w:rPr>
          <w:lang w:eastAsia="en-AU"/>
        </w:rPr>
      </w:pPr>
      <w:r>
        <w:rPr>
          <w:noProof/>
          <w:lang w:eastAsia="en-AU"/>
        </w:rPr>
        <w:drawing>
          <wp:inline distT="0" distB="0" distL="0" distR="0" wp14:anchorId="4BAE9BB4" wp14:editId="1E905E24">
            <wp:extent cx="6748780" cy="2432685"/>
            <wp:effectExtent l="0" t="0" r="0" b="0"/>
            <wp:docPr id="7707029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48780" cy="2432685"/>
                    </a:xfrm>
                    <a:prstGeom prst="rect">
                      <a:avLst/>
                    </a:prstGeom>
                    <a:noFill/>
                  </pic:spPr>
                </pic:pic>
              </a:graphicData>
            </a:graphic>
          </wp:inline>
        </w:drawing>
      </w:r>
    </w:p>
    <w:p w14:paraId="6771A65F" w14:textId="17980D4C" w:rsidR="004D0705" w:rsidRDefault="007213E9" w:rsidP="009D1FAE">
      <w:pPr>
        <w:pStyle w:val="Body"/>
      </w:pPr>
      <w:r>
        <w:rPr>
          <w:noProof/>
        </w:rPr>
        <w:drawing>
          <wp:inline distT="0" distB="0" distL="0" distR="0" wp14:anchorId="566DA627" wp14:editId="01AE524D">
            <wp:extent cx="6748780" cy="2438400"/>
            <wp:effectExtent l="0" t="0" r="0" b="0"/>
            <wp:docPr id="20399128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48780" cy="2438400"/>
                    </a:xfrm>
                    <a:prstGeom prst="rect">
                      <a:avLst/>
                    </a:prstGeom>
                    <a:noFill/>
                  </pic:spPr>
                </pic:pic>
              </a:graphicData>
            </a:graphic>
          </wp:inline>
        </w:drawing>
      </w:r>
    </w:p>
    <w:p w14:paraId="523E62E7" w14:textId="744ABC49" w:rsidR="00E01E02" w:rsidRPr="004D1D04" w:rsidRDefault="00C36A4A" w:rsidP="004D1D04">
      <w:pPr>
        <w:pStyle w:val="Body"/>
        <w:rPr>
          <w:sz w:val="16"/>
          <w:szCs w:val="16"/>
        </w:rPr>
      </w:pPr>
      <w:r w:rsidRPr="004D1D04">
        <w:rPr>
          <w:rFonts w:cs="Arial"/>
          <w:sz w:val="16"/>
          <w:szCs w:val="16"/>
        </w:rPr>
        <w:t xml:space="preserve">Note: </w:t>
      </w:r>
      <w:r w:rsidR="00E01E02" w:rsidRPr="004D1D04">
        <w:rPr>
          <w:rFonts w:cs="Arial"/>
          <w:sz w:val="16"/>
          <w:szCs w:val="16"/>
        </w:rPr>
        <w:t>Universities account for the majority of international student respondents, with NUHEIs representing 31.4 per cent of undergraduate and 18.7 per cent of postgraduate coursework students.</w:t>
      </w:r>
    </w:p>
    <w:p w14:paraId="0B59CDA7" w14:textId="77777777" w:rsidR="00821227" w:rsidRPr="00252027" w:rsidRDefault="00821227" w:rsidP="00890892">
      <w:pPr>
        <w:pStyle w:val="Heading3"/>
        <w:rPr>
          <w:color w:val="000000" w:themeColor="text1"/>
        </w:rPr>
      </w:pPr>
      <w:bookmarkStart w:id="58" w:name="_Toc206692274"/>
      <w:r w:rsidRPr="00252027">
        <w:rPr>
          <w:color w:val="000000" w:themeColor="text1"/>
        </w:rPr>
        <w:t>Universities</w:t>
      </w:r>
      <w:bookmarkEnd w:id="58"/>
    </w:p>
    <w:p w14:paraId="1244F318" w14:textId="3962333D" w:rsidR="00A10EB0" w:rsidRDefault="00A10EB0" w:rsidP="00A10EB0">
      <w:pPr>
        <w:pStyle w:val="Body"/>
        <w:rPr>
          <w:szCs w:val="24"/>
        </w:rPr>
      </w:pPr>
      <w:r>
        <w:t xml:space="preserve">The </w:t>
      </w:r>
      <w:r w:rsidR="00366C0A">
        <w:t>Overall Educational Experience</w:t>
      </w:r>
      <w:r>
        <w:t xml:space="preserve"> ratings for international undergraduate students at the institutional level have continued to recover from the impacts of COVID-19. In 2024, university ratings for this measure remained broadly consistent with those reported in </w:t>
      </w:r>
      <w:r w:rsidR="00211581" w:rsidRPr="00B2055C">
        <w:t>2023</w:t>
      </w:r>
      <w:r>
        <w:t>.</w:t>
      </w:r>
    </w:p>
    <w:p w14:paraId="7A2E8B53" w14:textId="0911B10C" w:rsidR="00A10EB0" w:rsidRPr="00442CFD" w:rsidRDefault="00A10EB0" w:rsidP="00A10EB0">
      <w:pPr>
        <w:pStyle w:val="Body"/>
      </w:pPr>
      <w:r>
        <w:t>There was a 24.3 percentage point gap between the highest and lowest scoring universities in 2024. As shown in</w:t>
      </w:r>
      <w:r w:rsidR="000C220C">
        <w:t xml:space="preserve"> </w:t>
      </w:r>
      <w:r w:rsidR="009734C5" w:rsidRPr="009734C5">
        <w:rPr>
          <w:b/>
          <w:bCs/>
        </w:rPr>
        <w:fldChar w:fldCharType="begin"/>
      </w:r>
      <w:r w:rsidR="009734C5" w:rsidRPr="009734C5">
        <w:rPr>
          <w:b/>
          <w:bCs/>
        </w:rPr>
        <w:instrText xml:space="preserve"> REF _Ref199595623 \h </w:instrText>
      </w:r>
      <w:r w:rsidR="009734C5">
        <w:rPr>
          <w:b/>
          <w:bCs/>
        </w:rPr>
        <w:instrText xml:space="preserve"> \* MERGEFORMAT </w:instrText>
      </w:r>
      <w:r w:rsidR="009734C5" w:rsidRPr="009734C5">
        <w:rPr>
          <w:b/>
          <w:bCs/>
        </w:rPr>
      </w:r>
      <w:r w:rsidR="009734C5" w:rsidRPr="009734C5">
        <w:rPr>
          <w:b/>
          <w:bCs/>
        </w:rPr>
        <w:fldChar w:fldCharType="separate"/>
      </w:r>
      <w:r w:rsidR="00F96AB4" w:rsidRPr="00F96AB4">
        <w:rPr>
          <w:b/>
          <w:bCs/>
        </w:rPr>
        <w:t xml:space="preserve">Figure </w:t>
      </w:r>
      <w:r w:rsidR="00F96AB4" w:rsidRPr="00F96AB4">
        <w:rPr>
          <w:b/>
          <w:bCs/>
          <w:noProof/>
        </w:rPr>
        <w:t>12</w:t>
      </w:r>
      <w:r w:rsidR="009734C5" w:rsidRPr="009734C5">
        <w:rPr>
          <w:b/>
          <w:bCs/>
        </w:rPr>
        <w:fldChar w:fldCharType="end"/>
      </w:r>
      <w:r>
        <w:t>, the universities with the highest positive ratings included Charles Sturt University, Australian Catholic University, Bond University, Edith Cowan University, Deakin University, and Central Queensland University</w:t>
      </w:r>
      <w:r w:rsidRPr="00442CFD">
        <w:t>.</w:t>
      </w:r>
      <w:r w:rsidR="00442CFD">
        <w:t xml:space="preserve"> </w:t>
      </w:r>
      <w:r w:rsidRPr="00442CFD">
        <w:t>(Note: Charles Sturt University and Bond University had fewer than 90 international responses.)</w:t>
      </w:r>
    </w:p>
    <w:p w14:paraId="66A3E46A" w14:textId="01CB7362" w:rsidR="00A10EB0" w:rsidRDefault="00A10EB0" w:rsidP="00A10EB0">
      <w:pPr>
        <w:pStyle w:val="Body"/>
      </w:pPr>
      <w:r>
        <w:t>At the lower end, institutions with ratings below 70 per cent included the University of Melbourne, the University of Sydney, the University of New England, the Australian National University</w:t>
      </w:r>
      <w:r w:rsidR="00C36901">
        <w:t>, and University of Southern Queensland</w:t>
      </w:r>
      <w:r>
        <w:t>.</w:t>
      </w:r>
    </w:p>
    <w:p w14:paraId="7C653364" w14:textId="1F24E278" w:rsidR="00866C79" w:rsidRPr="00B2055C" w:rsidRDefault="00A10EB0" w:rsidP="00821227">
      <w:pPr>
        <w:pStyle w:val="Body"/>
        <w:sectPr w:rsidR="00866C79" w:rsidRPr="00B2055C" w:rsidSect="00B44D55">
          <w:pgSz w:w="11900" w:h="16840"/>
          <w:pgMar w:top="852" w:right="560" w:bottom="994" w:left="710" w:header="567" w:footer="567" w:gutter="0"/>
          <w:cols w:space="708"/>
          <w:docGrid w:linePitch="360"/>
        </w:sectPr>
      </w:pPr>
      <w:r>
        <w:t xml:space="preserve">For </w:t>
      </w:r>
      <w:r w:rsidR="00806D00">
        <w:t xml:space="preserve">international postgraduate coursework </w:t>
      </w:r>
      <w:r>
        <w:t xml:space="preserve">students, </w:t>
      </w:r>
      <w:r w:rsidR="00366C0A">
        <w:t>Overall Educational Experience</w:t>
      </w:r>
      <w:r w:rsidR="00257AFB">
        <w:t xml:space="preserve"> ratings</w:t>
      </w:r>
      <w:r w:rsidR="007366F0">
        <w:t xml:space="preserve"> </w:t>
      </w:r>
      <w:r w:rsidR="005600EB">
        <w:t xml:space="preserve">have remained </w:t>
      </w:r>
      <w:r>
        <w:t>relatively stable between</w:t>
      </w:r>
      <w:r w:rsidR="001C75ED" w:rsidRPr="001C75ED">
        <w:t xml:space="preserve"> </w:t>
      </w:r>
      <w:r w:rsidR="005600EB">
        <w:t>2022 to 2024</w:t>
      </w:r>
      <w:r w:rsidR="00E60A86">
        <w:t>.</w:t>
      </w:r>
      <w:r w:rsidR="001C1ABF">
        <w:t xml:space="preserve"> However, in 2024</w:t>
      </w:r>
      <w:r>
        <w:t>, there was still notable</w:t>
      </w:r>
      <w:r w:rsidR="007366F0">
        <w:t xml:space="preserve"> variation between institutions</w:t>
      </w:r>
      <w:r>
        <w:t>,</w:t>
      </w:r>
      <w:r w:rsidR="00B24467">
        <w:t xml:space="preserve"> with a </w:t>
      </w:r>
      <w:r>
        <w:t>22.</w:t>
      </w:r>
      <w:r w:rsidR="000708DA">
        <w:t>7</w:t>
      </w:r>
      <w:r>
        <w:t xml:space="preserve"> percentage point </w:t>
      </w:r>
      <w:r w:rsidR="00B24467">
        <w:t xml:space="preserve">difference between the highest and lowest </w:t>
      </w:r>
      <w:r>
        <w:t>scores</w:t>
      </w:r>
      <w:r w:rsidR="00023D50">
        <w:t xml:space="preserve"> (see </w:t>
      </w:r>
      <w:r w:rsidR="00023D50" w:rsidRPr="00023D50">
        <w:rPr>
          <w:b/>
          <w:bCs/>
        </w:rPr>
        <w:fldChar w:fldCharType="begin"/>
      </w:r>
      <w:r w:rsidR="00023D50" w:rsidRPr="00023D50">
        <w:rPr>
          <w:b/>
          <w:bCs/>
        </w:rPr>
        <w:instrText xml:space="preserve"> REF _Ref197953493 \h </w:instrText>
      </w:r>
      <w:r w:rsidR="00023D50">
        <w:rPr>
          <w:b/>
          <w:bCs/>
        </w:rPr>
        <w:instrText xml:space="preserve"> \* MERGEFORMAT </w:instrText>
      </w:r>
      <w:r w:rsidR="00023D50" w:rsidRPr="00023D50">
        <w:rPr>
          <w:b/>
          <w:bCs/>
        </w:rPr>
      </w:r>
      <w:r w:rsidR="00023D50" w:rsidRPr="00023D50">
        <w:rPr>
          <w:b/>
          <w:bCs/>
        </w:rPr>
        <w:fldChar w:fldCharType="separate"/>
      </w:r>
      <w:r w:rsidR="00F96AB4" w:rsidRPr="00F96AB4">
        <w:rPr>
          <w:b/>
          <w:bCs/>
        </w:rPr>
        <w:t xml:space="preserve">Figure </w:t>
      </w:r>
      <w:r w:rsidR="00F96AB4" w:rsidRPr="00F96AB4">
        <w:rPr>
          <w:b/>
          <w:bCs/>
          <w:noProof/>
        </w:rPr>
        <w:t>13</w:t>
      </w:r>
      <w:r w:rsidR="00023D50" w:rsidRPr="00023D50">
        <w:rPr>
          <w:b/>
          <w:bCs/>
        </w:rPr>
        <w:fldChar w:fldCharType="end"/>
      </w:r>
      <w:r w:rsidR="00023D50">
        <w:t>)</w:t>
      </w:r>
      <w:r>
        <w:t>.</w:t>
      </w:r>
      <w:r w:rsidR="001C1ABF">
        <w:t xml:space="preserve"> </w:t>
      </w:r>
      <w:r w:rsidR="00123CF1">
        <w:t xml:space="preserve">Universities with the highest ratings </w:t>
      </w:r>
      <w:r>
        <w:t>included</w:t>
      </w:r>
      <w:r w:rsidR="003F0B8F">
        <w:t xml:space="preserve"> Bond University, James Cook University, </w:t>
      </w:r>
      <w:r w:rsidR="003A597A">
        <w:t>the University of the Sunshine Coast,</w:t>
      </w:r>
      <w:r w:rsidR="00CE4591">
        <w:t xml:space="preserve"> Edith Cowan University</w:t>
      </w:r>
      <w:r>
        <w:t>,</w:t>
      </w:r>
      <w:r w:rsidR="00CE4591">
        <w:t xml:space="preserve"> and </w:t>
      </w:r>
      <w:r w:rsidR="00D63F02">
        <w:t>Central Queensland Univ</w:t>
      </w:r>
      <w:r w:rsidR="00CF72B4">
        <w:t>ersity.</w:t>
      </w:r>
      <w:r w:rsidR="003805B5">
        <w:t xml:space="preserve"> Institutions with lower </w:t>
      </w:r>
      <w:r>
        <w:t>ratings included</w:t>
      </w:r>
      <w:r w:rsidR="003805B5">
        <w:t xml:space="preserve"> the University of Adelaide</w:t>
      </w:r>
      <w:r w:rsidR="004B7BD9">
        <w:t xml:space="preserve"> and</w:t>
      </w:r>
      <w:r w:rsidR="003805B5">
        <w:t xml:space="preserve"> </w:t>
      </w:r>
      <w:r w:rsidR="004B7BD9">
        <w:t>Southern Cross University</w:t>
      </w:r>
      <w:r w:rsidR="00833D8F">
        <w:t>.</w:t>
      </w:r>
    </w:p>
    <w:p w14:paraId="5C55CFB7" w14:textId="7DC7E076" w:rsidR="00B71872" w:rsidRDefault="00B71872" w:rsidP="00B71872">
      <w:pPr>
        <w:pStyle w:val="Caption"/>
        <w:rPr>
          <w:color w:val="000000" w:themeColor="text1"/>
        </w:rPr>
      </w:pPr>
      <w:bookmarkStart w:id="59" w:name="_Ref199595623"/>
      <w:bookmarkStart w:id="60" w:name="_Toc206692311"/>
      <w:r w:rsidRPr="00252027">
        <w:rPr>
          <w:color w:val="000000" w:themeColor="text1"/>
        </w:rPr>
        <w:lastRenderedPageBreak/>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12</w:t>
      </w:r>
      <w:r w:rsidR="001E216A" w:rsidRPr="00252027">
        <w:rPr>
          <w:noProof/>
          <w:color w:val="000000" w:themeColor="text1"/>
        </w:rPr>
        <w:fldChar w:fldCharType="end"/>
      </w:r>
      <w:bookmarkEnd w:id="59"/>
      <w:r w:rsidRPr="00252027">
        <w:rPr>
          <w:color w:val="000000" w:themeColor="text1"/>
        </w:rPr>
        <w:t xml:space="preserve"> </w:t>
      </w:r>
      <w:r w:rsidR="00366C0A" w:rsidRPr="00252027">
        <w:rPr>
          <w:color w:val="000000" w:themeColor="text1"/>
        </w:rPr>
        <w:t xml:space="preserve">Overall </w:t>
      </w:r>
      <w:r w:rsidR="00F03429" w:rsidRPr="00252027">
        <w:rPr>
          <w:color w:val="000000" w:themeColor="text1"/>
        </w:rPr>
        <w:t>E</w:t>
      </w:r>
      <w:r w:rsidR="00366C0A" w:rsidRPr="00252027">
        <w:rPr>
          <w:color w:val="000000" w:themeColor="text1"/>
        </w:rPr>
        <w:t xml:space="preserve">ducational </w:t>
      </w:r>
      <w:r w:rsidR="00F03429" w:rsidRPr="00252027">
        <w:rPr>
          <w:color w:val="000000" w:themeColor="text1"/>
        </w:rPr>
        <w:t>E</w:t>
      </w:r>
      <w:r w:rsidR="00366C0A" w:rsidRPr="00252027">
        <w:rPr>
          <w:color w:val="000000" w:themeColor="text1"/>
        </w:rPr>
        <w:t>xperience</w:t>
      </w:r>
      <w:r w:rsidRPr="00252027">
        <w:rPr>
          <w:color w:val="000000" w:themeColor="text1"/>
        </w:rPr>
        <w:t xml:space="preserve"> for international undergraduate university students, 2024 (% positive rating)</w:t>
      </w:r>
      <w:bookmarkEnd w:id="60"/>
    </w:p>
    <w:p w14:paraId="43FC9DDC" w14:textId="0B633449" w:rsidR="007213E9" w:rsidRPr="007213E9" w:rsidRDefault="007213E9" w:rsidP="007213E9">
      <w:pPr>
        <w:pStyle w:val="Body"/>
        <w:rPr>
          <w:lang w:eastAsia="en-AU"/>
        </w:rPr>
      </w:pPr>
      <w:r>
        <w:rPr>
          <w:noProof/>
          <w:lang w:eastAsia="en-AU"/>
        </w:rPr>
        <w:drawing>
          <wp:inline distT="0" distB="0" distL="0" distR="0" wp14:anchorId="4C011D6B" wp14:editId="73BBEC3F">
            <wp:extent cx="9522460" cy="5248910"/>
            <wp:effectExtent l="0" t="0" r="2540" b="8890"/>
            <wp:docPr id="18341356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2460" cy="5248910"/>
                    </a:xfrm>
                    <a:prstGeom prst="rect">
                      <a:avLst/>
                    </a:prstGeom>
                    <a:noFill/>
                  </pic:spPr>
                </pic:pic>
              </a:graphicData>
            </a:graphic>
          </wp:inline>
        </w:drawing>
      </w:r>
    </w:p>
    <w:p w14:paraId="7325D59F" w14:textId="58409F4B" w:rsidR="00092F60" w:rsidRPr="00661EEF" w:rsidRDefault="00661EEF" w:rsidP="00E5474C">
      <w:pPr>
        <w:pStyle w:val="Body"/>
        <w:rPr>
          <w:sz w:val="16"/>
          <w:szCs w:val="16"/>
          <w:highlight w:val="yellow"/>
        </w:rPr>
      </w:pPr>
      <w:r>
        <w:rPr>
          <w:sz w:val="16"/>
          <w:szCs w:val="16"/>
        </w:rPr>
        <w:t xml:space="preserve">Note: </w:t>
      </w:r>
      <w:r w:rsidR="00911664" w:rsidRPr="00661EEF">
        <w:rPr>
          <w:sz w:val="16"/>
          <w:szCs w:val="16"/>
        </w:rPr>
        <w:t>The error bars in</w:t>
      </w:r>
      <w:r>
        <w:rPr>
          <w:sz w:val="16"/>
          <w:szCs w:val="16"/>
        </w:rPr>
        <w:t xml:space="preserve"> this figure</w:t>
      </w:r>
      <w:r w:rsidR="00911664" w:rsidRPr="00661EEF">
        <w:rPr>
          <w:sz w:val="16"/>
          <w:szCs w:val="16"/>
        </w:rPr>
        <w:t xml:space="preserve"> represent </w:t>
      </w:r>
      <w:r>
        <w:rPr>
          <w:sz w:val="16"/>
          <w:szCs w:val="16"/>
        </w:rPr>
        <w:t xml:space="preserve">the </w:t>
      </w:r>
      <w:r w:rsidR="00911664" w:rsidRPr="00661EEF">
        <w:rPr>
          <w:sz w:val="16"/>
          <w:szCs w:val="16"/>
        </w:rPr>
        <w:t xml:space="preserve">90 per cent confidence intervals around the point estimates. These intervals have been calculated as 1.645 times the standard error, which has been adjusted using a finite population correction. Further details on the calculation of these confidence intervals are available on the </w:t>
      </w:r>
      <w:hyperlink r:id="rId36" w:history="1">
        <w:r w:rsidR="00911664" w:rsidRPr="00661EEF">
          <w:rPr>
            <w:rStyle w:val="Hyperlink"/>
            <w:sz w:val="16"/>
            <w:szCs w:val="16"/>
          </w:rPr>
          <w:t>QILT website</w:t>
        </w:r>
      </w:hyperlink>
      <w:r w:rsidR="00911664" w:rsidRPr="00661EEF">
        <w:rPr>
          <w:sz w:val="16"/>
          <w:szCs w:val="16"/>
        </w:rPr>
        <w:t>.</w:t>
      </w:r>
    </w:p>
    <w:p w14:paraId="7D518ED0" w14:textId="77777777" w:rsidR="00092F60" w:rsidRPr="00092F60" w:rsidRDefault="00092F60" w:rsidP="00E5474C">
      <w:pPr>
        <w:pStyle w:val="Body"/>
        <w:rPr>
          <w:highlight w:val="yellow"/>
          <w:lang w:eastAsia="en-AU"/>
        </w:rPr>
      </w:pPr>
    </w:p>
    <w:p w14:paraId="5CAEA169" w14:textId="77777777" w:rsidR="00092F60" w:rsidRPr="00252027" w:rsidRDefault="00092F60" w:rsidP="00E5474C">
      <w:pPr>
        <w:pStyle w:val="Body"/>
        <w:rPr>
          <w:color w:val="000000" w:themeColor="text1"/>
          <w:highlight w:val="yellow"/>
        </w:rPr>
      </w:pPr>
    </w:p>
    <w:p w14:paraId="69EAB70A" w14:textId="6D5C7CFA" w:rsidR="001041A3" w:rsidRDefault="001041A3" w:rsidP="001041A3">
      <w:pPr>
        <w:pStyle w:val="Caption"/>
        <w:rPr>
          <w:color w:val="000000" w:themeColor="text1"/>
        </w:rPr>
      </w:pPr>
      <w:bookmarkStart w:id="61" w:name="_Ref197953493"/>
      <w:bookmarkStart w:id="62" w:name="_Toc206692312"/>
      <w:r w:rsidRPr="00252027">
        <w:rPr>
          <w:color w:val="000000" w:themeColor="text1"/>
        </w:rPr>
        <w:lastRenderedPageBreak/>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13</w:t>
      </w:r>
      <w:r w:rsidR="001E216A" w:rsidRPr="00252027">
        <w:rPr>
          <w:noProof/>
          <w:color w:val="000000" w:themeColor="text1"/>
        </w:rPr>
        <w:fldChar w:fldCharType="end"/>
      </w:r>
      <w:bookmarkEnd w:id="61"/>
      <w:r w:rsidRPr="00252027">
        <w:rPr>
          <w:color w:val="000000" w:themeColor="text1"/>
        </w:rPr>
        <w:t xml:space="preserve"> </w:t>
      </w:r>
      <w:r w:rsidR="00366C0A" w:rsidRPr="00252027">
        <w:rPr>
          <w:color w:val="000000" w:themeColor="text1"/>
        </w:rPr>
        <w:t xml:space="preserve">Overall </w:t>
      </w:r>
      <w:r w:rsidR="00F03429" w:rsidRPr="00252027">
        <w:rPr>
          <w:color w:val="000000" w:themeColor="text1"/>
        </w:rPr>
        <w:t>E</w:t>
      </w:r>
      <w:r w:rsidR="00366C0A" w:rsidRPr="00252027">
        <w:rPr>
          <w:color w:val="000000" w:themeColor="text1"/>
        </w:rPr>
        <w:t xml:space="preserve">ducational </w:t>
      </w:r>
      <w:r w:rsidR="00F03429" w:rsidRPr="00252027">
        <w:rPr>
          <w:color w:val="000000" w:themeColor="text1"/>
        </w:rPr>
        <w:t>E</w:t>
      </w:r>
      <w:r w:rsidR="00366C0A" w:rsidRPr="00252027">
        <w:rPr>
          <w:color w:val="000000" w:themeColor="text1"/>
        </w:rPr>
        <w:t>xperience</w:t>
      </w:r>
      <w:r w:rsidRPr="00252027">
        <w:rPr>
          <w:color w:val="000000" w:themeColor="text1"/>
        </w:rPr>
        <w:t xml:space="preserve"> for international postgraduate coursework university students, 202</w:t>
      </w:r>
      <w:r w:rsidR="001E659B" w:rsidRPr="00252027">
        <w:rPr>
          <w:color w:val="000000" w:themeColor="text1"/>
        </w:rPr>
        <w:t>4</w:t>
      </w:r>
      <w:r w:rsidRPr="00252027">
        <w:rPr>
          <w:color w:val="000000" w:themeColor="text1"/>
        </w:rPr>
        <w:t xml:space="preserve"> (% positive rating)</w:t>
      </w:r>
      <w:bookmarkEnd w:id="62"/>
    </w:p>
    <w:p w14:paraId="1AEB1504" w14:textId="3E1EC555" w:rsidR="007213E9" w:rsidRPr="007213E9" w:rsidRDefault="007213E9" w:rsidP="007213E9">
      <w:pPr>
        <w:pStyle w:val="Body"/>
        <w:rPr>
          <w:lang w:eastAsia="en-AU"/>
        </w:rPr>
      </w:pPr>
      <w:r>
        <w:rPr>
          <w:noProof/>
          <w:lang w:eastAsia="en-AU"/>
        </w:rPr>
        <w:drawing>
          <wp:inline distT="0" distB="0" distL="0" distR="0" wp14:anchorId="43A6BD8A" wp14:editId="258017D3">
            <wp:extent cx="9535160" cy="4852670"/>
            <wp:effectExtent l="0" t="0" r="8890" b="5080"/>
            <wp:docPr id="1140627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35160" cy="4852670"/>
                    </a:xfrm>
                    <a:prstGeom prst="rect">
                      <a:avLst/>
                    </a:prstGeom>
                    <a:noFill/>
                  </pic:spPr>
                </pic:pic>
              </a:graphicData>
            </a:graphic>
          </wp:inline>
        </w:drawing>
      </w:r>
    </w:p>
    <w:p w14:paraId="2190F0EF" w14:textId="77D4B37B" w:rsidR="00661EEF" w:rsidRPr="00661EEF" w:rsidRDefault="00661EEF" w:rsidP="00661EEF">
      <w:pPr>
        <w:pStyle w:val="Body"/>
        <w:rPr>
          <w:sz w:val="16"/>
          <w:szCs w:val="16"/>
          <w:highlight w:val="yellow"/>
        </w:rPr>
      </w:pPr>
      <w:r w:rsidRPr="00661EEF">
        <w:rPr>
          <w:sz w:val="16"/>
          <w:szCs w:val="16"/>
        </w:rPr>
        <w:t>Note:</w:t>
      </w:r>
      <w:r>
        <w:rPr>
          <w:sz w:val="16"/>
          <w:szCs w:val="16"/>
        </w:rPr>
        <w:t xml:space="preserve"> T</w:t>
      </w:r>
      <w:r w:rsidRPr="00661EEF">
        <w:rPr>
          <w:sz w:val="16"/>
          <w:szCs w:val="16"/>
        </w:rPr>
        <w:t xml:space="preserve">he error bars in </w:t>
      </w:r>
      <w:r>
        <w:rPr>
          <w:sz w:val="16"/>
          <w:szCs w:val="16"/>
        </w:rPr>
        <w:t>this figure</w:t>
      </w:r>
      <w:r w:rsidRPr="00661EEF">
        <w:rPr>
          <w:sz w:val="16"/>
          <w:szCs w:val="16"/>
        </w:rPr>
        <w:t xml:space="preserve"> represent </w:t>
      </w:r>
      <w:r>
        <w:rPr>
          <w:sz w:val="16"/>
          <w:szCs w:val="16"/>
        </w:rPr>
        <w:t xml:space="preserve">the </w:t>
      </w:r>
      <w:r w:rsidRPr="00661EEF">
        <w:rPr>
          <w:sz w:val="16"/>
          <w:szCs w:val="16"/>
        </w:rPr>
        <w:t xml:space="preserve">90 per cent confidence intervals around the point estimates. These intervals have been calculated as 1.645 times the standard error, which has been adjusted using a finite population correction. Further details on the calculation of these confidence intervals are available on the </w:t>
      </w:r>
      <w:hyperlink r:id="rId38" w:history="1">
        <w:r w:rsidRPr="00661EEF">
          <w:rPr>
            <w:rStyle w:val="Hyperlink"/>
            <w:sz w:val="16"/>
            <w:szCs w:val="16"/>
          </w:rPr>
          <w:t>QILT website</w:t>
        </w:r>
      </w:hyperlink>
      <w:r w:rsidRPr="00661EEF">
        <w:rPr>
          <w:sz w:val="16"/>
          <w:szCs w:val="16"/>
        </w:rPr>
        <w:t>.</w:t>
      </w:r>
    </w:p>
    <w:p w14:paraId="1FBA7EBF" w14:textId="4F8083BE" w:rsidR="00624510" w:rsidRPr="001E659B" w:rsidRDefault="00624510" w:rsidP="00535E2A">
      <w:pPr>
        <w:pStyle w:val="Body"/>
        <w:sectPr w:rsidR="00624510" w:rsidRPr="001E659B" w:rsidSect="00641A54">
          <w:pgSz w:w="16840" w:h="11900" w:orient="landscape"/>
          <w:pgMar w:top="710" w:right="852" w:bottom="560" w:left="994" w:header="567" w:footer="567" w:gutter="0"/>
          <w:cols w:space="708"/>
          <w:docGrid w:linePitch="360"/>
        </w:sectPr>
      </w:pPr>
    </w:p>
    <w:p w14:paraId="1C939D8C" w14:textId="77777777" w:rsidR="00821227" w:rsidRPr="00252027" w:rsidRDefault="00821227" w:rsidP="00890892">
      <w:pPr>
        <w:pStyle w:val="Heading3"/>
        <w:rPr>
          <w:color w:val="000000" w:themeColor="text1"/>
        </w:rPr>
      </w:pPr>
      <w:bookmarkStart w:id="63" w:name="_Toc171884206"/>
      <w:bookmarkStart w:id="64" w:name="_Toc206692275"/>
      <w:bookmarkEnd w:id="63"/>
      <w:r w:rsidRPr="00252027">
        <w:rPr>
          <w:color w:val="000000" w:themeColor="text1"/>
        </w:rPr>
        <w:lastRenderedPageBreak/>
        <w:t>Non-university higher education institutions (NUHEIs)</w:t>
      </w:r>
      <w:bookmarkEnd w:id="64"/>
    </w:p>
    <w:p w14:paraId="2EF1B852" w14:textId="744D06DF" w:rsidR="005C350B" w:rsidRDefault="005C350B" w:rsidP="005C350B">
      <w:pPr>
        <w:pStyle w:val="Body"/>
        <w:rPr>
          <w:szCs w:val="24"/>
        </w:rPr>
      </w:pPr>
      <w:r>
        <w:t xml:space="preserve">Since international student enrolments at individual NUHEIs tend to be much smaller than at universities, the survey data shown in </w:t>
      </w:r>
      <w:r w:rsidRPr="006E1DBC">
        <w:rPr>
          <w:b/>
          <w:bCs/>
        </w:rPr>
        <w:fldChar w:fldCharType="begin"/>
      </w:r>
      <w:r w:rsidRPr="006E1DBC">
        <w:rPr>
          <w:b/>
          <w:bCs/>
        </w:rPr>
        <w:instrText xml:space="preserve"> REF _Ref98844501 \h </w:instrText>
      </w:r>
      <w:r w:rsidR="006E1DBC">
        <w:rPr>
          <w:b/>
          <w:bCs/>
        </w:rPr>
        <w:instrText xml:space="preserve"> \* MERGEFORMAT </w:instrText>
      </w:r>
      <w:r w:rsidRPr="006E1DBC">
        <w:rPr>
          <w:b/>
          <w:bCs/>
        </w:rPr>
      </w:r>
      <w:r w:rsidRPr="006E1DBC">
        <w:rPr>
          <w:b/>
          <w:bCs/>
        </w:rPr>
        <w:fldChar w:fldCharType="separate"/>
      </w:r>
      <w:r w:rsidR="00F96AB4" w:rsidRPr="00F96AB4">
        <w:rPr>
          <w:b/>
          <w:bCs/>
        </w:rPr>
        <w:t xml:space="preserve">Figure </w:t>
      </w:r>
      <w:r w:rsidR="00F96AB4" w:rsidRPr="00F96AB4">
        <w:rPr>
          <w:b/>
          <w:bCs/>
          <w:noProof/>
        </w:rPr>
        <w:t>14</w:t>
      </w:r>
      <w:r w:rsidRPr="006E1DBC">
        <w:rPr>
          <w:b/>
          <w:bCs/>
        </w:rPr>
        <w:fldChar w:fldCharType="end"/>
      </w:r>
      <w:r>
        <w:t xml:space="preserve"> and </w:t>
      </w:r>
      <w:r w:rsidR="00F041C2" w:rsidRPr="00D946A5">
        <w:rPr>
          <w:b/>
          <w:bCs/>
        </w:rPr>
        <w:fldChar w:fldCharType="begin"/>
      </w:r>
      <w:r w:rsidR="00F041C2" w:rsidRPr="00D946A5">
        <w:rPr>
          <w:b/>
          <w:bCs/>
        </w:rPr>
        <w:instrText xml:space="preserve"> REF _Ref176437224 \h  \* MERGEFORMAT </w:instrText>
      </w:r>
      <w:r w:rsidR="00F041C2" w:rsidRPr="00D946A5">
        <w:rPr>
          <w:b/>
          <w:bCs/>
        </w:rPr>
      </w:r>
      <w:r w:rsidR="00F041C2" w:rsidRPr="00D946A5">
        <w:rPr>
          <w:b/>
          <w:bCs/>
        </w:rPr>
        <w:fldChar w:fldCharType="separate"/>
      </w:r>
      <w:r w:rsidR="00F96AB4" w:rsidRPr="00F96AB4">
        <w:rPr>
          <w:b/>
          <w:bCs/>
        </w:rPr>
        <w:t xml:space="preserve">Figure </w:t>
      </w:r>
      <w:r w:rsidR="00F96AB4" w:rsidRPr="00F96AB4">
        <w:rPr>
          <w:b/>
          <w:bCs/>
          <w:noProof/>
        </w:rPr>
        <w:t>15</w:t>
      </w:r>
      <w:r w:rsidR="00F041C2" w:rsidRPr="00D946A5">
        <w:rPr>
          <w:b/>
          <w:bCs/>
        </w:rPr>
        <w:fldChar w:fldCharType="end"/>
      </w:r>
      <w:r w:rsidR="008C3F3A">
        <w:rPr>
          <w:b/>
          <w:bCs/>
        </w:rPr>
        <w:t xml:space="preserve"> </w:t>
      </w:r>
      <w:r>
        <w:t>is based on pooled results from the 2023 and 2024 surveys. This approach, also used on the ComparED website, ensures that more institutions have sufficient data for reporting. To maintain data quality, results based on fewer than 25 responses have not been published.</w:t>
      </w:r>
    </w:p>
    <w:p w14:paraId="0A38E18F" w14:textId="4E9F907B" w:rsidR="005C350B" w:rsidRDefault="00437C2F" w:rsidP="005C350B">
      <w:pPr>
        <w:pStyle w:val="Body"/>
      </w:pPr>
      <w:r>
        <w:t>Due to</w:t>
      </w:r>
      <w:r w:rsidR="005C350B">
        <w:t xml:space="preserve"> this </w:t>
      </w:r>
      <w:r>
        <w:t xml:space="preserve">data </w:t>
      </w:r>
      <w:r w:rsidR="005C350B">
        <w:t>pooling, NUHEI results are not directly comparable with university results shown in</w:t>
      </w:r>
      <w:r w:rsidR="00C81CE4">
        <w:t xml:space="preserve"> </w:t>
      </w:r>
      <w:r w:rsidR="000A5AB5" w:rsidRPr="0084566E">
        <w:rPr>
          <w:b/>
          <w:bCs/>
        </w:rPr>
        <w:fldChar w:fldCharType="begin"/>
      </w:r>
      <w:r w:rsidR="000A5AB5" w:rsidRPr="0084566E">
        <w:rPr>
          <w:b/>
          <w:bCs/>
        </w:rPr>
        <w:instrText xml:space="preserve"> REF _Ref199595623 \h </w:instrText>
      </w:r>
      <w:r w:rsidR="0084566E">
        <w:rPr>
          <w:b/>
          <w:bCs/>
        </w:rPr>
        <w:instrText xml:space="preserve"> \* MERGEFORMAT </w:instrText>
      </w:r>
      <w:r w:rsidR="000A5AB5" w:rsidRPr="0084566E">
        <w:rPr>
          <w:b/>
          <w:bCs/>
        </w:rPr>
      </w:r>
      <w:r w:rsidR="000A5AB5" w:rsidRPr="0084566E">
        <w:rPr>
          <w:b/>
          <w:bCs/>
        </w:rPr>
        <w:fldChar w:fldCharType="separate"/>
      </w:r>
      <w:r w:rsidR="00F96AB4" w:rsidRPr="00F96AB4">
        <w:rPr>
          <w:b/>
          <w:bCs/>
        </w:rPr>
        <w:t xml:space="preserve">Figure </w:t>
      </w:r>
      <w:r w:rsidR="00F96AB4" w:rsidRPr="00F96AB4">
        <w:rPr>
          <w:b/>
          <w:bCs/>
          <w:noProof/>
        </w:rPr>
        <w:t>12</w:t>
      </w:r>
      <w:r w:rsidR="000A5AB5" w:rsidRPr="0084566E">
        <w:rPr>
          <w:b/>
          <w:bCs/>
        </w:rPr>
        <w:fldChar w:fldCharType="end"/>
      </w:r>
      <w:r w:rsidR="00C81CE4">
        <w:t xml:space="preserve"> and </w:t>
      </w:r>
      <w:r w:rsidR="00C81CE4" w:rsidRPr="00C81CE4">
        <w:rPr>
          <w:b/>
          <w:bCs/>
        </w:rPr>
        <w:fldChar w:fldCharType="begin"/>
      </w:r>
      <w:r w:rsidR="00C81CE4" w:rsidRPr="00C81CE4">
        <w:rPr>
          <w:b/>
          <w:bCs/>
        </w:rPr>
        <w:instrText xml:space="preserve"> REF _Ref197953493 \h </w:instrText>
      </w:r>
      <w:r w:rsidR="00C81CE4">
        <w:rPr>
          <w:b/>
          <w:bCs/>
        </w:rPr>
        <w:instrText xml:space="preserve"> \* MERGEFORMAT </w:instrText>
      </w:r>
      <w:r w:rsidR="00C81CE4" w:rsidRPr="00C81CE4">
        <w:rPr>
          <w:b/>
          <w:bCs/>
        </w:rPr>
      </w:r>
      <w:r w:rsidR="00C81CE4" w:rsidRPr="00C81CE4">
        <w:rPr>
          <w:b/>
          <w:bCs/>
        </w:rPr>
        <w:fldChar w:fldCharType="separate"/>
      </w:r>
      <w:r w:rsidR="00F96AB4" w:rsidRPr="00F96AB4">
        <w:rPr>
          <w:b/>
          <w:bCs/>
        </w:rPr>
        <w:t xml:space="preserve">Figure </w:t>
      </w:r>
      <w:r w:rsidR="00F96AB4" w:rsidRPr="00F96AB4">
        <w:rPr>
          <w:b/>
          <w:bCs/>
          <w:noProof/>
        </w:rPr>
        <w:t>13</w:t>
      </w:r>
      <w:r w:rsidR="00C81CE4" w:rsidRPr="00C81CE4">
        <w:rPr>
          <w:b/>
          <w:bCs/>
        </w:rPr>
        <w:fldChar w:fldCharType="end"/>
      </w:r>
      <w:r w:rsidR="005C350B">
        <w:t>. Additionally, pooled estimates may dilute year-on-year changes in student ratings.</w:t>
      </w:r>
    </w:p>
    <w:p w14:paraId="4331CE2A" w14:textId="018E25AF" w:rsidR="005C350B" w:rsidRDefault="005C350B" w:rsidP="005C350B">
      <w:pPr>
        <w:pStyle w:val="Body"/>
      </w:pPr>
      <w:r>
        <w:t xml:space="preserve">Among NUHEIs with sufficient international undergraduate responses across 2023 and 2024, the institutions with the highest positive ratings for </w:t>
      </w:r>
      <w:r w:rsidR="00366C0A">
        <w:t>Overall Educational Experience</w:t>
      </w:r>
      <w:r>
        <w:t xml:space="preserve"> were: Sydney College of Divinity, Leaders Institute, Sheridan Institute of Higher Education, Box Hill Institute, Equals International, Lyons College, and Collarts (Australian College of the Arts). Institutions with the lowest ratings included: </w:t>
      </w:r>
      <w:r w:rsidR="00C36901">
        <w:t xml:space="preserve">SP Jain School of Management, Kent Institute Australia, SAE </w:t>
      </w:r>
      <w:r w:rsidR="00395C31">
        <w:t>University College</w:t>
      </w:r>
      <w:r w:rsidR="00C36901">
        <w:t xml:space="preserve">, </w:t>
      </w:r>
      <w:r>
        <w:t>TAFE South Australia, Crown Institute of Higher Education, Le Cordon Bleu Australia, Academy of Interactive Technology, and Southern Cross Education Institute (Higher Education).</w:t>
      </w:r>
    </w:p>
    <w:p w14:paraId="2622CCAD" w14:textId="66094C09" w:rsidR="00055606" w:rsidRPr="004D24BC" w:rsidRDefault="005C350B" w:rsidP="00821227">
      <w:pPr>
        <w:pStyle w:val="Body"/>
      </w:pPr>
      <w:r>
        <w:t xml:space="preserve">For international </w:t>
      </w:r>
      <w:bookmarkStart w:id="65" w:name="_Ref66189631"/>
      <w:r w:rsidR="00055606">
        <w:t xml:space="preserve">postgraduate coursework </w:t>
      </w:r>
      <w:r>
        <w:t xml:space="preserve">students, NUHEIs </w:t>
      </w:r>
      <w:r w:rsidR="00340970">
        <w:t xml:space="preserve">with </w:t>
      </w:r>
      <w:r w:rsidR="002E6058">
        <w:t xml:space="preserve">the highest </w:t>
      </w:r>
      <w:r w:rsidR="00B147F2">
        <w:t xml:space="preserve">ratings </w:t>
      </w:r>
      <w:r w:rsidR="00437C2F">
        <w:t>in</w:t>
      </w:r>
      <w:r w:rsidR="00B147F2">
        <w:t xml:space="preserve"> </w:t>
      </w:r>
      <w:r w:rsidR="00366C0A">
        <w:t>Overall Educational Experience</w:t>
      </w:r>
      <w:r w:rsidR="00B147F2">
        <w:t xml:space="preserve"> </w:t>
      </w:r>
      <w:r>
        <w:t>included:</w:t>
      </w:r>
      <w:r w:rsidR="002E6058">
        <w:t xml:space="preserve"> </w:t>
      </w:r>
      <w:r w:rsidR="003F3502">
        <w:t xml:space="preserve">Australian </w:t>
      </w:r>
      <w:r w:rsidR="00D214F2">
        <w:t>University of</w:t>
      </w:r>
      <w:r w:rsidR="003F3502">
        <w:t xml:space="preserve"> Theology</w:t>
      </w:r>
      <w:r w:rsidR="000132D6">
        <w:rPr>
          <w:rStyle w:val="FootnoteReference"/>
        </w:rPr>
        <w:footnoteReference w:id="7"/>
      </w:r>
      <w:r w:rsidR="003F3502">
        <w:t xml:space="preserve">, </w:t>
      </w:r>
      <w:r w:rsidR="00D214F2">
        <w:t xml:space="preserve">Leaders Institute, </w:t>
      </w:r>
      <w:r w:rsidR="00B363E9">
        <w:t xml:space="preserve">Polytechnic Institute Australia, </w:t>
      </w:r>
      <w:r w:rsidR="00B16697">
        <w:t xml:space="preserve">Australia </w:t>
      </w:r>
      <w:r w:rsidR="001D7096">
        <w:t xml:space="preserve">Advance </w:t>
      </w:r>
      <w:r w:rsidR="00C7302D">
        <w:t>Education Group</w:t>
      </w:r>
      <w:r>
        <w:t>,</w:t>
      </w:r>
      <w:r w:rsidR="00C7302D">
        <w:t xml:space="preserve"> </w:t>
      </w:r>
      <w:r w:rsidR="00A33B45">
        <w:t>CIC Higher Education</w:t>
      </w:r>
      <w:r>
        <w:t>,</w:t>
      </w:r>
      <w:r w:rsidR="00A33B45">
        <w:t xml:space="preserve"> and Universal Business School Sydney. </w:t>
      </w:r>
      <w:r>
        <w:t>Those</w:t>
      </w:r>
      <w:r w:rsidR="00A33B45">
        <w:t xml:space="preserve"> with the lowest ratings </w:t>
      </w:r>
      <w:r>
        <w:t>were:</w:t>
      </w:r>
      <w:r w:rsidR="00A33B45">
        <w:t xml:space="preserve"> </w:t>
      </w:r>
      <w:r w:rsidR="00075DF1">
        <w:t>Southern Cross Education Institute (Higher Education), JMC Academy</w:t>
      </w:r>
      <w:r>
        <w:t>,</w:t>
      </w:r>
      <w:r w:rsidR="00075DF1">
        <w:t xml:space="preserve"> </w:t>
      </w:r>
      <w:r w:rsidR="00EB5E85">
        <w:t>The College of Law</w:t>
      </w:r>
      <w:r w:rsidR="005D16E5">
        <w:t>, Chartered Accountants Australia and New Zealand</w:t>
      </w:r>
      <w:r>
        <w:t>,</w:t>
      </w:r>
      <w:r w:rsidR="00581794">
        <w:t xml:space="preserve"> and SP Jain School of Management.</w:t>
      </w:r>
    </w:p>
    <w:p w14:paraId="7E732FC0" w14:textId="77777777" w:rsidR="00F12BE0" w:rsidRDefault="00F12BE0" w:rsidP="00821227">
      <w:pPr>
        <w:pStyle w:val="Body"/>
        <w:rPr>
          <w:highlight w:val="yellow"/>
        </w:rPr>
      </w:pPr>
    </w:p>
    <w:p w14:paraId="42142477" w14:textId="77777777" w:rsidR="000132D6" w:rsidRDefault="000132D6" w:rsidP="00821227">
      <w:pPr>
        <w:pStyle w:val="Body"/>
        <w:rPr>
          <w:highlight w:val="yellow"/>
        </w:rPr>
      </w:pPr>
    </w:p>
    <w:p w14:paraId="38A4743E" w14:textId="11BF1BE2" w:rsidR="000132D6" w:rsidRPr="002867E0" w:rsidRDefault="000132D6" w:rsidP="00821227">
      <w:pPr>
        <w:pStyle w:val="Body"/>
        <w:rPr>
          <w:highlight w:val="yellow"/>
        </w:rPr>
        <w:sectPr w:rsidR="000132D6" w:rsidRPr="002867E0" w:rsidSect="00123710">
          <w:pgSz w:w="11900" w:h="16840"/>
          <w:pgMar w:top="852" w:right="560" w:bottom="994" w:left="710" w:header="567" w:footer="567" w:gutter="0"/>
          <w:cols w:space="708"/>
          <w:docGrid w:linePitch="360"/>
        </w:sectPr>
      </w:pPr>
    </w:p>
    <w:p w14:paraId="4B03C21C" w14:textId="1EC86E3B" w:rsidR="007825EC" w:rsidRPr="00252027" w:rsidRDefault="00821227" w:rsidP="00623FF0">
      <w:pPr>
        <w:pStyle w:val="Caption"/>
        <w:rPr>
          <w:color w:val="000000" w:themeColor="text1"/>
        </w:rPr>
      </w:pPr>
      <w:bookmarkStart w:id="66" w:name="_Ref98844501"/>
      <w:bookmarkStart w:id="67" w:name="_Toc206692313"/>
      <w:r w:rsidRPr="00252027">
        <w:rPr>
          <w:color w:val="000000" w:themeColor="text1"/>
        </w:rPr>
        <w:lastRenderedPageBreak/>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14</w:t>
      </w:r>
      <w:r w:rsidR="001E216A" w:rsidRPr="00252027">
        <w:rPr>
          <w:noProof/>
          <w:color w:val="000000" w:themeColor="text1"/>
        </w:rPr>
        <w:fldChar w:fldCharType="end"/>
      </w:r>
      <w:bookmarkEnd w:id="65"/>
      <w:bookmarkEnd w:id="66"/>
      <w:r w:rsidRPr="00252027">
        <w:rPr>
          <w:color w:val="000000" w:themeColor="text1"/>
        </w:rPr>
        <w:t xml:space="preserve"> </w:t>
      </w:r>
      <w:r w:rsidR="00366C0A" w:rsidRPr="00252027">
        <w:rPr>
          <w:color w:val="000000" w:themeColor="text1"/>
        </w:rPr>
        <w:t xml:space="preserve">Overall </w:t>
      </w:r>
      <w:r w:rsidR="00F03429" w:rsidRPr="00252027">
        <w:rPr>
          <w:color w:val="000000" w:themeColor="text1"/>
        </w:rPr>
        <w:t>E</w:t>
      </w:r>
      <w:r w:rsidR="00366C0A" w:rsidRPr="00252027">
        <w:rPr>
          <w:color w:val="000000" w:themeColor="text1"/>
        </w:rPr>
        <w:t xml:space="preserve">ducational </w:t>
      </w:r>
      <w:r w:rsidR="00F03429" w:rsidRPr="00252027">
        <w:rPr>
          <w:color w:val="000000" w:themeColor="text1"/>
        </w:rPr>
        <w:t>E</w:t>
      </w:r>
      <w:r w:rsidR="00366C0A" w:rsidRPr="00252027">
        <w:rPr>
          <w:color w:val="000000" w:themeColor="text1"/>
        </w:rPr>
        <w:t>xperience</w:t>
      </w:r>
      <w:r w:rsidRPr="00252027">
        <w:rPr>
          <w:color w:val="000000" w:themeColor="text1"/>
        </w:rPr>
        <w:t xml:space="preserve"> for international undergraduate non-university higher education institution (NUHEI) students, pooled 2023-202</w:t>
      </w:r>
      <w:r w:rsidR="00FD3FAF" w:rsidRPr="00252027">
        <w:rPr>
          <w:color w:val="000000" w:themeColor="text1"/>
        </w:rPr>
        <w:t>4</w:t>
      </w:r>
      <w:r w:rsidRPr="00252027">
        <w:rPr>
          <w:color w:val="000000" w:themeColor="text1"/>
        </w:rPr>
        <w:t xml:space="preserve"> (% positive rating)</w:t>
      </w:r>
      <w:bookmarkEnd w:id="67"/>
    </w:p>
    <w:p w14:paraId="05AB8727" w14:textId="2F565B8F" w:rsidR="007213E9" w:rsidRPr="00252027" w:rsidRDefault="007213E9" w:rsidP="00821227">
      <w:pPr>
        <w:pStyle w:val="Body"/>
        <w:rPr>
          <w:rFonts w:ascii="ArialMT" w:hAnsi="ArialMT" w:cs="ArialMT"/>
          <w:color w:val="000000" w:themeColor="text1"/>
          <w:sz w:val="16"/>
          <w:szCs w:val="16"/>
          <w:lang w:val="en-GB"/>
        </w:rPr>
      </w:pPr>
      <w:r>
        <w:rPr>
          <w:rFonts w:ascii="ArialMT" w:hAnsi="ArialMT" w:cs="ArialMT"/>
          <w:noProof/>
          <w:color w:val="000000" w:themeColor="text1"/>
          <w:sz w:val="16"/>
          <w:szCs w:val="16"/>
          <w:lang w:val="en-GB"/>
        </w:rPr>
        <w:drawing>
          <wp:inline distT="0" distB="0" distL="0" distR="0" wp14:anchorId="7F215D87" wp14:editId="43E7D154">
            <wp:extent cx="9522460" cy="5487035"/>
            <wp:effectExtent l="0" t="0" r="2540" b="0"/>
            <wp:docPr id="4402702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2460" cy="5487035"/>
                    </a:xfrm>
                    <a:prstGeom prst="rect">
                      <a:avLst/>
                    </a:prstGeom>
                    <a:noFill/>
                  </pic:spPr>
                </pic:pic>
              </a:graphicData>
            </a:graphic>
          </wp:inline>
        </w:drawing>
      </w:r>
    </w:p>
    <w:p w14:paraId="616D9BAF" w14:textId="1F0340D6" w:rsidR="00623FF0" w:rsidRDefault="00623FF0" w:rsidP="00821227">
      <w:pPr>
        <w:pStyle w:val="Body"/>
        <w:rPr>
          <w:noProof/>
        </w:rPr>
      </w:pPr>
    </w:p>
    <w:p w14:paraId="7E6749AD" w14:textId="02348626" w:rsidR="00661EEF" w:rsidRPr="00661EEF" w:rsidRDefault="00661EEF" w:rsidP="00661EEF">
      <w:pPr>
        <w:pStyle w:val="Body"/>
        <w:rPr>
          <w:sz w:val="16"/>
          <w:szCs w:val="16"/>
          <w:highlight w:val="yellow"/>
        </w:rPr>
      </w:pPr>
      <w:r w:rsidRPr="00661EEF">
        <w:rPr>
          <w:sz w:val="16"/>
          <w:szCs w:val="16"/>
        </w:rPr>
        <w:t xml:space="preserve">Note: The error bars in </w:t>
      </w:r>
      <w:r>
        <w:rPr>
          <w:sz w:val="16"/>
          <w:szCs w:val="16"/>
        </w:rPr>
        <w:t>this figure</w:t>
      </w:r>
      <w:r w:rsidRPr="00661EEF">
        <w:rPr>
          <w:sz w:val="16"/>
          <w:szCs w:val="16"/>
        </w:rPr>
        <w:t xml:space="preserve"> represent </w:t>
      </w:r>
      <w:r>
        <w:rPr>
          <w:sz w:val="16"/>
          <w:szCs w:val="16"/>
        </w:rPr>
        <w:t xml:space="preserve">the </w:t>
      </w:r>
      <w:r w:rsidRPr="00661EEF">
        <w:rPr>
          <w:sz w:val="16"/>
          <w:szCs w:val="16"/>
        </w:rPr>
        <w:t xml:space="preserve">90 per cent confidence intervals around the point estimates. These intervals have been calculated as 1.645 times the standard error, which has been adjusted using a finite population correction. Further details on the calculation of these confidence intervals are available on the </w:t>
      </w:r>
      <w:hyperlink r:id="rId40" w:history="1">
        <w:r w:rsidRPr="00661EEF">
          <w:rPr>
            <w:rStyle w:val="Hyperlink"/>
            <w:sz w:val="16"/>
            <w:szCs w:val="16"/>
          </w:rPr>
          <w:t>QILT website</w:t>
        </w:r>
      </w:hyperlink>
      <w:r w:rsidRPr="00661EEF">
        <w:rPr>
          <w:sz w:val="16"/>
          <w:szCs w:val="16"/>
        </w:rPr>
        <w:t>.</w:t>
      </w:r>
    </w:p>
    <w:p w14:paraId="5ACD6EB9" w14:textId="5544522A" w:rsidR="005F7CB1" w:rsidRDefault="005F7CB1" w:rsidP="005F7CB1">
      <w:pPr>
        <w:pStyle w:val="Caption"/>
        <w:rPr>
          <w:color w:val="000000" w:themeColor="text1"/>
        </w:rPr>
      </w:pPr>
      <w:bookmarkStart w:id="68" w:name="_Ref176437224"/>
      <w:bookmarkStart w:id="69" w:name="_Toc206692314"/>
      <w:r w:rsidRPr="00252027">
        <w:rPr>
          <w:color w:val="000000" w:themeColor="text1"/>
        </w:rPr>
        <w:lastRenderedPageBreak/>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15</w:t>
      </w:r>
      <w:r w:rsidR="001E216A" w:rsidRPr="00252027">
        <w:rPr>
          <w:noProof/>
          <w:color w:val="000000" w:themeColor="text1"/>
        </w:rPr>
        <w:fldChar w:fldCharType="end"/>
      </w:r>
      <w:bookmarkEnd w:id="68"/>
      <w:r w:rsidRPr="00252027">
        <w:rPr>
          <w:color w:val="000000" w:themeColor="text1"/>
        </w:rPr>
        <w:t xml:space="preserve"> </w:t>
      </w:r>
      <w:r w:rsidR="00366C0A" w:rsidRPr="00252027">
        <w:rPr>
          <w:color w:val="000000" w:themeColor="text1"/>
        </w:rPr>
        <w:t xml:space="preserve">Overall </w:t>
      </w:r>
      <w:r w:rsidR="00F03429" w:rsidRPr="00252027">
        <w:rPr>
          <w:color w:val="000000" w:themeColor="text1"/>
        </w:rPr>
        <w:t>E</w:t>
      </w:r>
      <w:r w:rsidR="00366C0A" w:rsidRPr="00252027">
        <w:rPr>
          <w:color w:val="000000" w:themeColor="text1"/>
        </w:rPr>
        <w:t xml:space="preserve">ducational </w:t>
      </w:r>
      <w:r w:rsidR="00F03429" w:rsidRPr="00252027">
        <w:rPr>
          <w:color w:val="000000" w:themeColor="text1"/>
        </w:rPr>
        <w:t>E</w:t>
      </w:r>
      <w:r w:rsidR="00366C0A" w:rsidRPr="00252027">
        <w:rPr>
          <w:color w:val="000000" w:themeColor="text1"/>
        </w:rPr>
        <w:t>xperience</w:t>
      </w:r>
      <w:r w:rsidRPr="00252027">
        <w:rPr>
          <w:color w:val="000000" w:themeColor="text1"/>
        </w:rPr>
        <w:t xml:space="preserve"> for international postgraduate coursework non-university higher education institution (NUHEI) students, pooled 2023-202</w:t>
      </w:r>
      <w:r w:rsidR="00827F8B" w:rsidRPr="00252027">
        <w:rPr>
          <w:color w:val="000000" w:themeColor="text1"/>
        </w:rPr>
        <w:t>4</w:t>
      </w:r>
      <w:r w:rsidRPr="00252027">
        <w:rPr>
          <w:color w:val="000000" w:themeColor="text1"/>
        </w:rPr>
        <w:t xml:space="preserve"> (% positive rating)</w:t>
      </w:r>
      <w:bookmarkEnd w:id="69"/>
    </w:p>
    <w:p w14:paraId="5FF87FD3" w14:textId="4959DD6F" w:rsidR="007213E9" w:rsidRPr="007213E9" w:rsidRDefault="007213E9" w:rsidP="007213E9">
      <w:pPr>
        <w:pStyle w:val="Body"/>
        <w:rPr>
          <w:lang w:eastAsia="en-AU"/>
        </w:rPr>
      </w:pPr>
      <w:r>
        <w:rPr>
          <w:noProof/>
          <w:lang w:eastAsia="en-AU"/>
        </w:rPr>
        <w:drawing>
          <wp:inline distT="0" distB="0" distL="0" distR="0" wp14:anchorId="27FB3FA9" wp14:editId="286BC463">
            <wp:extent cx="9522460" cy="4590415"/>
            <wp:effectExtent l="0" t="0" r="2540" b="635"/>
            <wp:docPr id="12967703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2460" cy="4590415"/>
                    </a:xfrm>
                    <a:prstGeom prst="rect">
                      <a:avLst/>
                    </a:prstGeom>
                    <a:noFill/>
                  </pic:spPr>
                </pic:pic>
              </a:graphicData>
            </a:graphic>
          </wp:inline>
        </w:drawing>
      </w:r>
    </w:p>
    <w:p w14:paraId="1B868EFB" w14:textId="269CDAC8" w:rsidR="0069205F" w:rsidRDefault="0069205F" w:rsidP="00827F8B">
      <w:pPr>
        <w:rPr>
          <w:noProof/>
        </w:rPr>
      </w:pPr>
    </w:p>
    <w:p w14:paraId="77659299" w14:textId="51E86A31" w:rsidR="00D214F2" w:rsidRDefault="00D214F2" w:rsidP="00D214F2">
      <w:pPr>
        <w:rPr>
          <w:sz w:val="16"/>
          <w:szCs w:val="16"/>
        </w:rPr>
      </w:pPr>
      <w:r w:rsidRPr="00D214F2">
        <w:rPr>
          <w:sz w:val="16"/>
          <w:szCs w:val="16"/>
        </w:rPr>
        <w:t>*</w:t>
      </w:r>
      <w:r w:rsidRPr="00D214F2">
        <w:rPr>
          <w:rFonts w:ascii="Aptos" w:hAnsi="Aptos" w:cs="Aptos"/>
          <w:sz w:val="16"/>
          <w:szCs w:val="16"/>
          <w14:ligatures w14:val="standardContextual"/>
        </w:rPr>
        <w:t xml:space="preserve"> </w:t>
      </w:r>
      <w:r w:rsidRPr="00D214F2">
        <w:rPr>
          <w:sz w:val="16"/>
          <w:szCs w:val="16"/>
        </w:rPr>
        <w:t xml:space="preserve">The Australian University of Theology was awarded university status in December 2024. Prior to this, the institution was known as the Australian College of Theology and was classified as a non-university higher education institution (NUHEI). Data for the 2024 </w:t>
      </w:r>
      <w:r>
        <w:rPr>
          <w:sz w:val="16"/>
          <w:szCs w:val="16"/>
        </w:rPr>
        <w:t>SES</w:t>
      </w:r>
      <w:r w:rsidRPr="00D214F2">
        <w:rPr>
          <w:sz w:val="16"/>
          <w:szCs w:val="16"/>
        </w:rPr>
        <w:t xml:space="preserve"> was collected when the institution was a NUHEI.</w:t>
      </w:r>
    </w:p>
    <w:p w14:paraId="7F9F91C0" w14:textId="5BC8C5B4" w:rsidR="00D214F2" w:rsidRPr="00661EEF" w:rsidRDefault="00661EEF" w:rsidP="00AC05CB">
      <w:pPr>
        <w:pStyle w:val="FigureNote"/>
        <w:rPr>
          <w:szCs w:val="16"/>
          <w:highlight w:val="yellow"/>
        </w:rPr>
        <w:sectPr w:rsidR="00D214F2" w:rsidRPr="00661EEF" w:rsidSect="00E00511">
          <w:pgSz w:w="16840" w:h="11900" w:orient="landscape"/>
          <w:pgMar w:top="710" w:right="852" w:bottom="560" w:left="994" w:header="567" w:footer="567" w:gutter="0"/>
          <w:cols w:space="708"/>
          <w:docGrid w:linePitch="360"/>
        </w:sectPr>
      </w:pPr>
      <w:r w:rsidRPr="00AC05CB">
        <w:t xml:space="preserve">Note: The error bars in this figure represent the 90 per cent confidence intervals around the point estimates. These intervals have been calculated as 1.645 times the standard error, which has been adjusted using a finite population correction. Further details on the calculation of these confidence intervals are available on the </w:t>
      </w:r>
      <w:hyperlink r:id="rId42" w:history="1">
        <w:r w:rsidRPr="00661EEF">
          <w:rPr>
            <w:rStyle w:val="Hyperlink"/>
            <w:szCs w:val="16"/>
          </w:rPr>
          <w:t>QILT website</w:t>
        </w:r>
      </w:hyperlink>
      <w:r w:rsidRPr="00AC05CB">
        <w:t xml:space="preserve">. </w:t>
      </w:r>
      <w:r w:rsidR="00D214F2" w:rsidRPr="00AC05CB">
        <w:t>Estimates and confidence intervals become unreliable for very small sample sizes and for proportions close to 0 per cent and 100 per cent. Such occurrences are flagged, and confidence intervals are not shown. Caution should be exercised when reporting and comparing proportions for these cases</w:t>
      </w:r>
      <w:r w:rsidR="00D214F2" w:rsidRPr="00D214F2">
        <w:t>.</w:t>
      </w:r>
    </w:p>
    <w:p w14:paraId="25D6A9CB" w14:textId="6E7FBEF0" w:rsidR="0087701C" w:rsidRPr="00252027" w:rsidRDefault="0087701C" w:rsidP="007165B2">
      <w:pPr>
        <w:pStyle w:val="Heading1"/>
        <w:rPr>
          <w:color w:val="000000" w:themeColor="text1"/>
        </w:rPr>
      </w:pPr>
      <w:bookmarkStart w:id="70" w:name="_Toc171884209"/>
      <w:bookmarkStart w:id="71" w:name="_Toc171884210"/>
      <w:bookmarkStart w:id="72" w:name="_Toc171884211"/>
      <w:bookmarkStart w:id="73" w:name="_Toc171884212"/>
      <w:bookmarkStart w:id="74" w:name="_Toc206692276"/>
      <w:bookmarkStart w:id="75" w:name="_Toc169679793"/>
      <w:bookmarkEnd w:id="70"/>
      <w:bookmarkEnd w:id="71"/>
      <w:bookmarkEnd w:id="72"/>
      <w:bookmarkEnd w:id="73"/>
      <w:r w:rsidRPr="00252027">
        <w:rPr>
          <w:color w:val="000000" w:themeColor="text1"/>
        </w:rPr>
        <w:lastRenderedPageBreak/>
        <w:t xml:space="preserve">Other </w:t>
      </w:r>
      <w:r w:rsidR="00AB7406" w:rsidRPr="00252027">
        <w:rPr>
          <w:color w:val="000000" w:themeColor="text1"/>
        </w:rPr>
        <w:t>a</w:t>
      </w:r>
      <w:r w:rsidRPr="00252027">
        <w:rPr>
          <w:color w:val="000000" w:themeColor="text1"/>
        </w:rPr>
        <w:t>spects of the higher education experience</w:t>
      </w:r>
      <w:bookmarkEnd w:id="74"/>
    </w:p>
    <w:p w14:paraId="373C8EDD" w14:textId="3D98C7FF" w:rsidR="0087701C" w:rsidRPr="00252027" w:rsidRDefault="0087701C" w:rsidP="007165B2">
      <w:pPr>
        <w:pStyle w:val="Heading2"/>
        <w:rPr>
          <w:color w:val="000000" w:themeColor="text1"/>
        </w:rPr>
      </w:pPr>
      <w:bookmarkStart w:id="76" w:name="_Toc206692277"/>
      <w:r w:rsidRPr="00252027">
        <w:rPr>
          <w:color w:val="000000" w:themeColor="text1"/>
        </w:rPr>
        <w:t xml:space="preserve">Sense of </w:t>
      </w:r>
      <w:r w:rsidR="00A6313B" w:rsidRPr="00252027">
        <w:rPr>
          <w:color w:val="000000" w:themeColor="text1"/>
        </w:rPr>
        <w:t>b</w:t>
      </w:r>
      <w:r w:rsidRPr="00252027">
        <w:rPr>
          <w:color w:val="000000" w:themeColor="text1"/>
        </w:rPr>
        <w:t>elonging</w:t>
      </w:r>
      <w:bookmarkEnd w:id="76"/>
    </w:p>
    <w:p w14:paraId="29417E04" w14:textId="6A0E271D" w:rsidR="0087701C" w:rsidRPr="00754D9B" w:rsidRDefault="0087701C" w:rsidP="0087701C">
      <w:pPr>
        <w:pStyle w:val="Body"/>
      </w:pPr>
      <w:r w:rsidRPr="00754D9B">
        <w:t>Sense of belonging relates to feelings of connectedness, inclusion and being accepted and valued by others</w:t>
      </w:r>
      <w:r w:rsidR="00D072BC" w:rsidRPr="002E55B3">
        <w:rPr>
          <w:rStyle w:val="FootnoteReference"/>
        </w:rPr>
        <w:footnoteReference w:id="8"/>
      </w:r>
      <w:r w:rsidRPr="00754D9B">
        <w:t>. Research has shown that a student’s sense of belonging among peers and at the institution is linked with academic achievement, personal wellbeing, student satisfaction and attrition</w:t>
      </w:r>
      <w:r w:rsidR="00916E53" w:rsidRPr="002E55B3">
        <w:rPr>
          <w:rStyle w:val="FootnoteReference"/>
        </w:rPr>
        <w:footnoteReference w:id="9"/>
      </w:r>
      <w:r w:rsidRPr="00754D9B">
        <w:t xml:space="preserve">. </w:t>
      </w:r>
    </w:p>
    <w:p w14:paraId="60A30FD6" w14:textId="695CEE5F" w:rsidR="009F1195" w:rsidRPr="009F1195" w:rsidRDefault="009F1195" w:rsidP="009F1195">
      <w:pPr>
        <w:pStyle w:val="Body"/>
      </w:pPr>
      <w:r w:rsidRPr="009F1195">
        <w:t xml:space="preserve">Positive ratings of </w:t>
      </w:r>
      <w:r w:rsidR="007022D6" w:rsidRPr="001408D7">
        <w:t>international s</w:t>
      </w:r>
      <w:r w:rsidRPr="009F1195">
        <w:t xml:space="preserve">tudents’ sense of belonging to their institution dropped significantly in 2020 due to the COVID-19 pandemic. Among undergraduates, these ratings have </w:t>
      </w:r>
      <w:r w:rsidR="00F97166">
        <w:t xml:space="preserve">since improved but </w:t>
      </w:r>
      <w:r w:rsidRPr="009F1195">
        <w:t>not yet returned to pre-2020 levels. The consistent results from 2022 to 2024 suggest ongoing challenges in fostering a sense of belonging in the post-pandemic environment, particularly as many institutions continue to use online learning or have reduced in-person attendance</w:t>
      </w:r>
      <w:r w:rsidR="00D95121">
        <w:t xml:space="preserve"> requirements</w:t>
      </w:r>
      <w:r w:rsidRPr="009F1195">
        <w:t>.</w:t>
      </w:r>
    </w:p>
    <w:p w14:paraId="6AA37C07" w14:textId="77777777" w:rsidR="009F1195" w:rsidRPr="009F1195" w:rsidRDefault="009F1195" w:rsidP="009F1195">
      <w:pPr>
        <w:pStyle w:val="Body"/>
      </w:pPr>
      <w:r w:rsidRPr="009F1195">
        <w:t>For international postgraduate coursework students, ratings also declined in 2020 and 2021—likely due to many students studying remotely from overseas. However, since 2021, ratings have steadily improved, reaching 62.1 per cent in 2024 and surpassing pre-pandemic levels.</w:t>
      </w:r>
    </w:p>
    <w:p w14:paraId="42337718" w14:textId="2A05A984" w:rsidR="002925EA" w:rsidRDefault="009F1195" w:rsidP="009F1195">
      <w:pPr>
        <w:pStyle w:val="Body"/>
      </w:pPr>
      <w:r w:rsidRPr="009F1195">
        <w:t>Historically, undergraduate and postgraduate coursework students have reported similar levels of belonging. However, in 2024, the gap between the two groups widened to 4.8 percentage points, indicating a potential divergence in how these cohorts are experiencing connection to their institutions.</w:t>
      </w:r>
      <w:r w:rsidR="007A743F">
        <w:t xml:space="preserve"> </w:t>
      </w:r>
      <w:r w:rsidR="00D94B30">
        <w:t xml:space="preserve">There were also differences with students enrolled in </w:t>
      </w:r>
      <w:r w:rsidR="00502E2A">
        <w:t xml:space="preserve">NUHEIs </w:t>
      </w:r>
      <w:r w:rsidR="00734DAE">
        <w:t>rating their sense of belon</w:t>
      </w:r>
      <w:r w:rsidR="008C6C08">
        <w:t>g</w:t>
      </w:r>
      <w:r w:rsidR="00734DAE">
        <w:t>ing to their institution more highly</w:t>
      </w:r>
      <w:r w:rsidR="008C6C08">
        <w:t xml:space="preserve"> than those in universities</w:t>
      </w:r>
      <w:r w:rsidR="008B7DC9">
        <w:t xml:space="preserve"> (</w:t>
      </w:r>
      <w:r w:rsidR="00D913F0" w:rsidRPr="00D04441">
        <w:rPr>
          <w:b/>
          <w:bCs/>
        </w:rPr>
        <w:fldChar w:fldCharType="begin"/>
      </w:r>
      <w:r w:rsidR="00D913F0" w:rsidRPr="00D04441">
        <w:rPr>
          <w:b/>
          <w:bCs/>
        </w:rPr>
        <w:instrText xml:space="preserve"> REF _Ref200722184 \h </w:instrText>
      </w:r>
      <w:r w:rsidR="00D913F0">
        <w:rPr>
          <w:b/>
          <w:bCs/>
        </w:rPr>
        <w:instrText xml:space="preserve"> \* MERGEFORMAT </w:instrText>
      </w:r>
      <w:r w:rsidR="00D913F0" w:rsidRPr="00D04441">
        <w:rPr>
          <w:b/>
          <w:bCs/>
        </w:rPr>
      </w:r>
      <w:r w:rsidR="00D913F0" w:rsidRPr="00D04441">
        <w:rPr>
          <w:b/>
          <w:bCs/>
        </w:rPr>
        <w:fldChar w:fldCharType="separate"/>
      </w:r>
      <w:r w:rsidR="00F96AB4" w:rsidRPr="00F96AB4">
        <w:rPr>
          <w:b/>
          <w:bCs/>
        </w:rPr>
        <w:t xml:space="preserve">Figure </w:t>
      </w:r>
      <w:r w:rsidR="00F96AB4" w:rsidRPr="00F96AB4">
        <w:rPr>
          <w:b/>
          <w:bCs/>
          <w:noProof/>
        </w:rPr>
        <w:t>16</w:t>
      </w:r>
      <w:r w:rsidR="00D913F0" w:rsidRPr="00D04441">
        <w:rPr>
          <w:b/>
          <w:bCs/>
        </w:rPr>
        <w:fldChar w:fldCharType="end"/>
      </w:r>
      <w:r w:rsidR="008B7DC9">
        <w:t>)</w:t>
      </w:r>
      <w:r w:rsidR="008C6C08">
        <w:t>.</w:t>
      </w:r>
    </w:p>
    <w:p w14:paraId="640C2240" w14:textId="71919942" w:rsidR="0011235D" w:rsidRDefault="00302FFB" w:rsidP="00302FFB">
      <w:pPr>
        <w:pStyle w:val="Caption"/>
        <w:rPr>
          <w:color w:val="000000" w:themeColor="text1"/>
        </w:rPr>
      </w:pPr>
      <w:bookmarkStart w:id="77" w:name="_Ref200722184"/>
      <w:bookmarkStart w:id="78" w:name="_Toc206692315"/>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16</w:t>
      </w:r>
      <w:r w:rsidR="001E216A" w:rsidRPr="00252027">
        <w:rPr>
          <w:noProof/>
          <w:color w:val="000000" w:themeColor="text1"/>
        </w:rPr>
        <w:fldChar w:fldCharType="end"/>
      </w:r>
      <w:bookmarkEnd w:id="77"/>
      <w:r w:rsidRPr="00252027">
        <w:rPr>
          <w:color w:val="000000" w:themeColor="text1"/>
        </w:rPr>
        <w:t xml:space="preserve"> </w:t>
      </w:r>
      <w:r w:rsidR="00260C5E" w:rsidRPr="00252027">
        <w:rPr>
          <w:color w:val="000000" w:themeColor="text1"/>
        </w:rPr>
        <w:t xml:space="preserve">International student </w:t>
      </w:r>
      <w:r w:rsidR="00E05AFB" w:rsidRPr="00252027">
        <w:rPr>
          <w:color w:val="000000" w:themeColor="text1"/>
        </w:rPr>
        <w:t>s</w:t>
      </w:r>
      <w:r w:rsidRPr="00252027">
        <w:rPr>
          <w:color w:val="000000" w:themeColor="text1"/>
        </w:rPr>
        <w:t>ense of belonging by institution type</w:t>
      </w:r>
      <w:r w:rsidR="00B4139E" w:rsidRPr="00252027">
        <w:rPr>
          <w:color w:val="000000" w:themeColor="text1"/>
        </w:rPr>
        <w:t>,</w:t>
      </w:r>
      <w:r w:rsidRPr="00252027">
        <w:rPr>
          <w:color w:val="000000" w:themeColor="text1"/>
        </w:rPr>
        <w:t xml:space="preserve"> 2017</w:t>
      </w:r>
      <w:r w:rsidR="00635480" w:rsidRPr="00252027">
        <w:rPr>
          <w:color w:val="000000" w:themeColor="text1"/>
        </w:rPr>
        <w:t>-</w:t>
      </w:r>
      <w:r w:rsidRPr="00252027">
        <w:rPr>
          <w:color w:val="000000" w:themeColor="text1"/>
        </w:rPr>
        <w:t>2024</w:t>
      </w:r>
      <w:r w:rsidR="00B4139E" w:rsidRPr="00252027">
        <w:rPr>
          <w:color w:val="000000" w:themeColor="text1"/>
        </w:rPr>
        <w:t xml:space="preserve"> (% positive rating)</w:t>
      </w:r>
      <w:bookmarkEnd w:id="78"/>
    </w:p>
    <w:p w14:paraId="755D6FB0" w14:textId="7DDB40D3" w:rsidR="007213E9" w:rsidRPr="007213E9" w:rsidRDefault="007213E9" w:rsidP="007213E9">
      <w:pPr>
        <w:pStyle w:val="Body"/>
        <w:rPr>
          <w:lang w:eastAsia="en-AU"/>
        </w:rPr>
      </w:pPr>
      <w:r>
        <w:rPr>
          <w:noProof/>
          <w:lang w:eastAsia="en-AU"/>
        </w:rPr>
        <w:drawing>
          <wp:inline distT="0" distB="0" distL="0" distR="0" wp14:anchorId="40E9D51B" wp14:editId="070DE17D">
            <wp:extent cx="6748780" cy="2030095"/>
            <wp:effectExtent l="0" t="0" r="0" b="8255"/>
            <wp:docPr id="5332567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48780" cy="2030095"/>
                    </a:xfrm>
                    <a:prstGeom prst="rect">
                      <a:avLst/>
                    </a:prstGeom>
                    <a:noFill/>
                  </pic:spPr>
                </pic:pic>
              </a:graphicData>
            </a:graphic>
          </wp:inline>
        </w:drawing>
      </w:r>
    </w:p>
    <w:p w14:paraId="20371DF6" w14:textId="36C3B24F" w:rsidR="00302FFB" w:rsidRDefault="007213E9" w:rsidP="00302FFB">
      <w:pPr>
        <w:pStyle w:val="Caption"/>
      </w:pPr>
      <w:r>
        <w:rPr>
          <w:noProof/>
        </w:rPr>
        <w:drawing>
          <wp:inline distT="0" distB="0" distL="0" distR="0" wp14:anchorId="16781DE1" wp14:editId="5CEC7916">
            <wp:extent cx="6748780" cy="2152015"/>
            <wp:effectExtent l="0" t="0" r="0" b="635"/>
            <wp:docPr id="3648592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48780" cy="2152015"/>
                    </a:xfrm>
                    <a:prstGeom prst="rect">
                      <a:avLst/>
                    </a:prstGeom>
                    <a:noFill/>
                  </pic:spPr>
                </pic:pic>
              </a:graphicData>
            </a:graphic>
          </wp:inline>
        </w:drawing>
      </w:r>
      <w:r w:rsidR="00E5370B">
        <w:t xml:space="preserve"> </w:t>
      </w:r>
    </w:p>
    <w:p w14:paraId="106E3CB6" w14:textId="48170AE2" w:rsidR="00950D17" w:rsidRDefault="00950D17" w:rsidP="009F1195">
      <w:pPr>
        <w:pStyle w:val="Body"/>
      </w:pPr>
    </w:p>
    <w:p w14:paraId="1CD9F8FA" w14:textId="36C55763" w:rsidR="009F1195" w:rsidRDefault="003C20D4" w:rsidP="009F1195">
      <w:pPr>
        <w:pStyle w:val="Body"/>
      </w:pPr>
      <w:r>
        <w:lastRenderedPageBreak/>
        <w:t>Additionally,</w:t>
      </w:r>
      <w:r w:rsidR="007A743F">
        <w:t xml:space="preserve"> there </w:t>
      </w:r>
      <w:r w:rsidR="006837FE">
        <w:t>were</w:t>
      </w:r>
      <w:r w:rsidR="00506972">
        <w:t xml:space="preserve"> </w:t>
      </w:r>
      <w:r w:rsidR="007A743F">
        <w:t xml:space="preserve">differences in ratings of sense of belonging by source country with </w:t>
      </w:r>
      <w:r w:rsidR="000656F1">
        <w:t xml:space="preserve">students from China at both the undergraduate and postgraduate coursework levels rating </w:t>
      </w:r>
      <w:r w:rsidR="001601E2">
        <w:t xml:space="preserve">their sense of belonging to their institution lower than </w:t>
      </w:r>
      <w:r w:rsidR="00D65A49">
        <w:t>most other countries</w:t>
      </w:r>
      <w:r w:rsidR="001676D2">
        <w:t>, other than undergraduates from Malaysia</w:t>
      </w:r>
      <w:r w:rsidR="008B7DC9">
        <w:t xml:space="preserve"> (</w:t>
      </w:r>
      <w:r w:rsidR="00D913F0" w:rsidRPr="00D04441">
        <w:rPr>
          <w:b/>
          <w:bCs/>
        </w:rPr>
        <w:fldChar w:fldCharType="begin"/>
      </w:r>
      <w:r w:rsidR="00D913F0" w:rsidRPr="00D04441">
        <w:rPr>
          <w:b/>
          <w:bCs/>
        </w:rPr>
        <w:instrText xml:space="preserve"> REF _Ref200722206 \h </w:instrText>
      </w:r>
      <w:r w:rsidR="00D913F0">
        <w:rPr>
          <w:b/>
          <w:bCs/>
        </w:rPr>
        <w:instrText xml:space="preserve"> \* MERGEFORMAT </w:instrText>
      </w:r>
      <w:r w:rsidR="00D913F0" w:rsidRPr="00D04441">
        <w:rPr>
          <w:b/>
          <w:bCs/>
        </w:rPr>
      </w:r>
      <w:r w:rsidR="00D913F0" w:rsidRPr="00D04441">
        <w:rPr>
          <w:b/>
          <w:bCs/>
        </w:rPr>
        <w:fldChar w:fldCharType="separate"/>
      </w:r>
      <w:r w:rsidR="00F96AB4" w:rsidRPr="00F96AB4">
        <w:rPr>
          <w:b/>
          <w:bCs/>
        </w:rPr>
        <w:t xml:space="preserve">Figure </w:t>
      </w:r>
      <w:r w:rsidR="00F96AB4" w:rsidRPr="00F96AB4">
        <w:rPr>
          <w:b/>
          <w:bCs/>
          <w:noProof/>
        </w:rPr>
        <w:t>17</w:t>
      </w:r>
      <w:r w:rsidR="00D913F0" w:rsidRPr="00D04441">
        <w:rPr>
          <w:b/>
          <w:bCs/>
        </w:rPr>
        <w:fldChar w:fldCharType="end"/>
      </w:r>
      <w:r w:rsidR="008B7DC9">
        <w:t>)</w:t>
      </w:r>
      <w:r w:rsidR="001676D2">
        <w:t>.</w:t>
      </w:r>
    </w:p>
    <w:p w14:paraId="35596C83" w14:textId="376527BA" w:rsidR="00817252" w:rsidRDefault="00065E52" w:rsidP="00065E52">
      <w:pPr>
        <w:pStyle w:val="Caption"/>
        <w:rPr>
          <w:color w:val="000000" w:themeColor="text1"/>
        </w:rPr>
      </w:pPr>
      <w:bookmarkStart w:id="79" w:name="_Ref200722206"/>
      <w:bookmarkStart w:id="80" w:name="_Toc206692316"/>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17</w:t>
      </w:r>
      <w:r w:rsidR="001E216A" w:rsidRPr="00252027">
        <w:rPr>
          <w:noProof/>
          <w:color w:val="000000" w:themeColor="text1"/>
        </w:rPr>
        <w:fldChar w:fldCharType="end"/>
      </w:r>
      <w:bookmarkEnd w:id="79"/>
      <w:r w:rsidRPr="00252027">
        <w:rPr>
          <w:color w:val="000000" w:themeColor="text1"/>
        </w:rPr>
        <w:t xml:space="preserve"> </w:t>
      </w:r>
      <w:r w:rsidR="00526E96" w:rsidRPr="00252027">
        <w:rPr>
          <w:color w:val="000000" w:themeColor="text1"/>
        </w:rPr>
        <w:t xml:space="preserve">International student </w:t>
      </w:r>
      <w:r w:rsidR="00260C5E" w:rsidRPr="00252027">
        <w:rPr>
          <w:color w:val="000000" w:themeColor="text1"/>
        </w:rPr>
        <w:t>s</w:t>
      </w:r>
      <w:r w:rsidRPr="00252027">
        <w:rPr>
          <w:color w:val="000000" w:themeColor="text1"/>
        </w:rPr>
        <w:t>ense of belonging by source countr</w:t>
      </w:r>
      <w:r w:rsidR="00B4139E" w:rsidRPr="00252027">
        <w:rPr>
          <w:color w:val="000000" w:themeColor="text1"/>
        </w:rPr>
        <w:t xml:space="preserve">y, </w:t>
      </w:r>
      <w:r w:rsidRPr="00252027">
        <w:rPr>
          <w:color w:val="000000" w:themeColor="text1"/>
        </w:rPr>
        <w:t>2024</w:t>
      </w:r>
      <w:r w:rsidR="00B4139E" w:rsidRPr="00252027">
        <w:rPr>
          <w:color w:val="000000" w:themeColor="text1"/>
        </w:rPr>
        <w:t xml:space="preserve"> (% positive rating)</w:t>
      </w:r>
      <w:bookmarkEnd w:id="80"/>
    </w:p>
    <w:p w14:paraId="23A9BBED" w14:textId="3A51EE60" w:rsidR="007213E9" w:rsidRPr="007213E9" w:rsidRDefault="007213E9" w:rsidP="007213E9">
      <w:pPr>
        <w:pStyle w:val="Body"/>
        <w:rPr>
          <w:lang w:eastAsia="en-AU"/>
        </w:rPr>
      </w:pPr>
      <w:r>
        <w:rPr>
          <w:noProof/>
          <w:lang w:eastAsia="en-AU"/>
        </w:rPr>
        <w:drawing>
          <wp:inline distT="0" distB="0" distL="0" distR="0" wp14:anchorId="7A656D14" wp14:editId="47A17211">
            <wp:extent cx="3291840" cy="2956560"/>
            <wp:effectExtent l="0" t="0" r="3810" b="0"/>
            <wp:docPr id="20343071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91840" cy="2956560"/>
                    </a:xfrm>
                    <a:prstGeom prst="rect">
                      <a:avLst/>
                    </a:prstGeom>
                    <a:noFill/>
                  </pic:spPr>
                </pic:pic>
              </a:graphicData>
            </a:graphic>
          </wp:inline>
        </w:drawing>
      </w:r>
      <w:r>
        <w:rPr>
          <w:noProof/>
          <w:lang w:eastAsia="en-AU"/>
        </w:rPr>
        <w:drawing>
          <wp:inline distT="0" distB="0" distL="0" distR="0" wp14:anchorId="1FEE9548" wp14:editId="1F4BCF06">
            <wp:extent cx="3169920" cy="2950845"/>
            <wp:effectExtent l="0" t="0" r="0" b="1905"/>
            <wp:docPr id="15861438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69920" cy="2950845"/>
                    </a:xfrm>
                    <a:prstGeom prst="rect">
                      <a:avLst/>
                    </a:prstGeom>
                    <a:noFill/>
                  </pic:spPr>
                </pic:pic>
              </a:graphicData>
            </a:graphic>
          </wp:inline>
        </w:drawing>
      </w:r>
    </w:p>
    <w:p w14:paraId="1C6DC94B" w14:textId="0D571F93" w:rsidR="000B4052" w:rsidRPr="00016C8B" w:rsidRDefault="005C41E7" w:rsidP="000B4052">
      <w:pPr>
        <w:rPr>
          <w:rFonts w:eastAsia="Calibri" w:cs="Times New Roman"/>
          <w:sz w:val="16"/>
          <w:szCs w:val="22"/>
          <w:lang w:val="en-GB"/>
        </w:rPr>
      </w:pPr>
      <w:r>
        <w:rPr>
          <w:rFonts w:eastAsia="Calibri" w:cs="Times New Roman"/>
          <w:sz w:val="16"/>
          <w:szCs w:val="22"/>
          <w:lang w:val="en-GB"/>
        </w:rPr>
        <w:t xml:space="preserve">Note: </w:t>
      </w:r>
      <w:r w:rsidR="00AB7406" w:rsidRPr="00016C8B">
        <w:rPr>
          <w:rFonts w:eastAsia="Calibri" w:cs="Times New Roman"/>
          <w:sz w:val="16"/>
          <w:szCs w:val="22"/>
          <w:lang w:val="en-GB"/>
        </w:rPr>
        <w:t xml:space="preserve">Source country in 2024 </w:t>
      </w:r>
      <w:r>
        <w:rPr>
          <w:rFonts w:eastAsia="Calibri" w:cs="Times New Roman"/>
          <w:sz w:val="16"/>
          <w:szCs w:val="22"/>
          <w:lang w:val="en-GB"/>
        </w:rPr>
        <w:t>was</w:t>
      </w:r>
      <w:r w:rsidR="00AB7406" w:rsidRPr="00016C8B">
        <w:rPr>
          <w:rFonts w:eastAsia="Calibri" w:cs="Times New Roman"/>
          <w:sz w:val="16"/>
          <w:szCs w:val="22"/>
          <w:lang w:val="en-GB"/>
        </w:rPr>
        <w:t xml:space="preserve"> based on E658 Residential address country code</w:t>
      </w:r>
      <w:r>
        <w:rPr>
          <w:rFonts w:eastAsia="Calibri" w:cs="Times New Roman"/>
          <w:sz w:val="16"/>
          <w:szCs w:val="22"/>
          <w:lang w:val="en-GB"/>
        </w:rPr>
        <w:t>.</w:t>
      </w:r>
      <w:r w:rsidR="009329C8">
        <w:rPr>
          <w:rFonts w:eastAsia="Calibri"/>
          <w:sz w:val="16"/>
          <w:szCs w:val="22"/>
        </w:rPr>
        <w:br/>
        <w:t>*</w:t>
      </w:r>
      <w:r w:rsidR="00B4139E" w:rsidRPr="009F41B5">
        <w:rPr>
          <w:rFonts w:eastAsia="Calibri"/>
          <w:sz w:val="16"/>
          <w:szCs w:val="22"/>
        </w:rPr>
        <w:t xml:space="preserve">Source countries shown in this figure represent the top </w:t>
      </w:r>
      <w:r w:rsidR="00F320D0">
        <w:rPr>
          <w:rFonts w:eastAsia="Calibri"/>
          <w:sz w:val="16"/>
          <w:szCs w:val="22"/>
        </w:rPr>
        <w:t>5</w:t>
      </w:r>
      <w:r w:rsidR="00B4139E" w:rsidRPr="009F41B5">
        <w:rPr>
          <w:rFonts w:eastAsia="Calibri"/>
          <w:sz w:val="16"/>
          <w:szCs w:val="22"/>
        </w:rPr>
        <w:t xml:space="preserve"> by number of survey respondents, ordered from left to right from largest to smallest.</w:t>
      </w:r>
    </w:p>
    <w:p w14:paraId="71F3567C" w14:textId="18649C5B" w:rsidR="0087701C" w:rsidRPr="00252027" w:rsidRDefault="0087701C" w:rsidP="007165B2">
      <w:pPr>
        <w:pStyle w:val="Heading2"/>
        <w:rPr>
          <w:color w:val="000000" w:themeColor="text1"/>
        </w:rPr>
      </w:pPr>
      <w:bookmarkStart w:id="81" w:name="_Toc206692278"/>
      <w:r w:rsidRPr="00252027">
        <w:rPr>
          <w:color w:val="000000" w:themeColor="text1"/>
        </w:rPr>
        <w:t>Likelihood to consider leaving current institution</w:t>
      </w:r>
      <w:bookmarkEnd w:id="75"/>
      <w:bookmarkEnd w:id="81"/>
    </w:p>
    <w:p w14:paraId="1F49D7BF" w14:textId="3618B18F" w:rsidR="0087701C" w:rsidRPr="00FF1BB2" w:rsidRDefault="0087701C" w:rsidP="0087701C">
      <w:pPr>
        <w:pStyle w:val="Body"/>
      </w:pPr>
      <w:r w:rsidRPr="00FD24BA">
        <w:t xml:space="preserve">In addition to questions </w:t>
      </w:r>
      <w:r w:rsidR="006B1C62" w:rsidRPr="006B1C62">
        <w:t>about</w:t>
      </w:r>
      <w:r w:rsidRPr="00FD24BA">
        <w:t xml:space="preserve"> their </w:t>
      </w:r>
      <w:r w:rsidR="006B1C62" w:rsidRPr="006B1C62">
        <w:t>educational</w:t>
      </w:r>
      <w:r w:rsidRPr="00FD24BA">
        <w:t xml:space="preserve"> experience, students were </w:t>
      </w:r>
      <w:r w:rsidR="006B1C62" w:rsidRPr="006B1C62">
        <w:t>asked</w:t>
      </w:r>
      <w:r w:rsidRPr="00FD24BA">
        <w:t xml:space="preserve"> whether they had seriously considered leaving their current institution in 202</w:t>
      </w:r>
      <w:r w:rsidR="00FD24BA" w:rsidRPr="00FD24BA">
        <w:t>4</w:t>
      </w:r>
      <w:r w:rsidRPr="00FF1BB2">
        <w:t xml:space="preserve">. </w:t>
      </w:r>
      <w:r w:rsidR="006B1C62" w:rsidRPr="006B1C62">
        <w:t>Among</w:t>
      </w:r>
      <w:r w:rsidRPr="00FF1BB2">
        <w:t xml:space="preserve"> domestic undergraduate students</w:t>
      </w:r>
      <w:r w:rsidR="006B1C62" w:rsidRPr="006B1C62">
        <w:t xml:space="preserve">, this proportion </w:t>
      </w:r>
      <w:r w:rsidRPr="00FF1BB2">
        <w:t xml:space="preserve">has remained </w:t>
      </w:r>
      <w:r w:rsidR="006B1C62" w:rsidRPr="006B1C62">
        <w:t>relatively stable</w:t>
      </w:r>
      <w:r w:rsidRPr="00FF1BB2">
        <w:t xml:space="preserve"> since 2017. </w:t>
      </w:r>
      <w:r w:rsidR="006B1C62" w:rsidRPr="006B1C62">
        <w:t>For</w:t>
      </w:r>
      <w:r w:rsidRPr="00FF1BB2">
        <w:t xml:space="preserve"> international undergraduate students</w:t>
      </w:r>
      <w:r w:rsidR="006B1C62" w:rsidRPr="006B1C62">
        <w:t xml:space="preserve">, the proportion </w:t>
      </w:r>
      <w:r w:rsidRPr="00FF1BB2">
        <w:t xml:space="preserve">has generally been lower than </w:t>
      </w:r>
      <w:r w:rsidR="006B1C62" w:rsidRPr="006B1C62">
        <w:t>that of</w:t>
      </w:r>
      <w:r w:rsidRPr="00FF1BB2">
        <w:t xml:space="preserve"> domestic students, as shown </w:t>
      </w:r>
      <w:r w:rsidR="006B1C62" w:rsidRPr="006B1C62">
        <w:t>in</w:t>
      </w:r>
      <w:r>
        <w:rPr>
          <w:b/>
        </w:rPr>
        <w:t xml:space="preserve"> </w:t>
      </w:r>
      <w:r w:rsidR="009C27E0" w:rsidRPr="009C27E0">
        <w:rPr>
          <w:b/>
          <w:bCs/>
        </w:rPr>
        <w:fldChar w:fldCharType="begin"/>
      </w:r>
      <w:r w:rsidR="009C27E0" w:rsidRPr="009C27E0">
        <w:rPr>
          <w:b/>
          <w:bCs/>
        </w:rPr>
        <w:instrText xml:space="preserve"> REF _Ref126694435 \h  \* MERGEFORMAT </w:instrText>
      </w:r>
      <w:r w:rsidR="009C27E0" w:rsidRPr="009C27E0">
        <w:rPr>
          <w:b/>
          <w:bCs/>
        </w:rPr>
      </w:r>
      <w:r w:rsidR="009C27E0" w:rsidRPr="009C27E0">
        <w:rPr>
          <w:b/>
          <w:bCs/>
        </w:rPr>
        <w:fldChar w:fldCharType="separate"/>
      </w:r>
      <w:r w:rsidR="00F96AB4" w:rsidRPr="00F96AB4">
        <w:rPr>
          <w:b/>
          <w:bCs/>
        </w:rPr>
        <w:t xml:space="preserve">Figure </w:t>
      </w:r>
      <w:r w:rsidR="00F96AB4" w:rsidRPr="00F96AB4">
        <w:rPr>
          <w:b/>
          <w:bCs/>
          <w:noProof/>
        </w:rPr>
        <w:t>18</w:t>
      </w:r>
      <w:r w:rsidR="009C27E0" w:rsidRPr="009C27E0">
        <w:rPr>
          <w:b/>
          <w:bCs/>
        </w:rPr>
        <w:fldChar w:fldCharType="end"/>
      </w:r>
      <w:r w:rsidR="006B1C62" w:rsidRPr="006B1C62">
        <w:t>.</w:t>
      </w:r>
      <w:r w:rsidRPr="00FF1BB2">
        <w:t xml:space="preserve"> However, it </w:t>
      </w:r>
      <w:r w:rsidR="006B1C62" w:rsidRPr="006B1C62">
        <w:t>peaked at</w:t>
      </w:r>
      <w:r w:rsidRPr="00FF1BB2">
        <w:t xml:space="preserve"> 19.5 per cent in 2021</w:t>
      </w:r>
      <w:r w:rsidR="006B1C62" w:rsidRPr="006B1C62">
        <w:t>—</w:t>
      </w:r>
      <w:r w:rsidRPr="00FF1BB2">
        <w:t xml:space="preserve">likely </w:t>
      </w:r>
      <w:r w:rsidR="006B1C62" w:rsidRPr="006B1C62">
        <w:t>due to the high number</w:t>
      </w:r>
      <w:r w:rsidRPr="00FF1BB2">
        <w:t xml:space="preserve"> of international students </w:t>
      </w:r>
      <w:r w:rsidR="006B1C62" w:rsidRPr="006B1C62">
        <w:t>studying remotely from</w:t>
      </w:r>
      <w:r w:rsidRPr="00FF1BB2">
        <w:t xml:space="preserve"> overseas</w:t>
      </w:r>
      <w:r w:rsidR="006B1C62" w:rsidRPr="006B1C62">
        <w:t xml:space="preserve"> during the pandemic.</w:t>
      </w:r>
      <w:r w:rsidRPr="00FF1BB2">
        <w:t xml:space="preserve"> This figure dropped </w:t>
      </w:r>
      <w:r w:rsidR="00652F71">
        <w:t>5</w:t>
      </w:r>
      <w:r w:rsidR="009B78ED">
        <w:t>.0</w:t>
      </w:r>
      <w:r w:rsidR="00652F71">
        <w:t xml:space="preserve"> percentage points</w:t>
      </w:r>
      <w:r w:rsidRPr="00FF1BB2">
        <w:t xml:space="preserve"> in 2022</w:t>
      </w:r>
      <w:r w:rsidR="006B1C62" w:rsidRPr="006B1C62">
        <w:t>, and declined</w:t>
      </w:r>
      <w:r w:rsidR="00885E09">
        <w:t xml:space="preserve"> further to</w:t>
      </w:r>
      <w:r w:rsidR="005613CB" w:rsidRPr="00FF1BB2">
        <w:t xml:space="preserve"> 13.1 per cent in 2024</w:t>
      </w:r>
      <w:r w:rsidR="006B1C62" w:rsidRPr="006B1C62">
        <w:t>—</w:t>
      </w:r>
      <w:r w:rsidRPr="00FF1BB2">
        <w:t xml:space="preserve">the lowest </w:t>
      </w:r>
      <w:r w:rsidR="006B1C62" w:rsidRPr="006B1C62">
        <w:t xml:space="preserve">level recorded </w:t>
      </w:r>
      <w:r w:rsidRPr="00FF1BB2">
        <w:t xml:space="preserve">since 2017. </w:t>
      </w:r>
    </w:p>
    <w:p w14:paraId="6EE6883C" w14:textId="3EA76DB7" w:rsidR="0087701C" w:rsidRDefault="0087701C" w:rsidP="0087701C">
      <w:pPr>
        <w:pStyle w:val="Caption"/>
        <w:rPr>
          <w:color w:val="000000" w:themeColor="text1"/>
        </w:rPr>
      </w:pPr>
      <w:bookmarkStart w:id="82" w:name="_Ref126694435"/>
      <w:bookmarkStart w:id="83" w:name="_Toc206692317"/>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18</w:t>
      </w:r>
      <w:r w:rsidR="001E216A" w:rsidRPr="00252027">
        <w:rPr>
          <w:noProof/>
          <w:color w:val="000000" w:themeColor="text1"/>
        </w:rPr>
        <w:fldChar w:fldCharType="end"/>
      </w:r>
      <w:bookmarkEnd w:id="82"/>
      <w:r w:rsidRPr="00252027">
        <w:rPr>
          <w:color w:val="000000" w:themeColor="text1"/>
        </w:rPr>
        <w:t xml:space="preserve"> Proportion of undergraduate students who considered early departure from institution by citizenship status, 2017-2024</w:t>
      </w:r>
      <w:bookmarkEnd w:id="83"/>
    </w:p>
    <w:p w14:paraId="3D501E48" w14:textId="5183D78D" w:rsidR="007213E9" w:rsidRPr="007213E9" w:rsidRDefault="007213E9" w:rsidP="007213E9">
      <w:pPr>
        <w:pStyle w:val="Body"/>
        <w:rPr>
          <w:lang w:eastAsia="en-AU"/>
        </w:rPr>
      </w:pPr>
      <w:r>
        <w:rPr>
          <w:noProof/>
          <w:lang w:eastAsia="en-AU"/>
        </w:rPr>
        <w:drawing>
          <wp:inline distT="0" distB="0" distL="0" distR="0" wp14:anchorId="1FC6DBCC" wp14:editId="7AA971E8">
            <wp:extent cx="6145530" cy="2390140"/>
            <wp:effectExtent l="0" t="0" r="7620" b="0"/>
            <wp:docPr id="11201668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45530" cy="2390140"/>
                    </a:xfrm>
                    <a:prstGeom prst="rect">
                      <a:avLst/>
                    </a:prstGeom>
                    <a:noFill/>
                  </pic:spPr>
                </pic:pic>
              </a:graphicData>
            </a:graphic>
          </wp:inline>
        </w:drawing>
      </w:r>
    </w:p>
    <w:p w14:paraId="7191920E" w14:textId="49F1293E" w:rsidR="0087701C" w:rsidRDefault="0087701C" w:rsidP="0087701C">
      <w:pPr>
        <w:pStyle w:val="Body"/>
        <w:rPr>
          <w:highlight w:val="yellow"/>
        </w:rPr>
      </w:pPr>
      <w:r w:rsidRPr="002867E0">
        <w:rPr>
          <w:highlight w:val="yellow"/>
        </w:rPr>
        <w:t xml:space="preserve"> </w:t>
      </w:r>
    </w:p>
    <w:p w14:paraId="238DDDC2" w14:textId="53B80A8E" w:rsidR="00D27EBC" w:rsidRPr="00D27EBC" w:rsidRDefault="00D27EBC" w:rsidP="00D27EBC">
      <w:pPr>
        <w:pStyle w:val="Body"/>
      </w:pPr>
      <w:r w:rsidRPr="00D27EBC">
        <w:t>A similar pattern is observed at the postgraduate coursework level</w:t>
      </w:r>
      <w:r w:rsidR="00D95D38">
        <w:t xml:space="preserve">. </w:t>
      </w:r>
      <w:r w:rsidR="00D13D3F" w:rsidRPr="00D13D3F">
        <w:t xml:space="preserve">Domestic respondents were consistently </w:t>
      </w:r>
      <w:r w:rsidRPr="00D27EBC">
        <w:t xml:space="preserve">more likely than international </w:t>
      </w:r>
      <w:r w:rsidR="00D13D3F" w:rsidRPr="00D13D3F">
        <w:t>respondents</w:t>
      </w:r>
      <w:r w:rsidRPr="00D27EBC">
        <w:t xml:space="preserve"> to report having considered leaving their institution during the survey year. However, in 2020 and 2021, the proportion of international postgraduate coursework students who considered leaving increased </w:t>
      </w:r>
      <w:r w:rsidRPr="00D27EBC">
        <w:lastRenderedPageBreak/>
        <w:t>significantly, as shown in</w:t>
      </w:r>
      <w:r>
        <w:t xml:space="preserve"> </w:t>
      </w:r>
      <w:r w:rsidR="009C27E0" w:rsidRPr="009C27E0">
        <w:rPr>
          <w:b/>
          <w:bCs/>
        </w:rPr>
        <w:fldChar w:fldCharType="begin"/>
      </w:r>
      <w:r w:rsidR="009C27E0" w:rsidRPr="009C27E0">
        <w:rPr>
          <w:b/>
          <w:bCs/>
        </w:rPr>
        <w:instrText xml:space="preserve"> REF _Ref171890492 \h </w:instrText>
      </w:r>
      <w:r w:rsidR="009C27E0">
        <w:rPr>
          <w:b/>
          <w:bCs/>
        </w:rPr>
        <w:instrText xml:space="preserve"> \* MERGEFORMAT </w:instrText>
      </w:r>
      <w:r w:rsidR="009C27E0" w:rsidRPr="009C27E0">
        <w:rPr>
          <w:b/>
          <w:bCs/>
        </w:rPr>
      </w:r>
      <w:r w:rsidR="009C27E0" w:rsidRPr="009C27E0">
        <w:rPr>
          <w:b/>
          <w:bCs/>
        </w:rPr>
        <w:fldChar w:fldCharType="separate"/>
      </w:r>
      <w:r w:rsidR="00F96AB4" w:rsidRPr="00F96AB4">
        <w:rPr>
          <w:b/>
          <w:bCs/>
        </w:rPr>
        <w:t xml:space="preserve">Figure </w:t>
      </w:r>
      <w:r w:rsidR="00F96AB4" w:rsidRPr="00F96AB4">
        <w:rPr>
          <w:b/>
          <w:bCs/>
          <w:noProof/>
        </w:rPr>
        <w:t>19</w:t>
      </w:r>
      <w:r w:rsidR="009C27E0" w:rsidRPr="009C27E0">
        <w:rPr>
          <w:b/>
          <w:bCs/>
        </w:rPr>
        <w:fldChar w:fldCharType="end"/>
      </w:r>
      <w:r w:rsidRPr="00D27EBC">
        <w:t xml:space="preserve">. This likely reflects the challenges of studying remotely during the pandemic. </w:t>
      </w:r>
      <w:r w:rsidR="00D13D3F" w:rsidRPr="00D13D3F">
        <w:t>This</w:t>
      </w:r>
      <w:r w:rsidRPr="00D27EBC">
        <w:t xml:space="preserve"> proportion dropped sharply in 2022 and </w:t>
      </w:r>
      <w:r w:rsidR="00D13D3F" w:rsidRPr="00D13D3F">
        <w:t>remained</w:t>
      </w:r>
      <w:r w:rsidRPr="00D27EBC">
        <w:t xml:space="preserve"> relatively stable in </w:t>
      </w:r>
      <w:r w:rsidR="00D13D3F" w:rsidRPr="00D13D3F">
        <w:t xml:space="preserve">2023 and </w:t>
      </w:r>
      <w:r w:rsidRPr="00D27EBC">
        <w:t>2024</w:t>
      </w:r>
      <w:r w:rsidR="00D13D3F" w:rsidRPr="00D13D3F">
        <w:t>,</w:t>
      </w:r>
      <w:r w:rsidRPr="00D27EBC">
        <w:t xml:space="preserve"> at 12.</w:t>
      </w:r>
      <w:r w:rsidR="00D13D3F" w:rsidRPr="00D13D3F">
        <w:t>2</w:t>
      </w:r>
      <w:r w:rsidR="0049508D">
        <w:t xml:space="preserve"> per cent</w:t>
      </w:r>
      <w:r w:rsidR="00D13D3F" w:rsidRPr="00D13D3F">
        <w:t xml:space="preserve"> and 12.</w:t>
      </w:r>
      <w:r w:rsidRPr="00D27EBC">
        <w:t>8 per cent</w:t>
      </w:r>
      <w:r w:rsidR="00D13D3F" w:rsidRPr="00D13D3F">
        <w:t xml:space="preserve"> respectively. These are among the lowest levels recorded since 2017 and remain below the rate reported by </w:t>
      </w:r>
      <w:r w:rsidR="00B31875">
        <w:t>domestic</w:t>
      </w:r>
      <w:r w:rsidR="00B31875" w:rsidRPr="00D13D3F">
        <w:t xml:space="preserve"> </w:t>
      </w:r>
      <w:r w:rsidR="00D13D3F" w:rsidRPr="00D13D3F">
        <w:t>undergraduates</w:t>
      </w:r>
      <w:r w:rsidRPr="00D27EBC">
        <w:t>.</w:t>
      </w:r>
    </w:p>
    <w:p w14:paraId="14811BFE" w14:textId="3589277D" w:rsidR="00D27EBC" w:rsidRPr="00252027" w:rsidRDefault="00D27EBC" w:rsidP="00D27EBC">
      <w:pPr>
        <w:pStyle w:val="Body"/>
        <w:rPr>
          <w:color w:val="000000" w:themeColor="text1"/>
        </w:rPr>
      </w:pPr>
      <w:r w:rsidRPr="00D27EBC">
        <w:t xml:space="preserve">It is important to note that the SES is conducted in August and September each year. By this time, some commencing undergraduate students experiencing transition difficulties may have already withdrawn or disengaged from their studies. Additionally, students who feel less connected to their institution may be less inclined to participate in voluntary surveys. When comparing international and domestic students, cultural factors may also influence responses. International students may be less likely to disclose sensitive issues such as considering withdrawal, possibly due to </w:t>
      </w:r>
      <w:r w:rsidRPr="00252027">
        <w:rPr>
          <w:color w:val="000000" w:themeColor="text1"/>
        </w:rPr>
        <w:t>cultural norms, the financial investment involved, or concerns about potential visa or enrolment implications.</w:t>
      </w:r>
    </w:p>
    <w:p w14:paraId="1DCE55E5" w14:textId="3D14600B" w:rsidR="0087701C" w:rsidRPr="00252027" w:rsidRDefault="0087701C" w:rsidP="0087701C">
      <w:pPr>
        <w:pStyle w:val="Caption"/>
        <w:rPr>
          <w:color w:val="000000" w:themeColor="text1"/>
        </w:rPr>
      </w:pPr>
      <w:bookmarkStart w:id="84" w:name="_Ref171890492"/>
      <w:bookmarkStart w:id="85" w:name="_Toc206692318"/>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19</w:t>
      </w:r>
      <w:r w:rsidR="001E216A" w:rsidRPr="00252027">
        <w:rPr>
          <w:noProof/>
          <w:color w:val="000000" w:themeColor="text1"/>
        </w:rPr>
        <w:fldChar w:fldCharType="end"/>
      </w:r>
      <w:bookmarkEnd w:id="84"/>
      <w:r w:rsidRPr="00252027">
        <w:rPr>
          <w:color w:val="000000" w:themeColor="text1"/>
        </w:rPr>
        <w:t xml:space="preserve"> </w:t>
      </w:r>
      <w:bookmarkStart w:id="86" w:name="OLE_LINK4"/>
      <w:r w:rsidRPr="00252027">
        <w:rPr>
          <w:color w:val="000000" w:themeColor="text1"/>
        </w:rPr>
        <w:t>Proportion of postgraduate coursework students who considered early departure from institution by citizenship status, 2017-2024</w:t>
      </w:r>
      <w:bookmarkEnd w:id="85"/>
      <w:bookmarkEnd w:id="86"/>
    </w:p>
    <w:p w14:paraId="1D77B894" w14:textId="4ADC036C" w:rsidR="0087701C" w:rsidRPr="00F10E77" w:rsidRDefault="0087701C" w:rsidP="0087701C">
      <w:pPr>
        <w:pStyle w:val="Body"/>
      </w:pPr>
      <w:r w:rsidRPr="00F10E77">
        <w:t xml:space="preserve"> </w:t>
      </w:r>
      <w:r w:rsidR="007213E9">
        <w:rPr>
          <w:noProof/>
        </w:rPr>
        <w:drawing>
          <wp:inline distT="0" distB="0" distL="0" distR="0" wp14:anchorId="3BD55C4D" wp14:editId="27177B25">
            <wp:extent cx="6041390" cy="2298700"/>
            <wp:effectExtent l="0" t="0" r="0" b="6350"/>
            <wp:docPr id="2559482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1390" cy="2298700"/>
                    </a:xfrm>
                    <a:prstGeom prst="rect">
                      <a:avLst/>
                    </a:prstGeom>
                    <a:noFill/>
                  </pic:spPr>
                </pic:pic>
              </a:graphicData>
            </a:graphic>
          </wp:inline>
        </w:drawing>
      </w:r>
    </w:p>
    <w:p w14:paraId="14F0CC80" w14:textId="356E9002" w:rsidR="0087701C" w:rsidRPr="00F10E77" w:rsidRDefault="0087701C" w:rsidP="0087701C">
      <w:pPr>
        <w:pStyle w:val="FigureNote"/>
      </w:pPr>
    </w:p>
    <w:p w14:paraId="36F2932E" w14:textId="06AA06BF" w:rsidR="003A5FCE" w:rsidRPr="003A5FCE" w:rsidRDefault="003A5FCE" w:rsidP="003A5FCE">
      <w:pPr>
        <w:pStyle w:val="Body"/>
      </w:pPr>
      <w:r w:rsidRPr="003A5FCE">
        <w:t>Students who reported considering leaving their institution were asked to select from a list of 28 possible reasons. They could choose multiple responses, so percentages do not total 100. It</w:t>
      </w:r>
      <w:r w:rsidR="00F0525D">
        <w:t xml:space="preserve"> i</w:t>
      </w:r>
      <w:r w:rsidRPr="003A5FCE">
        <w:t>s worth noting that the list of reasons was revised in the 2023 SES as part of a broader review of the survey instrument.</w:t>
      </w:r>
    </w:p>
    <w:p w14:paraId="130518F7" w14:textId="77777777" w:rsidR="003A5FCE" w:rsidRPr="003A5FCE" w:rsidRDefault="003A5FCE" w:rsidP="003A5FCE">
      <w:pPr>
        <w:pStyle w:val="Body"/>
      </w:pPr>
      <w:r w:rsidRPr="003A5FCE">
        <w:t>Comparing the reasons cited by domestic and international students provides valuable insight into the distinct challenges faced by each group.</w:t>
      </w:r>
    </w:p>
    <w:p w14:paraId="459B799F" w14:textId="464353FB" w:rsidR="003A5FCE" w:rsidRPr="003A5FCE" w:rsidRDefault="003A5FCE" w:rsidP="003A5FCE">
      <w:pPr>
        <w:pStyle w:val="Body"/>
      </w:pPr>
      <w:r w:rsidRPr="003A5FCE">
        <w:t xml:space="preserve">For international undergraduate students, the top three reasons </w:t>
      </w:r>
      <w:r w:rsidR="00D84D54">
        <w:t xml:space="preserve">cited </w:t>
      </w:r>
      <w:r w:rsidRPr="003A5FCE">
        <w:t>for considering leaving</w:t>
      </w:r>
      <w:r w:rsidR="00D84D54">
        <w:t xml:space="preserve"> in 2024 </w:t>
      </w:r>
      <w:r w:rsidRPr="003A5FCE">
        <w:t>were financial difficulties, stress levels, and mental health. Stress and mental health were also the top two reasons cited by domestic undergraduates, though at higher rates than their international peers</w:t>
      </w:r>
      <w:r w:rsidR="00E75444">
        <w:t xml:space="preserve">, as shown in </w:t>
      </w:r>
      <w:r w:rsidR="00E75444" w:rsidRPr="000B2C3C">
        <w:rPr>
          <w:b/>
          <w:bCs/>
        </w:rPr>
        <w:fldChar w:fldCharType="begin"/>
      </w:r>
      <w:r w:rsidR="00E75444" w:rsidRPr="000B2C3C">
        <w:rPr>
          <w:b/>
          <w:bCs/>
        </w:rPr>
        <w:instrText xml:space="preserve"> REF _Ref199597508 \h </w:instrText>
      </w:r>
      <w:r w:rsidR="000B2C3C">
        <w:rPr>
          <w:b/>
          <w:bCs/>
        </w:rPr>
        <w:instrText xml:space="preserve"> \* MERGEFORMAT </w:instrText>
      </w:r>
      <w:r w:rsidR="00E75444" w:rsidRPr="000B2C3C">
        <w:rPr>
          <w:b/>
          <w:bCs/>
        </w:rPr>
      </w:r>
      <w:r w:rsidR="00E75444" w:rsidRPr="000B2C3C">
        <w:rPr>
          <w:b/>
          <w:bCs/>
        </w:rPr>
        <w:fldChar w:fldCharType="separate"/>
      </w:r>
      <w:r w:rsidR="00F96AB4" w:rsidRPr="00F96AB4">
        <w:rPr>
          <w:b/>
          <w:bCs/>
        </w:rPr>
        <w:t xml:space="preserve">Figure </w:t>
      </w:r>
      <w:r w:rsidR="00F96AB4" w:rsidRPr="00F96AB4">
        <w:rPr>
          <w:b/>
          <w:bCs/>
          <w:noProof/>
        </w:rPr>
        <w:t>20</w:t>
      </w:r>
      <w:r w:rsidR="00E75444" w:rsidRPr="000B2C3C">
        <w:rPr>
          <w:b/>
          <w:bCs/>
        </w:rPr>
        <w:fldChar w:fldCharType="end"/>
      </w:r>
      <w:r w:rsidRPr="003A5FCE">
        <w:t>.</w:t>
      </w:r>
    </w:p>
    <w:p w14:paraId="51A171E3" w14:textId="5305424C" w:rsidR="0087701C" w:rsidRPr="000E5A99" w:rsidRDefault="003A5FCE" w:rsidP="0087701C">
      <w:pPr>
        <w:pStyle w:val="Body"/>
      </w:pPr>
      <w:r w:rsidRPr="003A5FCE">
        <w:t>Domestic</w:t>
      </w:r>
      <w:r w:rsidR="0087701C" w:rsidRPr="000E5A99">
        <w:t xml:space="preserve"> undergraduate students were more likely to report</w:t>
      </w:r>
      <w:r w:rsidR="00FB45D7">
        <w:t xml:space="preserve"> factors </w:t>
      </w:r>
      <w:r w:rsidRPr="003A5FCE">
        <w:t xml:space="preserve">such as </w:t>
      </w:r>
      <w:r w:rsidR="002951A3">
        <w:t>‘</w:t>
      </w:r>
      <w:r w:rsidR="00961447">
        <w:t xml:space="preserve">paid work </w:t>
      </w:r>
      <w:r w:rsidR="00E76F94">
        <w:t>responsibilities</w:t>
      </w:r>
      <w:r w:rsidRPr="003A5FCE">
        <w:t>,</w:t>
      </w:r>
      <w:r w:rsidR="002951A3">
        <w:t>’</w:t>
      </w:r>
      <w:r w:rsidR="005973D4">
        <w:t xml:space="preserve"> </w:t>
      </w:r>
      <w:r w:rsidR="002951A3">
        <w:t>‘</w:t>
      </w:r>
      <w:r w:rsidR="001249EA">
        <w:t>difficulty with study workload</w:t>
      </w:r>
      <w:r w:rsidRPr="003A5FCE">
        <w:t>,</w:t>
      </w:r>
      <w:r w:rsidR="002951A3">
        <w:t>’</w:t>
      </w:r>
      <w:r w:rsidR="001249EA">
        <w:t xml:space="preserve"> </w:t>
      </w:r>
      <w:r w:rsidR="002951A3">
        <w:t>‘</w:t>
      </w:r>
      <w:r w:rsidR="008E24D9">
        <w:t>study/life balance</w:t>
      </w:r>
      <w:r w:rsidRPr="003A5FCE">
        <w:t>,</w:t>
      </w:r>
      <w:r w:rsidR="002951A3">
        <w:t>’</w:t>
      </w:r>
      <w:r w:rsidR="00FB45D7">
        <w:t xml:space="preserve"> and</w:t>
      </w:r>
      <w:r w:rsidR="001E6A59">
        <w:t xml:space="preserve"> </w:t>
      </w:r>
      <w:r w:rsidR="002951A3">
        <w:t>‘</w:t>
      </w:r>
      <w:r w:rsidR="001D4293">
        <w:t>family caring responsibilities</w:t>
      </w:r>
      <w:r w:rsidRPr="003A5FCE">
        <w:t>.</w:t>
      </w:r>
      <w:r w:rsidR="002951A3">
        <w:t>’</w:t>
      </w:r>
      <w:r w:rsidRPr="003A5FCE">
        <w:t xml:space="preserve"> In contrast,</w:t>
      </w:r>
      <w:r w:rsidR="001D4293">
        <w:t xml:space="preserve"> </w:t>
      </w:r>
      <w:r w:rsidR="0087701C" w:rsidRPr="000E5A99">
        <w:t xml:space="preserve">international undergraduates more </w:t>
      </w:r>
      <w:r w:rsidRPr="003A5FCE">
        <w:t>frequently cited</w:t>
      </w:r>
      <w:r w:rsidR="0087701C" w:rsidRPr="000E5A99">
        <w:t xml:space="preserve"> </w:t>
      </w:r>
      <w:r w:rsidR="002951A3">
        <w:t>‘</w:t>
      </w:r>
      <w:r w:rsidR="0087701C" w:rsidRPr="000E5A99">
        <w:t>lack of career prospects</w:t>
      </w:r>
      <w:r w:rsidRPr="003A5FCE">
        <w:t>,</w:t>
      </w:r>
      <w:r w:rsidR="002951A3">
        <w:t>’</w:t>
      </w:r>
      <w:r w:rsidR="00921CC4">
        <w:t xml:space="preserve"> </w:t>
      </w:r>
      <w:r w:rsidR="002951A3">
        <w:t>‘</w:t>
      </w:r>
      <w:r w:rsidR="007E02E5">
        <w:t>my English language skills</w:t>
      </w:r>
      <w:r w:rsidRPr="003A5FCE">
        <w:t>,</w:t>
      </w:r>
      <w:r w:rsidR="002951A3">
        <w:t>’</w:t>
      </w:r>
      <w:r w:rsidR="007E02E5">
        <w:t xml:space="preserve"> </w:t>
      </w:r>
      <w:r w:rsidR="002951A3">
        <w:t>‘</w:t>
      </w:r>
      <w:r w:rsidR="008F3363">
        <w:t>my course is too difficult</w:t>
      </w:r>
      <w:r w:rsidRPr="003A5FCE">
        <w:t>,</w:t>
      </w:r>
      <w:r w:rsidR="002951A3">
        <w:t>’</w:t>
      </w:r>
      <w:r w:rsidR="008F3363">
        <w:t xml:space="preserve"> and </w:t>
      </w:r>
      <w:r w:rsidR="002951A3">
        <w:t>‘</w:t>
      </w:r>
      <w:r w:rsidR="008C41E4">
        <w:t>concerns about my institution’s reputation</w:t>
      </w:r>
      <w:r w:rsidRPr="003A5FCE">
        <w:t>.</w:t>
      </w:r>
      <w:r w:rsidR="002951A3">
        <w:t>’</w:t>
      </w:r>
    </w:p>
    <w:p w14:paraId="196D4941" w14:textId="77777777" w:rsidR="000E5A99" w:rsidRDefault="000E5A99">
      <w:pPr>
        <w:spacing w:after="160" w:line="259" w:lineRule="auto"/>
        <w:rPr>
          <w:rFonts w:eastAsia="Times New Roman" w:cs="Arial"/>
          <w:b/>
          <w:bCs/>
          <w:color w:val="007A7D" w:themeColor="text2"/>
          <w:sz w:val="21"/>
          <w:szCs w:val="21"/>
          <w:lang w:eastAsia="en-AU"/>
        </w:rPr>
      </w:pPr>
      <w:r>
        <w:br w:type="page"/>
      </w:r>
    </w:p>
    <w:p w14:paraId="097B0768" w14:textId="44F46BCF" w:rsidR="0087701C" w:rsidRDefault="0087701C" w:rsidP="0087701C">
      <w:pPr>
        <w:pStyle w:val="Caption"/>
        <w:rPr>
          <w:color w:val="000000" w:themeColor="text1"/>
        </w:rPr>
      </w:pPr>
      <w:bookmarkStart w:id="87" w:name="_Ref199597508"/>
      <w:bookmarkStart w:id="88" w:name="_Toc206692319"/>
      <w:r w:rsidRPr="00252027">
        <w:rPr>
          <w:color w:val="000000" w:themeColor="text1"/>
        </w:rPr>
        <w:lastRenderedPageBreak/>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20</w:t>
      </w:r>
      <w:r w:rsidR="001E216A" w:rsidRPr="00252027">
        <w:rPr>
          <w:noProof/>
          <w:color w:val="000000" w:themeColor="text1"/>
        </w:rPr>
        <w:fldChar w:fldCharType="end"/>
      </w:r>
      <w:bookmarkEnd w:id="87"/>
      <w:r w:rsidRPr="00252027">
        <w:rPr>
          <w:color w:val="000000" w:themeColor="text1"/>
        </w:rPr>
        <w:t xml:space="preserve"> Reasons for considering early departure among undergraduate students by citizenship status, 2024 (% of those who had considered leaving)</w:t>
      </w:r>
      <w:bookmarkEnd w:id="88"/>
    </w:p>
    <w:p w14:paraId="317A6CD4" w14:textId="39053E16" w:rsidR="007213E9" w:rsidRPr="007213E9" w:rsidRDefault="007213E9" w:rsidP="007213E9">
      <w:pPr>
        <w:pStyle w:val="Body"/>
        <w:rPr>
          <w:lang w:eastAsia="en-AU"/>
        </w:rPr>
      </w:pPr>
      <w:r>
        <w:rPr>
          <w:noProof/>
          <w:lang w:eastAsia="en-AU"/>
        </w:rPr>
        <w:drawing>
          <wp:inline distT="0" distB="0" distL="0" distR="0" wp14:anchorId="65C676DA" wp14:editId="06CE7258">
            <wp:extent cx="6748780" cy="8340090"/>
            <wp:effectExtent l="0" t="0" r="0" b="0"/>
            <wp:docPr id="7177921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48780" cy="8340090"/>
                    </a:xfrm>
                    <a:prstGeom prst="rect">
                      <a:avLst/>
                    </a:prstGeom>
                    <a:noFill/>
                  </pic:spPr>
                </pic:pic>
              </a:graphicData>
            </a:graphic>
          </wp:inline>
        </w:drawing>
      </w:r>
    </w:p>
    <w:p w14:paraId="2458CC46" w14:textId="192B9A9A" w:rsidR="0087701C" w:rsidRPr="00E54C21" w:rsidRDefault="0087701C" w:rsidP="0087701C">
      <w:pPr>
        <w:rPr>
          <w:rFonts w:eastAsia="Times New Roman" w:cs="Arial"/>
          <w:color w:val="FF0000"/>
          <w:sz w:val="16"/>
          <w:szCs w:val="16"/>
          <w:lang w:eastAsia="en-AU"/>
        </w:rPr>
      </w:pPr>
    </w:p>
    <w:p w14:paraId="0B64797A" w14:textId="16EBAAD4" w:rsidR="009C669B" w:rsidRPr="009C669B" w:rsidRDefault="008A56AC" w:rsidP="009C669B">
      <w:pPr>
        <w:pStyle w:val="Body"/>
      </w:pPr>
      <w:r>
        <w:lastRenderedPageBreak/>
        <w:t>‘</w:t>
      </w:r>
      <w:r w:rsidR="005B3917">
        <w:t>F</w:t>
      </w:r>
      <w:r w:rsidR="009C669B" w:rsidRPr="009C669B">
        <w:t>inancial difficulties</w:t>
      </w:r>
      <w:r>
        <w:t>’</w:t>
      </w:r>
      <w:r w:rsidR="009C669B" w:rsidRPr="009C669B">
        <w:t xml:space="preserve"> were the most commonly cited reason for considering early departure among international postgraduate coursework students. </w:t>
      </w:r>
      <w:r w:rsidR="00B66705">
        <w:t>The o</w:t>
      </w:r>
      <w:r w:rsidR="009C669B" w:rsidRPr="009C669B">
        <w:t>ther frequently mentioned reasons included unmet course expectations, stress levels, and mental health</w:t>
      </w:r>
      <w:r w:rsidR="00B66705">
        <w:t xml:space="preserve"> </w:t>
      </w:r>
      <w:r w:rsidR="004F2AD1">
        <w:t>(</w:t>
      </w:r>
      <w:r w:rsidR="000B2C3C">
        <w:t xml:space="preserve">see </w:t>
      </w:r>
      <w:r w:rsidR="000B2C3C" w:rsidRPr="000B2C3C">
        <w:rPr>
          <w:b/>
          <w:bCs/>
        </w:rPr>
        <w:fldChar w:fldCharType="begin"/>
      </w:r>
      <w:r w:rsidR="000B2C3C" w:rsidRPr="000B2C3C">
        <w:rPr>
          <w:b/>
          <w:bCs/>
        </w:rPr>
        <w:instrText xml:space="preserve"> REF _Ref199597548 \h </w:instrText>
      </w:r>
      <w:r w:rsidR="000B2C3C">
        <w:rPr>
          <w:b/>
          <w:bCs/>
        </w:rPr>
        <w:instrText xml:space="preserve"> \* MERGEFORMAT </w:instrText>
      </w:r>
      <w:r w:rsidR="000B2C3C" w:rsidRPr="000B2C3C">
        <w:rPr>
          <w:b/>
          <w:bCs/>
        </w:rPr>
      </w:r>
      <w:r w:rsidR="000B2C3C" w:rsidRPr="000B2C3C">
        <w:rPr>
          <w:b/>
          <w:bCs/>
        </w:rPr>
        <w:fldChar w:fldCharType="separate"/>
      </w:r>
      <w:r w:rsidR="00F96AB4" w:rsidRPr="00F96AB4">
        <w:rPr>
          <w:b/>
          <w:bCs/>
        </w:rPr>
        <w:t xml:space="preserve">Figure </w:t>
      </w:r>
      <w:r w:rsidR="00F96AB4" w:rsidRPr="00F96AB4">
        <w:rPr>
          <w:b/>
          <w:bCs/>
          <w:noProof/>
        </w:rPr>
        <w:t>21</w:t>
      </w:r>
      <w:r w:rsidR="000B2C3C" w:rsidRPr="000B2C3C">
        <w:rPr>
          <w:b/>
          <w:bCs/>
        </w:rPr>
        <w:fldChar w:fldCharType="end"/>
      </w:r>
      <w:r w:rsidR="000B2C3C">
        <w:t>)</w:t>
      </w:r>
      <w:r w:rsidR="009C669B" w:rsidRPr="009C669B">
        <w:t>.</w:t>
      </w:r>
    </w:p>
    <w:p w14:paraId="2894FCDC" w14:textId="2D790A78" w:rsidR="009C669B" w:rsidRDefault="009C669B" w:rsidP="009C669B">
      <w:pPr>
        <w:pStyle w:val="Body"/>
      </w:pPr>
      <w:r w:rsidRPr="009C669B">
        <w:t xml:space="preserve">A notable difference between international and domestic students at the postgraduate level was the frequency of citing </w:t>
      </w:r>
      <w:r w:rsidR="002951A3">
        <w:t>‘</w:t>
      </w:r>
      <w:r w:rsidRPr="009C669B">
        <w:t>lack of career prospects</w:t>
      </w:r>
      <w:r w:rsidR="002951A3">
        <w:t>’</w:t>
      </w:r>
      <w:r w:rsidRPr="009C669B">
        <w:t xml:space="preserve"> as a reason for considering leaving. In 2024, 24.5 per cent of international postgraduate coursework students selected this reason, compared to just 9.6 per cent of domestic students. This mirrors the undergraduate pattern, where 20.3 per cent of international students cited this reason, compared to 14.7 per cent of domestic students.</w:t>
      </w:r>
      <w:r w:rsidR="00F434CD">
        <w:t xml:space="preserve"> </w:t>
      </w:r>
    </w:p>
    <w:p w14:paraId="328ABC1A" w14:textId="1DE1AE5C" w:rsidR="00A40DE5" w:rsidRPr="00A40DE5" w:rsidRDefault="00A40DE5" w:rsidP="009C669B">
      <w:pPr>
        <w:pStyle w:val="Body"/>
      </w:pPr>
      <w:r w:rsidRPr="00A40DE5">
        <w:t>One possible explanation is that many domestic postgraduate students may be older and more likely to already have established connections to the labour market. As a result, they might be more inclined to study part-time or externally while maintaining existing jobs or professional networks. This could mean</w:t>
      </w:r>
      <w:r w:rsidRPr="00A40DE5" w:rsidDel="008235BA">
        <w:t xml:space="preserve"> </w:t>
      </w:r>
      <w:r w:rsidR="008235BA">
        <w:t>that this group</w:t>
      </w:r>
      <w:r w:rsidR="008235BA" w:rsidRPr="00A40DE5">
        <w:t xml:space="preserve"> </w:t>
      </w:r>
      <w:r w:rsidRPr="00A40DE5">
        <w:t>feel</w:t>
      </w:r>
      <w:r w:rsidR="008235BA">
        <w:t>s</w:t>
      </w:r>
      <w:r w:rsidRPr="00A40DE5">
        <w:t xml:space="preserve"> more secure about their career paths and less reliant on their </w:t>
      </w:r>
      <w:r w:rsidR="00AB7406">
        <w:t>qualification</w:t>
      </w:r>
      <w:r w:rsidRPr="00A40DE5">
        <w:t xml:space="preserve"> to </w:t>
      </w:r>
      <w:r w:rsidR="008235BA">
        <w:t>access relevant</w:t>
      </w:r>
      <w:r w:rsidRPr="00A40DE5" w:rsidDel="008235BA">
        <w:t xml:space="preserve"> employment</w:t>
      </w:r>
      <w:r w:rsidRPr="00A40DE5">
        <w:t>. In contrast, international students are often newer to the Australian job market and may face additional challenges, such as limited local experience, fewer professional connections,</w:t>
      </w:r>
      <w:r w:rsidR="004E2740">
        <w:t xml:space="preserve"> language </w:t>
      </w:r>
      <w:r w:rsidR="00E73DF0">
        <w:t>or</w:t>
      </w:r>
      <w:r w:rsidR="004E2740">
        <w:t xml:space="preserve"> cultural barriers</w:t>
      </w:r>
      <w:r w:rsidRPr="00A40DE5">
        <w:t xml:space="preserve"> and visa-related employment restrictions. These factors might contribute to greater career uncertainty and </w:t>
      </w:r>
      <w:r w:rsidR="00D42895">
        <w:t xml:space="preserve">more difficulty in accessing </w:t>
      </w:r>
      <w:r w:rsidR="00DB6CE3">
        <w:t>short-term</w:t>
      </w:r>
      <w:r w:rsidRPr="00A40DE5">
        <w:t xml:space="preserve"> employment outcomes.</w:t>
      </w:r>
    </w:p>
    <w:p w14:paraId="5204F918" w14:textId="1BD0B52E" w:rsidR="00110B19" w:rsidRDefault="00F34A09" w:rsidP="0087701C">
      <w:pPr>
        <w:pStyle w:val="Body"/>
      </w:pPr>
      <w:r w:rsidRPr="00F34A09">
        <w:t xml:space="preserve">In 2024, international </w:t>
      </w:r>
      <w:r w:rsidR="008457F1">
        <w:t>postgraduate coursework students who had considered leaving</w:t>
      </w:r>
      <w:r w:rsidR="005705A8">
        <w:t xml:space="preserve"> were </w:t>
      </w:r>
      <w:r w:rsidR="0041431E">
        <w:t xml:space="preserve">also </w:t>
      </w:r>
      <w:r w:rsidR="005705A8">
        <w:t xml:space="preserve">less likely </w:t>
      </w:r>
      <w:r w:rsidRPr="00F34A09">
        <w:t xml:space="preserve">than domestic students </w:t>
      </w:r>
      <w:r w:rsidR="005705A8">
        <w:t xml:space="preserve">to cite </w:t>
      </w:r>
      <w:r w:rsidRPr="00F34A09">
        <w:t xml:space="preserve">reasons such as </w:t>
      </w:r>
      <w:r w:rsidR="002951A3">
        <w:t>‘</w:t>
      </w:r>
      <w:r w:rsidRPr="00F34A09">
        <w:t>paid</w:t>
      </w:r>
      <w:r w:rsidR="009E3CE6">
        <w:t xml:space="preserve"> work responsibilities</w:t>
      </w:r>
      <w:r w:rsidRPr="00F34A09">
        <w:t>,</w:t>
      </w:r>
      <w:r w:rsidR="002951A3">
        <w:t>’</w:t>
      </w:r>
      <w:r w:rsidRPr="00F34A09">
        <w:t xml:space="preserve"> </w:t>
      </w:r>
      <w:r w:rsidR="002951A3">
        <w:t>‘</w:t>
      </w:r>
      <w:r w:rsidRPr="00F34A09">
        <w:t>family</w:t>
      </w:r>
      <w:r w:rsidR="009F407F">
        <w:t xml:space="preserve"> caring responsibilities</w:t>
      </w:r>
      <w:r w:rsidRPr="00F34A09">
        <w:t>,</w:t>
      </w:r>
      <w:r w:rsidR="002951A3">
        <w:t>’</w:t>
      </w:r>
      <w:r w:rsidRPr="00F34A09">
        <w:t xml:space="preserve"> </w:t>
      </w:r>
      <w:r w:rsidR="002951A3">
        <w:t>‘</w:t>
      </w:r>
      <w:r w:rsidRPr="00F34A09">
        <w:t>difficulty</w:t>
      </w:r>
      <w:r w:rsidR="005705A8">
        <w:t xml:space="preserve"> with study workload</w:t>
      </w:r>
      <w:r w:rsidRPr="00F34A09">
        <w:t>,</w:t>
      </w:r>
      <w:r w:rsidR="002951A3">
        <w:t>’</w:t>
      </w:r>
      <w:r w:rsidRPr="00F34A09">
        <w:t xml:space="preserve"> </w:t>
      </w:r>
      <w:r w:rsidR="002951A3">
        <w:t>‘</w:t>
      </w:r>
      <w:r w:rsidRPr="00F34A09">
        <w:t>study/life balance,</w:t>
      </w:r>
      <w:r w:rsidR="002951A3">
        <w:t>’</w:t>
      </w:r>
      <w:r w:rsidR="00993F72">
        <w:t xml:space="preserve"> and</w:t>
      </w:r>
      <w:r w:rsidR="00D76C05">
        <w:t xml:space="preserve"> </w:t>
      </w:r>
      <w:r w:rsidR="002951A3">
        <w:t>‘</w:t>
      </w:r>
      <w:r w:rsidRPr="00F34A09">
        <w:t>stress</w:t>
      </w:r>
      <w:r w:rsidR="0066070F">
        <w:t xml:space="preserve"> levels</w:t>
      </w:r>
      <w:r w:rsidRPr="00F34A09">
        <w:t>.</w:t>
      </w:r>
      <w:r w:rsidR="002951A3">
        <w:t>’</w:t>
      </w:r>
      <w:r w:rsidRPr="00F34A09">
        <w:t xml:space="preserve"> These</w:t>
      </w:r>
      <w:r w:rsidR="008358B1">
        <w:t xml:space="preserve"> </w:t>
      </w:r>
      <w:r w:rsidR="001170C5">
        <w:t xml:space="preserve">differences </w:t>
      </w:r>
      <w:r w:rsidRPr="00F34A09">
        <w:t>may again reflect the distinct life circumstances and responsibilities of international versus</w:t>
      </w:r>
      <w:r w:rsidR="0079298C">
        <w:t xml:space="preserve"> domestic students at </w:t>
      </w:r>
      <w:r w:rsidRPr="00F34A09">
        <w:t>the postgraduate</w:t>
      </w:r>
      <w:r w:rsidR="0079298C">
        <w:t xml:space="preserve"> level</w:t>
      </w:r>
      <w:r w:rsidR="00E54E50">
        <w:t>.</w:t>
      </w:r>
    </w:p>
    <w:p w14:paraId="3BD326AA" w14:textId="77777777" w:rsidR="00110B19" w:rsidRDefault="00110B19">
      <w:pPr>
        <w:spacing w:after="160" w:line="259" w:lineRule="auto"/>
        <w:rPr>
          <w:rFonts w:eastAsia="Times New Roman" w:cs="Times New Roman"/>
          <w:szCs w:val="20"/>
        </w:rPr>
      </w:pPr>
      <w:r>
        <w:br w:type="page"/>
      </w:r>
    </w:p>
    <w:p w14:paraId="548FAF0B" w14:textId="478E28F6" w:rsidR="0087701C" w:rsidRDefault="0087701C" w:rsidP="0087701C">
      <w:pPr>
        <w:pStyle w:val="Caption"/>
        <w:rPr>
          <w:color w:val="000000" w:themeColor="text1"/>
        </w:rPr>
      </w:pPr>
      <w:bookmarkStart w:id="89" w:name="_Ref199597548"/>
      <w:bookmarkStart w:id="90" w:name="_Toc206692320"/>
      <w:r w:rsidRPr="00252027">
        <w:rPr>
          <w:color w:val="000000" w:themeColor="text1"/>
        </w:rPr>
        <w:lastRenderedPageBreak/>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21</w:t>
      </w:r>
      <w:r w:rsidR="001E216A" w:rsidRPr="00252027">
        <w:rPr>
          <w:noProof/>
          <w:color w:val="000000" w:themeColor="text1"/>
        </w:rPr>
        <w:fldChar w:fldCharType="end"/>
      </w:r>
      <w:bookmarkEnd w:id="89"/>
      <w:r w:rsidRPr="00252027">
        <w:rPr>
          <w:color w:val="000000" w:themeColor="text1"/>
        </w:rPr>
        <w:t xml:space="preserve"> Reasons for considering early departure among postgraduate students by citizenship status, 2024 (% of those who had considered leaving)</w:t>
      </w:r>
      <w:bookmarkEnd w:id="90"/>
    </w:p>
    <w:p w14:paraId="1DCFB251" w14:textId="57926159" w:rsidR="007213E9" w:rsidRPr="007213E9" w:rsidRDefault="007213E9" w:rsidP="007213E9">
      <w:pPr>
        <w:pStyle w:val="Body"/>
        <w:rPr>
          <w:lang w:eastAsia="en-AU"/>
        </w:rPr>
      </w:pPr>
      <w:r>
        <w:rPr>
          <w:noProof/>
          <w:lang w:eastAsia="en-AU"/>
        </w:rPr>
        <w:drawing>
          <wp:inline distT="0" distB="0" distL="0" distR="0" wp14:anchorId="330246B9" wp14:editId="62905ED1">
            <wp:extent cx="6230620" cy="8912860"/>
            <wp:effectExtent l="0" t="0" r="0" b="2540"/>
            <wp:docPr id="20515278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30620" cy="8912860"/>
                    </a:xfrm>
                    <a:prstGeom prst="rect">
                      <a:avLst/>
                    </a:prstGeom>
                    <a:noFill/>
                  </pic:spPr>
                </pic:pic>
              </a:graphicData>
            </a:graphic>
          </wp:inline>
        </w:drawing>
      </w:r>
    </w:p>
    <w:p w14:paraId="64D5E17E" w14:textId="77777777" w:rsidR="00821227" w:rsidRPr="00252027" w:rsidRDefault="00821227" w:rsidP="00A9284B">
      <w:pPr>
        <w:pStyle w:val="Heading1"/>
        <w:rPr>
          <w:color w:val="000000" w:themeColor="text1"/>
        </w:rPr>
      </w:pPr>
      <w:bookmarkStart w:id="91" w:name="_Toc206692279"/>
      <w:r w:rsidRPr="00252027">
        <w:rPr>
          <w:color w:val="000000" w:themeColor="text1"/>
        </w:rPr>
        <w:lastRenderedPageBreak/>
        <w:t>The living experience of international students in Australia</w:t>
      </w:r>
      <w:bookmarkEnd w:id="91"/>
    </w:p>
    <w:p w14:paraId="07B02B48" w14:textId="3DD9B7D8" w:rsidR="00CC1D4B" w:rsidRDefault="00634752" w:rsidP="00CC1D4B">
      <w:pPr>
        <w:pStyle w:val="Body"/>
      </w:pPr>
      <w:r w:rsidRPr="00634752">
        <w:t xml:space="preserve">This section explores the living experience of international students in Australia and </w:t>
      </w:r>
      <w:r w:rsidR="0016422D">
        <w:t>therefore</w:t>
      </w:r>
      <w:r w:rsidRPr="00634752">
        <w:t xml:space="preserve"> excludes responses from those who were located overseas at the time of the survey. As </w:t>
      </w:r>
      <w:r w:rsidR="00875DE8">
        <w:t>outline</w:t>
      </w:r>
      <w:r w:rsidRPr="00634752">
        <w:t xml:space="preserve">d in Section 1.2, many international students were offshore </w:t>
      </w:r>
      <w:r w:rsidR="00DF0395">
        <w:t>between 2020 and 2022</w:t>
      </w:r>
      <w:r w:rsidRPr="00634752">
        <w:t xml:space="preserve"> due to COVID-19 travel restrictions. While their responses are not included in the analysis presented </w:t>
      </w:r>
      <w:r w:rsidR="00E721D1">
        <w:t xml:space="preserve">in this </w:t>
      </w:r>
      <w:r w:rsidR="00482470">
        <w:t>section</w:t>
      </w:r>
      <w:r w:rsidRPr="00634752">
        <w:t>, they are incorporated in other sections of the report</w:t>
      </w:r>
      <w:r w:rsidR="00CC1D4B" w:rsidRPr="003D06C6">
        <w:t>.</w:t>
      </w:r>
      <w:r w:rsidR="00CC1D4B">
        <w:t xml:space="preserve"> </w:t>
      </w:r>
    </w:p>
    <w:p w14:paraId="7C3892AF" w14:textId="0234EA19" w:rsidR="00821227" w:rsidRPr="00252027" w:rsidRDefault="00821227" w:rsidP="00821227">
      <w:pPr>
        <w:pStyle w:val="Body"/>
        <w:rPr>
          <w:color w:val="000000" w:themeColor="text1"/>
        </w:rPr>
      </w:pPr>
      <w:r w:rsidRPr="00075E61">
        <w:t xml:space="preserve">International students </w:t>
      </w:r>
      <w:r w:rsidR="00B25554" w:rsidRPr="00B25554">
        <w:t>generally</w:t>
      </w:r>
      <w:r w:rsidRPr="00075E61">
        <w:t xml:space="preserve"> rate their overall living experience in Australia </w:t>
      </w:r>
      <w:r w:rsidR="00B25554" w:rsidRPr="00B25554">
        <w:t>very positively. As</w:t>
      </w:r>
      <w:r w:rsidRPr="00075E61">
        <w:t xml:space="preserve"> shown </w:t>
      </w:r>
      <w:r w:rsidR="00B25554" w:rsidRPr="00B25554">
        <w:t>in</w:t>
      </w:r>
      <w:r w:rsidRPr="00075E61">
        <w:t xml:space="preserve"> </w:t>
      </w:r>
      <w:r w:rsidR="00803ABE" w:rsidRPr="00803ABE">
        <w:rPr>
          <w:b/>
          <w:bCs/>
        </w:rPr>
        <w:fldChar w:fldCharType="begin"/>
      </w:r>
      <w:r w:rsidR="00803ABE" w:rsidRPr="00803ABE">
        <w:rPr>
          <w:b/>
          <w:bCs/>
        </w:rPr>
        <w:instrText xml:space="preserve"> REF _Ref171680834 \h </w:instrText>
      </w:r>
      <w:r w:rsidR="00803ABE">
        <w:rPr>
          <w:b/>
          <w:bCs/>
        </w:rPr>
        <w:instrText xml:space="preserve"> \* MERGEFORMAT </w:instrText>
      </w:r>
      <w:r w:rsidR="00803ABE" w:rsidRPr="00803ABE">
        <w:rPr>
          <w:b/>
          <w:bCs/>
        </w:rPr>
      </w:r>
      <w:r w:rsidR="00803ABE" w:rsidRPr="00803ABE">
        <w:rPr>
          <w:b/>
          <w:bCs/>
        </w:rPr>
        <w:fldChar w:fldCharType="separate"/>
      </w:r>
      <w:r w:rsidR="00F96AB4" w:rsidRPr="00F96AB4">
        <w:rPr>
          <w:b/>
          <w:bCs/>
        </w:rPr>
        <w:t xml:space="preserve">Figure </w:t>
      </w:r>
      <w:r w:rsidR="00F96AB4" w:rsidRPr="00F96AB4">
        <w:rPr>
          <w:b/>
          <w:bCs/>
          <w:noProof/>
        </w:rPr>
        <w:t>22</w:t>
      </w:r>
      <w:r w:rsidR="00803ABE" w:rsidRPr="00803ABE">
        <w:rPr>
          <w:b/>
          <w:bCs/>
        </w:rPr>
        <w:fldChar w:fldCharType="end"/>
      </w:r>
      <w:r w:rsidR="00B25554" w:rsidRPr="00B25554">
        <w:t>,</w:t>
      </w:r>
      <w:r w:rsidRPr="00075E61" w:rsidDel="006C79AF">
        <w:t xml:space="preserve"> </w:t>
      </w:r>
      <w:r w:rsidRPr="00075E61">
        <w:t>9</w:t>
      </w:r>
      <w:r w:rsidR="00564F42" w:rsidRPr="00075E61">
        <w:t>2</w:t>
      </w:r>
      <w:r w:rsidR="00075E61" w:rsidRPr="00075E61">
        <w:t>.</w:t>
      </w:r>
      <w:r w:rsidR="00AB7406">
        <w:t>5</w:t>
      </w:r>
      <w:r w:rsidRPr="00075E61">
        <w:t xml:space="preserve"> per cent of international </w:t>
      </w:r>
      <w:r w:rsidR="00EB0FEF" w:rsidRPr="00075E61">
        <w:t>undergraduates and 9</w:t>
      </w:r>
      <w:r w:rsidR="00075E61" w:rsidRPr="00075E61">
        <w:t>2.</w:t>
      </w:r>
      <w:r w:rsidR="00AB7406">
        <w:t>0</w:t>
      </w:r>
      <w:r w:rsidR="00EB0FEF" w:rsidRPr="00075E61">
        <w:t xml:space="preserve"> per cent of international postgraduate coursework students</w:t>
      </w:r>
      <w:r w:rsidRPr="00075E61">
        <w:t xml:space="preserve"> </w:t>
      </w:r>
      <w:r w:rsidR="00B25554" w:rsidRPr="00B25554">
        <w:t xml:space="preserve">gave </w:t>
      </w:r>
      <w:r w:rsidR="00B25554" w:rsidRPr="00252027">
        <w:rPr>
          <w:color w:val="000000" w:themeColor="text1"/>
        </w:rPr>
        <w:t xml:space="preserve">a positive rating for </w:t>
      </w:r>
      <w:r w:rsidRPr="00252027">
        <w:rPr>
          <w:color w:val="000000" w:themeColor="text1"/>
        </w:rPr>
        <w:t>their living experience in 202</w:t>
      </w:r>
      <w:r w:rsidR="00075E61" w:rsidRPr="00252027">
        <w:rPr>
          <w:color w:val="000000" w:themeColor="text1"/>
        </w:rPr>
        <w:t>4</w:t>
      </w:r>
      <w:r w:rsidRPr="00252027">
        <w:rPr>
          <w:color w:val="000000" w:themeColor="text1"/>
        </w:rPr>
        <w:t xml:space="preserve">. </w:t>
      </w:r>
      <w:bookmarkStart w:id="92" w:name="_Hlk68009972"/>
    </w:p>
    <w:p w14:paraId="0CC88BBC" w14:textId="7414D4F6" w:rsidR="0093371D" w:rsidRDefault="0093371D" w:rsidP="0093371D">
      <w:pPr>
        <w:pStyle w:val="Caption"/>
        <w:rPr>
          <w:color w:val="000000" w:themeColor="text1"/>
        </w:rPr>
      </w:pPr>
      <w:bookmarkStart w:id="93" w:name="_Ref171680834"/>
      <w:bookmarkStart w:id="94" w:name="_Toc206692321"/>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22</w:t>
      </w:r>
      <w:r w:rsidR="001E216A" w:rsidRPr="00252027">
        <w:rPr>
          <w:noProof/>
          <w:color w:val="000000" w:themeColor="text1"/>
        </w:rPr>
        <w:fldChar w:fldCharType="end"/>
      </w:r>
      <w:bookmarkEnd w:id="93"/>
      <w:r w:rsidRPr="00252027">
        <w:rPr>
          <w:color w:val="000000" w:themeColor="text1"/>
        </w:rPr>
        <w:t xml:space="preserve"> International student overall living experience</w:t>
      </w:r>
      <w:r w:rsidR="00EB0FEF" w:rsidRPr="00252027">
        <w:rPr>
          <w:color w:val="000000" w:themeColor="text1"/>
        </w:rPr>
        <w:t xml:space="preserve"> by course level</w:t>
      </w:r>
      <w:r w:rsidRPr="00252027">
        <w:rPr>
          <w:color w:val="000000" w:themeColor="text1"/>
        </w:rPr>
        <w:t>, 20</w:t>
      </w:r>
      <w:r w:rsidR="00782BEB" w:rsidRPr="00252027">
        <w:rPr>
          <w:color w:val="000000" w:themeColor="text1"/>
        </w:rPr>
        <w:t>20</w:t>
      </w:r>
      <w:r w:rsidRPr="00252027">
        <w:rPr>
          <w:color w:val="000000" w:themeColor="text1"/>
        </w:rPr>
        <w:t>-202</w:t>
      </w:r>
      <w:r w:rsidR="00C00162" w:rsidRPr="00252027">
        <w:rPr>
          <w:color w:val="000000" w:themeColor="text1"/>
        </w:rPr>
        <w:t>4</w:t>
      </w:r>
      <w:r w:rsidRPr="00252027">
        <w:rPr>
          <w:color w:val="000000" w:themeColor="text1"/>
        </w:rPr>
        <w:t xml:space="preserve"> (% positive rating)</w:t>
      </w:r>
      <w:bookmarkEnd w:id="94"/>
    </w:p>
    <w:p w14:paraId="4DC379EF" w14:textId="5FC22D6F" w:rsidR="002A135C" w:rsidRPr="002A135C" w:rsidRDefault="002A135C" w:rsidP="002A135C">
      <w:pPr>
        <w:pStyle w:val="Body"/>
        <w:rPr>
          <w:lang w:eastAsia="en-AU"/>
        </w:rPr>
      </w:pPr>
      <w:r>
        <w:rPr>
          <w:noProof/>
          <w:lang w:eastAsia="en-AU"/>
        </w:rPr>
        <w:drawing>
          <wp:inline distT="0" distB="0" distL="0" distR="0" wp14:anchorId="597A9E77" wp14:editId="2580F84B">
            <wp:extent cx="6450330" cy="2840990"/>
            <wp:effectExtent l="0" t="0" r="7620" b="0"/>
            <wp:docPr id="14644321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50330" cy="2840990"/>
                    </a:xfrm>
                    <a:prstGeom prst="rect">
                      <a:avLst/>
                    </a:prstGeom>
                    <a:noFill/>
                  </pic:spPr>
                </pic:pic>
              </a:graphicData>
            </a:graphic>
          </wp:inline>
        </w:drawing>
      </w:r>
    </w:p>
    <w:p w14:paraId="00B785FF" w14:textId="776BA98D" w:rsidR="004B523A" w:rsidRDefault="004B523A" w:rsidP="00535E2A">
      <w:pPr>
        <w:pStyle w:val="FigureNote"/>
        <w:rPr>
          <w:highlight w:val="yellow"/>
        </w:rPr>
      </w:pPr>
    </w:p>
    <w:bookmarkEnd w:id="92"/>
    <w:p w14:paraId="6E894C4C" w14:textId="142BDB81" w:rsidR="00821227" w:rsidRPr="008F405D" w:rsidRDefault="00FD26E5" w:rsidP="00821227">
      <w:pPr>
        <w:pStyle w:val="Body"/>
        <w:rPr>
          <w:rFonts w:eastAsiaTheme="minorEastAsia"/>
        </w:rPr>
      </w:pPr>
      <w:r w:rsidRPr="00FD26E5">
        <w:rPr>
          <w:rFonts w:eastAsiaTheme="minorEastAsia"/>
          <w:b/>
        </w:rPr>
        <w:fldChar w:fldCharType="begin"/>
      </w:r>
      <w:r w:rsidRPr="00FD26E5">
        <w:rPr>
          <w:rFonts w:eastAsiaTheme="minorEastAsia"/>
          <w:b/>
        </w:rPr>
        <w:instrText xml:space="preserve"> REF _Ref199021039 \h </w:instrText>
      </w:r>
      <w:r>
        <w:rPr>
          <w:rFonts w:eastAsiaTheme="minorEastAsia"/>
          <w:b/>
        </w:rPr>
        <w:instrText xml:space="preserve"> \* MERGEFORMAT </w:instrText>
      </w:r>
      <w:r w:rsidRPr="00FD26E5">
        <w:rPr>
          <w:rFonts w:eastAsiaTheme="minorEastAsia"/>
          <w:b/>
        </w:rPr>
      </w:r>
      <w:r w:rsidRPr="00FD26E5">
        <w:rPr>
          <w:rFonts w:eastAsiaTheme="minorEastAsia"/>
          <w:b/>
        </w:rPr>
        <w:fldChar w:fldCharType="separate"/>
      </w:r>
      <w:r w:rsidR="00F96AB4" w:rsidRPr="00F96AB4">
        <w:rPr>
          <w:b/>
        </w:rPr>
        <w:t xml:space="preserve">Figure </w:t>
      </w:r>
      <w:r w:rsidR="00F96AB4" w:rsidRPr="00F96AB4">
        <w:rPr>
          <w:b/>
          <w:noProof/>
        </w:rPr>
        <w:t>23</w:t>
      </w:r>
      <w:r w:rsidRPr="00FD26E5">
        <w:rPr>
          <w:rFonts w:eastAsiaTheme="minorEastAsia"/>
          <w:b/>
        </w:rPr>
        <w:fldChar w:fldCharType="end"/>
      </w:r>
      <w:r w:rsidR="00795105">
        <w:rPr>
          <w:rFonts w:eastAsiaTheme="minorEastAsia"/>
          <w:bCs/>
        </w:rPr>
        <w:t xml:space="preserve"> </w:t>
      </w:r>
      <w:r w:rsidR="00795105" w:rsidRPr="00795105">
        <w:rPr>
          <w:rFonts w:eastAsiaTheme="minorEastAsia"/>
          <w:bCs/>
        </w:rPr>
        <w:t>highlights</w:t>
      </w:r>
      <w:r w:rsidR="00821227" w:rsidRPr="00795105">
        <w:rPr>
          <w:rFonts w:eastAsiaTheme="minorEastAsia"/>
        </w:rPr>
        <w:t xml:space="preserve"> how international students </w:t>
      </w:r>
      <w:r w:rsidR="00795105" w:rsidRPr="00795105">
        <w:rPr>
          <w:rFonts w:eastAsiaTheme="minorEastAsia"/>
          <w:bCs/>
        </w:rPr>
        <w:t>rated different</w:t>
      </w:r>
      <w:r w:rsidR="00821227" w:rsidRPr="00795105">
        <w:rPr>
          <w:rFonts w:eastAsiaTheme="minorEastAsia"/>
        </w:rPr>
        <w:t xml:space="preserve"> aspects of their living experience in Australia. </w:t>
      </w:r>
      <w:r w:rsidR="00795105" w:rsidRPr="00795105">
        <w:rPr>
          <w:rFonts w:eastAsiaTheme="minorEastAsia"/>
          <w:bCs/>
        </w:rPr>
        <w:t xml:space="preserve">The highest-rated aspects at both undergraduate and postgraduate coursework levels were personal safety on campus, improving English skills, and personal safety off campus. In contrast, work experience received the lowest ratings from students in </w:t>
      </w:r>
      <w:r w:rsidR="00BB69CE" w:rsidRPr="00795105">
        <w:rPr>
          <w:rFonts w:eastAsiaTheme="minorEastAsia"/>
        </w:rPr>
        <w:t xml:space="preserve">both </w:t>
      </w:r>
      <w:r w:rsidR="00795105" w:rsidRPr="00795105">
        <w:rPr>
          <w:rFonts w:eastAsiaTheme="minorEastAsia"/>
          <w:bCs/>
        </w:rPr>
        <w:t>groups, with</w:t>
      </w:r>
      <w:r w:rsidR="0087281E" w:rsidRPr="00795105">
        <w:rPr>
          <w:rFonts w:eastAsiaTheme="minorEastAsia"/>
        </w:rPr>
        <w:t xml:space="preserve"> postgraduate coursework students </w:t>
      </w:r>
      <w:r w:rsidR="00795105" w:rsidRPr="00795105">
        <w:rPr>
          <w:rFonts w:eastAsiaTheme="minorEastAsia"/>
          <w:bCs/>
        </w:rPr>
        <w:t xml:space="preserve">rating </w:t>
      </w:r>
      <w:r w:rsidR="0087281E" w:rsidRPr="00795105">
        <w:rPr>
          <w:rFonts w:eastAsiaTheme="minorEastAsia"/>
        </w:rPr>
        <w:t xml:space="preserve">it </w:t>
      </w:r>
      <w:r w:rsidR="00BB76EC" w:rsidRPr="00795105">
        <w:rPr>
          <w:rFonts w:eastAsiaTheme="minorEastAsia"/>
        </w:rPr>
        <w:t>9.8</w:t>
      </w:r>
      <w:r w:rsidR="0087281E" w:rsidRPr="00795105">
        <w:rPr>
          <w:rFonts w:eastAsiaTheme="minorEastAsia"/>
        </w:rPr>
        <w:t xml:space="preserve"> percentage points lower than undergraduates. </w:t>
      </w:r>
      <w:r w:rsidR="00795105" w:rsidRPr="00795105">
        <w:rPr>
          <w:rFonts w:eastAsiaTheme="minorEastAsia"/>
          <w:bCs/>
        </w:rPr>
        <w:t xml:space="preserve">Similarly, international postgraduate coursework students were less likely to rate employment while studying positively. Both of these lower-rated areas relate to employment and may reflect higher expectations </w:t>
      </w:r>
      <w:r w:rsidR="00EC3DF7">
        <w:rPr>
          <w:rFonts w:eastAsiaTheme="minorEastAsia"/>
          <w:bCs/>
        </w:rPr>
        <w:t>and/</w:t>
      </w:r>
      <w:r w:rsidR="00795105" w:rsidRPr="00795105">
        <w:rPr>
          <w:rFonts w:eastAsiaTheme="minorEastAsia"/>
          <w:bCs/>
        </w:rPr>
        <w:t>or greater challenges faced by postgraduate students in finding meaningful work opportunities while studying.</w:t>
      </w:r>
    </w:p>
    <w:p w14:paraId="503BA3B1" w14:textId="12A3EFB6" w:rsidR="00C52F5A" w:rsidRPr="00252027" w:rsidRDefault="0030664F" w:rsidP="00252027">
      <w:pPr>
        <w:spacing w:after="160" w:line="259" w:lineRule="auto"/>
        <w:rPr>
          <w:rFonts w:eastAsia="Times New Roman" w:cs="Times New Roman"/>
          <w:szCs w:val="20"/>
          <w:lang w:eastAsia="en-AU"/>
        </w:rPr>
      </w:pPr>
      <w:bookmarkStart w:id="95" w:name="_Ref171697948"/>
      <w:r>
        <w:rPr>
          <w:lang w:eastAsia="en-AU"/>
        </w:rPr>
        <w:br w:type="page"/>
      </w:r>
    </w:p>
    <w:p w14:paraId="3364DBFD" w14:textId="540E7D32" w:rsidR="00A04328" w:rsidRDefault="00A04328" w:rsidP="00252027">
      <w:pPr>
        <w:pStyle w:val="Caption"/>
        <w:ind w:left="0" w:firstLine="0"/>
        <w:rPr>
          <w:color w:val="000000" w:themeColor="text1"/>
        </w:rPr>
      </w:pPr>
      <w:bookmarkStart w:id="96" w:name="_Ref199021039"/>
      <w:bookmarkStart w:id="97" w:name="_Toc206692322"/>
      <w:r w:rsidRPr="00252027">
        <w:rPr>
          <w:color w:val="000000" w:themeColor="text1"/>
        </w:rPr>
        <w:lastRenderedPageBreak/>
        <w:t xml:space="preserve">Figure </w:t>
      </w:r>
      <w:r w:rsidR="008D75D6" w:rsidRPr="00252027">
        <w:rPr>
          <w:color w:val="000000" w:themeColor="text1"/>
        </w:rPr>
        <w:fldChar w:fldCharType="begin"/>
      </w:r>
      <w:r w:rsidR="008D75D6" w:rsidRPr="00252027">
        <w:rPr>
          <w:color w:val="000000" w:themeColor="text1"/>
        </w:rPr>
        <w:instrText xml:space="preserve"> SEQ Figure \* ARABIC </w:instrText>
      </w:r>
      <w:r w:rsidR="008D75D6" w:rsidRPr="00252027">
        <w:rPr>
          <w:color w:val="000000" w:themeColor="text1"/>
        </w:rPr>
        <w:fldChar w:fldCharType="separate"/>
      </w:r>
      <w:r w:rsidR="00F96AB4">
        <w:rPr>
          <w:noProof/>
          <w:color w:val="000000" w:themeColor="text1"/>
        </w:rPr>
        <w:t>23</w:t>
      </w:r>
      <w:r w:rsidR="008D75D6" w:rsidRPr="00252027">
        <w:rPr>
          <w:noProof/>
          <w:color w:val="000000" w:themeColor="text1"/>
        </w:rPr>
        <w:fldChar w:fldCharType="end"/>
      </w:r>
      <w:bookmarkEnd w:id="95"/>
      <w:bookmarkEnd w:id="96"/>
      <w:r w:rsidRPr="00252027">
        <w:rPr>
          <w:color w:val="000000" w:themeColor="text1"/>
        </w:rPr>
        <w:t xml:space="preserve"> International student living experience</w:t>
      </w:r>
      <w:r w:rsidR="00F36224" w:rsidRPr="00252027">
        <w:rPr>
          <w:color w:val="000000" w:themeColor="text1"/>
        </w:rPr>
        <w:t xml:space="preserve"> by course level,</w:t>
      </w:r>
      <w:r w:rsidRPr="00252027">
        <w:rPr>
          <w:color w:val="000000" w:themeColor="text1"/>
        </w:rPr>
        <w:t xml:space="preserve"> 202</w:t>
      </w:r>
      <w:r w:rsidR="009A78A9" w:rsidRPr="00252027">
        <w:rPr>
          <w:color w:val="000000" w:themeColor="text1"/>
        </w:rPr>
        <w:t>4</w:t>
      </w:r>
      <w:r w:rsidRPr="00252027">
        <w:rPr>
          <w:color w:val="000000" w:themeColor="text1"/>
        </w:rPr>
        <w:t xml:space="preserve"> (% positive rating)</w:t>
      </w:r>
      <w:bookmarkEnd w:id="97"/>
    </w:p>
    <w:p w14:paraId="554CD891" w14:textId="276F0610" w:rsidR="002A135C" w:rsidRPr="002A135C" w:rsidRDefault="002A135C" w:rsidP="002A135C">
      <w:pPr>
        <w:pStyle w:val="Body"/>
        <w:rPr>
          <w:lang w:eastAsia="en-AU"/>
        </w:rPr>
      </w:pPr>
      <w:r>
        <w:rPr>
          <w:noProof/>
          <w:lang w:eastAsia="en-AU"/>
        </w:rPr>
        <w:drawing>
          <wp:inline distT="0" distB="0" distL="0" distR="0" wp14:anchorId="781C571A" wp14:editId="3B2F7A2E">
            <wp:extent cx="6748780" cy="4218940"/>
            <wp:effectExtent l="0" t="0" r="0" b="0"/>
            <wp:docPr id="9408438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48780" cy="4218940"/>
                    </a:xfrm>
                    <a:prstGeom prst="rect">
                      <a:avLst/>
                    </a:prstGeom>
                    <a:noFill/>
                  </pic:spPr>
                </pic:pic>
              </a:graphicData>
            </a:graphic>
          </wp:inline>
        </w:drawing>
      </w:r>
    </w:p>
    <w:p w14:paraId="0CF68D6B" w14:textId="77777777" w:rsidR="00BE3EB6" w:rsidRDefault="0004691B">
      <w:pPr>
        <w:spacing w:after="160" w:line="259" w:lineRule="auto"/>
        <w:sectPr w:rsidR="00BE3EB6" w:rsidSect="00980B51">
          <w:pgSz w:w="11900" w:h="16840"/>
          <w:pgMar w:top="852" w:right="560" w:bottom="994" w:left="710" w:header="567" w:footer="567" w:gutter="0"/>
          <w:cols w:space="708"/>
          <w:docGrid w:linePitch="360"/>
        </w:sectPr>
      </w:pPr>
      <w:r>
        <w:br w:type="page"/>
      </w:r>
    </w:p>
    <w:p w14:paraId="6C289B51" w14:textId="1DE98D3F" w:rsidR="002A135C" w:rsidRPr="00054E0E" w:rsidRDefault="002A135C" w:rsidP="002A135C">
      <w:pPr>
        <w:pStyle w:val="Body"/>
      </w:pPr>
      <w:bookmarkStart w:id="98" w:name="_Ref199600583"/>
      <w:bookmarkStart w:id="99" w:name="_Toc206692293"/>
      <w:r>
        <w:rPr>
          <w:b/>
          <w:bCs/>
        </w:rPr>
        <w:lastRenderedPageBreak/>
        <w:t>Table 1</w:t>
      </w:r>
      <w:r>
        <w:rPr>
          <w:b/>
          <w:bCs/>
        </w:rPr>
        <w:t xml:space="preserve"> </w:t>
      </w:r>
      <w:r w:rsidRPr="00BF7E49">
        <w:t xml:space="preserve">presents </w:t>
      </w:r>
      <w:r w:rsidRPr="0066612F">
        <w:t>satisfaction ratings from</w:t>
      </w:r>
      <w:r w:rsidRPr="005D5236">
        <w:t xml:space="preserve"> international undergraduate </w:t>
      </w:r>
      <w:r w:rsidRPr="00BF7E49">
        <w:t xml:space="preserve">students from the top </w:t>
      </w:r>
      <w:r>
        <w:t>5</w:t>
      </w:r>
      <w:r w:rsidRPr="00BF7E49">
        <w:t xml:space="preserve"> source countries</w:t>
      </w:r>
      <w:r w:rsidRPr="0066612F">
        <w:t>, focusing on</w:t>
      </w:r>
      <w:r>
        <w:t xml:space="preserve"> </w:t>
      </w:r>
      <w:r w:rsidRPr="00BF7E49">
        <w:t xml:space="preserve">various </w:t>
      </w:r>
      <w:r>
        <w:t>aspects of</w:t>
      </w:r>
      <w:r w:rsidRPr="005D5236">
        <w:t xml:space="preserve"> living </w:t>
      </w:r>
      <w:r>
        <w:t>in Australia</w:t>
      </w:r>
      <w:r w:rsidRPr="00BF7E49">
        <w:t>.</w:t>
      </w:r>
      <w:r w:rsidRPr="00054E0E">
        <w:t xml:space="preserve"> </w:t>
      </w:r>
      <w:r w:rsidRPr="0066612F">
        <w:t>As noted</w:t>
      </w:r>
      <w:r w:rsidRPr="00BF7E49">
        <w:t xml:space="preserve"> earlier, these results </w:t>
      </w:r>
      <w:r w:rsidRPr="0066612F">
        <w:t>are based solely on</w:t>
      </w:r>
      <w:r w:rsidRPr="00BF7E49">
        <w:t xml:space="preserve"> students who were </w:t>
      </w:r>
      <w:r w:rsidRPr="0066612F">
        <w:t>residing</w:t>
      </w:r>
      <w:r w:rsidRPr="00BF7E49">
        <w:t xml:space="preserve"> in Australia at the time of the survey and </w:t>
      </w:r>
      <w:r w:rsidRPr="0066612F">
        <w:t>exclude</w:t>
      </w:r>
      <w:r w:rsidRPr="00BF7E49">
        <w:t xml:space="preserve"> those </w:t>
      </w:r>
      <w:r w:rsidRPr="0066612F">
        <w:t>who were</w:t>
      </w:r>
      <w:r w:rsidRPr="00BF7E49">
        <w:t xml:space="preserve"> offshore</w:t>
      </w:r>
      <w:r w:rsidRPr="0066612F">
        <w:t xml:space="preserve"> during the survey period</w:t>
      </w:r>
      <w:r w:rsidRPr="00054E0E">
        <w:t xml:space="preserve">. </w:t>
      </w:r>
    </w:p>
    <w:p w14:paraId="6CDB6BA8" w14:textId="77777777" w:rsidR="002A135C" w:rsidRPr="00054E0E" w:rsidRDefault="002A135C" w:rsidP="002A135C">
      <w:pPr>
        <w:pStyle w:val="Body"/>
      </w:pPr>
      <w:r w:rsidRPr="00441148">
        <w:t xml:space="preserve">Although </w:t>
      </w:r>
      <w:r w:rsidRPr="00947C8E">
        <w:t xml:space="preserve">overall satisfaction with living in Australia was high across all groups, there were some noticeable differences between countries. </w:t>
      </w:r>
      <w:r w:rsidRPr="00C646E2">
        <w:t>Students from China</w:t>
      </w:r>
      <w:r w:rsidRPr="00947C8E">
        <w:t xml:space="preserve"> (excluding SARs and Taiwan) tended to rate most aspects of their living experience lower than students from the other major source countries, </w:t>
      </w:r>
      <w:r>
        <w:t>with the exception of</w:t>
      </w:r>
      <w:r w:rsidRPr="00947C8E">
        <w:t xml:space="preserve"> Malaysia. In particular, students </w:t>
      </w:r>
      <w:r>
        <w:t xml:space="preserve">from </w:t>
      </w:r>
      <w:r w:rsidRPr="00C646E2">
        <w:t>China</w:t>
      </w:r>
      <w:r w:rsidRPr="00947C8E">
        <w:t xml:space="preserve"> (excluding SARs and Taiwan</w:t>
      </w:r>
      <w:r>
        <w:t xml:space="preserve">) </w:t>
      </w:r>
      <w:r w:rsidRPr="00947C8E">
        <w:t xml:space="preserve">reported lower satisfaction with </w:t>
      </w:r>
      <w:r>
        <w:t>p</w:t>
      </w:r>
      <w:r w:rsidRPr="00947C8E">
        <w:t>ublic transport</w:t>
      </w:r>
      <w:r>
        <w:t xml:space="preserve"> </w:t>
      </w:r>
      <w:r w:rsidRPr="00947C8E">
        <w:t xml:space="preserve">and </w:t>
      </w:r>
      <w:r>
        <w:t>o</w:t>
      </w:r>
      <w:r w:rsidRPr="00947C8E">
        <w:t>pportunities to improve their English skills.</w:t>
      </w:r>
    </w:p>
    <w:p w14:paraId="38BE0857" w14:textId="77777777" w:rsidR="002A135C" w:rsidRDefault="002A135C" w:rsidP="002A135C">
      <w:pPr>
        <w:pStyle w:val="Body"/>
      </w:pPr>
      <w:r w:rsidRPr="00B44696">
        <w:t xml:space="preserve">In contrast, </w:t>
      </w:r>
      <w:r>
        <w:t xml:space="preserve">undergraduate </w:t>
      </w:r>
      <w:r w:rsidRPr="00B44696">
        <w:t xml:space="preserve">students from Nepal gave consistently higher ratings across nearly all aspects of their living experience. They were especially positive about </w:t>
      </w:r>
      <w:r>
        <w:t>e</w:t>
      </w:r>
      <w:r w:rsidRPr="00B44696">
        <w:t xml:space="preserve">mployment while studying, </w:t>
      </w:r>
      <w:r>
        <w:t>g</w:t>
      </w:r>
      <w:r w:rsidRPr="00B44696">
        <w:t xml:space="preserve">aining work experience in their field, and </w:t>
      </w:r>
      <w:r>
        <w:t>m</w:t>
      </w:r>
      <w:r w:rsidRPr="00B44696">
        <w:t xml:space="preserve">aking friends—suggesting </w:t>
      </w:r>
      <w:r>
        <w:t xml:space="preserve">perhaps </w:t>
      </w:r>
      <w:r w:rsidRPr="00B44696">
        <w:t>a more positive integration into both academic and social life in Australia</w:t>
      </w:r>
      <w:r w:rsidRPr="00C646E2">
        <w:t xml:space="preserve">. </w:t>
      </w:r>
    </w:p>
    <w:p w14:paraId="2D4B3EA4" w14:textId="07D863B2" w:rsidR="00371877" w:rsidRPr="00252027" w:rsidRDefault="00433EB0" w:rsidP="000F36FF">
      <w:pPr>
        <w:pStyle w:val="Caption"/>
        <w:spacing w:before="0"/>
        <w:rPr>
          <w:color w:val="000000" w:themeColor="text1"/>
        </w:rPr>
      </w:pPr>
      <w:r w:rsidRPr="00252027">
        <w:rPr>
          <w:color w:val="000000" w:themeColor="text1"/>
        </w:rPr>
        <w:t xml:space="preserve">Table </w:t>
      </w:r>
      <w:r w:rsidR="001E216A" w:rsidRPr="00252027">
        <w:rPr>
          <w:color w:val="000000" w:themeColor="text1"/>
        </w:rPr>
        <w:fldChar w:fldCharType="begin"/>
      </w:r>
      <w:r w:rsidR="001E216A" w:rsidRPr="00252027">
        <w:rPr>
          <w:color w:val="000000" w:themeColor="text1"/>
        </w:rPr>
        <w:instrText xml:space="preserve"> SEQ Table \* ARABIC </w:instrText>
      </w:r>
      <w:r w:rsidR="001E216A" w:rsidRPr="00252027">
        <w:rPr>
          <w:color w:val="000000" w:themeColor="text1"/>
        </w:rPr>
        <w:fldChar w:fldCharType="separate"/>
      </w:r>
      <w:r w:rsidR="00F96AB4">
        <w:rPr>
          <w:noProof/>
          <w:color w:val="000000" w:themeColor="text1"/>
        </w:rPr>
        <w:t>1</w:t>
      </w:r>
      <w:r w:rsidR="001E216A" w:rsidRPr="00252027">
        <w:rPr>
          <w:noProof/>
          <w:color w:val="000000" w:themeColor="text1"/>
        </w:rPr>
        <w:fldChar w:fldCharType="end"/>
      </w:r>
      <w:bookmarkEnd w:id="98"/>
      <w:r w:rsidRPr="00252027">
        <w:rPr>
          <w:color w:val="000000" w:themeColor="text1"/>
        </w:rPr>
        <w:t xml:space="preserve"> International undergraduate student living experience by source country, 2024 (% positive rating)</w:t>
      </w:r>
      <w:bookmarkEnd w:id="99"/>
    </w:p>
    <w:tbl>
      <w:tblPr>
        <w:tblStyle w:val="TableGrid"/>
        <w:tblW w:w="15163" w:type="dxa"/>
        <w:tblLayout w:type="fixed"/>
        <w:tblLook w:val="04A0" w:firstRow="1" w:lastRow="0" w:firstColumn="1" w:lastColumn="0" w:noHBand="0" w:noVBand="1"/>
      </w:tblPr>
      <w:tblGrid>
        <w:gridCol w:w="1751"/>
        <w:gridCol w:w="1475"/>
        <w:gridCol w:w="1475"/>
        <w:gridCol w:w="1475"/>
        <w:gridCol w:w="1475"/>
        <w:gridCol w:w="1475"/>
        <w:gridCol w:w="1475"/>
        <w:gridCol w:w="1475"/>
        <w:gridCol w:w="1669"/>
        <w:gridCol w:w="1418"/>
      </w:tblGrid>
      <w:tr w:rsidR="00BE3EB6" w:rsidRPr="00B53BA4" w14:paraId="7A443542" w14:textId="77777777" w:rsidTr="00252027">
        <w:trPr>
          <w:cnfStyle w:val="100000000000" w:firstRow="1" w:lastRow="0" w:firstColumn="0" w:lastColumn="0" w:oddVBand="0" w:evenVBand="0" w:oddHBand="0" w:evenHBand="0" w:firstRowFirstColumn="0" w:firstRowLastColumn="0" w:lastRowFirstColumn="0" w:lastRowLastColumn="0"/>
          <w:trHeight w:val="823"/>
        </w:trPr>
        <w:tc>
          <w:tcPr>
            <w:tcW w:w="1751" w:type="dxa"/>
          </w:tcPr>
          <w:p w14:paraId="11084D3A" w14:textId="77777777" w:rsidR="00371877" w:rsidRPr="00B53BA4" w:rsidRDefault="00371877" w:rsidP="00735EE6">
            <w:pPr>
              <w:pStyle w:val="BodyText"/>
              <w:rPr>
                <w:rFonts w:cs="Arial"/>
                <w:sz w:val="18"/>
              </w:rPr>
            </w:pPr>
          </w:p>
        </w:tc>
        <w:tc>
          <w:tcPr>
            <w:tcW w:w="1475" w:type="dxa"/>
          </w:tcPr>
          <w:p w14:paraId="06875BC0" w14:textId="77777777"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Employment while studying</w:t>
            </w:r>
          </w:p>
        </w:tc>
        <w:tc>
          <w:tcPr>
            <w:tcW w:w="1475" w:type="dxa"/>
          </w:tcPr>
          <w:p w14:paraId="11D798A3" w14:textId="77777777"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Improving English skills</w:t>
            </w:r>
          </w:p>
        </w:tc>
        <w:tc>
          <w:tcPr>
            <w:tcW w:w="1475" w:type="dxa"/>
          </w:tcPr>
          <w:p w14:paraId="17076E6C" w14:textId="77777777"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Work experience in field of study</w:t>
            </w:r>
          </w:p>
        </w:tc>
        <w:tc>
          <w:tcPr>
            <w:tcW w:w="1475" w:type="dxa"/>
          </w:tcPr>
          <w:p w14:paraId="1323EA79" w14:textId="77777777"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Transport</w:t>
            </w:r>
          </w:p>
        </w:tc>
        <w:tc>
          <w:tcPr>
            <w:tcW w:w="1475" w:type="dxa"/>
          </w:tcPr>
          <w:p w14:paraId="63E6D123" w14:textId="77777777"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Personal safety on campus</w:t>
            </w:r>
          </w:p>
        </w:tc>
        <w:tc>
          <w:tcPr>
            <w:tcW w:w="1475" w:type="dxa"/>
          </w:tcPr>
          <w:p w14:paraId="28F219DC" w14:textId="77777777"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Personal safety off campus</w:t>
            </w:r>
          </w:p>
        </w:tc>
        <w:tc>
          <w:tcPr>
            <w:tcW w:w="1475" w:type="dxa"/>
          </w:tcPr>
          <w:p w14:paraId="6AD6E735" w14:textId="77777777"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Making friends</w:t>
            </w:r>
          </w:p>
        </w:tc>
        <w:tc>
          <w:tcPr>
            <w:tcW w:w="1669" w:type="dxa"/>
          </w:tcPr>
          <w:p w14:paraId="5170D7BC" w14:textId="77777777"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Accommodation</w:t>
            </w:r>
          </w:p>
        </w:tc>
        <w:tc>
          <w:tcPr>
            <w:tcW w:w="1418" w:type="dxa"/>
          </w:tcPr>
          <w:p w14:paraId="3B2AF6A0" w14:textId="6ADEF0EC"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Overall living experience</w:t>
            </w:r>
          </w:p>
        </w:tc>
      </w:tr>
      <w:tr w:rsidR="00BE3EB6" w:rsidRPr="00B53BA4" w14:paraId="1BE78066" w14:textId="77777777" w:rsidTr="00252027">
        <w:trPr>
          <w:trHeight w:val="414"/>
        </w:trPr>
        <w:tc>
          <w:tcPr>
            <w:tcW w:w="1751" w:type="dxa"/>
            <w:vAlign w:val="center"/>
          </w:tcPr>
          <w:p w14:paraId="25BC1CB7" w14:textId="6B190E29" w:rsidR="0055213F" w:rsidRPr="00B53BA4" w:rsidRDefault="0055213F" w:rsidP="00252027">
            <w:pPr>
              <w:pStyle w:val="Tabletext"/>
              <w:spacing w:before="60" w:after="60"/>
              <w:rPr>
                <w:rFonts w:cs="Arial"/>
                <w:color w:val="auto"/>
                <w:highlight w:val="yellow"/>
              </w:rPr>
            </w:pPr>
            <w:r w:rsidRPr="00B53BA4">
              <w:rPr>
                <w:rFonts w:cs="Arial"/>
                <w:color w:val="auto"/>
              </w:rPr>
              <w:t>Nepal</w:t>
            </w:r>
          </w:p>
        </w:tc>
        <w:tc>
          <w:tcPr>
            <w:tcW w:w="1475" w:type="dxa"/>
            <w:vAlign w:val="center"/>
          </w:tcPr>
          <w:p w14:paraId="3CA65626" w14:textId="4E37BA6A"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87.3</w:t>
            </w:r>
          </w:p>
        </w:tc>
        <w:tc>
          <w:tcPr>
            <w:tcW w:w="1475" w:type="dxa"/>
            <w:vAlign w:val="center"/>
          </w:tcPr>
          <w:p w14:paraId="5443B616" w14:textId="0EAA854E"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97.7</w:t>
            </w:r>
          </w:p>
        </w:tc>
        <w:tc>
          <w:tcPr>
            <w:tcW w:w="1475" w:type="dxa"/>
            <w:vAlign w:val="center"/>
          </w:tcPr>
          <w:p w14:paraId="44AD525E" w14:textId="37822211"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80.4</w:t>
            </w:r>
          </w:p>
        </w:tc>
        <w:tc>
          <w:tcPr>
            <w:tcW w:w="1475" w:type="dxa"/>
            <w:vAlign w:val="center"/>
          </w:tcPr>
          <w:p w14:paraId="483DBAF6" w14:textId="3FA2C488"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82.6</w:t>
            </w:r>
          </w:p>
        </w:tc>
        <w:tc>
          <w:tcPr>
            <w:tcW w:w="1475" w:type="dxa"/>
            <w:vAlign w:val="center"/>
          </w:tcPr>
          <w:p w14:paraId="033A4EE8" w14:textId="3F991605"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98.4</w:t>
            </w:r>
          </w:p>
        </w:tc>
        <w:tc>
          <w:tcPr>
            <w:tcW w:w="1475" w:type="dxa"/>
            <w:vAlign w:val="center"/>
          </w:tcPr>
          <w:p w14:paraId="6EF1BE18" w14:textId="51F4FCEF"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92.5</w:t>
            </w:r>
          </w:p>
        </w:tc>
        <w:tc>
          <w:tcPr>
            <w:tcW w:w="1475" w:type="dxa"/>
            <w:vAlign w:val="center"/>
          </w:tcPr>
          <w:p w14:paraId="4B16982E" w14:textId="6E2BC734"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92</w:t>
            </w:r>
            <w:r w:rsidR="00235EEE" w:rsidRPr="00B53BA4">
              <w:rPr>
                <w:rFonts w:cs="Arial"/>
                <w:color w:val="auto"/>
              </w:rPr>
              <w:t>.0</w:t>
            </w:r>
          </w:p>
        </w:tc>
        <w:tc>
          <w:tcPr>
            <w:tcW w:w="1669" w:type="dxa"/>
            <w:vAlign w:val="center"/>
          </w:tcPr>
          <w:p w14:paraId="3CD8F80D" w14:textId="751D8326" w:rsidR="0055213F" w:rsidRPr="00B53BA4" w:rsidRDefault="0055213F" w:rsidP="00252027">
            <w:pPr>
              <w:pStyle w:val="Tabletext"/>
              <w:spacing w:before="60" w:after="60"/>
              <w:ind w:right="510"/>
              <w:jc w:val="right"/>
              <w:rPr>
                <w:rFonts w:cs="Arial"/>
                <w:color w:val="auto"/>
                <w:highlight w:val="yellow"/>
              </w:rPr>
            </w:pPr>
            <w:r w:rsidRPr="00B53BA4">
              <w:rPr>
                <w:rFonts w:cs="Arial"/>
                <w:color w:val="auto"/>
              </w:rPr>
              <w:t>92.7</w:t>
            </w:r>
          </w:p>
        </w:tc>
        <w:tc>
          <w:tcPr>
            <w:tcW w:w="1418" w:type="dxa"/>
            <w:vAlign w:val="center"/>
          </w:tcPr>
          <w:p w14:paraId="6AB0CE4E" w14:textId="327456FC" w:rsidR="0055213F" w:rsidRPr="00B53BA4" w:rsidRDefault="0055213F" w:rsidP="00252027">
            <w:pPr>
              <w:pStyle w:val="Tabletext"/>
              <w:spacing w:before="60" w:after="60"/>
              <w:ind w:right="425"/>
              <w:jc w:val="right"/>
              <w:rPr>
                <w:rFonts w:cs="Arial"/>
                <w:color w:val="auto"/>
                <w:highlight w:val="yellow"/>
              </w:rPr>
            </w:pPr>
            <w:r w:rsidRPr="00B53BA4">
              <w:rPr>
                <w:rFonts w:cs="Arial"/>
                <w:color w:val="auto"/>
              </w:rPr>
              <w:t>94.1</w:t>
            </w:r>
          </w:p>
        </w:tc>
      </w:tr>
      <w:tr w:rsidR="00BE3EB6" w:rsidRPr="00B53BA4" w14:paraId="1CB580B4" w14:textId="77777777" w:rsidTr="00252027">
        <w:trPr>
          <w:trHeight w:val="414"/>
        </w:trPr>
        <w:tc>
          <w:tcPr>
            <w:tcW w:w="1751" w:type="dxa"/>
            <w:vAlign w:val="center"/>
          </w:tcPr>
          <w:p w14:paraId="1B357869" w14:textId="2AD31471" w:rsidR="0055213F" w:rsidRPr="00B53BA4" w:rsidRDefault="0055213F" w:rsidP="00252027">
            <w:pPr>
              <w:pStyle w:val="Tabletext"/>
              <w:spacing w:before="60" w:after="60"/>
              <w:rPr>
                <w:rFonts w:cs="Arial"/>
                <w:color w:val="auto"/>
                <w:highlight w:val="yellow"/>
              </w:rPr>
            </w:pPr>
            <w:r w:rsidRPr="00B53BA4">
              <w:rPr>
                <w:rFonts w:cs="Arial"/>
                <w:color w:val="auto"/>
              </w:rPr>
              <w:t>China (excludes SARs and Taiwan)</w:t>
            </w:r>
          </w:p>
        </w:tc>
        <w:tc>
          <w:tcPr>
            <w:tcW w:w="1475" w:type="dxa"/>
            <w:vAlign w:val="center"/>
          </w:tcPr>
          <w:p w14:paraId="6D592630" w14:textId="3D5E2FFB"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74.6</w:t>
            </w:r>
          </w:p>
        </w:tc>
        <w:tc>
          <w:tcPr>
            <w:tcW w:w="1475" w:type="dxa"/>
            <w:vAlign w:val="center"/>
          </w:tcPr>
          <w:p w14:paraId="101AFBAC" w14:textId="432014F0"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90.5</w:t>
            </w:r>
          </w:p>
        </w:tc>
        <w:tc>
          <w:tcPr>
            <w:tcW w:w="1475" w:type="dxa"/>
            <w:vAlign w:val="center"/>
          </w:tcPr>
          <w:p w14:paraId="7635AF40" w14:textId="6B1186EF"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73</w:t>
            </w:r>
            <w:r w:rsidR="00AB59F3" w:rsidRPr="00B53BA4">
              <w:rPr>
                <w:rFonts w:cs="Arial"/>
                <w:color w:val="auto"/>
              </w:rPr>
              <w:t>.0</w:t>
            </w:r>
          </w:p>
        </w:tc>
        <w:tc>
          <w:tcPr>
            <w:tcW w:w="1475" w:type="dxa"/>
            <w:vAlign w:val="center"/>
          </w:tcPr>
          <w:p w14:paraId="04912C2E" w14:textId="35211301"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66.1</w:t>
            </w:r>
          </w:p>
        </w:tc>
        <w:tc>
          <w:tcPr>
            <w:tcW w:w="1475" w:type="dxa"/>
            <w:vAlign w:val="center"/>
          </w:tcPr>
          <w:p w14:paraId="505892FD" w14:textId="2C0604FA"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95.4</w:t>
            </w:r>
          </w:p>
        </w:tc>
        <w:tc>
          <w:tcPr>
            <w:tcW w:w="1475" w:type="dxa"/>
            <w:vAlign w:val="center"/>
          </w:tcPr>
          <w:p w14:paraId="710BC92D" w14:textId="710EA3AB"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81.3</w:t>
            </w:r>
          </w:p>
        </w:tc>
        <w:tc>
          <w:tcPr>
            <w:tcW w:w="1475" w:type="dxa"/>
            <w:vAlign w:val="center"/>
          </w:tcPr>
          <w:p w14:paraId="6C31B84F" w14:textId="628B6A59"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82.3</w:t>
            </w:r>
          </w:p>
        </w:tc>
        <w:tc>
          <w:tcPr>
            <w:tcW w:w="1669" w:type="dxa"/>
            <w:vAlign w:val="center"/>
          </w:tcPr>
          <w:p w14:paraId="4A789D5E" w14:textId="3B661D06" w:rsidR="0055213F" w:rsidRPr="00B53BA4" w:rsidRDefault="0055213F" w:rsidP="00252027">
            <w:pPr>
              <w:pStyle w:val="Tabletext"/>
              <w:spacing w:before="60" w:after="60"/>
              <w:ind w:right="510"/>
              <w:jc w:val="right"/>
              <w:rPr>
                <w:rFonts w:cs="Arial"/>
                <w:color w:val="auto"/>
                <w:highlight w:val="yellow"/>
              </w:rPr>
            </w:pPr>
            <w:r w:rsidRPr="00B53BA4">
              <w:rPr>
                <w:rFonts w:cs="Arial"/>
                <w:color w:val="auto"/>
              </w:rPr>
              <w:t>89.8</w:t>
            </w:r>
          </w:p>
        </w:tc>
        <w:tc>
          <w:tcPr>
            <w:tcW w:w="1418" w:type="dxa"/>
            <w:vAlign w:val="center"/>
          </w:tcPr>
          <w:p w14:paraId="103A03EE" w14:textId="2438E9F2" w:rsidR="0055213F" w:rsidRPr="00B53BA4" w:rsidRDefault="0055213F" w:rsidP="00252027">
            <w:pPr>
              <w:pStyle w:val="Tabletext"/>
              <w:spacing w:before="60" w:after="60"/>
              <w:ind w:right="425"/>
              <w:jc w:val="right"/>
              <w:rPr>
                <w:rFonts w:cs="Arial"/>
                <w:color w:val="auto"/>
                <w:highlight w:val="yellow"/>
              </w:rPr>
            </w:pPr>
            <w:r w:rsidRPr="00B53BA4">
              <w:rPr>
                <w:rFonts w:cs="Arial"/>
                <w:color w:val="auto"/>
              </w:rPr>
              <w:t>90.4</w:t>
            </w:r>
          </w:p>
        </w:tc>
      </w:tr>
      <w:tr w:rsidR="00BE3EB6" w:rsidRPr="00B53BA4" w14:paraId="5CDBC4A5" w14:textId="77777777" w:rsidTr="00252027">
        <w:trPr>
          <w:trHeight w:val="414"/>
        </w:trPr>
        <w:tc>
          <w:tcPr>
            <w:tcW w:w="1751" w:type="dxa"/>
            <w:vAlign w:val="center"/>
          </w:tcPr>
          <w:p w14:paraId="7A17388D" w14:textId="0F87F45F" w:rsidR="0055213F" w:rsidRPr="00B53BA4" w:rsidRDefault="0055213F" w:rsidP="00252027">
            <w:pPr>
              <w:pStyle w:val="Tabletext"/>
              <w:spacing w:before="60" w:after="60"/>
              <w:rPr>
                <w:rFonts w:cs="Arial"/>
                <w:color w:val="auto"/>
                <w:highlight w:val="yellow"/>
              </w:rPr>
            </w:pPr>
            <w:r w:rsidRPr="00B53BA4">
              <w:rPr>
                <w:rFonts w:cs="Arial"/>
                <w:color w:val="auto"/>
              </w:rPr>
              <w:t>India</w:t>
            </w:r>
          </w:p>
        </w:tc>
        <w:tc>
          <w:tcPr>
            <w:tcW w:w="1475" w:type="dxa"/>
            <w:vAlign w:val="center"/>
          </w:tcPr>
          <w:p w14:paraId="67E17E25" w14:textId="0EC89490"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77.7</w:t>
            </w:r>
          </w:p>
        </w:tc>
        <w:tc>
          <w:tcPr>
            <w:tcW w:w="1475" w:type="dxa"/>
            <w:vAlign w:val="center"/>
          </w:tcPr>
          <w:p w14:paraId="50B13445" w14:textId="29761B3B"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96.9</w:t>
            </w:r>
          </w:p>
        </w:tc>
        <w:tc>
          <w:tcPr>
            <w:tcW w:w="1475" w:type="dxa"/>
            <w:vAlign w:val="center"/>
          </w:tcPr>
          <w:p w14:paraId="392F2B4F" w14:textId="0ACCBE70"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73.9</w:t>
            </w:r>
          </w:p>
        </w:tc>
        <w:tc>
          <w:tcPr>
            <w:tcW w:w="1475" w:type="dxa"/>
            <w:vAlign w:val="center"/>
          </w:tcPr>
          <w:p w14:paraId="619D5348" w14:textId="3BF8C2C1"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80.4</w:t>
            </w:r>
          </w:p>
        </w:tc>
        <w:tc>
          <w:tcPr>
            <w:tcW w:w="1475" w:type="dxa"/>
            <w:vAlign w:val="center"/>
          </w:tcPr>
          <w:p w14:paraId="6B90EC56" w14:textId="297F35CC"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97.9</w:t>
            </w:r>
          </w:p>
        </w:tc>
        <w:tc>
          <w:tcPr>
            <w:tcW w:w="1475" w:type="dxa"/>
            <w:vAlign w:val="center"/>
          </w:tcPr>
          <w:p w14:paraId="31C790C2" w14:textId="70AAB3B2"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91.6</w:t>
            </w:r>
          </w:p>
        </w:tc>
        <w:tc>
          <w:tcPr>
            <w:tcW w:w="1475" w:type="dxa"/>
            <w:vAlign w:val="center"/>
          </w:tcPr>
          <w:p w14:paraId="50094382" w14:textId="6319B6BE"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83.2</w:t>
            </w:r>
          </w:p>
        </w:tc>
        <w:tc>
          <w:tcPr>
            <w:tcW w:w="1669" w:type="dxa"/>
            <w:vAlign w:val="center"/>
          </w:tcPr>
          <w:p w14:paraId="0E6FB4B0" w14:textId="31353116" w:rsidR="0055213F" w:rsidRPr="00B53BA4" w:rsidRDefault="0055213F" w:rsidP="00252027">
            <w:pPr>
              <w:pStyle w:val="Tabletext"/>
              <w:spacing w:before="60" w:after="60"/>
              <w:ind w:right="510"/>
              <w:jc w:val="right"/>
              <w:rPr>
                <w:rFonts w:cs="Arial"/>
                <w:color w:val="auto"/>
                <w:highlight w:val="yellow"/>
              </w:rPr>
            </w:pPr>
            <w:r w:rsidRPr="00B53BA4">
              <w:rPr>
                <w:rFonts w:cs="Arial"/>
                <w:color w:val="auto"/>
              </w:rPr>
              <w:t>90.5</w:t>
            </w:r>
          </w:p>
        </w:tc>
        <w:tc>
          <w:tcPr>
            <w:tcW w:w="1418" w:type="dxa"/>
            <w:vAlign w:val="center"/>
          </w:tcPr>
          <w:p w14:paraId="6E736AF9" w14:textId="4A61FF1B" w:rsidR="0055213F" w:rsidRPr="00B53BA4" w:rsidRDefault="0055213F" w:rsidP="00252027">
            <w:pPr>
              <w:pStyle w:val="Tabletext"/>
              <w:spacing w:before="60" w:after="60"/>
              <w:ind w:right="425"/>
              <w:jc w:val="right"/>
              <w:rPr>
                <w:rFonts w:cs="Arial"/>
                <w:color w:val="auto"/>
                <w:highlight w:val="yellow"/>
              </w:rPr>
            </w:pPr>
            <w:r w:rsidRPr="00B53BA4">
              <w:rPr>
                <w:rFonts w:cs="Arial"/>
                <w:color w:val="auto"/>
              </w:rPr>
              <w:t>93.3</w:t>
            </w:r>
          </w:p>
        </w:tc>
      </w:tr>
      <w:tr w:rsidR="00BE3EB6" w:rsidRPr="00B53BA4" w14:paraId="329B8F67" w14:textId="77777777" w:rsidTr="00252027">
        <w:trPr>
          <w:trHeight w:val="414"/>
        </w:trPr>
        <w:tc>
          <w:tcPr>
            <w:tcW w:w="1751" w:type="dxa"/>
            <w:vAlign w:val="center"/>
          </w:tcPr>
          <w:p w14:paraId="7613E73F" w14:textId="734D1C0B" w:rsidR="0055213F" w:rsidRPr="00B53BA4" w:rsidRDefault="0055213F" w:rsidP="00252027">
            <w:pPr>
              <w:pStyle w:val="Tabletext"/>
              <w:spacing w:before="60" w:after="60"/>
              <w:rPr>
                <w:rFonts w:cs="Arial"/>
                <w:color w:val="auto"/>
                <w:highlight w:val="yellow"/>
              </w:rPr>
            </w:pPr>
            <w:r w:rsidRPr="00B53BA4">
              <w:rPr>
                <w:rFonts w:cs="Arial"/>
                <w:color w:val="auto"/>
              </w:rPr>
              <w:t>Vietnam</w:t>
            </w:r>
          </w:p>
        </w:tc>
        <w:tc>
          <w:tcPr>
            <w:tcW w:w="1475" w:type="dxa"/>
            <w:vAlign w:val="center"/>
          </w:tcPr>
          <w:p w14:paraId="749B5F02" w14:textId="739293AC"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80.1</w:t>
            </w:r>
          </w:p>
        </w:tc>
        <w:tc>
          <w:tcPr>
            <w:tcW w:w="1475" w:type="dxa"/>
            <w:vAlign w:val="center"/>
          </w:tcPr>
          <w:p w14:paraId="0798CB23" w14:textId="57217A04"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96.3</w:t>
            </w:r>
          </w:p>
        </w:tc>
        <w:tc>
          <w:tcPr>
            <w:tcW w:w="1475" w:type="dxa"/>
            <w:vAlign w:val="center"/>
          </w:tcPr>
          <w:p w14:paraId="0BB5B77D" w14:textId="17335FB8"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76.5</w:t>
            </w:r>
          </w:p>
        </w:tc>
        <w:tc>
          <w:tcPr>
            <w:tcW w:w="1475" w:type="dxa"/>
            <w:vAlign w:val="center"/>
          </w:tcPr>
          <w:p w14:paraId="554CEB9C" w14:textId="79F8B08D"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75.7</w:t>
            </w:r>
          </w:p>
        </w:tc>
        <w:tc>
          <w:tcPr>
            <w:tcW w:w="1475" w:type="dxa"/>
            <w:vAlign w:val="center"/>
          </w:tcPr>
          <w:p w14:paraId="02F7982B" w14:textId="3450C325"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97.6</w:t>
            </w:r>
          </w:p>
        </w:tc>
        <w:tc>
          <w:tcPr>
            <w:tcW w:w="1475" w:type="dxa"/>
            <w:vAlign w:val="center"/>
          </w:tcPr>
          <w:p w14:paraId="6F954A96" w14:textId="585BB369"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89.2</w:t>
            </w:r>
          </w:p>
        </w:tc>
        <w:tc>
          <w:tcPr>
            <w:tcW w:w="1475" w:type="dxa"/>
            <w:vAlign w:val="center"/>
          </w:tcPr>
          <w:p w14:paraId="4D5B59B3" w14:textId="53F014AC"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87.8</w:t>
            </w:r>
          </w:p>
        </w:tc>
        <w:tc>
          <w:tcPr>
            <w:tcW w:w="1669" w:type="dxa"/>
            <w:vAlign w:val="center"/>
          </w:tcPr>
          <w:p w14:paraId="448D0683" w14:textId="49699031" w:rsidR="0055213F" w:rsidRPr="00B53BA4" w:rsidRDefault="0055213F" w:rsidP="00252027">
            <w:pPr>
              <w:pStyle w:val="Tabletext"/>
              <w:spacing w:before="60" w:after="60"/>
              <w:ind w:right="510"/>
              <w:jc w:val="right"/>
              <w:rPr>
                <w:rFonts w:cs="Arial"/>
                <w:color w:val="auto"/>
                <w:highlight w:val="yellow"/>
              </w:rPr>
            </w:pPr>
            <w:r w:rsidRPr="00B53BA4">
              <w:rPr>
                <w:rFonts w:cs="Arial"/>
                <w:color w:val="auto"/>
              </w:rPr>
              <w:t>92.4</w:t>
            </w:r>
          </w:p>
        </w:tc>
        <w:tc>
          <w:tcPr>
            <w:tcW w:w="1418" w:type="dxa"/>
            <w:vAlign w:val="center"/>
          </w:tcPr>
          <w:p w14:paraId="713FAB4D" w14:textId="7263B439" w:rsidR="0055213F" w:rsidRPr="00B53BA4" w:rsidRDefault="0055213F" w:rsidP="00252027">
            <w:pPr>
              <w:pStyle w:val="Tabletext"/>
              <w:spacing w:before="60" w:after="60"/>
              <w:ind w:right="425"/>
              <w:jc w:val="right"/>
              <w:rPr>
                <w:rFonts w:cs="Arial"/>
                <w:color w:val="auto"/>
                <w:highlight w:val="yellow"/>
              </w:rPr>
            </w:pPr>
            <w:r w:rsidRPr="00B53BA4">
              <w:rPr>
                <w:rFonts w:cs="Arial"/>
                <w:color w:val="auto"/>
              </w:rPr>
              <w:t>92.9</w:t>
            </w:r>
          </w:p>
        </w:tc>
      </w:tr>
      <w:tr w:rsidR="00BE3EB6" w:rsidRPr="00B53BA4" w14:paraId="0FB7E1B9" w14:textId="77777777" w:rsidTr="00252027">
        <w:trPr>
          <w:trHeight w:val="414"/>
        </w:trPr>
        <w:tc>
          <w:tcPr>
            <w:tcW w:w="1751" w:type="dxa"/>
            <w:vAlign w:val="center"/>
          </w:tcPr>
          <w:p w14:paraId="14D92196" w14:textId="5C383790" w:rsidR="0055213F" w:rsidRPr="00B53BA4" w:rsidRDefault="0055213F" w:rsidP="00252027">
            <w:pPr>
              <w:pStyle w:val="Tabletext"/>
              <w:spacing w:before="60" w:after="60"/>
              <w:rPr>
                <w:rFonts w:cs="Arial"/>
                <w:color w:val="auto"/>
                <w:highlight w:val="yellow"/>
              </w:rPr>
            </w:pPr>
            <w:r w:rsidRPr="00B53BA4">
              <w:rPr>
                <w:rFonts w:cs="Arial"/>
                <w:color w:val="auto"/>
              </w:rPr>
              <w:t>Malaysia</w:t>
            </w:r>
          </w:p>
        </w:tc>
        <w:tc>
          <w:tcPr>
            <w:tcW w:w="1475" w:type="dxa"/>
            <w:vAlign w:val="center"/>
          </w:tcPr>
          <w:p w14:paraId="68EA2FB0" w14:textId="0758AFCE"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73.4</w:t>
            </w:r>
          </w:p>
        </w:tc>
        <w:tc>
          <w:tcPr>
            <w:tcW w:w="1475" w:type="dxa"/>
            <w:vAlign w:val="center"/>
          </w:tcPr>
          <w:p w14:paraId="7B34559D" w14:textId="41A3B1C4"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95.3</w:t>
            </w:r>
          </w:p>
        </w:tc>
        <w:tc>
          <w:tcPr>
            <w:tcW w:w="1475" w:type="dxa"/>
            <w:vAlign w:val="center"/>
          </w:tcPr>
          <w:p w14:paraId="21C570B5" w14:textId="324D0BCE"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69.4</w:t>
            </w:r>
          </w:p>
        </w:tc>
        <w:tc>
          <w:tcPr>
            <w:tcW w:w="1475" w:type="dxa"/>
            <w:vAlign w:val="center"/>
          </w:tcPr>
          <w:p w14:paraId="2E818F38" w14:textId="091B1A5F"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77.4</w:t>
            </w:r>
          </w:p>
        </w:tc>
        <w:tc>
          <w:tcPr>
            <w:tcW w:w="1475" w:type="dxa"/>
            <w:vAlign w:val="center"/>
          </w:tcPr>
          <w:p w14:paraId="3B602B6A" w14:textId="0381667B"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97.3</w:t>
            </w:r>
          </w:p>
        </w:tc>
        <w:tc>
          <w:tcPr>
            <w:tcW w:w="1475" w:type="dxa"/>
            <w:vAlign w:val="center"/>
          </w:tcPr>
          <w:p w14:paraId="736E53B4" w14:textId="771069AB"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81.8</w:t>
            </w:r>
          </w:p>
        </w:tc>
        <w:tc>
          <w:tcPr>
            <w:tcW w:w="1475" w:type="dxa"/>
            <w:vAlign w:val="center"/>
          </w:tcPr>
          <w:p w14:paraId="6A8E0431" w14:textId="3F6A970A"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82</w:t>
            </w:r>
            <w:r w:rsidR="00C646E2" w:rsidRPr="00B53BA4">
              <w:rPr>
                <w:rFonts w:cs="Arial"/>
                <w:color w:val="auto"/>
              </w:rPr>
              <w:t>.0</w:t>
            </w:r>
          </w:p>
        </w:tc>
        <w:tc>
          <w:tcPr>
            <w:tcW w:w="1669" w:type="dxa"/>
            <w:vAlign w:val="center"/>
          </w:tcPr>
          <w:p w14:paraId="6543C9E7" w14:textId="1455CB1A" w:rsidR="0055213F" w:rsidRPr="00B53BA4" w:rsidRDefault="0055213F" w:rsidP="00252027">
            <w:pPr>
              <w:pStyle w:val="Tabletext"/>
              <w:spacing w:before="60" w:after="60"/>
              <w:ind w:right="510"/>
              <w:jc w:val="right"/>
              <w:rPr>
                <w:rFonts w:cs="Arial"/>
                <w:color w:val="auto"/>
                <w:highlight w:val="yellow"/>
              </w:rPr>
            </w:pPr>
            <w:r w:rsidRPr="00B53BA4">
              <w:rPr>
                <w:rFonts w:cs="Arial"/>
                <w:color w:val="auto"/>
              </w:rPr>
              <w:t>89.3</w:t>
            </w:r>
          </w:p>
        </w:tc>
        <w:tc>
          <w:tcPr>
            <w:tcW w:w="1418" w:type="dxa"/>
            <w:vAlign w:val="center"/>
          </w:tcPr>
          <w:p w14:paraId="74A597A7" w14:textId="2A2548DB" w:rsidR="0055213F" w:rsidRPr="00B53BA4" w:rsidRDefault="0055213F" w:rsidP="00252027">
            <w:pPr>
              <w:pStyle w:val="Tabletext"/>
              <w:spacing w:before="60" w:after="60"/>
              <w:ind w:right="425"/>
              <w:jc w:val="right"/>
              <w:rPr>
                <w:rFonts w:cs="Arial"/>
                <w:color w:val="auto"/>
                <w:highlight w:val="yellow"/>
              </w:rPr>
            </w:pPr>
            <w:r w:rsidRPr="00B53BA4">
              <w:rPr>
                <w:rFonts w:cs="Arial"/>
                <w:color w:val="auto"/>
              </w:rPr>
              <w:t>93.3</w:t>
            </w:r>
          </w:p>
        </w:tc>
      </w:tr>
      <w:tr w:rsidR="00BE3EB6" w:rsidRPr="00B53BA4" w14:paraId="0B5FC887" w14:textId="77777777" w:rsidTr="00252027">
        <w:trPr>
          <w:trHeight w:val="414"/>
        </w:trPr>
        <w:tc>
          <w:tcPr>
            <w:tcW w:w="1751" w:type="dxa"/>
            <w:vAlign w:val="center"/>
          </w:tcPr>
          <w:p w14:paraId="1C5B3A05" w14:textId="15C815A5" w:rsidR="0055213F" w:rsidRPr="00B53BA4" w:rsidRDefault="0055213F" w:rsidP="00252027">
            <w:pPr>
              <w:pStyle w:val="Tabletext"/>
              <w:spacing w:before="60" w:after="60"/>
              <w:rPr>
                <w:rFonts w:cs="Arial"/>
                <w:b/>
                <w:bCs/>
                <w:color w:val="auto"/>
                <w:highlight w:val="yellow"/>
              </w:rPr>
            </w:pPr>
            <w:r w:rsidRPr="00B53BA4">
              <w:rPr>
                <w:rFonts w:cs="Arial"/>
                <w:b/>
                <w:bCs/>
                <w:color w:val="auto"/>
              </w:rPr>
              <w:t>Total international</w:t>
            </w:r>
          </w:p>
        </w:tc>
        <w:tc>
          <w:tcPr>
            <w:tcW w:w="1475" w:type="dxa"/>
            <w:vAlign w:val="center"/>
          </w:tcPr>
          <w:p w14:paraId="72CD940D" w14:textId="058ACD5F" w:rsidR="0055213F" w:rsidRPr="00B53BA4" w:rsidRDefault="0055213F" w:rsidP="00252027">
            <w:pPr>
              <w:pStyle w:val="Tabletext"/>
              <w:spacing w:before="60" w:after="60"/>
              <w:ind w:right="454"/>
              <w:jc w:val="right"/>
              <w:rPr>
                <w:rFonts w:cs="Arial"/>
                <w:b/>
                <w:bCs/>
                <w:color w:val="auto"/>
                <w:highlight w:val="yellow"/>
              </w:rPr>
            </w:pPr>
            <w:r w:rsidRPr="00B53BA4">
              <w:rPr>
                <w:rFonts w:cs="Arial"/>
                <w:b/>
                <w:bCs/>
                <w:color w:val="auto"/>
              </w:rPr>
              <w:t>78.7</w:t>
            </w:r>
          </w:p>
        </w:tc>
        <w:tc>
          <w:tcPr>
            <w:tcW w:w="1475" w:type="dxa"/>
            <w:vAlign w:val="center"/>
          </w:tcPr>
          <w:p w14:paraId="53B5A671" w14:textId="387652D8" w:rsidR="0055213F" w:rsidRPr="00B53BA4" w:rsidRDefault="0055213F" w:rsidP="00252027">
            <w:pPr>
              <w:pStyle w:val="Tabletext"/>
              <w:spacing w:before="60" w:after="60"/>
              <w:ind w:right="454"/>
              <w:jc w:val="right"/>
              <w:rPr>
                <w:rFonts w:cs="Arial"/>
                <w:b/>
                <w:bCs/>
                <w:color w:val="auto"/>
                <w:highlight w:val="yellow"/>
              </w:rPr>
            </w:pPr>
            <w:r w:rsidRPr="00B53BA4">
              <w:rPr>
                <w:rFonts w:cs="Arial"/>
                <w:b/>
                <w:bCs/>
                <w:color w:val="auto"/>
              </w:rPr>
              <w:t>95.2</w:t>
            </w:r>
          </w:p>
        </w:tc>
        <w:tc>
          <w:tcPr>
            <w:tcW w:w="1475" w:type="dxa"/>
            <w:vAlign w:val="center"/>
          </w:tcPr>
          <w:p w14:paraId="7ABF104B" w14:textId="0C57F89E" w:rsidR="0055213F" w:rsidRPr="00B53BA4" w:rsidRDefault="0055213F" w:rsidP="00252027">
            <w:pPr>
              <w:pStyle w:val="Tabletext"/>
              <w:spacing w:before="60" w:after="60"/>
              <w:ind w:right="454"/>
              <w:jc w:val="right"/>
              <w:rPr>
                <w:rFonts w:cs="Arial"/>
                <w:b/>
                <w:bCs/>
                <w:color w:val="auto"/>
                <w:highlight w:val="yellow"/>
              </w:rPr>
            </w:pPr>
            <w:r w:rsidRPr="00B53BA4">
              <w:rPr>
                <w:rFonts w:cs="Arial"/>
                <w:b/>
                <w:bCs/>
                <w:color w:val="auto"/>
              </w:rPr>
              <w:t>73.6</w:t>
            </w:r>
          </w:p>
        </w:tc>
        <w:tc>
          <w:tcPr>
            <w:tcW w:w="1475" w:type="dxa"/>
            <w:vAlign w:val="center"/>
          </w:tcPr>
          <w:p w14:paraId="0EE105E2" w14:textId="0B7B1C45" w:rsidR="0055213F" w:rsidRPr="00B53BA4" w:rsidRDefault="0055213F" w:rsidP="00252027">
            <w:pPr>
              <w:pStyle w:val="Tabletext"/>
              <w:spacing w:before="60" w:after="60"/>
              <w:ind w:right="454"/>
              <w:jc w:val="right"/>
              <w:rPr>
                <w:rFonts w:cs="Arial"/>
                <w:b/>
                <w:bCs/>
                <w:color w:val="auto"/>
                <w:highlight w:val="yellow"/>
              </w:rPr>
            </w:pPr>
            <w:r w:rsidRPr="00B53BA4">
              <w:rPr>
                <w:rFonts w:cs="Arial"/>
                <w:b/>
                <w:bCs/>
                <w:color w:val="auto"/>
              </w:rPr>
              <w:t>76.1</w:t>
            </w:r>
          </w:p>
        </w:tc>
        <w:tc>
          <w:tcPr>
            <w:tcW w:w="1475" w:type="dxa"/>
            <w:vAlign w:val="center"/>
          </w:tcPr>
          <w:p w14:paraId="69AB73A9" w14:textId="2BBE283C" w:rsidR="0055213F" w:rsidRPr="00B53BA4" w:rsidRDefault="0055213F" w:rsidP="00252027">
            <w:pPr>
              <w:pStyle w:val="Tabletext"/>
              <w:spacing w:before="60" w:after="60"/>
              <w:ind w:right="454"/>
              <w:jc w:val="right"/>
              <w:rPr>
                <w:rFonts w:cs="Arial"/>
                <w:b/>
                <w:bCs/>
                <w:color w:val="auto"/>
                <w:highlight w:val="yellow"/>
              </w:rPr>
            </w:pPr>
            <w:r w:rsidRPr="00B53BA4">
              <w:rPr>
                <w:rFonts w:cs="Arial"/>
                <w:b/>
                <w:bCs/>
                <w:color w:val="auto"/>
              </w:rPr>
              <w:t>97.4</w:t>
            </w:r>
          </w:p>
        </w:tc>
        <w:tc>
          <w:tcPr>
            <w:tcW w:w="1475" w:type="dxa"/>
            <w:vAlign w:val="center"/>
          </w:tcPr>
          <w:p w14:paraId="7180FBF3" w14:textId="4297901D" w:rsidR="0055213F" w:rsidRPr="00B53BA4" w:rsidRDefault="0055213F" w:rsidP="00252027">
            <w:pPr>
              <w:pStyle w:val="Tabletext"/>
              <w:spacing w:before="60" w:after="60"/>
              <w:ind w:right="454"/>
              <w:jc w:val="right"/>
              <w:rPr>
                <w:rFonts w:cs="Arial"/>
                <w:b/>
                <w:bCs/>
                <w:color w:val="auto"/>
                <w:highlight w:val="yellow"/>
              </w:rPr>
            </w:pPr>
            <w:r w:rsidRPr="00B53BA4">
              <w:rPr>
                <w:rFonts w:cs="Arial"/>
                <w:b/>
                <w:bCs/>
                <w:color w:val="auto"/>
              </w:rPr>
              <w:t>88.4</w:t>
            </w:r>
          </w:p>
        </w:tc>
        <w:tc>
          <w:tcPr>
            <w:tcW w:w="1475" w:type="dxa"/>
            <w:vAlign w:val="center"/>
          </w:tcPr>
          <w:p w14:paraId="7C4E8625" w14:textId="1AF6FB7B" w:rsidR="0055213F" w:rsidRPr="00B53BA4" w:rsidRDefault="0055213F" w:rsidP="00252027">
            <w:pPr>
              <w:pStyle w:val="Tabletext"/>
              <w:spacing w:before="60" w:after="60"/>
              <w:ind w:right="454"/>
              <w:jc w:val="right"/>
              <w:rPr>
                <w:rFonts w:cs="Arial"/>
                <w:b/>
                <w:bCs/>
                <w:color w:val="auto"/>
                <w:highlight w:val="yellow"/>
              </w:rPr>
            </w:pPr>
            <w:r w:rsidRPr="00B53BA4">
              <w:rPr>
                <w:rFonts w:cs="Arial"/>
                <w:b/>
                <w:bCs/>
                <w:color w:val="auto"/>
              </w:rPr>
              <w:t>84.5</w:t>
            </w:r>
          </w:p>
        </w:tc>
        <w:tc>
          <w:tcPr>
            <w:tcW w:w="1669" w:type="dxa"/>
            <w:vAlign w:val="center"/>
          </w:tcPr>
          <w:p w14:paraId="6B7D36CB" w14:textId="60DB7332" w:rsidR="0055213F" w:rsidRPr="00B53BA4" w:rsidRDefault="0055213F" w:rsidP="00252027">
            <w:pPr>
              <w:pStyle w:val="Tabletext"/>
              <w:spacing w:before="60" w:after="60"/>
              <w:ind w:right="510"/>
              <w:jc w:val="right"/>
              <w:rPr>
                <w:rFonts w:cs="Arial"/>
                <w:b/>
                <w:bCs/>
                <w:color w:val="auto"/>
                <w:highlight w:val="yellow"/>
              </w:rPr>
            </w:pPr>
            <w:r w:rsidRPr="00B53BA4">
              <w:rPr>
                <w:rFonts w:cs="Arial"/>
                <w:b/>
                <w:bCs/>
                <w:color w:val="auto"/>
              </w:rPr>
              <w:t>90.1</w:t>
            </w:r>
          </w:p>
        </w:tc>
        <w:tc>
          <w:tcPr>
            <w:tcW w:w="1418" w:type="dxa"/>
            <w:vAlign w:val="center"/>
          </w:tcPr>
          <w:p w14:paraId="3DAC059A" w14:textId="5861053C" w:rsidR="0055213F" w:rsidRPr="00B53BA4" w:rsidRDefault="0055213F" w:rsidP="00252027">
            <w:pPr>
              <w:pStyle w:val="Tabletext"/>
              <w:spacing w:before="60" w:after="60"/>
              <w:ind w:right="425"/>
              <w:jc w:val="right"/>
              <w:rPr>
                <w:rFonts w:cs="Arial"/>
                <w:b/>
                <w:bCs/>
                <w:color w:val="auto"/>
                <w:highlight w:val="yellow"/>
              </w:rPr>
            </w:pPr>
            <w:r w:rsidRPr="00B53BA4">
              <w:rPr>
                <w:rFonts w:cs="Arial"/>
                <w:b/>
                <w:bCs/>
                <w:color w:val="auto"/>
              </w:rPr>
              <w:t>92.5</w:t>
            </w:r>
          </w:p>
        </w:tc>
      </w:tr>
    </w:tbl>
    <w:p w14:paraId="160A60A7" w14:textId="77777777" w:rsidR="0065283B" w:rsidRPr="009F41B5" w:rsidRDefault="0065283B" w:rsidP="0065283B">
      <w:pPr>
        <w:rPr>
          <w:highlight w:val="yellow"/>
          <w:lang w:eastAsia="en-AU"/>
        </w:rPr>
      </w:pPr>
      <w:r>
        <w:rPr>
          <w:rFonts w:eastAsia="Calibri" w:cs="Times New Roman"/>
          <w:sz w:val="16"/>
          <w:szCs w:val="16"/>
          <w:lang w:val="en-GB"/>
        </w:rPr>
        <w:t xml:space="preserve">Note: </w:t>
      </w:r>
      <w:r w:rsidRPr="00016C8B">
        <w:rPr>
          <w:rFonts w:eastAsia="Calibri" w:cs="Times New Roman"/>
          <w:sz w:val="16"/>
          <w:szCs w:val="16"/>
          <w:lang w:val="en-GB"/>
        </w:rPr>
        <w:t xml:space="preserve">Source country in 2024 </w:t>
      </w:r>
      <w:r>
        <w:rPr>
          <w:rFonts w:eastAsia="Calibri" w:cs="Times New Roman"/>
          <w:sz w:val="16"/>
          <w:szCs w:val="16"/>
          <w:lang w:val="en-GB"/>
        </w:rPr>
        <w:t>wa</w:t>
      </w:r>
      <w:r w:rsidRPr="00016C8B">
        <w:rPr>
          <w:rFonts w:eastAsia="Calibri" w:cs="Times New Roman"/>
          <w:sz w:val="16"/>
          <w:szCs w:val="16"/>
          <w:lang w:val="en-GB"/>
        </w:rPr>
        <w:t>s based on E658 Residential address country code</w:t>
      </w:r>
      <w:r>
        <w:rPr>
          <w:rFonts w:eastAsia="Calibri" w:cs="Times New Roman"/>
          <w:sz w:val="16"/>
          <w:szCs w:val="16"/>
          <w:lang w:val="en-GB"/>
        </w:rPr>
        <w:t>.</w:t>
      </w:r>
      <w:r w:rsidRPr="009F41B5">
        <w:rPr>
          <w:rFonts w:ascii="Segoe UI" w:hAnsi="Segoe UI" w:cs="Segoe UI"/>
          <w:color w:val="424242"/>
          <w:shd w:val="clear" w:color="auto" w:fill="FAFAFA"/>
        </w:rPr>
        <w:t xml:space="preserve"> </w:t>
      </w:r>
      <w:r w:rsidRPr="009F41B5">
        <w:rPr>
          <w:rFonts w:eastAsia="Calibri"/>
          <w:sz w:val="16"/>
          <w:szCs w:val="16"/>
        </w:rPr>
        <w:t xml:space="preserve">Source countries shown in this figure represent the top </w:t>
      </w:r>
      <w:r>
        <w:rPr>
          <w:rFonts w:eastAsia="Calibri"/>
          <w:sz w:val="16"/>
          <w:szCs w:val="16"/>
        </w:rPr>
        <w:t>5</w:t>
      </w:r>
      <w:r w:rsidRPr="009F41B5">
        <w:rPr>
          <w:rFonts w:eastAsia="Calibri"/>
          <w:sz w:val="16"/>
          <w:szCs w:val="16"/>
        </w:rPr>
        <w:t xml:space="preserve"> by number of survey respondents, ordered from </w:t>
      </w:r>
      <w:r>
        <w:rPr>
          <w:rFonts w:eastAsia="Calibri"/>
          <w:sz w:val="16"/>
          <w:szCs w:val="16"/>
        </w:rPr>
        <w:t>top to bottom</w:t>
      </w:r>
      <w:r w:rsidRPr="009F41B5">
        <w:rPr>
          <w:rFonts w:eastAsia="Calibri"/>
          <w:sz w:val="16"/>
          <w:szCs w:val="16"/>
        </w:rPr>
        <w:t xml:space="preserve"> from largest to smallest.</w:t>
      </w:r>
    </w:p>
    <w:p w14:paraId="5FABA37F" w14:textId="77777777" w:rsidR="00C646E2" w:rsidRDefault="00C646E2" w:rsidP="003C157A">
      <w:pPr>
        <w:rPr>
          <w:rFonts w:eastAsia="Calibri" w:cs="Times New Roman"/>
          <w:sz w:val="16"/>
          <w:szCs w:val="22"/>
          <w:lang w:val="en-GB"/>
        </w:rPr>
      </w:pPr>
    </w:p>
    <w:p w14:paraId="5D08BAA1" w14:textId="77777777" w:rsidR="002A135C" w:rsidRDefault="002A135C">
      <w:pPr>
        <w:spacing w:after="160" w:line="259" w:lineRule="auto"/>
        <w:rPr>
          <w:rFonts w:eastAsia="Times New Roman" w:cs="Times New Roman"/>
          <w:b/>
          <w:bCs/>
          <w:szCs w:val="20"/>
        </w:rPr>
      </w:pPr>
      <w:r>
        <w:rPr>
          <w:b/>
          <w:bCs/>
        </w:rPr>
        <w:br w:type="page"/>
      </w:r>
    </w:p>
    <w:p w14:paraId="2D052BED" w14:textId="6CCBAF15" w:rsidR="00934B8A" w:rsidRPr="00934B8A" w:rsidRDefault="006B1E2D" w:rsidP="003C157A">
      <w:pPr>
        <w:pStyle w:val="Body"/>
      </w:pPr>
      <w:r w:rsidRPr="006B1E2D">
        <w:rPr>
          <w:b/>
          <w:bCs/>
        </w:rPr>
        <w:lastRenderedPageBreak/>
        <w:fldChar w:fldCharType="begin"/>
      </w:r>
      <w:r w:rsidRPr="006B1E2D">
        <w:rPr>
          <w:b/>
          <w:bCs/>
        </w:rPr>
        <w:instrText xml:space="preserve"> REF _Ref199600713 \h </w:instrText>
      </w:r>
      <w:r>
        <w:rPr>
          <w:b/>
          <w:bCs/>
        </w:rPr>
        <w:instrText xml:space="preserve"> \* MERGEFORMAT </w:instrText>
      </w:r>
      <w:r w:rsidRPr="006B1E2D">
        <w:rPr>
          <w:b/>
          <w:bCs/>
        </w:rPr>
      </w:r>
      <w:r w:rsidRPr="006B1E2D">
        <w:rPr>
          <w:b/>
          <w:bCs/>
        </w:rPr>
        <w:fldChar w:fldCharType="separate"/>
      </w:r>
      <w:r w:rsidR="00F96AB4" w:rsidRPr="00F96AB4">
        <w:rPr>
          <w:b/>
          <w:bCs/>
        </w:rPr>
        <w:t xml:space="preserve">Table </w:t>
      </w:r>
      <w:r w:rsidR="00F96AB4" w:rsidRPr="00F96AB4">
        <w:rPr>
          <w:b/>
          <w:bCs/>
          <w:noProof/>
        </w:rPr>
        <w:t>2</w:t>
      </w:r>
      <w:r w:rsidRPr="006B1E2D">
        <w:rPr>
          <w:b/>
          <w:bCs/>
        </w:rPr>
        <w:fldChar w:fldCharType="end"/>
      </w:r>
      <w:r w:rsidR="00686BF3">
        <w:t xml:space="preserve"> </w:t>
      </w:r>
      <w:r w:rsidR="00934B8A" w:rsidRPr="00934B8A">
        <w:t>presents how</w:t>
      </w:r>
      <w:r w:rsidR="00686BF3">
        <w:t xml:space="preserve"> </w:t>
      </w:r>
      <w:r w:rsidR="004276BC" w:rsidRPr="005D5236">
        <w:t xml:space="preserve">international </w:t>
      </w:r>
      <w:r w:rsidR="004276BC">
        <w:t>postgraduate coursework</w:t>
      </w:r>
      <w:r w:rsidR="004276BC" w:rsidRPr="005D5236">
        <w:t xml:space="preserve"> </w:t>
      </w:r>
      <w:r w:rsidR="00934B8A" w:rsidRPr="00934B8A">
        <w:t xml:space="preserve">students from </w:t>
      </w:r>
      <w:r w:rsidR="004276BC" w:rsidRPr="005D5236">
        <w:t xml:space="preserve">the top </w:t>
      </w:r>
      <w:r w:rsidR="00F320D0">
        <w:t>5</w:t>
      </w:r>
      <w:r w:rsidR="004276BC" w:rsidRPr="005D5236">
        <w:t xml:space="preserve"> source countries</w:t>
      </w:r>
      <w:r w:rsidR="00934B8A" w:rsidRPr="00934B8A">
        <w:t>—ranked</w:t>
      </w:r>
      <w:r w:rsidR="00576CC2">
        <w:t xml:space="preserve"> by </w:t>
      </w:r>
      <w:r w:rsidR="00934B8A" w:rsidRPr="00934B8A">
        <w:t>number of survey responses—rated their living experience in Australia. As with the</w:t>
      </w:r>
      <w:r w:rsidR="006361A1">
        <w:t xml:space="preserve"> </w:t>
      </w:r>
      <w:r w:rsidR="00760CB4">
        <w:t>undergraduate results, postgraduate coursework students from China (</w:t>
      </w:r>
      <w:r w:rsidR="00934B8A" w:rsidRPr="00934B8A">
        <w:t>excluding</w:t>
      </w:r>
      <w:r w:rsidR="00D047AC">
        <w:t xml:space="preserve"> SARs and Taiwan) </w:t>
      </w:r>
      <w:r w:rsidR="00934B8A" w:rsidRPr="00934B8A">
        <w:t xml:space="preserve">generally gave lower ratings across </w:t>
      </w:r>
      <w:r w:rsidR="002F2A2A">
        <w:t xml:space="preserve">most aspects of their living experience </w:t>
      </w:r>
      <w:r w:rsidR="00934B8A" w:rsidRPr="00934B8A">
        <w:t xml:space="preserve">compared to students from </w:t>
      </w:r>
      <w:r w:rsidR="00A15EC4">
        <w:t xml:space="preserve">the other </w:t>
      </w:r>
      <w:r w:rsidR="00934B8A" w:rsidRPr="00934B8A">
        <w:t>major source</w:t>
      </w:r>
      <w:r w:rsidR="00A15EC4">
        <w:t xml:space="preserve"> countries</w:t>
      </w:r>
      <w:r w:rsidR="00934B8A" w:rsidRPr="00934B8A">
        <w:t xml:space="preserve">. One exception was </w:t>
      </w:r>
      <w:r w:rsidR="00684306">
        <w:t>w</w:t>
      </w:r>
      <w:r w:rsidR="00934B8A" w:rsidRPr="00934B8A">
        <w:t>ork</w:t>
      </w:r>
      <w:r w:rsidR="00A15EC4">
        <w:t xml:space="preserve"> experience in their field of study, where students from Bhutan </w:t>
      </w:r>
      <w:r w:rsidR="00934B8A" w:rsidRPr="00934B8A">
        <w:t>reported the lowest satisfaction, with only</w:t>
      </w:r>
      <w:r w:rsidR="00A15EC4">
        <w:t xml:space="preserve"> 55.2 per cent</w:t>
      </w:r>
      <w:r w:rsidR="00934B8A" w:rsidRPr="00934B8A">
        <w:t xml:space="preserve"> rating it positively.</w:t>
      </w:r>
    </w:p>
    <w:p w14:paraId="27A24E51" w14:textId="45FD1576" w:rsidR="00C646E2" w:rsidRPr="00C646E2" w:rsidRDefault="006C6B3F" w:rsidP="003C157A">
      <w:pPr>
        <w:pStyle w:val="Body"/>
      </w:pPr>
      <w:r>
        <w:t xml:space="preserve">Students from Bhutan also </w:t>
      </w:r>
      <w:r w:rsidR="00934B8A" w:rsidRPr="00934B8A">
        <w:t xml:space="preserve">gave the lowest ratings for </w:t>
      </w:r>
      <w:r w:rsidR="00452AC3">
        <w:t>a</w:t>
      </w:r>
      <w:r w:rsidR="00452AC3" w:rsidRPr="00934B8A">
        <w:t>ccommodation</w:t>
      </w:r>
      <w:r w:rsidR="00452AC3">
        <w:t xml:space="preserve"> </w:t>
      </w:r>
      <w:r>
        <w:t xml:space="preserve">and </w:t>
      </w:r>
      <w:r w:rsidR="00452AC3">
        <w:t>o</w:t>
      </w:r>
      <w:r w:rsidR="00452AC3" w:rsidRPr="00934B8A">
        <w:t>verall</w:t>
      </w:r>
      <w:r w:rsidR="00452AC3">
        <w:t xml:space="preserve"> </w:t>
      </w:r>
      <w:r>
        <w:t xml:space="preserve">living experience </w:t>
      </w:r>
      <w:r w:rsidR="00934B8A" w:rsidRPr="00934B8A">
        <w:t xml:space="preserve">among the </w:t>
      </w:r>
      <w:r w:rsidR="005D1843">
        <w:t>largest</w:t>
      </w:r>
      <w:r>
        <w:t xml:space="preserve"> </w:t>
      </w:r>
      <w:r w:rsidR="00F320D0">
        <w:t>5</w:t>
      </w:r>
      <w:r>
        <w:t xml:space="preserve"> </w:t>
      </w:r>
      <w:r w:rsidR="00934B8A" w:rsidRPr="00934B8A">
        <w:t>respondent groups. In contrast, students</w:t>
      </w:r>
      <w:r w:rsidR="00EB0AD9">
        <w:t xml:space="preserve"> from the </w:t>
      </w:r>
      <w:r w:rsidR="00CC078C">
        <w:t xml:space="preserve">Philippines </w:t>
      </w:r>
      <w:r w:rsidR="00934B8A" w:rsidRPr="00934B8A">
        <w:t>reported the highest satisfaction across</w:t>
      </w:r>
      <w:r w:rsidR="00CC078C">
        <w:t xml:space="preserve"> most aspects of </w:t>
      </w:r>
      <w:r w:rsidR="00934B8A" w:rsidRPr="00934B8A">
        <w:t>living in Australia</w:t>
      </w:r>
      <w:r w:rsidR="00AA2E15">
        <w:t>.</w:t>
      </w:r>
    </w:p>
    <w:p w14:paraId="53018571" w14:textId="69DAA81B" w:rsidR="001F200A" w:rsidRPr="00252027" w:rsidRDefault="001D7D43" w:rsidP="003C157A">
      <w:pPr>
        <w:pStyle w:val="Caption"/>
        <w:rPr>
          <w:color w:val="000000" w:themeColor="text1"/>
        </w:rPr>
      </w:pPr>
      <w:bookmarkStart w:id="100" w:name="_Ref199600713"/>
      <w:bookmarkStart w:id="101" w:name="_Toc206692294"/>
      <w:r w:rsidRPr="00252027">
        <w:rPr>
          <w:color w:val="000000" w:themeColor="text1"/>
        </w:rPr>
        <w:t xml:space="preserve">Table </w:t>
      </w:r>
      <w:r w:rsidR="001E216A" w:rsidRPr="00252027">
        <w:rPr>
          <w:color w:val="000000" w:themeColor="text1"/>
        </w:rPr>
        <w:fldChar w:fldCharType="begin"/>
      </w:r>
      <w:r w:rsidR="001E216A" w:rsidRPr="00252027">
        <w:rPr>
          <w:color w:val="000000" w:themeColor="text1"/>
        </w:rPr>
        <w:instrText xml:space="preserve"> SEQ Table \* ARABIC </w:instrText>
      </w:r>
      <w:r w:rsidR="001E216A" w:rsidRPr="00252027">
        <w:rPr>
          <w:color w:val="000000" w:themeColor="text1"/>
        </w:rPr>
        <w:fldChar w:fldCharType="separate"/>
      </w:r>
      <w:r w:rsidR="00F96AB4">
        <w:rPr>
          <w:noProof/>
          <w:color w:val="000000" w:themeColor="text1"/>
        </w:rPr>
        <w:t>2</w:t>
      </w:r>
      <w:r w:rsidR="001E216A" w:rsidRPr="00252027">
        <w:rPr>
          <w:noProof/>
          <w:color w:val="000000" w:themeColor="text1"/>
        </w:rPr>
        <w:fldChar w:fldCharType="end"/>
      </w:r>
      <w:bookmarkEnd w:id="100"/>
      <w:r w:rsidR="001F200A" w:rsidRPr="00252027">
        <w:rPr>
          <w:color w:val="000000" w:themeColor="text1"/>
        </w:rPr>
        <w:t xml:space="preserve"> International postgraduate coursework student living experience by source country, 2024 (% positive rating)</w:t>
      </w:r>
      <w:bookmarkEnd w:id="101"/>
    </w:p>
    <w:tbl>
      <w:tblPr>
        <w:tblStyle w:val="TableGrid"/>
        <w:tblW w:w="15163" w:type="dxa"/>
        <w:tblLayout w:type="fixed"/>
        <w:tblLook w:val="04A0" w:firstRow="1" w:lastRow="0" w:firstColumn="1" w:lastColumn="0" w:noHBand="0" w:noVBand="1"/>
      </w:tblPr>
      <w:tblGrid>
        <w:gridCol w:w="1751"/>
        <w:gridCol w:w="1475"/>
        <w:gridCol w:w="1475"/>
        <w:gridCol w:w="1475"/>
        <w:gridCol w:w="1475"/>
        <w:gridCol w:w="1475"/>
        <w:gridCol w:w="1475"/>
        <w:gridCol w:w="1475"/>
        <w:gridCol w:w="1669"/>
        <w:gridCol w:w="1418"/>
      </w:tblGrid>
      <w:tr w:rsidR="00AB532A" w:rsidRPr="00B53BA4" w14:paraId="4CD7F1BB" w14:textId="77777777" w:rsidTr="004042B0">
        <w:trPr>
          <w:cnfStyle w:val="100000000000" w:firstRow="1" w:lastRow="0" w:firstColumn="0" w:lastColumn="0" w:oddVBand="0" w:evenVBand="0" w:oddHBand="0" w:evenHBand="0" w:firstRowFirstColumn="0" w:firstRowLastColumn="0" w:lastRowFirstColumn="0" w:lastRowLastColumn="0"/>
          <w:trHeight w:val="823"/>
          <w:tblHeader/>
        </w:trPr>
        <w:tc>
          <w:tcPr>
            <w:tcW w:w="1751" w:type="dxa"/>
          </w:tcPr>
          <w:p w14:paraId="6EE89141" w14:textId="77777777" w:rsidR="00AB532A" w:rsidRPr="00B53BA4" w:rsidRDefault="00AB532A">
            <w:pPr>
              <w:pStyle w:val="BodyText"/>
              <w:rPr>
                <w:rFonts w:cs="Arial"/>
                <w:sz w:val="18"/>
              </w:rPr>
            </w:pPr>
          </w:p>
        </w:tc>
        <w:tc>
          <w:tcPr>
            <w:tcW w:w="1475" w:type="dxa"/>
          </w:tcPr>
          <w:p w14:paraId="6B1959CE"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Employment while studying</w:t>
            </w:r>
          </w:p>
        </w:tc>
        <w:tc>
          <w:tcPr>
            <w:tcW w:w="1475" w:type="dxa"/>
          </w:tcPr>
          <w:p w14:paraId="469722F4"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Improving English skills</w:t>
            </w:r>
          </w:p>
        </w:tc>
        <w:tc>
          <w:tcPr>
            <w:tcW w:w="1475" w:type="dxa"/>
          </w:tcPr>
          <w:p w14:paraId="2F24D2DE"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Work experience in field of study</w:t>
            </w:r>
          </w:p>
        </w:tc>
        <w:tc>
          <w:tcPr>
            <w:tcW w:w="1475" w:type="dxa"/>
          </w:tcPr>
          <w:p w14:paraId="32BA5B87"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Transport</w:t>
            </w:r>
          </w:p>
        </w:tc>
        <w:tc>
          <w:tcPr>
            <w:tcW w:w="1475" w:type="dxa"/>
          </w:tcPr>
          <w:p w14:paraId="32560B75"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Personal safety on campus</w:t>
            </w:r>
          </w:p>
        </w:tc>
        <w:tc>
          <w:tcPr>
            <w:tcW w:w="1475" w:type="dxa"/>
          </w:tcPr>
          <w:p w14:paraId="2A0250EF"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Personal safety off campus</w:t>
            </w:r>
          </w:p>
        </w:tc>
        <w:tc>
          <w:tcPr>
            <w:tcW w:w="1475" w:type="dxa"/>
          </w:tcPr>
          <w:p w14:paraId="35E7BAF7"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Making friends</w:t>
            </w:r>
          </w:p>
        </w:tc>
        <w:tc>
          <w:tcPr>
            <w:tcW w:w="1669" w:type="dxa"/>
          </w:tcPr>
          <w:p w14:paraId="15FC5CEA"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Accommodation</w:t>
            </w:r>
          </w:p>
        </w:tc>
        <w:tc>
          <w:tcPr>
            <w:tcW w:w="1418" w:type="dxa"/>
          </w:tcPr>
          <w:p w14:paraId="0D8545EB"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Overall living experience</w:t>
            </w:r>
          </w:p>
        </w:tc>
      </w:tr>
      <w:tr w:rsidR="0076791E" w:rsidRPr="00B53BA4" w14:paraId="3CB302C1" w14:textId="77777777" w:rsidTr="004042B0">
        <w:trPr>
          <w:trHeight w:val="414"/>
        </w:trPr>
        <w:tc>
          <w:tcPr>
            <w:tcW w:w="1751" w:type="dxa"/>
            <w:vAlign w:val="center"/>
          </w:tcPr>
          <w:p w14:paraId="136176F7" w14:textId="6FC3AC97" w:rsidR="0076791E" w:rsidRPr="00B53BA4" w:rsidRDefault="0076791E" w:rsidP="00252027">
            <w:pPr>
              <w:pStyle w:val="Tabletext"/>
              <w:spacing w:before="60" w:after="60"/>
              <w:rPr>
                <w:rFonts w:cs="Arial"/>
                <w:color w:val="auto"/>
                <w:highlight w:val="yellow"/>
              </w:rPr>
            </w:pPr>
            <w:r w:rsidRPr="0097352C">
              <w:rPr>
                <w:rFonts w:cs="Arial"/>
                <w:color w:val="000000" w:themeColor="text1"/>
              </w:rPr>
              <w:t>China (excludes SARs and Taiwan)</w:t>
            </w:r>
          </w:p>
        </w:tc>
        <w:tc>
          <w:tcPr>
            <w:tcW w:w="1475" w:type="dxa"/>
            <w:vAlign w:val="center"/>
          </w:tcPr>
          <w:p w14:paraId="1D1DA804" w14:textId="4709ADB9"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68.8</w:t>
            </w:r>
          </w:p>
        </w:tc>
        <w:tc>
          <w:tcPr>
            <w:tcW w:w="1475" w:type="dxa"/>
            <w:vAlign w:val="center"/>
          </w:tcPr>
          <w:p w14:paraId="15C36378" w14:textId="7C1283FC"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87.1</w:t>
            </w:r>
          </w:p>
        </w:tc>
        <w:tc>
          <w:tcPr>
            <w:tcW w:w="1475" w:type="dxa"/>
            <w:vAlign w:val="center"/>
          </w:tcPr>
          <w:p w14:paraId="03CBA70C" w14:textId="594A9838"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67.1</w:t>
            </w:r>
          </w:p>
        </w:tc>
        <w:tc>
          <w:tcPr>
            <w:tcW w:w="1475" w:type="dxa"/>
            <w:vAlign w:val="center"/>
          </w:tcPr>
          <w:p w14:paraId="36D43088" w14:textId="32D38C31"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64.4</w:t>
            </w:r>
          </w:p>
        </w:tc>
        <w:tc>
          <w:tcPr>
            <w:tcW w:w="1475" w:type="dxa"/>
            <w:vAlign w:val="center"/>
          </w:tcPr>
          <w:p w14:paraId="05569B97" w14:textId="77480B83"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95.6</w:t>
            </w:r>
          </w:p>
        </w:tc>
        <w:tc>
          <w:tcPr>
            <w:tcW w:w="1475" w:type="dxa"/>
            <w:vAlign w:val="center"/>
          </w:tcPr>
          <w:p w14:paraId="669B9C96" w14:textId="5839F8E9"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80.6</w:t>
            </w:r>
          </w:p>
        </w:tc>
        <w:tc>
          <w:tcPr>
            <w:tcW w:w="1475" w:type="dxa"/>
            <w:vAlign w:val="center"/>
          </w:tcPr>
          <w:p w14:paraId="7AD31130" w14:textId="2BD9F679"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84.9</w:t>
            </w:r>
          </w:p>
        </w:tc>
        <w:tc>
          <w:tcPr>
            <w:tcW w:w="1669" w:type="dxa"/>
            <w:vAlign w:val="center"/>
          </w:tcPr>
          <w:p w14:paraId="0E475175" w14:textId="6C475424" w:rsidR="0076791E" w:rsidRPr="00B53BA4" w:rsidRDefault="0076791E" w:rsidP="004042B0">
            <w:pPr>
              <w:pStyle w:val="Tabletext"/>
              <w:ind w:right="510"/>
              <w:jc w:val="right"/>
              <w:rPr>
                <w:rFonts w:cs="Arial"/>
                <w:color w:val="auto"/>
                <w:highlight w:val="yellow"/>
              </w:rPr>
            </w:pPr>
            <w:r w:rsidRPr="0097352C">
              <w:rPr>
                <w:rFonts w:cs="Arial"/>
                <w:color w:val="000000" w:themeColor="text1"/>
              </w:rPr>
              <w:t>90.0</w:t>
            </w:r>
          </w:p>
        </w:tc>
        <w:tc>
          <w:tcPr>
            <w:tcW w:w="1418" w:type="dxa"/>
            <w:vAlign w:val="center"/>
          </w:tcPr>
          <w:p w14:paraId="610CA216" w14:textId="00BB8FAB" w:rsidR="0076791E" w:rsidRPr="00B53BA4" w:rsidRDefault="0076791E" w:rsidP="004042B0">
            <w:pPr>
              <w:pStyle w:val="Tabletext"/>
              <w:ind w:right="425"/>
              <w:jc w:val="right"/>
              <w:rPr>
                <w:rFonts w:cs="Arial"/>
                <w:color w:val="auto"/>
                <w:highlight w:val="yellow"/>
              </w:rPr>
            </w:pPr>
            <w:r w:rsidRPr="0097352C">
              <w:rPr>
                <w:rFonts w:cs="Arial"/>
                <w:color w:val="000000" w:themeColor="text1"/>
              </w:rPr>
              <w:t>90.8</w:t>
            </w:r>
          </w:p>
        </w:tc>
      </w:tr>
      <w:tr w:rsidR="0076791E" w:rsidRPr="00B53BA4" w14:paraId="03C84AB0" w14:textId="77777777" w:rsidTr="004042B0">
        <w:trPr>
          <w:trHeight w:val="414"/>
        </w:trPr>
        <w:tc>
          <w:tcPr>
            <w:tcW w:w="1751" w:type="dxa"/>
            <w:vAlign w:val="center"/>
          </w:tcPr>
          <w:p w14:paraId="3A7D7B02" w14:textId="65F8C497" w:rsidR="0076791E" w:rsidRPr="00B53BA4" w:rsidRDefault="0076791E" w:rsidP="00252027">
            <w:pPr>
              <w:pStyle w:val="Tabletext"/>
              <w:spacing w:before="60" w:after="60"/>
              <w:rPr>
                <w:rFonts w:cs="Arial"/>
                <w:color w:val="auto"/>
                <w:highlight w:val="yellow"/>
              </w:rPr>
            </w:pPr>
            <w:r w:rsidRPr="0097352C">
              <w:rPr>
                <w:rFonts w:cs="Arial"/>
                <w:color w:val="000000" w:themeColor="text1"/>
              </w:rPr>
              <w:t>India</w:t>
            </w:r>
          </w:p>
        </w:tc>
        <w:tc>
          <w:tcPr>
            <w:tcW w:w="1475" w:type="dxa"/>
            <w:vAlign w:val="center"/>
          </w:tcPr>
          <w:p w14:paraId="7AE4CDD8" w14:textId="30B0EE63"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75.2</w:t>
            </w:r>
          </w:p>
        </w:tc>
        <w:tc>
          <w:tcPr>
            <w:tcW w:w="1475" w:type="dxa"/>
            <w:vAlign w:val="center"/>
          </w:tcPr>
          <w:p w14:paraId="36B9DAAB" w14:textId="7D1A1E67"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96.5</w:t>
            </w:r>
          </w:p>
        </w:tc>
        <w:tc>
          <w:tcPr>
            <w:tcW w:w="1475" w:type="dxa"/>
            <w:vAlign w:val="center"/>
          </w:tcPr>
          <w:p w14:paraId="1306AE10" w14:textId="0D366D91"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62.6</w:t>
            </w:r>
          </w:p>
        </w:tc>
        <w:tc>
          <w:tcPr>
            <w:tcW w:w="1475" w:type="dxa"/>
            <w:vAlign w:val="center"/>
          </w:tcPr>
          <w:p w14:paraId="02504A6C" w14:textId="77A3CC3A"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82.2</w:t>
            </w:r>
          </w:p>
        </w:tc>
        <w:tc>
          <w:tcPr>
            <w:tcW w:w="1475" w:type="dxa"/>
            <w:vAlign w:val="center"/>
          </w:tcPr>
          <w:p w14:paraId="5D43C3F6" w14:textId="3CF1371B"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98.6</w:t>
            </w:r>
          </w:p>
        </w:tc>
        <w:tc>
          <w:tcPr>
            <w:tcW w:w="1475" w:type="dxa"/>
            <w:vAlign w:val="center"/>
          </w:tcPr>
          <w:p w14:paraId="0BC18D17" w14:textId="6A37B29F"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91.9</w:t>
            </w:r>
          </w:p>
        </w:tc>
        <w:tc>
          <w:tcPr>
            <w:tcW w:w="1475" w:type="dxa"/>
            <w:vAlign w:val="center"/>
          </w:tcPr>
          <w:p w14:paraId="1B4E51DF" w14:textId="3E4EBDD4"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86.7</w:t>
            </w:r>
          </w:p>
        </w:tc>
        <w:tc>
          <w:tcPr>
            <w:tcW w:w="1669" w:type="dxa"/>
            <w:vAlign w:val="center"/>
          </w:tcPr>
          <w:p w14:paraId="26A7996D" w14:textId="2ABC6806" w:rsidR="0076791E" w:rsidRPr="00B53BA4" w:rsidRDefault="0076791E" w:rsidP="004042B0">
            <w:pPr>
              <w:pStyle w:val="Tabletext"/>
              <w:ind w:right="510"/>
              <w:jc w:val="right"/>
              <w:rPr>
                <w:rFonts w:cs="Arial"/>
                <w:color w:val="auto"/>
                <w:highlight w:val="yellow"/>
              </w:rPr>
            </w:pPr>
            <w:r w:rsidRPr="0097352C">
              <w:rPr>
                <w:rFonts w:cs="Arial"/>
                <w:color w:val="000000" w:themeColor="text1"/>
              </w:rPr>
              <w:t>91.2</w:t>
            </w:r>
          </w:p>
        </w:tc>
        <w:tc>
          <w:tcPr>
            <w:tcW w:w="1418" w:type="dxa"/>
            <w:vAlign w:val="center"/>
          </w:tcPr>
          <w:p w14:paraId="06B5B408" w14:textId="3750845A" w:rsidR="0076791E" w:rsidRPr="00B53BA4" w:rsidRDefault="0076791E" w:rsidP="004042B0">
            <w:pPr>
              <w:pStyle w:val="Tabletext"/>
              <w:ind w:right="425"/>
              <w:jc w:val="right"/>
              <w:rPr>
                <w:rFonts w:cs="Arial"/>
                <w:color w:val="auto"/>
                <w:highlight w:val="yellow"/>
              </w:rPr>
            </w:pPr>
            <w:r w:rsidRPr="0097352C">
              <w:rPr>
                <w:rFonts w:cs="Arial"/>
                <w:color w:val="000000" w:themeColor="text1"/>
              </w:rPr>
              <w:t>92.9</w:t>
            </w:r>
          </w:p>
        </w:tc>
      </w:tr>
      <w:tr w:rsidR="0076791E" w:rsidRPr="00B53BA4" w14:paraId="1BE6FEC9" w14:textId="77777777" w:rsidTr="004042B0">
        <w:trPr>
          <w:trHeight w:val="414"/>
        </w:trPr>
        <w:tc>
          <w:tcPr>
            <w:tcW w:w="1751" w:type="dxa"/>
            <w:vAlign w:val="center"/>
          </w:tcPr>
          <w:p w14:paraId="35E5E2C2" w14:textId="38337AAB" w:rsidR="0076791E" w:rsidRPr="00B53BA4" w:rsidRDefault="0076791E" w:rsidP="00252027">
            <w:pPr>
              <w:pStyle w:val="Tabletext"/>
              <w:spacing w:before="60" w:after="60"/>
              <w:rPr>
                <w:rFonts w:cs="Arial"/>
                <w:color w:val="auto"/>
                <w:highlight w:val="yellow"/>
              </w:rPr>
            </w:pPr>
            <w:r w:rsidRPr="0097352C">
              <w:rPr>
                <w:rFonts w:cs="Arial"/>
                <w:color w:val="000000" w:themeColor="text1"/>
              </w:rPr>
              <w:t>Nepal</w:t>
            </w:r>
          </w:p>
        </w:tc>
        <w:tc>
          <w:tcPr>
            <w:tcW w:w="1475" w:type="dxa"/>
            <w:vAlign w:val="center"/>
          </w:tcPr>
          <w:p w14:paraId="4F38F562" w14:textId="51D8997E"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80.6</w:t>
            </w:r>
          </w:p>
        </w:tc>
        <w:tc>
          <w:tcPr>
            <w:tcW w:w="1475" w:type="dxa"/>
            <w:vAlign w:val="center"/>
          </w:tcPr>
          <w:p w14:paraId="572A8053" w14:textId="7EEB2346"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96.2</w:t>
            </w:r>
          </w:p>
        </w:tc>
        <w:tc>
          <w:tcPr>
            <w:tcW w:w="1475" w:type="dxa"/>
            <w:vAlign w:val="center"/>
          </w:tcPr>
          <w:p w14:paraId="1489D42F" w14:textId="48AE9F42"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65.7</w:t>
            </w:r>
          </w:p>
        </w:tc>
        <w:tc>
          <w:tcPr>
            <w:tcW w:w="1475" w:type="dxa"/>
            <w:vAlign w:val="center"/>
          </w:tcPr>
          <w:p w14:paraId="069DD55C" w14:textId="6FBE4650"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83.1</w:t>
            </w:r>
          </w:p>
        </w:tc>
        <w:tc>
          <w:tcPr>
            <w:tcW w:w="1475" w:type="dxa"/>
            <w:vAlign w:val="center"/>
          </w:tcPr>
          <w:p w14:paraId="700EEC6E" w14:textId="1476535F"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98.9</w:t>
            </w:r>
          </w:p>
        </w:tc>
        <w:tc>
          <w:tcPr>
            <w:tcW w:w="1475" w:type="dxa"/>
            <w:vAlign w:val="center"/>
          </w:tcPr>
          <w:p w14:paraId="07913924" w14:textId="504CCF6C"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90.8</w:t>
            </w:r>
          </w:p>
        </w:tc>
        <w:tc>
          <w:tcPr>
            <w:tcW w:w="1475" w:type="dxa"/>
            <w:vAlign w:val="center"/>
          </w:tcPr>
          <w:p w14:paraId="6949D33F" w14:textId="75E578A4"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92.4</w:t>
            </w:r>
          </w:p>
        </w:tc>
        <w:tc>
          <w:tcPr>
            <w:tcW w:w="1669" w:type="dxa"/>
            <w:vAlign w:val="center"/>
          </w:tcPr>
          <w:p w14:paraId="503A086E" w14:textId="0CB73CCE" w:rsidR="0076791E" w:rsidRPr="00B53BA4" w:rsidRDefault="0076791E" w:rsidP="004042B0">
            <w:pPr>
              <w:pStyle w:val="Tabletext"/>
              <w:ind w:right="510"/>
              <w:jc w:val="right"/>
              <w:rPr>
                <w:rFonts w:cs="Arial"/>
                <w:color w:val="auto"/>
                <w:highlight w:val="yellow"/>
              </w:rPr>
            </w:pPr>
            <w:r w:rsidRPr="0097352C">
              <w:rPr>
                <w:rFonts w:cs="Arial"/>
                <w:color w:val="000000" w:themeColor="text1"/>
              </w:rPr>
              <w:t>91.7</w:t>
            </w:r>
          </w:p>
        </w:tc>
        <w:tc>
          <w:tcPr>
            <w:tcW w:w="1418" w:type="dxa"/>
            <w:vAlign w:val="center"/>
          </w:tcPr>
          <w:p w14:paraId="5D62370E" w14:textId="7A66A1D9" w:rsidR="0076791E" w:rsidRPr="00B53BA4" w:rsidRDefault="0076791E" w:rsidP="004042B0">
            <w:pPr>
              <w:pStyle w:val="Tabletext"/>
              <w:ind w:right="425"/>
              <w:jc w:val="right"/>
              <w:rPr>
                <w:rFonts w:cs="Arial"/>
                <w:color w:val="auto"/>
                <w:highlight w:val="yellow"/>
              </w:rPr>
            </w:pPr>
            <w:r w:rsidRPr="0097352C">
              <w:rPr>
                <w:rFonts w:cs="Arial"/>
                <w:color w:val="000000" w:themeColor="text1"/>
              </w:rPr>
              <w:t>92.7</w:t>
            </w:r>
          </w:p>
        </w:tc>
      </w:tr>
      <w:tr w:rsidR="0076791E" w:rsidRPr="00B53BA4" w14:paraId="382BB5FE" w14:textId="77777777" w:rsidTr="004042B0">
        <w:trPr>
          <w:trHeight w:val="414"/>
        </w:trPr>
        <w:tc>
          <w:tcPr>
            <w:tcW w:w="1751" w:type="dxa"/>
            <w:vAlign w:val="center"/>
          </w:tcPr>
          <w:p w14:paraId="07C931AD" w14:textId="3C8750D8" w:rsidR="0076791E" w:rsidRPr="00B53BA4" w:rsidRDefault="0076791E" w:rsidP="00252027">
            <w:pPr>
              <w:pStyle w:val="Tabletext"/>
              <w:spacing w:before="60" w:after="60"/>
              <w:rPr>
                <w:rFonts w:cs="Arial"/>
                <w:color w:val="auto"/>
                <w:highlight w:val="yellow"/>
              </w:rPr>
            </w:pPr>
            <w:r w:rsidRPr="0097352C">
              <w:rPr>
                <w:rFonts w:cs="Arial"/>
                <w:color w:val="000000" w:themeColor="text1"/>
              </w:rPr>
              <w:t>Bhutan</w:t>
            </w:r>
          </w:p>
        </w:tc>
        <w:tc>
          <w:tcPr>
            <w:tcW w:w="1475" w:type="dxa"/>
            <w:vAlign w:val="center"/>
          </w:tcPr>
          <w:p w14:paraId="4C83665B" w14:textId="49C2974C"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74.9</w:t>
            </w:r>
          </w:p>
        </w:tc>
        <w:tc>
          <w:tcPr>
            <w:tcW w:w="1475" w:type="dxa"/>
            <w:vAlign w:val="center"/>
          </w:tcPr>
          <w:p w14:paraId="67FA86D9" w14:textId="4A18101C"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94.7</w:t>
            </w:r>
          </w:p>
        </w:tc>
        <w:tc>
          <w:tcPr>
            <w:tcW w:w="1475" w:type="dxa"/>
            <w:vAlign w:val="center"/>
          </w:tcPr>
          <w:p w14:paraId="11143237" w14:textId="5A3F3F4D"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55.2</w:t>
            </w:r>
          </w:p>
        </w:tc>
        <w:tc>
          <w:tcPr>
            <w:tcW w:w="1475" w:type="dxa"/>
            <w:vAlign w:val="center"/>
          </w:tcPr>
          <w:p w14:paraId="4ED7135D" w14:textId="22B12B09"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94.4</w:t>
            </w:r>
          </w:p>
        </w:tc>
        <w:tc>
          <w:tcPr>
            <w:tcW w:w="1475" w:type="dxa"/>
            <w:vAlign w:val="center"/>
          </w:tcPr>
          <w:p w14:paraId="2C0EB725" w14:textId="25472027"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99.2</w:t>
            </w:r>
          </w:p>
        </w:tc>
        <w:tc>
          <w:tcPr>
            <w:tcW w:w="1475" w:type="dxa"/>
            <w:vAlign w:val="center"/>
          </w:tcPr>
          <w:p w14:paraId="4B94D08C" w14:textId="5D716E46"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89.3</w:t>
            </w:r>
          </w:p>
        </w:tc>
        <w:tc>
          <w:tcPr>
            <w:tcW w:w="1475" w:type="dxa"/>
            <w:vAlign w:val="center"/>
          </w:tcPr>
          <w:p w14:paraId="271156FD" w14:textId="185C5AC2"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92.4</w:t>
            </w:r>
          </w:p>
        </w:tc>
        <w:tc>
          <w:tcPr>
            <w:tcW w:w="1669" w:type="dxa"/>
            <w:vAlign w:val="center"/>
          </w:tcPr>
          <w:p w14:paraId="5F42F05D" w14:textId="22A490E6" w:rsidR="0076791E" w:rsidRPr="00B53BA4" w:rsidRDefault="0076791E" w:rsidP="004042B0">
            <w:pPr>
              <w:pStyle w:val="Tabletext"/>
              <w:ind w:right="510"/>
              <w:jc w:val="right"/>
              <w:rPr>
                <w:rFonts w:cs="Arial"/>
                <w:color w:val="auto"/>
                <w:highlight w:val="yellow"/>
              </w:rPr>
            </w:pPr>
            <w:r w:rsidRPr="0097352C">
              <w:rPr>
                <w:rFonts w:cs="Arial"/>
                <w:color w:val="000000" w:themeColor="text1"/>
              </w:rPr>
              <w:t>86.6</w:t>
            </w:r>
          </w:p>
        </w:tc>
        <w:tc>
          <w:tcPr>
            <w:tcW w:w="1418" w:type="dxa"/>
            <w:vAlign w:val="center"/>
          </w:tcPr>
          <w:p w14:paraId="260C126D" w14:textId="20FA46D5" w:rsidR="0076791E" w:rsidRPr="00B53BA4" w:rsidRDefault="0076791E" w:rsidP="004042B0">
            <w:pPr>
              <w:pStyle w:val="Tabletext"/>
              <w:ind w:right="425"/>
              <w:jc w:val="right"/>
              <w:rPr>
                <w:rFonts w:cs="Arial"/>
                <w:color w:val="auto"/>
                <w:highlight w:val="yellow"/>
              </w:rPr>
            </w:pPr>
            <w:r w:rsidRPr="0097352C">
              <w:rPr>
                <w:rFonts w:cs="Arial"/>
                <w:color w:val="000000" w:themeColor="text1"/>
              </w:rPr>
              <w:t>88.3</w:t>
            </w:r>
          </w:p>
        </w:tc>
      </w:tr>
      <w:tr w:rsidR="0076791E" w:rsidRPr="00B53BA4" w14:paraId="647566AA" w14:textId="77777777" w:rsidTr="004042B0">
        <w:trPr>
          <w:trHeight w:val="414"/>
        </w:trPr>
        <w:tc>
          <w:tcPr>
            <w:tcW w:w="1751" w:type="dxa"/>
            <w:vAlign w:val="center"/>
          </w:tcPr>
          <w:p w14:paraId="7FF1954E" w14:textId="02BD48EB" w:rsidR="0076791E" w:rsidRPr="00B53BA4" w:rsidRDefault="0076791E" w:rsidP="00252027">
            <w:pPr>
              <w:pStyle w:val="Tabletext"/>
              <w:spacing w:before="60" w:after="60"/>
              <w:rPr>
                <w:rFonts w:cs="Arial"/>
                <w:color w:val="auto"/>
                <w:highlight w:val="yellow"/>
              </w:rPr>
            </w:pPr>
            <w:r w:rsidRPr="0097352C">
              <w:rPr>
                <w:rFonts w:cs="Arial"/>
                <w:color w:val="000000" w:themeColor="text1"/>
              </w:rPr>
              <w:t>Philippines</w:t>
            </w:r>
          </w:p>
        </w:tc>
        <w:tc>
          <w:tcPr>
            <w:tcW w:w="1475" w:type="dxa"/>
            <w:vAlign w:val="center"/>
          </w:tcPr>
          <w:p w14:paraId="71F9CED7" w14:textId="3459290B"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84.2</w:t>
            </w:r>
          </w:p>
        </w:tc>
        <w:tc>
          <w:tcPr>
            <w:tcW w:w="1475" w:type="dxa"/>
            <w:vAlign w:val="center"/>
          </w:tcPr>
          <w:p w14:paraId="1780F18A" w14:textId="18B6ECC1"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98.3</w:t>
            </w:r>
          </w:p>
        </w:tc>
        <w:tc>
          <w:tcPr>
            <w:tcW w:w="1475" w:type="dxa"/>
            <w:vAlign w:val="center"/>
          </w:tcPr>
          <w:p w14:paraId="48BEF01B" w14:textId="32D0B253"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72.6</w:t>
            </w:r>
          </w:p>
        </w:tc>
        <w:tc>
          <w:tcPr>
            <w:tcW w:w="1475" w:type="dxa"/>
            <w:vAlign w:val="center"/>
          </w:tcPr>
          <w:p w14:paraId="600E25C1" w14:textId="7A39578E"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89.9</w:t>
            </w:r>
          </w:p>
        </w:tc>
        <w:tc>
          <w:tcPr>
            <w:tcW w:w="1475" w:type="dxa"/>
            <w:vAlign w:val="center"/>
          </w:tcPr>
          <w:p w14:paraId="19CB572D" w14:textId="432408A6"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98.8</w:t>
            </w:r>
          </w:p>
        </w:tc>
        <w:tc>
          <w:tcPr>
            <w:tcW w:w="1475" w:type="dxa"/>
            <w:vAlign w:val="center"/>
          </w:tcPr>
          <w:p w14:paraId="28DC08B4" w14:textId="5A9DD6B9"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93.2</w:t>
            </w:r>
          </w:p>
        </w:tc>
        <w:tc>
          <w:tcPr>
            <w:tcW w:w="1475" w:type="dxa"/>
            <w:vAlign w:val="center"/>
          </w:tcPr>
          <w:p w14:paraId="1C46B371" w14:textId="595D3EEE"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92.8</w:t>
            </w:r>
          </w:p>
        </w:tc>
        <w:tc>
          <w:tcPr>
            <w:tcW w:w="1669" w:type="dxa"/>
            <w:vAlign w:val="center"/>
          </w:tcPr>
          <w:p w14:paraId="5F5EA58E" w14:textId="745CE5D8" w:rsidR="0076791E" w:rsidRPr="00B53BA4" w:rsidRDefault="0076791E" w:rsidP="004042B0">
            <w:pPr>
              <w:pStyle w:val="Tabletext"/>
              <w:ind w:right="510"/>
              <w:jc w:val="right"/>
              <w:rPr>
                <w:rFonts w:cs="Arial"/>
                <w:color w:val="auto"/>
                <w:highlight w:val="yellow"/>
              </w:rPr>
            </w:pPr>
            <w:r w:rsidRPr="0097352C">
              <w:rPr>
                <w:rFonts w:cs="Arial"/>
                <w:color w:val="000000" w:themeColor="text1"/>
              </w:rPr>
              <w:t>94.7</w:t>
            </w:r>
          </w:p>
        </w:tc>
        <w:tc>
          <w:tcPr>
            <w:tcW w:w="1418" w:type="dxa"/>
            <w:vAlign w:val="center"/>
          </w:tcPr>
          <w:p w14:paraId="4D021892" w14:textId="04DE3C7E" w:rsidR="0076791E" w:rsidRPr="00B53BA4" w:rsidRDefault="0076791E" w:rsidP="004042B0">
            <w:pPr>
              <w:pStyle w:val="Tabletext"/>
              <w:ind w:right="425"/>
              <w:jc w:val="right"/>
              <w:rPr>
                <w:rFonts w:cs="Arial"/>
                <w:color w:val="auto"/>
                <w:highlight w:val="yellow"/>
              </w:rPr>
            </w:pPr>
            <w:r w:rsidRPr="0097352C">
              <w:rPr>
                <w:rFonts w:cs="Arial"/>
                <w:color w:val="000000" w:themeColor="text1"/>
              </w:rPr>
              <w:t>96.4</w:t>
            </w:r>
          </w:p>
        </w:tc>
      </w:tr>
      <w:tr w:rsidR="0076791E" w:rsidRPr="00B53BA4" w14:paraId="4A2B8A28" w14:textId="77777777" w:rsidTr="004042B0">
        <w:trPr>
          <w:trHeight w:val="414"/>
        </w:trPr>
        <w:tc>
          <w:tcPr>
            <w:tcW w:w="1751" w:type="dxa"/>
            <w:vAlign w:val="center"/>
          </w:tcPr>
          <w:p w14:paraId="06F0687E" w14:textId="77777777" w:rsidR="0076791E" w:rsidRPr="00B53BA4" w:rsidRDefault="0076791E" w:rsidP="00252027">
            <w:pPr>
              <w:pStyle w:val="Tabletext"/>
              <w:spacing w:before="60" w:after="60"/>
              <w:rPr>
                <w:rFonts w:cs="Arial"/>
                <w:b/>
                <w:bCs/>
                <w:color w:val="auto"/>
                <w:highlight w:val="yellow"/>
              </w:rPr>
            </w:pPr>
            <w:r w:rsidRPr="0097352C">
              <w:rPr>
                <w:rFonts w:cs="Arial"/>
                <w:b/>
                <w:color w:val="000000" w:themeColor="text1"/>
              </w:rPr>
              <w:t>Total international</w:t>
            </w:r>
          </w:p>
        </w:tc>
        <w:tc>
          <w:tcPr>
            <w:tcW w:w="1475" w:type="dxa"/>
            <w:vAlign w:val="center"/>
          </w:tcPr>
          <w:p w14:paraId="4FE5705B" w14:textId="7117E9F1" w:rsidR="0076791E" w:rsidRPr="00B53BA4" w:rsidRDefault="0076791E" w:rsidP="004042B0">
            <w:pPr>
              <w:pStyle w:val="Tabletext"/>
              <w:ind w:right="454"/>
              <w:jc w:val="right"/>
              <w:rPr>
                <w:rFonts w:cs="Arial"/>
                <w:b/>
                <w:bCs/>
                <w:color w:val="auto"/>
                <w:highlight w:val="yellow"/>
              </w:rPr>
            </w:pPr>
            <w:r w:rsidRPr="0097352C">
              <w:rPr>
                <w:rFonts w:cs="Arial"/>
                <w:b/>
                <w:color w:val="000000" w:themeColor="text1"/>
              </w:rPr>
              <w:t>73.9</w:t>
            </w:r>
          </w:p>
        </w:tc>
        <w:tc>
          <w:tcPr>
            <w:tcW w:w="1475" w:type="dxa"/>
            <w:vAlign w:val="center"/>
          </w:tcPr>
          <w:p w14:paraId="301430F2" w14:textId="0B96ABDA" w:rsidR="0076791E" w:rsidRPr="00B53BA4" w:rsidRDefault="0076791E" w:rsidP="004042B0">
            <w:pPr>
              <w:pStyle w:val="Tabletext"/>
              <w:ind w:right="454"/>
              <w:jc w:val="right"/>
              <w:rPr>
                <w:rFonts w:cs="Arial"/>
                <w:b/>
                <w:bCs/>
                <w:color w:val="auto"/>
                <w:highlight w:val="yellow"/>
              </w:rPr>
            </w:pPr>
            <w:r w:rsidRPr="0097352C">
              <w:rPr>
                <w:rFonts w:cs="Arial"/>
                <w:b/>
                <w:color w:val="000000" w:themeColor="text1"/>
              </w:rPr>
              <w:t>93.0</w:t>
            </w:r>
          </w:p>
        </w:tc>
        <w:tc>
          <w:tcPr>
            <w:tcW w:w="1475" w:type="dxa"/>
            <w:vAlign w:val="center"/>
          </w:tcPr>
          <w:p w14:paraId="11A67E3F" w14:textId="232949C0" w:rsidR="0076791E" w:rsidRPr="00B53BA4" w:rsidRDefault="0076791E" w:rsidP="004042B0">
            <w:pPr>
              <w:pStyle w:val="Tabletext"/>
              <w:ind w:right="454"/>
              <w:jc w:val="right"/>
              <w:rPr>
                <w:rFonts w:cs="Arial"/>
                <w:b/>
                <w:bCs/>
                <w:color w:val="auto"/>
                <w:highlight w:val="yellow"/>
              </w:rPr>
            </w:pPr>
            <w:r w:rsidRPr="0097352C">
              <w:rPr>
                <w:rFonts w:cs="Arial"/>
                <w:b/>
                <w:color w:val="000000" w:themeColor="text1"/>
              </w:rPr>
              <w:t>63.8</w:t>
            </w:r>
          </w:p>
        </w:tc>
        <w:tc>
          <w:tcPr>
            <w:tcW w:w="1475" w:type="dxa"/>
            <w:vAlign w:val="center"/>
          </w:tcPr>
          <w:p w14:paraId="3B45F18E" w14:textId="318DC4A9" w:rsidR="0076791E" w:rsidRPr="00B53BA4" w:rsidRDefault="0076791E" w:rsidP="004042B0">
            <w:pPr>
              <w:pStyle w:val="Tabletext"/>
              <w:ind w:right="454"/>
              <w:jc w:val="right"/>
              <w:rPr>
                <w:rFonts w:cs="Arial"/>
                <w:b/>
                <w:bCs/>
                <w:color w:val="auto"/>
                <w:highlight w:val="yellow"/>
              </w:rPr>
            </w:pPr>
            <w:r w:rsidRPr="0097352C">
              <w:rPr>
                <w:rFonts w:cs="Arial"/>
                <w:b/>
                <w:color w:val="000000" w:themeColor="text1"/>
              </w:rPr>
              <w:t>78.3</w:t>
            </w:r>
          </w:p>
        </w:tc>
        <w:tc>
          <w:tcPr>
            <w:tcW w:w="1475" w:type="dxa"/>
            <w:vAlign w:val="center"/>
          </w:tcPr>
          <w:p w14:paraId="0550B70C" w14:textId="70BF024E" w:rsidR="0076791E" w:rsidRPr="00B53BA4" w:rsidRDefault="0076791E" w:rsidP="004042B0">
            <w:pPr>
              <w:pStyle w:val="Tabletext"/>
              <w:ind w:right="454"/>
              <w:jc w:val="right"/>
              <w:rPr>
                <w:rFonts w:cs="Arial"/>
                <w:b/>
                <w:bCs/>
                <w:color w:val="auto"/>
                <w:highlight w:val="yellow"/>
              </w:rPr>
            </w:pPr>
            <w:r w:rsidRPr="0097352C">
              <w:rPr>
                <w:rFonts w:cs="Arial"/>
                <w:b/>
                <w:color w:val="000000" w:themeColor="text1"/>
              </w:rPr>
              <w:t>97.7</w:t>
            </w:r>
          </w:p>
        </w:tc>
        <w:tc>
          <w:tcPr>
            <w:tcW w:w="1475" w:type="dxa"/>
            <w:vAlign w:val="center"/>
          </w:tcPr>
          <w:p w14:paraId="048AEE67" w14:textId="246FD01C" w:rsidR="0076791E" w:rsidRPr="00B53BA4" w:rsidRDefault="0076791E" w:rsidP="004042B0">
            <w:pPr>
              <w:pStyle w:val="Tabletext"/>
              <w:ind w:right="454"/>
              <w:jc w:val="right"/>
              <w:rPr>
                <w:rFonts w:cs="Arial"/>
                <w:b/>
                <w:bCs/>
                <w:color w:val="auto"/>
                <w:highlight w:val="yellow"/>
              </w:rPr>
            </w:pPr>
            <w:r w:rsidRPr="0097352C">
              <w:rPr>
                <w:rFonts w:cs="Arial"/>
                <w:b/>
                <w:color w:val="000000" w:themeColor="text1"/>
              </w:rPr>
              <w:t>88.7</w:t>
            </w:r>
          </w:p>
        </w:tc>
        <w:tc>
          <w:tcPr>
            <w:tcW w:w="1475" w:type="dxa"/>
            <w:vAlign w:val="center"/>
          </w:tcPr>
          <w:p w14:paraId="60E88AE1" w14:textId="4A8FF3C1" w:rsidR="0076791E" w:rsidRPr="00B53BA4" w:rsidRDefault="0076791E" w:rsidP="004042B0">
            <w:pPr>
              <w:pStyle w:val="Tabletext"/>
              <w:ind w:right="454"/>
              <w:jc w:val="right"/>
              <w:rPr>
                <w:rFonts w:cs="Arial"/>
                <w:b/>
                <w:bCs/>
                <w:color w:val="auto"/>
                <w:highlight w:val="yellow"/>
              </w:rPr>
            </w:pPr>
            <w:r w:rsidRPr="0097352C">
              <w:rPr>
                <w:rFonts w:cs="Arial"/>
                <w:b/>
                <w:color w:val="000000" w:themeColor="text1"/>
              </w:rPr>
              <w:t>86.7</w:t>
            </w:r>
          </w:p>
        </w:tc>
        <w:tc>
          <w:tcPr>
            <w:tcW w:w="1669" w:type="dxa"/>
            <w:vAlign w:val="center"/>
          </w:tcPr>
          <w:p w14:paraId="5424D30C" w14:textId="48EC56A0" w:rsidR="0076791E" w:rsidRPr="00B53BA4" w:rsidRDefault="0076791E" w:rsidP="004042B0">
            <w:pPr>
              <w:pStyle w:val="Tabletext"/>
              <w:ind w:right="510"/>
              <w:jc w:val="right"/>
              <w:rPr>
                <w:rFonts w:cs="Arial"/>
                <w:b/>
                <w:bCs/>
                <w:color w:val="auto"/>
                <w:highlight w:val="yellow"/>
              </w:rPr>
            </w:pPr>
            <w:r w:rsidRPr="0097352C">
              <w:rPr>
                <w:rFonts w:cs="Arial"/>
                <w:b/>
                <w:color w:val="000000" w:themeColor="text1"/>
              </w:rPr>
              <w:t>90.0</w:t>
            </w:r>
          </w:p>
        </w:tc>
        <w:tc>
          <w:tcPr>
            <w:tcW w:w="1418" w:type="dxa"/>
            <w:vAlign w:val="center"/>
          </w:tcPr>
          <w:p w14:paraId="23C1501F" w14:textId="5700363F" w:rsidR="0076791E" w:rsidRPr="00B53BA4" w:rsidRDefault="0076791E" w:rsidP="004042B0">
            <w:pPr>
              <w:pStyle w:val="Tabletext"/>
              <w:ind w:right="425"/>
              <w:jc w:val="right"/>
              <w:rPr>
                <w:rFonts w:cs="Arial"/>
                <w:b/>
                <w:bCs/>
                <w:color w:val="auto"/>
                <w:highlight w:val="yellow"/>
              </w:rPr>
            </w:pPr>
            <w:r w:rsidRPr="0097352C">
              <w:rPr>
                <w:rFonts w:cs="Arial"/>
                <w:b/>
                <w:color w:val="000000" w:themeColor="text1"/>
              </w:rPr>
              <w:t>92.0</w:t>
            </w:r>
          </w:p>
        </w:tc>
      </w:tr>
    </w:tbl>
    <w:p w14:paraId="3EE42337" w14:textId="77777777" w:rsidR="00BE3EB6" w:rsidRDefault="00F92F59" w:rsidP="00F92F59">
      <w:pPr>
        <w:rPr>
          <w:rFonts w:eastAsia="Calibri"/>
          <w:sz w:val="16"/>
          <w:szCs w:val="22"/>
        </w:rPr>
        <w:sectPr w:rsidR="00BE3EB6" w:rsidSect="00BE3EB6">
          <w:pgSz w:w="16840" w:h="11900" w:orient="landscape"/>
          <w:pgMar w:top="710" w:right="852" w:bottom="560" w:left="994" w:header="567" w:footer="567" w:gutter="0"/>
          <w:cols w:space="708"/>
          <w:docGrid w:linePitch="360"/>
        </w:sectPr>
      </w:pPr>
      <w:r>
        <w:rPr>
          <w:rFonts w:eastAsia="Calibri" w:cs="Times New Roman"/>
          <w:sz w:val="16"/>
          <w:szCs w:val="22"/>
          <w:lang w:val="en-GB"/>
        </w:rPr>
        <w:t xml:space="preserve">Note: </w:t>
      </w:r>
      <w:r w:rsidRPr="00016C8B">
        <w:rPr>
          <w:rFonts w:eastAsia="Calibri" w:cs="Times New Roman"/>
          <w:sz w:val="16"/>
          <w:szCs w:val="22"/>
          <w:lang w:val="en-GB"/>
        </w:rPr>
        <w:t xml:space="preserve">Source country in 2024 </w:t>
      </w:r>
      <w:r>
        <w:rPr>
          <w:rFonts w:eastAsia="Calibri" w:cs="Times New Roman"/>
          <w:sz w:val="16"/>
          <w:szCs w:val="22"/>
          <w:lang w:val="en-GB"/>
        </w:rPr>
        <w:t>wa</w:t>
      </w:r>
      <w:r w:rsidRPr="00016C8B">
        <w:rPr>
          <w:rFonts w:eastAsia="Calibri" w:cs="Times New Roman"/>
          <w:sz w:val="16"/>
          <w:szCs w:val="22"/>
          <w:lang w:val="en-GB"/>
        </w:rPr>
        <w:t>s based on E658 Residential address country code</w:t>
      </w:r>
      <w:r>
        <w:rPr>
          <w:rFonts w:eastAsia="Calibri" w:cs="Times New Roman"/>
          <w:sz w:val="16"/>
          <w:szCs w:val="22"/>
          <w:lang w:val="en-GB"/>
        </w:rPr>
        <w:t>.</w:t>
      </w:r>
      <w:r w:rsidRPr="009F41B5">
        <w:rPr>
          <w:rFonts w:ascii="Segoe UI" w:hAnsi="Segoe UI" w:cs="Segoe UI"/>
          <w:color w:val="424242"/>
          <w:shd w:val="clear" w:color="auto" w:fill="FAFAFA"/>
        </w:rPr>
        <w:t xml:space="preserve"> </w:t>
      </w:r>
      <w:r w:rsidRPr="009F41B5">
        <w:rPr>
          <w:rFonts w:eastAsia="Calibri"/>
          <w:sz w:val="16"/>
          <w:szCs w:val="22"/>
        </w:rPr>
        <w:t xml:space="preserve">Source countries shown in this figure represent the top </w:t>
      </w:r>
      <w:r>
        <w:rPr>
          <w:rFonts w:eastAsia="Calibri"/>
          <w:sz w:val="16"/>
          <w:szCs w:val="22"/>
        </w:rPr>
        <w:t>5</w:t>
      </w:r>
      <w:r w:rsidRPr="009F41B5">
        <w:rPr>
          <w:rFonts w:eastAsia="Calibri"/>
          <w:sz w:val="16"/>
          <w:szCs w:val="22"/>
        </w:rPr>
        <w:t xml:space="preserve"> by number of survey respondents, ordered from </w:t>
      </w:r>
      <w:r>
        <w:rPr>
          <w:rFonts w:eastAsia="Calibri"/>
          <w:sz w:val="16"/>
          <w:szCs w:val="22"/>
        </w:rPr>
        <w:t>top to bottom</w:t>
      </w:r>
      <w:r w:rsidRPr="009F41B5">
        <w:rPr>
          <w:rFonts w:eastAsia="Calibri"/>
          <w:sz w:val="16"/>
          <w:szCs w:val="22"/>
        </w:rPr>
        <w:t xml:space="preserve"> from largest to smallest.</w:t>
      </w:r>
    </w:p>
    <w:p w14:paraId="41B4DA70" w14:textId="77777777" w:rsidR="00821227" w:rsidRPr="004042B0" w:rsidRDefault="00821227" w:rsidP="002A57F4">
      <w:pPr>
        <w:pStyle w:val="Heading2"/>
        <w:rPr>
          <w:color w:val="000000" w:themeColor="text1"/>
        </w:rPr>
      </w:pPr>
      <w:bookmarkStart w:id="102" w:name="_Toc171884214"/>
      <w:bookmarkStart w:id="103" w:name="_Toc171884215"/>
      <w:bookmarkStart w:id="104" w:name="_Toc171884216"/>
      <w:bookmarkStart w:id="105" w:name="_Toc171884261"/>
      <w:bookmarkStart w:id="106" w:name="_Toc206692280"/>
      <w:bookmarkEnd w:id="102"/>
      <w:bookmarkEnd w:id="103"/>
      <w:bookmarkEnd w:id="104"/>
      <w:bookmarkEnd w:id="105"/>
      <w:r w:rsidRPr="004042B0">
        <w:rPr>
          <w:color w:val="000000" w:themeColor="text1"/>
        </w:rPr>
        <w:lastRenderedPageBreak/>
        <w:t>Accommodation experience</w:t>
      </w:r>
      <w:bookmarkEnd w:id="106"/>
    </w:p>
    <w:p w14:paraId="522CC743" w14:textId="213CC3A0" w:rsidR="00821227" w:rsidRPr="004042B0" w:rsidRDefault="00821227" w:rsidP="00821227">
      <w:pPr>
        <w:pStyle w:val="Body"/>
        <w:rPr>
          <w:color w:val="000000" w:themeColor="text1"/>
          <w:highlight w:val="yellow"/>
          <w:lang w:eastAsia="en-AU"/>
        </w:rPr>
      </w:pPr>
      <w:r w:rsidRPr="004042B0">
        <w:rPr>
          <w:color w:val="000000" w:themeColor="text1"/>
        </w:rPr>
        <w:t xml:space="preserve">International students </w:t>
      </w:r>
      <w:r w:rsidR="00EB43A7" w:rsidRPr="004042B0">
        <w:rPr>
          <w:color w:val="000000" w:themeColor="text1"/>
        </w:rPr>
        <w:t xml:space="preserve">continued to </w:t>
      </w:r>
      <w:r w:rsidR="0035265D" w:rsidRPr="004042B0">
        <w:rPr>
          <w:color w:val="000000" w:themeColor="text1"/>
        </w:rPr>
        <w:t xml:space="preserve">report high levels of satisfaction with </w:t>
      </w:r>
      <w:r w:rsidRPr="004042B0">
        <w:rPr>
          <w:color w:val="000000" w:themeColor="text1"/>
        </w:rPr>
        <w:t>their accommodation in Australia</w:t>
      </w:r>
      <w:r w:rsidR="00002113" w:rsidRPr="004042B0">
        <w:rPr>
          <w:color w:val="000000" w:themeColor="text1"/>
        </w:rPr>
        <w:t>,</w:t>
      </w:r>
      <w:r w:rsidRPr="004042B0">
        <w:rPr>
          <w:color w:val="000000" w:themeColor="text1"/>
        </w:rPr>
        <w:t xml:space="preserve"> with </w:t>
      </w:r>
      <w:r w:rsidR="004626B7" w:rsidRPr="004042B0">
        <w:rPr>
          <w:color w:val="000000" w:themeColor="text1"/>
        </w:rPr>
        <w:t>90.1</w:t>
      </w:r>
      <w:r w:rsidRPr="004042B0">
        <w:rPr>
          <w:color w:val="000000" w:themeColor="text1"/>
        </w:rPr>
        <w:t xml:space="preserve"> per cent of </w:t>
      </w:r>
      <w:r w:rsidR="00002113" w:rsidRPr="004042B0">
        <w:rPr>
          <w:color w:val="000000" w:themeColor="text1"/>
        </w:rPr>
        <w:t xml:space="preserve">undergraduates and </w:t>
      </w:r>
      <w:r w:rsidR="004626B7" w:rsidRPr="004042B0">
        <w:rPr>
          <w:color w:val="000000" w:themeColor="text1"/>
        </w:rPr>
        <w:t>90.0</w:t>
      </w:r>
      <w:r w:rsidR="00002113" w:rsidRPr="004042B0">
        <w:rPr>
          <w:color w:val="000000" w:themeColor="text1"/>
        </w:rPr>
        <w:t xml:space="preserve"> per cent of postgraduate coursework students</w:t>
      </w:r>
      <w:r w:rsidRPr="004042B0">
        <w:rPr>
          <w:color w:val="000000" w:themeColor="text1"/>
        </w:rPr>
        <w:t xml:space="preserve"> rating this aspect positively in 202</w:t>
      </w:r>
      <w:r w:rsidR="00712675" w:rsidRPr="004042B0">
        <w:rPr>
          <w:color w:val="000000" w:themeColor="text1"/>
        </w:rPr>
        <w:t>4</w:t>
      </w:r>
      <w:r w:rsidRPr="004042B0">
        <w:rPr>
          <w:color w:val="000000" w:themeColor="text1"/>
        </w:rPr>
        <w:t xml:space="preserve">, as shown </w:t>
      </w:r>
      <w:r w:rsidR="0035265D" w:rsidRPr="004042B0">
        <w:rPr>
          <w:color w:val="000000" w:themeColor="text1"/>
        </w:rPr>
        <w:t>in</w:t>
      </w:r>
      <w:r w:rsidR="004E5C54" w:rsidRPr="004042B0">
        <w:rPr>
          <w:color w:val="000000" w:themeColor="text1"/>
        </w:rPr>
        <w:t xml:space="preserve"> </w:t>
      </w:r>
      <w:r w:rsidR="004E5C54" w:rsidRPr="004042B0">
        <w:rPr>
          <w:b/>
          <w:bCs/>
          <w:color w:val="000000" w:themeColor="text1"/>
        </w:rPr>
        <w:fldChar w:fldCharType="begin"/>
      </w:r>
      <w:r w:rsidR="004E5C54" w:rsidRPr="004042B0">
        <w:rPr>
          <w:b/>
          <w:bCs/>
          <w:color w:val="000000" w:themeColor="text1"/>
        </w:rPr>
        <w:instrText xml:space="preserve"> REF _Ref171704575 \h  \* MERGEFORMAT </w:instrText>
      </w:r>
      <w:r w:rsidR="004E5C54" w:rsidRPr="004042B0">
        <w:rPr>
          <w:b/>
          <w:bCs/>
          <w:color w:val="000000" w:themeColor="text1"/>
        </w:rPr>
      </w:r>
      <w:r w:rsidR="004E5C54" w:rsidRPr="004042B0">
        <w:rPr>
          <w:b/>
          <w:bCs/>
          <w:color w:val="000000" w:themeColor="text1"/>
        </w:rPr>
        <w:fldChar w:fldCharType="separate"/>
      </w:r>
      <w:r w:rsidR="00F96AB4" w:rsidRPr="00F96AB4">
        <w:rPr>
          <w:b/>
          <w:bCs/>
          <w:color w:val="000000" w:themeColor="text1"/>
        </w:rPr>
        <w:t xml:space="preserve">Figure </w:t>
      </w:r>
      <w:r w:rsidR="00F96AB4" w:rsidRPr="00F96AB4">
        <w:rPr>
          <w:b/>
          <w:bCs/>
          <w:noProof/>
          <w:color w:val="000000" w:themeColor="text1"/>
        </w:rPr>
        <w:t>24</w:t>
      </w:r>
      <w:r w:rsidR="004E5C54" w:rsidRPr="004042B0">
        <w:rPr>
          <w:b/>
          <w:bCs/>
          <w:color w:val="000000" w:themeColor="text1"/>
        </w:rPr>
        <w:fldChar w:fldCharType="end"/>
      </w:r>
      <w:r w:rsidRPr="004042B0">
        <w:rPr>
          <w:color w:val="000000" w:themeColor="text1"/>
        </w:rPr>
        <w:t xml:space="preserve">. </w:t>
      </w:r>
    </w:p>
    <w:p w14:paraId="4B4C5989" w14:textId="60C8F6C4" w:rsidR="00672EE8" w:rsidRDefault="00672EE8" w:rsidP="00672EE8">
      <w:pPr>
        <w:pStyle w:val="Caption"/>
        <w:rPr>
          <w:color w:val="000000" w:themeColor="text1"/>
        </w:rPr>
      </w:pPr>
      <w:bookmarkStart w:id="107" w:name="_Ref171704575"/>
      <w:bookmarkStart w:id="108" w:name="_Toc206692323"/>
      <w:r w:rsidRPr="004042B0">
        <w:rPr>
          <w:color w:val="000000" w:themeColor="text1"/>
        </w:rPr>
        <w:t xml:space="preserve">Figure </w:t>
      </w:r>
      <w:r w:rsidR="001E216A" w:rsidRPr="004042B0">
        <w:rPr>
          <w:color w:val="000000" w:themeColor="text1"/>
        </w:rPr>
        <w:fldChar w:fldCharType="begin"/>
      </w:r>
      <w:r w:rsidR="001E216A" w:rsidRPr="004042B0">
        <w:rPr>
          <w:color w:val="000000" w:themeColor="text1"/>
        </w:rPr>
        <w:instrText xml:space="preserve"> SEQ Figure \* ARABIC </w:instrText>
      </w:r>
      <w:r w:rsidR="001E216A" w:rsidRPr="004042B0">
        <w:rPr>
          <w:color w:val="000000" w:themeColor="text1"/>
        </w:rPr>
        <w:fldChar w:fldCharType="separate"/>
      </w:r>
      <w:r w:rsidR="00F96AB4">
        <w:rPr>
          <w:noProof/>
          <w:color w:val="000000" w:themeColor="text1"/>
        </w:rPr>
        <w:t>24</w:t>
      </w:r>
      <w:r w:rsidR="001E216A" w:rsidRPr="004042B0">
        <w:rPr>
          <w:noProof/>
          <w:color w:val="000000" w:themeColor="text1"/>
        </w:rPr>
        <w:fldChar w:fldCharType="end"/>
      </w:r>
      <w:bookmarkEnd w:id="107"/>
      <w:r w:rsidRPr="004042B0">
        <w:rPr>
          <w:color w:val="000000" w:themeColor="text1"/>
        </w:rPr>
        <w:t xml:space="preserve"> International student accommodation experience, 2020-202</w:t>
      </w:r>
      <w:r w:rsidR="00A47B5B" w:rsidRPr="004042B0">
        <w:rPr>
          <w:color w:val="000000" w:themeColor="text1"/>
        </w:rPr>
        <w:t>4</w:t>
      </w:r>
      <w:r w:rsidRPr="004042B0">
        <w:rPr>
          <w:color w:val="000000" w:themeColor="text1"/>
        </w:rPr>
        <w:t xml:space="preserve"> (% positive rating)</w:t>
      </w:r>
      <w:bookmarkEnd w:id="108"/>
    </w:p>
    <w:p w14:paraId="054EB188" w14:textId="0B46524F" w:rsidR="002A135C" w:rsidRPr="002A135C" w:rsidRDefault="002A135C" w:rsidP="002A135C">
      <w:pPr>
        <w:pStyle w:val="Body"/>
        <w:rPr>
          <w:lang w:eastAsia="en-AU"/>
        </w:rPr>
      </w:pPr>
      <w:r>
        <w:rPr>
          <w:noProof/>
          <w:lang w:eastAsia="en-AU"/>
        </w:rPr>
        <w:drawing>
          <wp:inline distT="0" distB="0" distL="0" distR="0" wp14:anchorId="2FC981FC" wp14:editId="560EA7C0">
            <wp:extent cx="6748780" cy="1950720"/>
            <wp:effectExtent l="0" t="0" r="0" b="0"/>
            <wp:docPr id="8045527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48780" cy="1950720"/>
                    </a:xfrm>
                    <a:prstGeom prst="rect">
                      <a:avLst/>
                    </a:prstGeom>
                    <a:noFill/>
                  </pic:spPr>
                </pic:pic>
              </a:graphicData>
            </a:graphic>
          </wp:inline>
        </w:drawing>
      </w:r>
    </w:p>
    <w:p w14:paraId="311EB25F" w14:textId="4C440A30" w:rsidR="0075316D" w:rsidRPr="0075316D" w:rsidRDefault="00A81695" w:rsidP="0075316D">
      <w:pPr>
        <w:pStyle w:val="Body"/>
      </w:pPr>
      <w:r w:rsidRPr="00A81695">
        <w:t>As shown in</w:t>
      </w:r>
      <w:r w:rsidR="002A135C">
        <w:t xml:space="preserve"> </w:t>
      </w:r>
      <w:r w:rsidR="002A135C" w:rsidRPr="002A135C">
        <w:rPr>
          <w:b/>
          <w:bCs/>
        </w:rPr>
        <w:t>Table 3</w:t>
      </w:r>
      <w:r w:rsidR="002A135C">
        <w:t>,</w:t>
      </w:r>
      <w:r w:rsidRPr="00A81695">
        <w:t xml:space="preserve"> </w:t>
      </w:r>
      <w:r w:rsidR="007274DC">
        <w:t xml:space="preserve">in 2024, </w:t>
      </w:r>
      <w:r w:rsidR="00015A04">
        <w:t>17.2 per cent of international undergraduate students lived in purpose-built student accommodation</w:t>
      </w:r>
      <w:r w:rsidR="007274DC">
        <w:t xml:space="preserve"> (such as student residence managed by the universities, and private halls or student hostel)</w:t>
      </w:r>
      <w:r w:rsidR="00015A04">
        <w:t>. J</w:t>
      </w:r>
      <w:r w:rsidRPr="00A81695">
        <w:t>ust over</w:t>
      </w:r>
      <w:r w:rsidR="00821227" w:rsidRPr="006B2055">
        <w:t xml:space="preserve"> half (5</w:t>
      </w:r>
      <w:r w:rsidR="00E069E3" w:rsidRPr="006B2055">
        <w:t>3.9</w:t>
      </w:r>
      <w:r w:rsidR="00821227" w:rsidRPr="006B2055">
        <w:t xml:space="preserve"> per cent) of international undergraduate students lived in </w:t>
      </w:r>
      <w:r w:rsidRPr="00A81695">
        <w:t>privately</w:t>
      </w:r>
      <w:r w:rsidR="00821227" w:rsidRPr="006B2055">
        <w:t xml:space="preserve"> rented</w:t>
      </w:r>
      <w:r w:rsidRPr="00A81695">
        <w:t xml:space="preserve"> accommodation</w:t>
      </w:r>
      <w:r w:rsidR="00015A04">
        <w:t xml:space="preserve"> (</w:t>
      </w:r>
      <w:r w:rsidRPr="00A81695">
        <w:t xml:space="preserve">such as a </w:t>
      </w:r>
      <w:r w:rsidR="00821227" w:rsidRPr="006B2055">
        <w:t>house</w:t>
      </w:r>
      <w:r w:rsidRPr="00A81695">
        <w:t xml:space="preserve">, </w:t>
      </w:r>
      <w:r w:rsidR="00821227" w:rsidRPr="006B2055">
        <w:t>flat</w:t>
      </w:r>
      <w:r w:rsidRPr="00A81695">
        <w:t xml:space="preserve">, </w:t>
      </w:r>
      <w:r w:rsidR="00821227" w:rsidRPr="006B2055">
        <w:t>room</w:t>
      </w:r>
      <w:r w:rsidRPr="00A81695">
        <w:t>, or apartment</w:t>
      </w:r>
      <w:r w:rsidR="00015A04">
        <w:t>)</w:t>
      </w:r>
      <w:r w:rsidRPr="00A81695">
        <w:t>. An additional</w:t>
      </w:r>
      <w:r w:rsidR="00821227" w:rsidRPr="006B2055">
        <w:t xml:space="preserve"> </w:t>
      </w:r>
      <w:r w:rsidR="00220022" w:rsidRPr="006B2055">
        <w:t>20.2</w:t>
      </w:r>
      <w:r w:rsidR="00821227" w:rsidRPr="006B2055">
        <w:t xml:space="preserve"> per cent were living with </w:t>
      </w:r>
      <w:r w:rsidR="00D72CB4">
        <w:t xml:space="preserve">friends </w:t>
      </w:r>
      <w:r w:rsidR="00865DC4">
        <w:t>or relatives in their accommodation</w:t>
      </w:r>
      <w:r w:rsidR="00821227" w:rsidRPr="006B2055">
        <w:t xml:space="preserve">. </w:t>
      </w:r>
      <w:r w:rsidRPr="00A81695">
        <w:t xml:space="preserve">Across all accommodation types, international undergraduates reported high levels of satisfaction with their living arrangements. The highest positive ratings came from students living with </w:t>
      </w:r>
      <w:r w:rsidR="00865DC4">
        <w:t>parents</w:t>
      </w:r>
      <w:r w:rsidRPr="00A81695">
        <w:t xml:space="preserve"> (94.8 per cent) and those living with </w:t>
      </w:r>
      <w:r w:rsidR="00500333">
        <w:t>friends or relatives in their accommodation</w:t>
      </w:r>
      <w:r w:rsidRPr="00A81695">
        <w:t xml:space="preserve"> (93.3 per cent). </w:t>
      </w:r>
      <w:r w:rsidR="0075316D" w:rsidRPr="0075316D">
        <w:t>Students in private halls of residence reported the lowest satisfaction, though it remained relatively high at 84.7</w:t>
      </w:r>
      <w:r w:rsidR="0075316D">
        <w:t xml:space="preserve"> per cent</w:t>
      </w:r>
      <w:r w:rsidR="0075316D" w:rsidRPr="0075316D">
        <w:t>.</w:t>
      </w:r>
    </w:p>
    <w:p w14:paraId="01ADB3FE" w14:textId="2E9CA034" w:rsidR="0075316D" w:rsidRPr="0075316D" w:rsidRDefault="0075316D" w:rsidP="0075316D">
      <w:pPr>
        <w:pStyle w:val="Body"/>
      </w:pPr>
      <w:r w:rsidRPr="0075316D">
        <w:t>A similar pattern was observed among international postgraduate coursework students. The majority (65.8</w:t>
      </w:r>
      <w:r>
        <w:t xml:space="preserve"> per cent</w:t>
      </w:r>
      <w:r w:rsidRPr="0075316D">
        <w:t>) lived in privately rented accommodation, followed by 16.3</w:t>
      </w:r>
      <w:r>
        <w:t xml:space="preserve"> per cent</w:t>
      </w:r>
      <w:r w:rsidRPr="0075316D">
        <w:t xml:space="preserve"> who lived with </w:t>
      </w:r>
      <w:r w:rsidR="000228C0">
        <w:t xml:space="preserve">friends or relatives in </w:t>
      </w:r>
      <w:r w:rsidRPr="0075316D">
        <w:t xml:space="preserve">their </w:t>
      </w:r>
      <w:r w:rsidR="000228C0">
        <w:t>accommodation</w:t>
      </w:r>
      <w:r w:rsidR="00015A04">
        <w:t>,</w:t>
      </w:r>
      <w:r w:rsidR="00015A04" w:rsidRPr="00015A04">
        <w:t xml:space="preserve"> </w:t>
      </w:r>
      <w:r w:rsidR="00015A04">
        <w:t>and 12.6 per cent in purpose-built student accommodation</w:t>
      </w:r>
      <w:r w:rsidRPr="0075316D">
        <w:t>. Satisfaction with private rentals was also high in this group, with 89.6</w:t>
      </w:r>
      <w:r>
        <w:t xml:space="preserve"> per cent</w:t>
      </w:r>
      <w:r w:rsidRPr="0075316D">
        <w:t xml:space="preserve"> reporting a positive experience.</w:t>
      </w:r>
      <w:r w:rsidR="00015A04">
        <w:t xml:space="preserve"> </w:t>
      </w:r>
      <w:r w:rsidR="00015A04" w:rsidRPr="0075316D">
        <w:t>Students in private halls of residence reported the lowest satisfaction</w:t>
      </w:r>
      <w:r w:rsidR="00015A04">
        <w:t xml:space="preserve"> at 85.8 per cent, </w:t>
      </w:r>
      <w:r w:rsidR="007274DC" w:rsidRPr="007274DC">
        <w:t>reflecting a similar pattern to that observed among international undergraduate students</w:t>
      </w:r>
      <w:r w:rsidR="00015A04">
        <w:t xml:space="preserve">. </w:t>
      </w:r>
    </w:p>
    <w:p w14:paraId="3AC8C816" w14:textId="77777777" w:rsidR="00544E66" w:rsidRDefault="00544E66" w:rsidP="005068BF">
      <w:pPr>
        <w:pStyle w:val="Caption"/>
        <w:spacing w:before="0"/>
      </w:pPr>
      <w:bookmarkStart w:id="109" w:name="_Ref64204264"/>
      <w:r>
        <w:br w:type="page"/>
      </w:r>
    </w:p>
    <w:p w14:paraId="7D1D7D4A" w14:textId="05C16DFC" w:rsidR="00821227" w:rsidRPr="004042B0" w:rsidRDefault="00821227" w:rsidP="005068BF">
      <w:pPr>
        <w:pStyle w:val="Caption"/>
        <w:spacing w:before="0"/>
        <w:rPr>
          <w:color w:val="000000" w:themeColor="text1"/>
        </w:rPr>
      </w:pPr>
      <w:bookmarkStart w:id="110" w:name="_Toc206692295"/>
      <w:r w:rsidRPr="004042B0">
        <w:rPr>
          <w:color w:val="000000" w:themeColor="text1"/>
        </w:rPr>
        <w:lastRenderedPageBreak/>
        <w:t xml:space="preserve">Table </w:t>
      </w:r>
      <w:r w:rsidR="001E216A" w:rsidRPr="004042B0">
        <w:rPr>
          <w:color w:val="000000" w:themeColor="text1"/>
        </w:rPr>
        <w:fldChar w:fldCharType="begin"/>
      </w:r>
      <w:r w:rsidR="001E216A" w:rsidRPr="004042B0">
        <w:rPr>
          <w:color w:val="000000" w:themeColor="text1"/>
        </w:rPr>
        <w:instrText xml:space="preserve"> SEQ Table \* ARABIC </w:instrText>
      </w:r>
      <w:r w:rsidR="001E216A" w:rsidRPr="004042B0">
        <w:rPr>
          <w:color w:val="000000" w:themeColor="text1"/>
        </w:rPr>
        <w:fldChar w:fldCharType="separate"/>
      </w:r>
      <w:r w:rsidR="00F96AB4">
        <w:rPr>
          <w:noProof/>
          <w:color w:val="000000" w:themeColor="text1"/>
        </w:rPr>
        <w:t>3</w:t>
      </w:r>
      <w:r w:rsidR="001E216A" w:rsidRPr="004042B0">
        <w:rPr>
          <w:noProof/>
          <w:color w:val="000000" w:themeColor="text1"/>
        </w:rPr>
        <w:fldChar w:fldCharType="end"/>
      </w:r>
      <w:bookmarkEnd w:id="109"/>
      <w:r w:rsidRPr="004042B0">
        <w:rPr>
          <w:color w:val="000000" w:themeColor="text1"/>
        </w:rPr>
        <w:t xml:space="preserve"> International student living arrangements and positive ratings, 202</w:t>
      </w:r>
      <w:r w:rsidR="008F646E" w:rsidRPr="004042B0">
        <w:rPr>
          <w:color w:val="000000" w:themeColor="text1"/>
        </w:rPr>
        <w:t>4</w:t>
      </w:r>
      <w:r w:rsidR="00D43025" w:rsidRPr="004042B0">
        <w:rPr>
          <w:color w:val="000000" w:themeColor="text1"/>
        </w:rPr>
        <w:t xml:space="preserve"> (</w:t>
      </w:r>
      <w:r w:rsidRPr="004042B0">
        <w:rPr>
          <w:color w:val="000000" w:themeColor="text1"/>
        </w:rPr>
        <w:t>%</w:t>
      </w:r>
      <w:r w:rsidR="00D43025" w:rsidRPr="004042B0">
        <w:rPr>
          <w:color w:val="000000" w:themeColor="text1"/>
        </w:rPr>
        <w:t>)</w:t>
      </w:r>
      <w:bookmarkEnd w:id="110"/>
    </w:p>
    <w:tbl>
      <w:tblPr>
        <w:tblW w:w="5000" w:type="pct"/>
        <w:tblLayout w:type="fixed"/>
        <w:tblCellMar>
          <w:left w:w="0" w:type="dxa"/>
          <w:right w:w="0" w:type="dxa"/>
        </w:tblCellMar>
        <w:tblLook w:val="04A0" w:firstRow="1" w:lastRow="0" w:firstColumn="1" w:lastColumn="0" w:noHBand="0" w:noVBand="1"/>
      </w:tblPr>
      <w:tblGrid>
        <w:gridCol w:w="2691"/>
        <w:gridCol w:w="1983"/>
        <w:gridCol w:w="1983"/>
        <w:gridCol w:w="1982"/>
        <w:gridCol w:w="1985"/>
      </w:tblGrid>
      <w:tr w:rsidR="00FC390B" w:rsidRPr="008F646E" w14:paraId="4A200533" w14:textId="2D1FAC87" w:rsidTr="004042B0">
        <w:trPr>
          <w:trHeight w:val="683"/>
          <w:tblHeader/>
        </w:trPr>
        <w:tc>
          <w:tcPr>
            <w:tcW w:w="1266" w:type="pct"/>
            <w:tcBorders>
              <w:top w:val="single" w:sz="2" w:space="0" w:color="000000"/>
              <w:left w:val="single" w:sz="2" w:space="0" w:color="000000"/>
              <w:bottom w:val="single" w:sz="2" w:space="0" w:color="000000"/>
              <w:right w:val="single" w:sz="2" w:space="0" w:color="000000"/>
            </w:tcBorders>
          </w:tcPr>
          <w:p w14:paraId="6F5C85C7" w14:textId="77777777" w:rsidR="00FC390B" w:rsidRPr="008F646E" w:rsidRDefault="00FC390B" w:rsidP="00FC390B">
            <w:pPr>
              <w:pStyle w:val="zz"/>
              <w:framePr w:wrap="auto"/>
            </w:pP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bottom"/>
          </w:tcPr>
          <w:p w14:paraId="4B8513E9" w14:textId="58092F27" w:rsidR="00FC390B" w:rsidRPr="008F646E" w:rsidRDefault="004042B0" w:rsidP="004042B0">
            <w:pPr>
              <w:pStyle w:val="zz"/>
              <w:framePr w:wrap="auto"/>
              <w:spacing w:after="60"/>
              <w:ind w:left="57" w:right="57"/>
              <w:rPr>
                <w:lang w:eastAsia="en-AU"/>
              </w:rPr>
            </w:pPr>
            <w:r>
              <w:t xml:space="preserve">Undergraduate </w:t>
            </w:r>
            <w:r w:rsidR="00FC390B" w:rsidRPr="008F646E">
              <w:t>% of students living in accommodation type</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bottom"/>
          </w:tcPr>
          <w:p w14:paraId="4B59ABC8" w14:textId="6BE4F307" w:rsidR="00FC390B" w:rsidRPr="008F646E" w:rsidRDefault="004042B0" w:rsidP="004042B0">
            <w:pPr>
              <w:pStyle w:val="zz"/>
              <w:framePr w:wrap="auto"/>
              <w:spacing w:after="60"/>
              <w:ind w:left="57" w:right="57"/>
              <w:rPr>
                <w:lang w:eastAsia="en-AU"/>
              </w:rPr>
            </w:pPr>
            <w:r>
              <w:t xml:space="preserve">Undergraduate </w:t>
            </w:r>
            <w:r w:rsidR="00FC390B" w:rsidRPr="008F646E">
              <w:t>% positive rating of current living arrangements</w:t>
            </w:r>
          </w:p>
        </w:tc>
        <w:tc>
          <w:tcPr>
            <w:tcW w:w="933" w:type="pct"/>
            <w:tcBorders>
              <w:top w:val="single" w:sz="2" w:space="0" w:color="000000"/>
              <w:left w:val="single" w:sz="2" w:space="0" w:color="000000"/>
              <w:bottom w:val="single" w:sz="2" w:space="0" w:color="000000"/>
              <w:right w:val="single" w:sz="2" w:space="0" w:color="000000"/>
            </w:tcBorders>
            <w:vAlign w:val="bottom"/>
          </w:tcPr>
          <w:p w14:paraId="332A8006" w14:textId="3B2CD7AB" w:rsidR="00FC390B" w:rsidRPr="008F646E" w:rsidRDefault="004042B0" w:rsidP="004042B0">
            <w:pPr>
              <w:pStyle w:val="zz"/>
              <w:framePr w:wrap="auto"/>
              <w:spacing w:after="60"/>
              <w:ind w:left="57" w:right="57"/>
            </w:pPr>
            <w:r>
              <w:t>Postgraduate coursework</w:t>
            </w:r>
            <w:r w:rsidRPr="008F646E">
              <w:t xml:space="preserve"> </w:t>
            </w:r>
            <w:r w:rsidR="00FC390B" w:rsidRPr="008F646E">
              <w:t>% of students living in accommodation type</w:t>
            </w:r>
          </w:p>
        </w:tc>
        <w:tc>
          <w:tcPr>
            <w:tcW w:w="934" w:type="pct"/>
            <w:tcBorders>
              <w:top w:val="single" w:sz="2" w:space="0" w:color="000000"/>
              <w:left w:val="single" w:sz="2" w:space="0" w:color="000000"/>
              <w:bottom w:val="single" w:sz="2" w:space="0" w:color="000000"/>
              <w:right w:val="single" w:sz="2" w:space="0" w:color="000000"/>
            </w:tcBorders>
            <w:vAlign w:val="bottom"/>
          </w:tcPr>
          <w:p w14:paraId="007E3CE0" w14:textId="281452E9" w:rsidR="00FC390B" w:rsidRPr="008F646E" w:rsidRDefault="004042B0" w:rsidP="004042B0">
            <w:pPr>
              <w:pStyle w:val="zz"/>
              <w:framePr w:wrap="auto"/>
              <w:spacing w:after="60"/>
              <w:ind w:left="57" w:right="57"/>
            </w:pPr>
            <w:r>
              <w:t>Postgraduate coursework</w:t>
            </w:r>
            <w:r w:rsidRPr="008F646E">
              <w:t xml:space="preserve"> </w:t>
            </w:r>
            <w:r w:rsidR="00FC390B" w:rsidRPr="008F646E">
              <w:t>% positive rating of current living arrangements</w:t>
            </w:r>
          </w:p>
        </w:tc>
      </w:tr>
      <w:tr w:rsidR="00A754CA" w:rsidRPr="008F646E" w14:paraId="252FD26E" w14:textId="704246AD" w:rsidTr="004042B0">
        <w:trPr>
          <w:trHeight w:val="214"/>
        </w:trPr>
        <w:tc>
          <w:tcPr>
            <w:tcW w:w="1266" w:type="pct"/>
            <w:tcBorders>
              <w:top w:val="single" w:sz="2" w:space="0" w:color="000000"/>
              <w:left w:val="single" w:sz="2" w:space="0" w:color="000000"/>
              <w:bottom w:val="single" w:sz="2" w:space="0" w:color="000000"/>
              <w:right w:val="single" w:sz="2" w:space="0" w:color="000000"/>
            </w:tcBorders>
            <w:vAlign w:val="center"/>
          </w:tcPr>
          <w:p w14:paraId="497464CC" w14:textId="50244811" w:rsidR="00A754CA" w:rsidRPr="008F646E" w:rsidRDefault="00E22C5C" w:rsidP="004042B0">
            <w:pPr>
              <w:pStyle w:val="Z"/>
              <w:spacing w:before="40" w:after="40"/>
              <w:ind w:left="113"/>
              <w:rPr>
                <w:color w:val="000000"/>
                <w:szCs w:val="18"/>
              </w:rPr>
            </w:pPr>
            <w:r w:rsidRPr="008F646E">
              <w:rPr>
                <w:szCs w:val="18"/>
              </w:rPr>
              <w:t>Private rented house/flat/room</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114BB5D6" w14:textId="1AED8613" w:rsidR="00A754CA" w:rsidRPr="008F646E" w:rsidRDefault="00E22C5C" w:rsidP="004042B0">
            <w:pPr>
              <w:pStyle w:val="Z"/>
              <w:ind w:right="765"/>
              <w:jc w:val="right"/>
              <w:rPr>
                <w:color w:val="000000"/>
                <w:szCs w:val="18"/>
              </w:rPr>
            </w:pPr>
            <w:r w:rsidRPr="008F646E">
              <w:rPr>
                <w:color w:val="000000"/>
                <w:szCs w:val="18"/>
              </w:rPr>
              <w:t>53.9</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208B9069" w14:textId="253D4ED6" w:rsidR="00A754CA" w:rsidRPr="008F646E" w:rsidRDefault="00A754CA" w:rsidP="004042B0">
            <w:pPr>
              <w:pStyle w:val="Z"/>
              <w:ind w:right="737"/>
              <w:jc w:val="right"/>
              <w:rPr>
                <w:color w:val="000000"/>
                <w:szCs w:val="18"/>
              </w:rPr>
            </w:pPr>
            <w:r w:rsidRPr="008F646E">
              <w:rPr>
                <w:color w:val="000000"/>
                <w:szCs w:val="18"/>
              </w:rPr>
              <w:t>89.</w:t>
            </w:r>
            <w:r w:rsidR="00E22C5C" w:rsidRPr="008F646E">
              <w:rPr>
                <w:color w:val="000000"/>
                <w:szCs w:val="18"/>
              </w:rPr>
              <w:t>4</w:t>
            </w:r>
          </w:p>
        </w:tc>
        <w:tc>
          <w:tcPr>
            <w:tcW w:w="933" w:type="pct"/>
            <w:tcBorders>
              <w:top w:val="single" w:sz="2" w:space="0" w:color="000000"/>
              <w:left w:val="single" w:sz="2" w:space="0" w:color="000000"/>
              <w:bottom w:val="single" w:sz="2" w:space="0" w:color="000000"/>
              <w:right w:val="single" w:sz="2" w:space="0" w:color="000000"/>
            </w:tcBorders>
            <w:vAlign w:val="center"/>
          </w:tcPr>
          <w:p w14:paraId="399E4E6D" w14:textId="3C06299B" w:rsidR="00A754CA" w:rsidRPr="008F646E" w:rsidRDefault="00E22C5C" w:rsidP="004042B0">
            <w:pPr>
              <w:pStyle w:val="Z"/>
              <w:ind w:right="794"/>
              <w:jc w:val="right"/>
              <w:rPr>
                <w:color w:val="000000"/>
                <w:szCs w:val="18"/>
              </w:rPr>
            </w:pPr>
            <w:r w:rsidRPr="00B0401C">
              <w:rPr>
                <w:color w:val="000000"/>
                <w:szCs w:val="18"/>
              </w:rPr>
              <w:t>65.8</w:t>
            </w:r>
          </w:p>
        </w:tc>
        <w:tc>
          <w:tcPr>
            <w:tcW w:w="934" w:type="pct"/>
            <w:tcBorders>
              <w:top w:val="single" w:sz="2" w:space="0" w:color="000000"/>
              <w:left w:val="single" w:sz="2" w:space="0" w:color="000000"/>
              <w:bottom w:val="single" w:sz="2" w:space="0" w:color="000000"/>
              <w:right w:val="single" w:sz="2" w:space="0" w:color="000000"/>
            </w:tcBorders>
            <w:vAlign w:val="center"/>
          </w:tcPr>
          <w:p w14:paraId="0933794D" w14:textId="5376EC2F" w:rsidR="00A754CA" w:rsidRPr="008F646E" w:rsidRDefault="00E22C5C" w:rsidP="004042B0">
            <w:pPr>
              <w:pStyle w:val="Z"/>
              <w:ind w:right="794"/>
              <w:jc w:val="right"/>
              <w:rPr>
                <w:color w:val="000000"/>
                <w:szCs w:val="18"/>
              </w:rPr>
            </w:pPr>
            <w:r w:rsidRPr="00A754CA">
              <w:rPr>
                <w:color w:val="000000"/>
                <w:szCs w:val="18"/>
              </w:rPr>
              <w:t>89.6</w:t>
            </w:r>
          </w:p>
        </w:tc>
      </w:tr>
      <w:tr w:rsidR="00E22C5C" w:rsidRPr="008F646E" w14:paraId="0C80CABA" w14:textId="77777777" w:rsidTr="004042B0">
        <w:trPr>
          <w:trHeight w:val="214"/>
        </w:trPr>
        <w:tc>
          <w:tcPr>
            <w:tcW w:w="1266" w:type="pct"/>
            <w:tcBorders>
              <w:top w:val="single" w:sz="2" w:space="0" w:color="000000"/>
              <w:left w:val="single" w:sz="2" w:space="0" w:color="000000"/>
              <w:bottom w:val="single" w:sz="2" w:space="0" w:color="000000"/>
              <w:right w:val="single" w:sz="2" w:space="0" w:color="000000"/>
            </w:tcBorders>
            <w:vAlign w:val="center"/>
          </w:tcPr>
          <w:p w14:paraId="6581CA81" w14:textId="117F4F5E" w:rsidR="00E22C5C" w:rsidRPr="008F646E" w:rsidRDefault="00E22C5C" w:rsidP="004042B0">
            <w:pPr>
              <w:pStyle w:val="Z"/>
              <w:spacing w:before="40" w:after="40"/>
              <w:ind w:left="113"/>
              <w:rPr>
                <w:szCs w:val="18"/>
              </w:rPr>
            </w:pPr>
            <w:r w:rsidRPr="008F646E">
              <w:rPr>
                <w:szCs w:val="18"/>
              </w:rPr>
              <w:t>With friends or relatives in their accommodation</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3F42A409" w14:textId="5C148384" w:rsidR="00E22C5C" w:rsidRPr="008F646E" w:rsidRDefault="00E22C5C" w:rsidP="004042B0">
            <w:pPr>
              <w:pStyle w:val="Z"/>
              <w:ind w:right="765"/>
              <w:jc w:val="right"/>
              <w:rPr>
                <w:color w:val="000000"/>
                <w:szCs w:val="18"/>
              </w:rPr>
            </w:pPr>
            <w:r w:rsidRPr="008F646E">
              <w:rPr>
                <w:color w:val="000000"/>
                <w:szCs w:val="18"/>
              </w:rPr>
              <w:t>20.2</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7A9BB9B1" w14:textId="1A064BE7" w:rsidR="00E22C5C" w:rsidRPr="008F646E" w:rsidRDefault="00E22C5C" w:rsidP="004042B0">
            <w:pPr>
              <w:pStyle w:val="Z"/>
              <w:ind w:right="737"/>
              <w:jc w:val="right"/>
              <w:rPr>
                <w:color w:val="000000"/>
                <w:szCs w:val="18"/>
              </w:rPr>
            </w:pPr>
            <w:r w:rsidRPr="008F646E">
              <w:rPr>
                <w:color w:val="000000"/>
                <w:szCs w:val="18"/>
              </w:rPr>
              <w:t>93.3</w:t>
            </w:r>
          </w:p>
        </w:tc>
        <w:tc>
          <w:tcPr>
            <w:tcW w:w="933" w:type="pct"/>
            <w:tcBorders>
              <w:top w:val="single" w:sz="2" w:space="0" w:color="000000"/>
              <w:left w:val="single" w:sz="2" w:space="0" w:color="000000"/>
              <w:bottom w:val="single" w:sz="2" w:space="0" w:color="000000"/>
              <w:right w:val="single" w:sz="2" w:space="0" w:color="000000"/>
            </w:tcBorders>
            <w:vAlign w:val="center"/>
          </w:tcPr>
          <w:p w14:paraId="432FC5FE" w14:textId="7E9A9470" w:rsidR="00E22C5C" w:rsidRPr="00B0401C" w:rsidRDefault="00E22C5C" w:rsidP="004042B0">
            <w:pPr>
              <w:pStyle w:val="Z"/>
              <w:ind w:right="794"/>
              <w:jc w:val="right"/>
              <w:rPr>
                <w:color w:val="000000"/>
                <w:szCs w:val="18"/>
              </w:rPr>
            </w:pPr>
            <w:r w:rsidRPr="00B0401C">
              <w:rPr>
                <w:color w:val="000000"/>
                <w:szCs w:val="18"/>
              </w:rPr>
              <w:t>16.3</w:t>
            </w:r>
          </w:p>
        </w:tc>
        <w:tc>
          <w:tcPr>
            <w:tcW w:w="934" w:type="pct"/>
            <w:tcBorders>
              <w:top w:val="single" w:sz="2" w:space="0" w:color="000000"/>
              <w:left w:val="single" w:sz="2" w:space="0" w:color="000000"/>
              <w:bottom w:val="single" w:sz="2" w:space="0" w:color="000000"/>
              <w:right w:val="single" w:sz="2" w:space="0" w:color="000000"/>
            </w:tcBorders>
            <w:vAlign w:val="center"/>
          </w:tcPr>
          <w:p w14:paraId="1ACB8382" w14:textId="0B3D7D62" w:rsidR="00E22C5C" w:rsidRPr="00A754CA" w:rsidRDefault="00E22C5C" w:rsidP="004042B0">
            <w:pPr>
              <w:pStyle w:val="Z"/>
              <w:ind w:right="794"/>
              <w:jc w:val="right"/>
              <w:rPr>
                <w:color w:val="000000"/>
                <w:szCs w:val="18"/>
              </w:rPr>
            </w:pPr>
            <w:r w:rsidRPr="00A754CA">
              <w:rPr>
                <w:color w:val="000000"/>
                <w:szCs w:val="18"/>
              </w:rPr>
              <w:t>93.4</w:t>
            </w:r>
          </w:p>
        </w:tc>
      </w:tr>
      <w:tr w:rsidR="006E0DF0" w:rsidRPr="008F646E" w14:paraId="65C15432" w14:textId="77777777" w:rsidTr="004042B0">
        <w:trPr>
          <w:trHeight w:val="214"/>
        </w:trPr>
        <w:tc>
          <w:tcPr>
            <w:tcW w:w="1266" w:type="pct"/>
            <w:tcBorders>
              <w:top w:val="single" w:sz="2" w:space="0" w:color="000000"/>
              <w:left w:val="single" w:sz="2" w:space="0" w:color="000000"/>
              <w:bottom w:val="single" w:sz="2" w:space="0" w:color="000000"/>
              <w:right w:val="single" w:sz="2" w:space="0" w:color="000000"/>
            </w:tcBorders>
            <w:vAlign w:val="center"/>
          </w:tcPr>
          <w:p w14:paraId="5E1C4672" w14:textId="39969330" w:rsidR="006E0DF0" w:rsidRPr="008F646E" w:rsidRDefault="00E22C5C" w:rsidP="004042B0">
            <w:pPr>
              <w:pStyle w:val="Z"/>
              <w:spacing w:before="40" w:after="40"/>
              <w:ind w:left="113"/>
              <w:rPr>
                <w:szCs w:val="18"/>
              </w:rPr>
            </w:pPr>
            <w:r w:rsidRPr="008F646E">
              <w:rPr>
                <w:szCs w:val="18"/>
              </w:rPr>
              <w:t>University or college halls of residence</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7DC77A2C" w14:textId="60996E9A" w:rsidR="006E0DF0" w:rsidRPr="008F646E" w:rsidRDefault="00E22C5C" w:rsidP="004042B0">
            <w:pPr>
              <w:pStyle w:val="Z"/>
              <w:ind w:right="765"/>
              <w:jc w:val="right"/>
              <w:rPr>
                <w:color w:val="000000"/>
                <w:szCs w:val="18"/>
              </w:rPr>
            </w:pPr>
            <w:r w:rsidRPr="008F646E">
              <w:rPr>
                <w:color w:val="000000"/>
                <w:szCs w:val="18"/>
              </w:rPr>
              <w:t>7.2</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68A6E65D" w14:textId="793505CC" w:rsidR="006E0DF0" w:rsidRPr="008F646E" w:rsidRDefault="00E22C5C" w:rsidP="004042B0">
            <w:pPr>
              <w:pStyle w:val="Z"/>
              <w:ind w:right="737"/>
              <w:jc w:val="right"/>
              <w:rPr>
                <w:color w:val="000000"/>
                <w:szCs w:val="18"/>
              </w:rPr>
            </w:pPr>
            <w:r w:rsidRPr="008F646E">
              <w:rPr>
                <w:color w:val="000000"/>
                <w:szCs w:val="18"/>
              </w:rPr>
              <w:t>89.9</w:t>
            </w:r>
          </w:p>
        </w:tc>
        <w:tc>
          <w:tcPr>
            <w:tcW w:w="933" w:type="pct"/>
            <w:tcBorders>
              <w:top w:val="single" w:sz="2" w:space="0" w:color="000000"/>
              <w:left w:val="single" w:sz="2" w:space="0" w:color="000000"/>
              <w:bottom w:val="single" w:sz="2" w:space="0" w:color="000000"/>
              <w:right w:val="single" w:sz="2" w:space="0" w:color="000000"/>
            </w:tcBorders>
            <w:vAlign w:val="center"/>
          </w:tcPr>
          <w:p w14:paraId="65E06BB4" w14:textId="022C6CFB" w:rsidR="006E0DF0" w:rsidRPr="00B0401C" w:rsidRDefault="00E22C5C" w:rsidP="004042B0">
            <w:pPr>
              <w:pStyle w:val="Z"/>
              <w:ind w:right="794"/>
              <w:jc w:val="right"/>
              <w:rPr>
                <w:color w:val="000000"/>
                <w:szCs w:val="18"/>
              </w:rPr>
            </w:pPr>
            <w:r w:rsidRPr="00B0401C">
              <w:rPr>
                <w:color w:val="000000"/>
                <w:szCs w:val="18"/>
              </w:rPr>
              <w:t>4.2</w:t>
            </w:r>
          </w:p>
        </w:tc>
        <w:tc>
          <w:tcPr>
            <w:tcW w:w="934" w:type="pct"/>
            <w:tcBorders>
              <w:top w:val="single" w:sz="2" w:space="0" w:color="000000"/>
              <w:left w:val="single" w:sz="2" w:space="0" w:color="000000"/>
              <w:bottom w:val="single" w:sz="2" w:space="0" w:color="000000"/>
              <w:right w:val="single" w:sz="2" w:space="0" w:color="000000"/>
            </w:tcBorders>
            <w:vAlign w:val="center"/>
          </w:tcPr>
          <w:p w14:paraId="6D90C423" w14:textId="7D5D950C" w:rsidR="006E0DF0" w:rsidRPr="00A754CA" w:rsidRDefault="00E22C5C" w:rsidP="004042B0">
            <w:pPr>
              <w:pStyle w:val="Z"/>
              <w:ind w:right="794"/>
              <w:jc w:val="right"/>
              <w:rPr>
                <w:color w:val="000000"/>
                <w:szCs w:val="18"/>
              </w:rPr>
            </w:pPr>
            <w:r w:rsidRPr="00A754CA">
              <w:rPr>
                <w:color w:val="000000"/>
                <w:szCs w:val="18"/>
              </w:rPr>
              <w:t>90.9</w:t>
            </w:r>
          </w:p>
        </w:tc>
      </w:tr>
      <w:tr w:rsidR="00A754CA" w:rsidRPr="008F646E" w14:paraId="5D7BE233" w14:textId="697395F0" w:rsidTr="004042B0">
        <w:trPr>
          <w:trHeight w:val="214"/>
        </w:trPr>
        <w:tc>
          <w:tcPr>
            <w:tcW w:w="1266" w:type="pct"/>
            <w:tcBorders>
              <w:top w:val="single" w:sz="2" w:space="0" w:color="000000"/>
              <w:left w:val="single" w:sz="2" w:space="0" w:color="000000"/>
              <w:bottom w:val="single" w:sz="2" w:space="0" w:color="000000"/>
              <w:right w:val="single" w:sz="2" w:space="0" w:color="000000"/>
            </w:tcBorders>
            <w:vAlign w:val="center"/>
          </w:tcPr>
          <w:p w14:paraId="36A887F9" w14:textId="4288A18F" w:rsidR="00A754CA" w:rsidRPr="008F646E" w:rsidRDefault="00BE003B" w:rsidP="004042B0">
            <w:pPr>
              <w:pStyle w:val="Z"/>
              <w:spacing w:before="40" w:after="40"/>
              <w:ind w:left="113"/>
              <w:rPr>
                <w:color w:val="000000"/>
                <w:szCs w:val="18"/>
              </w:rPr>
            </w:pPr>
            <w:r w:rsidRPr="008F646E">
              <w:rPr>
                <w:szCs w:val="18"/>
              </w:rPr>
              <w:t>Private halls or student hostel</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7A753644" w14:textId="0EAAC9E3" w:rsidR="00A754CA" w:rsidRPr="008F646E" w:rsidRDefault="00BE003B" w:rsidP="004042B0">
            <w:pPr>
              <w:pStyle w:val="Z"/>
              <w:ind w:right="765"/>
              <w:jc w:val="right"/>
              <w:rPr>
                <w:color w:val="000000"/>
                <w:szCs w:val="18"/>
              </w:rPr>
            </w:pPr>
            <w:r w:rsidRPr="008F646E">
              <w:rPr>
                <w:color w:val="000000"/>
                <w:szCs w:val="18"/>
              </w:rPr>
              <w:t>5.</w:t>
            </w:r>
            <w:r w:rsidR="00A754CA" w:rsidRPr="008F646E">
              <w:rPr>
                <w:color w:val="000000"/>
                <w:szCs w:val="18"/>
              </w:rPr>
              <w:t>4</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7DAFD499" w14:textId="490FC243" w:rsidR="00A754CA" w:rsidRPr="008F646E" w:rsidRDefault="00BE003B" w:rsidP="004042B0">
            <w:pPr>
              <w:pStyle w:val="Z"/>
              <w:ind w:right="737"/>
              <w:jc w:val="right"/>
              <w:rPr>
                <w:color w:val="000000"/>
                <w:szCs w:val="18"/>
              </w:rPr>
            </w:pPr>
            <w:r w:rsidRPr="008F646E">
              <w:rPr>
                <w:color w:val="000000"/>
                <w:szCs w:val="18"/>
              </w:rPr>
              <w:t>84.7</w:t>
            </w:r>
          </w:p>
        </w:tc>
        <w:tc>
          <w:tcPr>
            <w:tcW w:w="933" w:type="pct"/>
            <w:tcBorders>
              <w:top w:val="single" w:sz="2" w:space="0" w:color="000000"/>
              <w:left w:val="single" w:sz="2" w:space="0" w:color="000000"/>
              <w:bottom w:val="single" w:sz="2" w:space="0" w:color="000000"/>
              <w:right w:val="single" w:sz="2" w:space="0" w:color="000000"/>
            </w:tcBorders>
            <w:vAlign w:val="center"/>
          </w:tcPr>
          <w:p w14:paraId="124C055C" w14:textId="7C9C520A" w:rsidR="00A754CA" w:rsidRPr="008F646E" w:rsidRDefault="00BE003B" w:rsidP="004042B0">
            <w:pPr>
              <w:pStyle w:val="Z"/>
              <w:ind w:right="794"/>
              <w:jc w:val="right"/>
              <w:rPr>
                <w:color w:val="000000"/>
                <w:szCs w:val="18"/>
              </w:rPr>
            </w:pPr>
            <w:r w:rsidRPr="00B0401C">
              <w:rPr>
                <w:color w:val="000000"/>
                <w:szCs w:val="18"/>
              </w:rPr>
              <w:t>4.9</w:t>
            </w:r>
          </w:p>
        </w:tc>
        <w:tc>
          <w:tcPr>
            <w:tcW w:w="934" w:type="pct"/>
            <w:tcBorders>
              <w:top w:val="single" w:sz="2" w:space="0" w:color="000000"/>
              <w:left w:val="single" w:sz="2" w:space="0" w:color="000000"/>
              <w:bottom w:val="single" w:sz="2" w:space="0" w:color="000000"/>
              <w:right w:val="single" w:sz="2" w:space="0" w:color="000000"/>
            </w:tcBorders>
            <w:vAlign w:val="center"/>
          </w:tcPr>
          <w:p w14:paraId="097666DA" w14:textId="14043156" w:rsidR="00A754CA" w:rsidRPr="008F646E" w:rsidRDefault="00BE003B" w:rsidP="004042B0">
            <w:pPr>
              <w:pStyle w:val="Z"/>
              <w:ind w:right="794"/>
              <w:jc w:val="right"/>
              <w:rPr>
                <w:color w:val="000000"/>
                <w:szCs w:val="18"/>
              </w:rPr>
            </w:pPr>
            <w:r w:rsidRPr="00A754CA">
              <w:rPr>
                <w:color w:val="000000"/>
                <w:szCs w:val="18"/>
              </w:rPr>
              <w:t>85.8</w:t>
            </w:r>
          </w:p>
        </w:tc>
      </w:tr>
      <w:tr w:rsidR="00A754CA" w:rsidRPr="008F646E" w14:paraId="670FA610" w14:textId="392EC49D" w:rsidTr="004042B0">
        <w:trPr>
          <w:trHeight w:val="214"/>
        </w:trPr>
        <w:tc>
          <w:tcPr>
            <w:tcW w:w="1266" w:type="pct"/>
            <w:tcBorders>
              <w:top w:val="single" w:sz="2" w:space="0" w:color="000000"/>
              <w:left w:val="single" w:sz="2" w:space="0" w:color="000000"/>
              <w:bottom w:val="single" w:sz="2" w:space="0" w:color="000000"/>
              <w:right w:val="single" w:sz="2" w:space="0" w:color="000000"/>
            </w:tcBorders>
            <w:vAlign w:val="center"/>
          </w:tcPr>
          <w:p w14:paraId="74A198AA" w14:textId="285A4321" w:rsidR="00A754CA" w:rsidRPr="008F646E" w:rsidRDefault="00BE003B" w:rsidP="004042B0">
            <w:pPr>
              <w:pStyle w:val="Z"/>
              <w:spacing w:before="40" w:after="40"/>
              <w:ind w:left="113"/>
              <w:rPr>
                <w:color w:val="000000"/>
                <w:szCs w:val="18"/>
              </w:rPr>
            </w:pPr>
            <w:r w:rsidRPr="008F646E">
              <w:rPr>
                <w:szCs w:val="18"/>
              </w:rPr>
              <w:t>Student house or flat controlled by university</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766A9F4D" w14:textId="29CE2334" w:rsidR="00A754CA" w:rsidRPr="008F646E" w:rsidRDefault="00A754CA" w:rsidP="004042B0">
            <w:pPr>
              <w:pStyle w:val="Z"/>
              <w:ind w:right="765"/>
              <w:jc w:val="right"/>
              <w:rPr>
                <w:color w:val="000000"/>
                <w:szCs w:val="18"/>
              </w:rPr>
            </w:pPr>
            <w:r w:rsidRPr="008F646E">
              <w:rPr>
                <w:color w:val="000000"/>
                <w:szCs w:val="18"/>
              </w:rPr>
              <w:t>4</w:t>
            </w:r>
            <w:r w:rsidR="00BE003B" w:rsidRPr="008F646E">
              <w:rPr>
                <w:color w:val="000000"/>
                <w:szCs w:val="18"/>
              </w:rPr>
              <w:t>.6</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736E3C63" w14:textId="6429500A" w:rsidR="00A754CA" w:rsidRPr="008F646E" w:rsidRDefault="00BE003B" w:rsidP="004042B0">
            <w:pPr>
              <w:pStyle w:val="Z"/>
              <w:ind w:right="737"/>
              <w:jc w:val="right"/>
              <w:rPr>
                <w:color w:val="000000"/>
                <w:szCs w:val="18"/>
              </w:rPr>
            </w:pPr>
            <w:r w:rsidRPr="008F646E">
              <w:rPr>
                <w:color w:val="000000"/>
                <w:szCs w:val="18"/>
              </w:rPr>
              <w:t>86.2</w:t>
            </w:r>
          </w:p>
        </w:tc>
        <w:tc>
          <w:tcPr>
            <w:tcW w:w="933" w:type="pct"/>
            <w:tcBorders>
              <w:top w:val="single" w:sz="2" w:space="0" w:color="000000"/>
              <w:left w:val="single" w:sz="2" w:space="0" w:color="000000"/>
              <w:bottom w:val="single" w:sz="2" w:space="0" w:color="000000"/>
              <w:right w:val="single" w:sz="2" w:space="0" w:color="000000"/>
            </w:tcBorders>
            <w:vAlign w:val="center"/>
          </w:tcPr>
          <w:p w14:paraId="52399759" w14:textId="1FF07AC8" w:rsidR="00A754CA" w:rsidRPr="008F646E" w:rsidRDefault="00BE003B" w:rsidP="004042B0">
            <w:pPr>
              <w:pStyle w:val="Z"/>
              <w:ind w:right="794"/>
              <w:jc w:val="right"/>
              <w:rPr>
                <w:color w:val="000000"/>
                <w:szCs w:val="18"/>
              </w:rPr>
            </w:pPr>
            <w:r w:rsidRPr="00B0401C">
              <w:rPr>
                <w:color w:val="000000"/>
                <w:szCs w:val="18"/>
              </w:rPr>
              <w:t>3.5</w:t>
            </w:r>
          </w:p>
        </w:tc>
        <w:tc>
          <w:tcPr>
            <w:tcW w:w="934" w:type="pct"/>
            <w:tcBorders>
              <w:top w:val="single" w:sz="2" w:space="0" w:color="000000"/>
              <w:left w:val="single" w:sz="2" w:space="0" w:color="000000"/>
              <w:bottom w:val="single" w:sz="2" w:space="0" w:color="000000"/>
              <w:right w:val="single" w:sz="2" w:space="0" w:color="000000"/>
            </w:tcBorders>
            <w:vAlign w:val="center"/>
          </w:tcPr>
          <w:p w14:paraId="067002C8" w14:textId="67A31AC1" w:rsidR="00A754CA" w:rsidRPr="008F646E" w:rsidRDefault="00BE003B" w:rsidP="004042B0">
            <w:pPr>
              <w:pStyle w:val="Z"/>
              <w:ind w:right="794"/>
              <w:jc w:val="right"/>
              <w:rPr>
                <w:color w:val="000000"/>
                <w:szCs w:val="18"/>
              </w:rPr>
            </w:pPr>
            <w:r w:rsidRPr="00A754CA">
              <w:rPr>
                <w:color w:val="000000"/>
                <w:szCs w:val="18"/>
              </w:rPr>
              <w:t>88.0</w:t>
            </w:r>
          </w:p>
        </w:tc>
      </w:tr>
      <w:tr w:rsidR="00A754CA" w:rsidRPr="008F646E" w14:paraId="4D2F1031" w14:textId="52F8BCC0" w:rsidTr="004042B0">
        <w:trPr>
          <w:trHeight w:val="214"/>
        </w:trPr>
        <w:tc>
          <w:tcPr>
            <w:tcW w:w="1266" w:type="pct"/>
            <w:tcBorders>
              <w:top w:val="single" w:sz="2" w:space="0" w:color="000000"/>
              <w:left w:val="single" w:sz="2" w:space="0" w:color="000000"/>
              <w:bottom w:val="single" w:sz="2" w:space="0" w:color="000000"/>
              <w:right w:val="single" w:sz="2" w:space="0" w:color="000000"/>
            </w:tcBorders>
            <w:vAlign w:val="center"/>
          </w:tcPr>
          <w:p w14:paraId="5E6296A4" w14:textId="3E1E60F7" w:rsidR="00A754CA" w:rsidRPr="008F646E" w:rsidRDefault="00BE003B" w:rsidP="004042B0">
            <w:pPr>
              <w:pStyle w:val="Z"/>
              <w:spacing w:before="40" w:after="40"/>
              <w:ind w:left="113"/>
              <w:rPr>
                <w:color w:val="000000"/>
                <w:szCs w:val="18"/>
              </w:rPr>
            </w:pPr>
            <w:r w:rsidRPr="008F646E">
              <w:rPr>
                <w:szCs w:val="18"/>
              </w:rPr>
              <w:t>Homestay with a family not related to you</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073A01D3" w14:textId="2E7ABDB9" w:rsidR="00A754CA" w:rsidRPr="008F646E" w:rsidRDefault="00BE003B" w:rsidP="004042B0">
            <w:pPr>
              <w:pStyle w:val="Z"/>
              <w:ind w:right="765"/>
              <w:jc w:val="right"/>
              <w:rPr>
                <w:color w:val="000000"/>
                <w:szCs w:val="18"/>
              </w:rPr>
            </w:pPr>
            <w:r w:rsidRPr="008F646E">
              <w:rPr>
                <w:color w:val="000000"/>
                <w:szCs w:val="18"/>
              </w:rPr>
              <w:t>4.5</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5764B2E0" w14:textId="35CD1B74" w:rsidR="00A754CA" w:rsidRPr="008F646E" w:rsidRDefault="00A754CA" w:rsidP="004042B0">
            <w:pPr>
              <w:pStyle w:val="Z"/>
              <w:ind w:right="737"/>
              <w:jc w:val="right"/>
              <w:rPr>
                <w:color w:val="000000"/>
                <w:szCs w:val="18"/>
              </w:rPr>
            </w:pPr>
            <w:r w:rsidRPr="008F646E">
              <w:rPr>
                <w:color w:val="000000"/>
                <w:szCs w:val="18"/>
              </w:rPr>
              <w:t>89.</w:t>
            </w:r>
            <w:r w:rsidR="00BE003B" w:rsidRPr="008F646E">
              <w:rPr>
                <w:color w:val="000000"/>
                <w:szCs w:val="18"/>
              </w:rPr>
              <w:t>0</w:t>
            </w:r>
          </w:p>
        </w:tc>
        <w:tc>
          <w:tcPr>
            <w:tcW w:w="933" w:type="pct"/>
            <w:tcBorders>
              <w:top w:val="single" w:sz="2" w:space="0" w:color="000000"/>
              <w:left w:val="single" w:sz="2" w:space="0" w:color="000000"/>
              <w:bottom w:val="single" w:sz="2" w:space="0" w:color="000000"/>
              <w:right w:val="single" w:sz="2" w:space="0" w:color="000000"/>
            </w:tcBorders>
            <w:vAlign w:val="center"/>
          </w:tcPr>
          <w:p w14:paraId="2B6DE84B" w14:textId="18A3024A" w:rsidR="00A754CA" w:rsidRPr="008F646E" w:rsidRDefault="00BE003B" w:rsidP="004042B0">
            <w:pPr>
              <w:pStyle w:val="Z"/>
              <w:ind w:right="794"/>
              <w:jc w:val="right"/>
              <w:rPr>
                <w:color w:val="000000"/>
                <w:szCs w:val="18"/>
              </w:rPr>
            </w:pPr>
            <w:r w:rsidRPr="00B0401C">
              <w:rPr>
                <w:color w:val="000000"/>
                <w:szCs w:val="18"/>
              </w:rPr>
              <w:t>3.9</w:t>
            </w:r>
          </w:p>
        </w:tc>
        <w:tc>
          <w:tcPr>
            <w:tcW w:w="934" w:type="pct"/>
            <w:tcBorders>
              <w:top w:val="single" w:sz="2" w:space="0" w:color="000000"/>
              <w:left w:val="single" w:sz="2" w:space="0" w:color="000000"/>
              <w:bottom w:val="single" w:sz="2" w:space="0" w:color="000000"/>
              <w:right w:val="single" w:sz="2" w:space="0" w:color="000000"/>
            </w:tcBorders>
            <w:vAlign w:val="center"/>
          </w:tcPr>
          <w:p w14:paraId="32755738" w14:textId="409B9FDC" w:rsidR="00A754CA" w:rsidRPr="008F646E" w:rsidRDefault="00BE003B" w:rsidP="004042B0">
            <w:pPr>
              <w:pStyle w:val="Z"/>
              <w:ind w:right="794"/>
              <w:jc w:val="right"/>
              <w:rPr>
                <w:color w:val="000000"/>
                <w:szCs w:val="18"/>
              </w:rPr>
            </w:pPr>
            <w:r w:rsidRPr="00A754CA">
              <w:rPr>
                <w:color w:val="000000"/>
                <w:szCs w:val="18"/>
              </w:rPr>
              <w:t>88.0</w:t>
            </w:r>
          </w:p>
        </w:tc>
      </w:tr>
      <w:tr w:rsidR="00A754CA" w:rsidRPr="008F646E" w14:paraId="1D687351" w14:textId="42CBDD33" w:rsidTr="004042B0">
        <w:trPr>
          <w:trHeight w:val="214"/>
        </w:trPr>
        <w:tc>
          <w:tcPr>
            <w:tcW w:w="1266" w:type="pct"/>
            <w:tcBorders>
              <w:top w:val="single" w:sz="2" w:space="0" w:color="000000"/>
              <w:left w:val="single" w:sz="2" w:space="0" w:color="000000"/>
              <w:bottom w:val="single" w:sz="2" w:space="0" w:color="000000"/>
              <w:right w:val="single" w:sz="2" w:space="0" w:color="000000"/>
            </w:tcBorders>
            <w:vAlign w:val="center"/>
          </w:tcPr>
          <w:p w14:paraId="01CAD4AF" w14:textId="7A5C40AA" w:rsidR="00A754CA" w:rsidRPr="008F646E" w:rsidRDefault="00274DD8" w:rsidP="004042B0">
            <w:pPr>
              <w:pStyle w:val="Z"/>
              <w:spacing w:before="40" w:after="40"/>
              <w:ind w:left="113"/>
              <w:rPr>
                <w:color w:val="000000"/>
                <w:szCs w:val="18"/>
              </w:rPr>
            </w:pPr>
            <w:r w:rsidRPr="008F646E">
              <w:rPr>
                <w:szCs w:val="18"/>
              </w:rPr>
              <w:t>Living with parents</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5D4DE7FB" w14:textId="7D30521B" w:rsidR="00A754CA" w:rsidRPr="008F646E" w:rsidRDefault="00A754CA" w:rsidP="004042B0">
            <w:pPr>
              <w:pStyle w:val="Z"/>
              <w:ind w:right="765"/>
              <w:jc w:val="right"/>
              <w:rPr>
                <w:color w:val="000000"/>
                <w:szCs w:val="18"/>
              </w:rPr>
            </w:pPr>
            <w:r w:rsidRPr="008F646E">
              <w:rPr>
                <w:color w:val="000000"/>
                <w:szCs w:val="18"/>
              </w:rPr>
              <w:t>3.6</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10C9810C" w14:textId="47A2CF29" w:rsidR="00A754CA" w:rsidRPr="008F646E" w:rsidRDefault="00A754CA" w:rsidP="004042B0">
            <w:pPr>
              <w:pStyle w:val="Z"/>
              <w:ind w:right="737"/>
              <w:jc w:val="right"/>
              <w:rPr>
                <w:color w:val="000000"/>
                <w:szCs w:val="18"/>
              </w:rPr>
            </w:pPr>
            <w:r w:rsidRPr="008F646E">
              <w:rPr>
                <w:color w:val="000000"/>
                <w:szCs w:val="18"/>
              </w:rPr>
              <w:t>94.8</w:t>
            </w:r>
          </w:p>
        </w:tc>
        <w:tc>
          <w:tcPr>
            <w:tcW w:w="933" w:type="pct"/>
            <w:tcBorders>
              <w:top w:val="single" w:sz="2" w:space="0" w:color="000000"/>
              <w:left w:val="single" w:sz="2" w:space="0" w:color="000000"/>
              <w:bottom w:val="single" w:sz="2" w:space="0" w:color="000000"/>
              <w:right w:val="single" w:sz="2" w:space="0" w:color="000000"/>
            </w:tcBorders>
            <w:vAlign w:val="center"/>
          </w:tcPr>
          <w:p w14:paraId="21F1C160" w14:textId="11644B9C" w:rsidR="00A754CA" w:rsidRPr="008F646E" w:rsidRDefault="00A754CA" w:rsidP="004042B0">
            <w:pPr>
              <w:pStyle w:val="Z"/>
              <w:ind w:right="794"/>
              <w:jc w:val="right"/>
              <w:rPr>
                <w:color w:val="000000"/>
                <w:szCs w:val="18"/>
              </w:rPr>
            </w:pPr>
            <w:r w:rsidRPr="00B0401C">
              <w:rPr>
                <w:color w:val="000000"/>
                <w:szCs w:val="18"/>
              </w:rPr>
              <w:t>1.0</w:t>
            </w:r>
          </w:p>
        </w:tc>
        <w:tc>
          <w:tcPr>
            <w:tcW w:w="934" w:type="pct"/>
            <w:tcBorders>
              <w:top w:val="single" w:sz="2" w:space="0" w:color="000000"/>
              <w:left w:val="single" w:sz="2" w:space="0" w:color="000000"/>
              <w:bottom w:val="single" w:sz="2" w:space="0" w:color="000000"/>
              <w:right w:val="single" w:sz="2" w:space="0" w:color="000000"/>
            </w:tcBorders>
            <w:vAlign w:val="center"/>
          </w:tcPr>
          <w:p w14:paraId="52943D2A" w14:textId="2BC087F9" w:rsidR="00A754CA" w:rsidRPr="008F646E" w:rsidRDefault="00A754CA" w:rsidP="004042B0">
            <w:pPr>
              <w:pStyle w:val="Z"/>
              <w:ind w:right="794"/>
              <w:jc w:val="right"/>
              <w:rPr>
                <w:color w:val="000000"/>
                <w:szCs w:val="18"/>
              </w:rPr>
            </w:pPr>
            <w:r w:rsidRPr="00A754CA">
              <w:rPr>
                <w:color w:val="000000"/>
                <w:szCs w:val="18"/>
              </w:rPr>
              <w:t>95.3</w:t>
            </w:r>
          </w:p>
        </w:tc>
      </w:tr>
      <w:tr w:rsidR="00A754CA" w:rsidRPr="008F646E" w14:paraId="7A1E961B" w14:textId="766B96EB" w:rsidTr="004042B0">
        <w:trPr>
          <w:trHeight w:val="214"/>
        </w:trPr>
        <w:tc>
          <w:tcPr>
            <w:tcW w:w="1266" w:type="pct"/>
            <w:tcBorders>
              <w:top w:val="single" w:sz="2" w:space="0" w:color="000000"/>
              <w:left w:val="single" w:sz="2" w:space="0" w:color="000000"/>
              <w:bottom w:val="single" w:sz="2" w:space="0" w:color="000000"/>
              <w:right w:val="single" w:sz="2" w:space="0" w:color="000000"/>
            </w:tcBorders>
            <w:vAlign w:val="center"/>
          </w:tcPr>
          <w:p w14:paraId="4B1CA89E" w14:textId="77777777" w:rsidR="00A754CA" w:rsidRPr="008F646E" w:rsidRDefault="00A754CA" w:rsidP="004042B0">
            <w:pPr>
              <w:pStyle w:val="Z"/>
              <w:spacing w:before="40" w:after="40"/>
              <w:ind w:left="113"/>
              <w:rPr>
                <w:color w:val="000000"/>
                <w:szCs w:val="18"/>
              </w:rPr>
            </w:pPr>
            <w:r w:rsidRPr="008F646E">
              <w:rPr>
                <w:szCs w:val="18"/>
              </w:rPr>
              <w:t>Other</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257D8619" w14:textId="1EC2F45B" w:rsidR="00A754CA" w:rsidRPr="008F646E" w:rsidRDefault="00A754CA" w:rsidP="004042B0">
            <w:pPr>
              <w:pStyle w:val="Z"/>
              <w:ind w:right="765"/>
              <w:jc w:val="right"/>
              <w:rPr>
                <w:color w:val="000000"/>
                <w:szCs w:val="18"/>
              </w:rPr>
            </w:pPr>
            <w:r w:rsidRPr="008F646E">
              <w:rPr>
                <w:color w:val="000000"/>
                <w:szCs w:val="18"/>
              </w:rPr>
              <w:t>0.6</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5B8E389C" w14:textId="26E07A29" w:rsidR="00A754CA" w:rsidRPr="008F646E" w:rsidRDefault="00A754CA" w:rsidP="004042B0">
            <w:pPr>
              <w:pStyle w:val="Z"/>
              <w:ind w:right="737"/>
              <w:jc w:val="right"/>
              <w:rPr>
                <w:color w:val="000000"/>
                <w:szCs w:val="18"/>
              </w:rPr>
            </w:pPr>
            <w:r w:rsidRPr="008F646E">
              <w:rPr>
                <w:color w:val="000000"/>
                <w:szCs w:val="18"/>
              </w:rPr>
              <w:t>91.9</w:t>
            </w:r>
          </w:p>
        </w:tc>
        <w:tc>
          <w:tcPr>
            <w:tcW w:w="933" w:type="pct"/>
            <w:tcBorders>
              <w:top w:val="single" w:sz="2" w:space="0" w:color="000000"/>
              <w:left w:val="single" w:sz="2" w:space="0" w:color="000000"/>
              <w:bottom w:val="single" w:sz="2" w:space="0" w:color="000000"/>
              <w:right w:val="single" w:sz="2" w:space="0" w:color="000000"/>
            </w:tcBorders>
            <w:vAlign w:val="center"/>
          </w:tcPr>
          <w:p w14:paraId="1889A684" w14:textId="4FB562E2" w:rsidR="00A754CA" w:rsidRPr="008F646E" w:rsidRDefault="00A754CA" w:rsidP="004042B0">
            <w:pPr>
              <w:pStyle w:val="Z"/>
              <w:ind w:right="794"/>
              <w:jc w:val="right"/>
              <w:rPr>
                <w:color w:val="000000"/>
                <w:szCs w:val="18"/>
              </w:rPr>
            </w:pPr>
            <w:r w:rsidRPr="00B0401C">
              <w:rPr>
                <w:color w:val="000000"/>
                <w:szCs w:val="18"/>
              </w:rPr>
              <w:t>0.4</w:t>
            </w:r>
          </w:p>
        </w:tc>
        <w:tc>
          <w:tcPr>
            <w:tcW w:w="934" w:type="pct"/>
            <w:tcBorders>
              <w:top w:val="single" w:sz="2" w:space="0" w:color="000000"/>
              <w:left w:val="single" w:sz="2" w:space="0" w:color="000000"/>
              <w:bottom w:val="single" w:sz="2" w:space="0" w:color="000000"/>
              <w:right w:val="single" w:sz="2" w:space="0" w:color="000000"/>
            </w:tcBorders>
            <w:vAlign w:val="center"/>
          </w:tcPr>
          <w:p w14:paraId="73C5D437" w14:textId="142D37FF" w:rsidR="00A754CA" w:rsidRPr="008F646E" w:rsidRDefault="00A754CA" w:rsidP="004042B0">
            <w:pPr>
              <w:pStyle w:val="Z"/>
              <w:ind w:right="794"/>
              <w:jc w:val="right"/>
              <w:rPr>
                <w:color w:val="000000"/>
                <w:szCs w:val="18"/>
              </w:rPr>
            </w:pPr>
            <w:r w:rsidRPr="00A754CA">
              <w:rPr>
                <w:color w:val="000000"/>
                <w:szCs w:val="18"/>
              </w:rPr>
              <w:t>89.8</w:t>
            </w:r>
          </w:p>
        </w:tc>
      </w:tr>
    </w:tbl>
    <w:p w14:paraId="0DEA540C" w14:textId="7EB4FBEF" w:rsidR="00A23829" w:rsidRPr="00A23829" w:rsidRDefault="006F4610" w:rsidP="00A23829">
      <w:pPr>
        <w:pStyle w:val="Body"/>
      </w:pPr>
      <w:r>
        <w:t>P</w:t>
      </w:r>
      <w:r w:rsidR="00A23829" w:rsidRPr="00A23829">
        <w:t>rivately rented houses, flats, or rooms were the most common type of accommodation among international undergraduate respondents across all major source countries</w:t>
      </w:r>
      <w:r w:rsidR="001A43DE">
        <w:t xml:space="preserve"> in 2024</w:t>
      </w:r>
      <w:r w:rsidR="00773442">
        <w:t xml:space="preserve"> (</w:t>
      </w:r>
      <w:r w:rsidR="008A5A80" w:rsidRPr="008A5A80">
        <w:rPr>
          <w:b/>
          <w:bCs/>
        </w:rPr>
        <w:fldChar w:fldCharType="begin"/>
      </w:r>
      <w:r w:rsidR="008A5A80" w:rsidRPr="008A5A80">
        <w:rPr>
          <w:b/>
          <w:bCs/>
        </w:rPr>
        <w:instrText xml:space="preserve"> REF _Ref171705207 \h </w:instrText>
      </w:r>
      <w:r w:rsidR="008A5A80">
        <w:rPr>
          <w:b/>
          <w:bCs/>
        </w:rPr>
        <w:instrText xml:space="preserve"> \* MERGEFORMAT </w:instrText>
      </w:r>
      <w:r w:rsidR="008A5A80" w:rsidRPr="008A5A80">
        <w:rPr>
          <w:b/>
          <w:bCs/>
        </w:rPr>
      </w:r>
      <w:r w:rsidR="008A5A80" w:rsidRPr="008A5A80">
        <w:rPr>
          <w:b/>
          <w:bCs/>
        </w:rPr>
        <w:fldChar w:fldCharType="separate"/>
      </w:r>
      <w:r w:rsidR="00F96AB4" w:rsidRPr="00F96AB4">
        <w:rPr>
          <w:b/>
          <w:bCs/>
        </w:rPr>
        <w:t xml:space="preserve">Figure </w:t>
      </w:r>
      <w:r w:rsidR="00F96AB4" w:rsidRPr="00F96AB4">
        <w:rPr>
          <w:b/>
          <w:bCs/>
          <w:noProof/>
        </w:rPr>
        <w:t>25</w:t>
      </w:r>
      <w:r w:rsidR="008A5A80" w:rsidRPr="008A5A80">
        <w:rPr>
          <w:b/>
          <w:bCs/>
        </w:rPr>
        <w:fldChar w:fldCharType="end"/>
      </w:r>
      <w:r w:rsidR="008A5A80">
        <w:t>)</w:t>
      </w:r>
      <w:r w:rsidR="00A23829" w:rsidRPr="00A23829">
        <w:t xml:space="preserve">. </w:t>
      </w:r>
      <w:r w:rsidR="009877C6">
        <w:t>Respondent</w:t>
      </w:r>
      <w:r w:rsidR="00A23829" w:rsidRPr="00A23829">
        <w:t xml:space="preserve">s from Nepal and India were notably more likely to live with </w:t>
      </w:r>
      <w:r w:rsidR="00F06C18" w:rsidRPr="008F646E">
        <w:rPr>
          <w:szCs w:val="18"/>
        </w:rPr>
        <w:t xml:space="preserve">friends or relatives in </w:t>
      </w:r>
      <w:r w:rsidR="00A23829" w:rsidRPr="00A23829">
        <w:t xml:space="preserve">their </w:t>
      </w:r>
      <w:r w:rsidR="00F06C18" w:rsidRPr="008F646E">
        <w:rPr>
          <w:szCs w:val="18"/>
        </w:rPr>
        <w:t>accommodation</w:t>
      </w:r>
      <w:r w:rsidR="00A23829" w:rsidRPr="00A23829">
        <w:t xml:space="preserve">—30.5 per cent and 27.5 per cent, respectively—compared to just 7.9 per cent of respondents from China (excluding SARs and Taiwan). In contrast, </w:t>
      </w:r>
      <w:r w:rsidR="009877C6">
        <w:t>respondent</w:t>
      </w:r>
      <w:r w:rsidR="00A23829" w:rsidRPr="00A23829">
        <w:t xml:space="preserve">s from Malaysia and China (excluding SARs and Taiwan) were more likely to reside in </w:t>
      </w:r>
      <w:r w:rsidR="00BE0055">
        <w:t>purpose-built student accommodation</w:t>
      </w:r>
      <w:r w:rsidR="00A23829" w:rsidRPr="00A23829">
        <w:t xml:space="preserve">, with </w:t>
      </w:r>
      <w:r w:rsidR="00BE0055">
        <w:t>33.5</w:t>
      </w:r>
      <w:r w:rsidR="00A23829" w:rsidRPr="00A23829">
        <w:t xml:space="preserve"> per cent and </w:t>
      </w:r>
      <w:r w:rsidR="00BE0055">
        <w:t>25.7</w:t>
      </w:r>
      <w:r w:rsidR="00A23829" w:rsidRPr="00A23829">
        <w:t xml:space="preserve"> per cent, respectively</w:t>
      </w:r>
      <w:r w:rsidR="006A7228">
        <w:t xml:space="preserve">. This is </w:t>
      </w:r>
      <w:r w:rsidR="00A23829" w:rsidRPr="00A23829">
        <w:t xml:space="preserve">higher than the proportions observed among </w:t>
      </w:r>
      <w:r w:rsidR="004542DF">
        <w:t>respondent</w:t>
      </w:r>
      <w:r w:rsidR="00A23829" w:rsidRPr="00A23829">
        <w:t>s from India, Vietnam, Nepal, and the average across all source countries.</w:t>
      </w:r>
    </w:p>
    <w:p w14:paraId="71A705E5" w14:textId="0D0AD81E" w:rsidR="00A23829" w:rsidRPr="00A23829" w:rsidRDefault="00A23829" w:rsidP="00A23829">
      <w:pPr>
        <w:pStyle w:val="Body"/>
      </w:pPr>
      <w:r w:rsidRPr="00A23829">
        <w:t>Among postgraduate coursework respondents, accommodation patterns also varied by country of origin</w:t>
      </w:r>
      <w:r w:rsidR="002C3E03">
        <w:t xml:space="preserve"> (</w:t>
      </w:r>
      <w:r w:rsidR="002C3E03" w:rsidRPr="002C3E03">
        <w:rPr>
          <w:b/>
          <w:bCs/>
        </w:rPr>
        <w:fldChar w:fldCharType="begin"/>
      </w:r>
      <w:r w:rsidR="002C3E03" w:rsidRPr="002C3E03">
        <w:rPr>
          <w:b/>
          <w:bCs/>
        </w:rPr>
        <w:instrText xml:space="preserve"> REF _Ref204782929 \h </w:instrText>
      </w:r>
      <w:r w:rsidR="002C3E03">
        <w:rPr>
          <w:b/>
          <w:bCs/>
        </w:rPr>
        <w:instrText xml:space="preserve"> \* MERGEFORMAT </w:instrText>
      </w:r>
      <w:r w:rsidR="002C3E03" w:rsidRPr="002C3E03">
        <w:rPr>
          <w:b/>
          <w:bCs/>
        </w:rPr>
      </w:r>
      <w:r w:rsidR="002C3E03" w:rsidRPr="002C3E03">
        <w:rPr>
          <w:b/>
          <w:bCs/>
        </w:rPr>
        <w:fldChar w:fldCharType="separate"/>
      </w:r>
      <w:r w:rsidR="00F96AB4" w:rsidRPr="00F96AB4">
        <w:rPr>
          <w:b/>
          <w:bCs/>
        </w:rPr>
        <w:t xml:space="preserve">Figure </w:t>
      </w:r>
      <w:r w:rsidR="00F96AB4" w:rsidRPr="00F96AB4">
        <w:rPr>
          <w:b/>
          <w:bCs/>
          <w:noProof/>
        </w:rPr>
        <w:t>26</w:t>
      </w:r>
      <w:r w:rsidR="002C3E03" w:rsidRPr="002C3E03">
        <w:rPr>
          <w:b/>
          <w:bCs/>
        </w:rPr>
        <w:fldChar w:fldCharType="end"/>
      </w:r>
      <w:r w:rsidR="002C3E03">
        <w:t>)</w:t>
      </w:r>
      <w:r w:rsidRPr="00A23829">
        <w:t xml:space="preserve">. </w:t>
      </w:r>
      <w:r w:rsidR="004542DF">
        <w:t>Respondent</w:t>
      </w:r>
      <w:r w:rsidRPr="00A23829">
        <w:t xml:space="preserve">s from Bhutan were the most likely to live in private rental housing (75.1 per cent), while those from China (excluding SARs and Taiwan) were the least likely to live with </w:t>
      </w:r>
      <w:r w:rsidR="00C01D3D" w:rsidRPr="008F646E">
        <w:rPr>
          <w:szCs w:val="18"/>
        </w:rPr>
        <w:t>friends or relatives in their accommodation</w:t>
      </w:r>
      <w:r w:rsidRPr="00A23829">
        <w:t xml:space="preserve"> (5.</w:t>
      </w:r>
      <w:r w:rsidR="00C01D3D">
        <w:t>9</w:t>
      </w:r>
      <w:r w:rsidRPr="00A23829">
        <w:t xml:space="preserve"> per cent), compared to 33.</w:t>
      </w:r>
      <w:r w:rsidR="001D3C90">
        <w:t>4</w:t>
      </w:r>
      <w:r w:rsidRPr="00A23829">
        <w:t xml:space="preserve"> per cent of </w:t>
      </w:r>
      <w:r w:rsidR="004542DF">
        <w:t>respondent</w:t>
      </w:r>
      <w:r w:rsidRPr="00A23829">
        <w:t xml:space="preserve">s from the Philippines. However, </w:t>
      </w:r>
      <w:r w:rsidR="00B9370C">
        <w:t>postgraduate coursework respondents from China</w:t>
      </w:r>
      <w:r w:rsidRPr="00A23829">
        <w:t xml:space="preserve"> (excluding SARs and Taiwan) were more likely than others to live in private halls or student hostels, </w:t>
      </w:r>
      <w:r w:rsidR="00BA28D3" w:rsidRPr="00A23829">
        <w:t>and</w:t>
      </w:r>
      <w:r w:rsidRPr="00A23829">
        <w:t xml:space="preserve"> more likely to reside in institution-managed student </w:t>
      </w:r>
      <w:r w:rsidR="002C3E03">
        <w:t>accommodation</w:t>
      </w:r>
      <w:r w:rsidRPr="00A23829">
        <w:t>.</w:t>
      </w:r>
    </w:p>
    <w:p w14:paraId="410480A2" w14:textId="2F9A06DC" w:rsidR="003341B9" w:rsidRDefault="003341B9" w:rsidP="007229D8">
      <w:pPr>
        <w:pStyle w:val="Body"/>
        <w:rPr>
          <w:highlight w:val="yellow"/>
        </w:rPr>
      </w:pPr>
    </w:p>
    <w:p w14:paraId="6626BE31" w14:textId="746DE8AA" w:rsidR="00371877" w:rsidRPr="002867E0" w:rsidRDefault="00371877" w:rsidP="00821227">
      <w:pPr>
        <w:pStyle w:val="Body"/>
        <w:rPr>
          <w:highlight w:val="yellow"/>
        </w:rPr>
        <w:sectPr w:rsidR="00371877" w:rsidRPr="002867E0" w:rsidSect="00F77822">
          <w:pgSz w:w="11900" w:h="16840"/>
          <w:pgMar w:top="852" w:right="560" w:bottom="994" w:left="710" w:header="567" w:footer="567" w:gutter="0"/>
          <w:cols w:space="708"/>
          <w:docGrid w:linePitch="360"/>
        </w:sectPr>
      </w:pPr>
    </w:p>
    <w:p w14:paraId="507B0A12" w14:textId="3527083E" w:rsidR="005A5F96" w:rsidRPr="004042B0" w:rsidRDefault="005A5F96" w:rsidP="007229D8">
      <w:pPr>
        <w:pStyle w:val="Caption"/>
        <w:ind w:left="0" w:firstLine="0"/>
        <w:rPr>
          <w:color w:val="000000" w:themeColor="text1"/>
        </w:rPr>
      </w:pPr>
      <w:bookmarkStart w:id="111" w:name="_Ref171705207"/>
      <w:bookmarkStart w:id="112" w:name="_Toc206692324"/>
      <w:r w:rsidRPr="004042B0">
        <w:rPr>
          <w:color w:val="000000" w:themeColor="text1"/>
        </w:rPr>
        <w:lastRenderedPageBreak/>
        <w:t xml:space="preserve">Figure </w:t>
      </w:r>
      <w:r w:rsidR="001E216A" w:rsidRPr="004042B0">
        <w:rPr>
          <w:color w:val="000000" w:themeColor="text1"/>
        </w:rPr>
        <w:fldChar w:fldCharType="begin"/>
      </w:r>
      <w:r w:rsidR="001E216A" w:rsidRPr="004042B0">
        <w:rPr>
          <w:color w:val="000000" w:themeColor="text1"/>
        </w:rPr>
        <w:instrText xml:space="preserve"> SEQ Figure \* ARABIC </w:instrText>
      </w:r>
      <w:r w:rsidR="001E216A" w:rsidRPr="004042B0">
        <w:rPr>
          <w:color w:val="000000" w:themeColor="text1"/>
        </w:rPr>
        <w:fldChar w:fldCharType="separate"/>
      </w:r>
      <w:r w:rsidR="00F96AB4">
        <w:rPr>
          <w:noProof/>
          <w:color w:val="000000" w:themeColor="text1"/>
        </w:rPr>
        <w:t>25</w:t>
      </w:r>
      <w:r w:rsidR="001E216A" w:rsidRPr="004042B0">
        <w:rPr>
          <w:noProof/>
          <w:color w:val="000000" w:themeColor="text1"/>
        </w:rPr>
        <w:fldChar w:fldCharType="end"/>
      </w:r>
      <w:bookmarkEnd w:id="111"/>
      <w:r w:rsidRPr="004042B0">
        <w:rPr>
          <w:color w:val="000000" w:themeColor="text1"/>
        </w:rPr>
        <w:t xml:space="preserve"> International undergraduate student accommodation arrangements by source countr</w:t>
      </w:r>
      <w:r w:rsidR="00B4139E" w:rsidRPr="004042B0">
        <w:rPr>
          <w:color w:val="000000" w:themeColor="text1"/>
        </w:rPr>
        <w:t>y</w:t>
      </w:r>
      <w:r w:rsidRPr="004042B0">
        <w:rPr>
          <w:color w:val="000000" w:themeColor="text1"/>
        </w:rPr>
        <w:t>, 202</w:t>
      </w:r>
      <w:r w:rsidR="007229D8" w:rsidRPr="004042B0">
        <w:rPr>
          <w:color w:val="000000" w:themeColor="text1"/>
        </w:rPr>
        <w:t>4</w:t>
      </w:r>
      <w:r w:rsidR="00181986" w:rsidRPr="004042B0">
        <w:rPr>
          <w:color w:val="000000" w:themeColor="text1"/>
        </w:rPr>
        <w:t xml:space="preserve"> (</w:t>
      </w:r>
      <w:r w:rsidRPr="004042B0">
        <w:rPr>
          <w:color w:val="000000" w:themeColor="text1"/>
        </w:rPr>
        <w:t>%</w:t>
      </w:r>
      <w:r w:rsidR="00181986" w:rsidRPr="004042B0">
        <w:rPr>
          <w:color w:val="000000" w:themeColor="text1"/>
        </w:rPr>
        <w:t>)</w:t>
      </w:r>
      <w:bookmarkEnd w:id="112"/>
    </w:p>
    <w:p w14:paraId="3ADA8595" w14:textId="0C9E14C9" w:rsidR="009F41B5" w:rsidRDefault="006845FF">
      <w:pPr>
        <w:spacing w:after="160" w:line="259" w:lineRule="auto"/>
        <w:rPr>
          <w:highlight w:val="yellow"/>
          <w:lang w:eastAsia="en-AU"/>
        </w:rPr>
      </w:pPr>
      <w:r>
        <w:rPr>
          <w:noProof/>
          <w:highlight w:val="yellow"/>
          <w:lang w:eastAsia="en-AU"/>
        </w:rPr>
        <w:drawing>
          <wp:inline distT="0" distB="0" distL="0" distR="0" wp14:anchorId="15E8BE6F" wp14:editId="1E771E9B">
            <wp:extent cx="9864000" cy="4518401"/>
            <wp:effectExtent l="0" t="0" r="4445" b="3175"/>
            <wp:docPr id="11922139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13946" name="Picture 2">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64000" cy="4518401"/>
                    </a:xfrm>
                    <a:prstGeom prst="rect">
                      <a:avLst/>
                    </a:prstGeom>
                    <a:noFill/>
                  </pic:spPr>
                </pic:pic>
              </a:graphicData>
            </a:graphic>
          </wp:inline>
        </w:drawing>
      </w:r>
    </w:p>
    <w:p w14:paraId="0A6DD10E" w14:textId="3BE3A965" w:rsidR="00B4139E" w:rsidRPr="009F41B5" w:rsidRDefault="009F41B5" w:rsidP="00B4139E">
      <w:pPr>
        <w:rPr>
          <w:highlight w:val="yellow"/>
          <w:lang w:eastAsia="en-AU"/>
        </w:rPr>
      </w:pPr>
      <w:r>
        <w:rPr>
          <w:rFonts w:eastAsia="Calibri" w:cs="Times New Roman"/>
          <w:sz w:val="16"/>
          <w:szCs w:val="22"/>
          <w:lang w:val="en-GB"/>
        </w:rPr>
        <w:t xml:space="preserve">Note: </w:t>
      </w:r>
      <w:r w:rsidRPr="00016C8B">
        <w:rPr>
          <w:rFonts w:eastAsia="Calibri" w:cs="Times New Roman"/>
          <w:sz w:val="16"/>
          <w:szCs w:val="22"/>
          <w:lang w:val="en-GB"/>
        </w:rPr>
        <w:t xml:space="preserve">Source country in 2024 </w:t>
      </w:r>
      <w:r>
        <w:rPr>
          <w:rFonts w:eastAsia="Calibri" w:cs="Times New Roman"/>
          <w:sz w:val="16"/>
          <w:szCs w:val="22"/>
          <w:lang w:val="en-GB"/>
        </w:rPr>
        <w:t>wa</w:t>
      </w:r>
      <w:r w:rsidRPr="00016C8B">
        <w:rPr>
          <w:rFonts w:eastAsia="Calibri" w:cs="Times New Roman"/>
          <w:sz w:val="16"/>
          <w:szCs w:val="22"/>
          <w:lang w:val="en-GB"/>
        </w:rPr>
        <w:t>s based on E658 Residential address country code</w:t>
      </w:r>
      <w:r>
        <w:rPr>
          <w:rFonts w:eastAsia="Calibri" w:cs="Times New Roman"/>
          <w:sz w:val="16"/>
          <w:szCs w:val="22"/>
          <w:lang w:val="en-GB"/>
        </w:rPr>
        <w:t>.</w:t>
      </w:r>
      <w:r w:rsidR="00B4139E" w:rsidRPr="009F41B5">
        <w:rPr>
          <w:rFonts w:ascii="Segoe UI" w:hAnsi="Segoe UI" w:cs="Segoe UI"/>
          <w:color w:val="424242"/>
          <w:shd w:val="clear" w:color="auto" w:fill="FAFAFA"/>
        </w:rPr>
        <w:t xml:space="preserve"> </w:t>
      </w:r>
      <w:r w:rsidR="00B4139E" w:rsidRPr="009F41B5">
        <w:rPr>
          <w:rFonts w:eastAsia="Calibri"/>
          <w:sz w:val="16"/>
          <w:szCs w:val="22"/>
        </w:rPr>
        <w:t xml:space="preserve">Source countries shown in this figure represent the top </w:t>
      </w:r>
      <w:r w:rsidR="00F320D0">
        <w:rPr>
          <w:rFonts w:eastAsia="Calibri"/>
          <w:sz w:val="16"/>
          <w:szCs w:val="22"/>
        </w:rPr>
        <w:t>5</w:t>
      </w:r>
      <w:r w:rsidR="00B4139E" w:rsidRPr="009F41B5">
        <w:rPr>
          <w:rFonts w:eastAsia="Calibri"/>
          <w:sz w:val="16"/>
          <w:szCs w:val="22"/>
        </w:rPr>
        <w:t xml:space="preserve"> by number of survey respondents, ordered from </w:t>
      </w:r>
      <w:r w:rsidR="00B4139E">
        <w:rPr>
          <w:rFonts w:eastAsia="Calibri"/>
          <w:sz w:val="16"/>
          <w:szCs w:val="22"/>
        </w:rPr>
        <w:t>top to bottom</w:t>
      </w:r>
      <w:r w:rsidR="00B4139E" w:rsidRPr="009F41B5">
        <w:rPr>
          <w:rFonts w:eastAsia="Calibri"/>
          <w:sz w:val="16"/>
          <w:szCs w:val="22"/>
        </w:rPr>
        <w:t xml:space="preserve"> from largest to smallest.</w:t>
      </w:r>
    </w:p>
    <w:p w14:paraId="72ADC055" w14:textId="3E82CC0B" w:rsidR="00E57B59" w:rsidRDefault="00E57B59">
      <w:pPr>
        <w:spacing w:after="160" w:line="259" w:lineRule="auto"/>
        <w:rPr>
          <w:rFonts w:eastAsia="Times New Roman" w:cs="Times New Roman"/>
          <w:szCs w:val="20"/>
          <w:highlight w:val="yellow"/>
          <w:lang w:eastAsia="en-AU"/>
        </w:rPr>
      </w:pPr>
      <w:r>
        <w:rPr>
          <w:highlight w:val="yellow"/>
          <w:lang w:eastAsia="en-AU"/>
        </w:rPr>
        <w:br w:type="page"/>
      </w:r>
    </w:p>
    <w:p w14:paraId="5BFC3248" w14:textId="312453E0" w:rsidR="005A5F96" w:rsidRPr="002867E0" w:rsidRDefault="005A5F96" w:rsidP="00821227">
      <w:pPr>
        <w:pStyle w:val="Body"/>
        <w:rPr>
          <w:highlight w:val="yellow"/>
          <w:lang w:eastAsia="en-AU"/>
        </w:rPr>
      </w:pPr>
    </w:p>
    <w:p w14:paraId="5B47FA89" w14:textId="73AAE4F5" w:rsidR="00E57B59" w:rsidRPr="004042B0" w:rsidRDefault="00E57B59" w:rsidP="00E57B59">
      <w:pPr>
        <w:pStyle w:val="Caption"/>
        <w:ind w:left="0" w:firstLine="0"/>
        <w:rPr>
          <w:color w:val="000000" w:themeColor="text1"/>
        </w:rPr>
      </w:pPr>
      <w:bookmarkStart w:id="113" w:name="_Ref204782929"/>
      <w:bookmarkStart w:id="114" w:name="_Toc206692325"/>
      <w:r w:rsidRPr="004042B0">
        <w:rPr>
          <w:color w:val="000000" w:themeColor="text1"/>
        </w:rPr>
        <w:t xml:space="preserve">Figure </w:t>
      </w:r>
      <w:r w:rsidR="001E216A" w:rsidRPr="004042B0">
        <w:rPr>
          <w:color w:val="000000" w:themeColor="text1"/>
        </w:rPr>
        <w:fldChar w:fldCharType="begin"/>
      </w:r>
      <w:r w:rsidR="001E216A" w:rsidRPr="004042B0">
        <w:rPr>
          <w:color w:val="000000" w:themeColor="text1"/>
        </w:rPr>
        <w:instrText xml:space="preserve"> SEQ Figure \* ARABIC </w:instrText>
      </w:r>
      <w:r w:rsidR="001E216A" w:rsidRPr="004042B0">
        <w:rPr>
          <w:color w:val="000000" w:themeColor="text1"/>
        </w:rPr>
        <w:fldChar w:fldCharType="separate"/>
      </w:r>
      <w:r w:rsidR="00F96AB4">
        <w:rPr>
          <w:noProof/>
          <w:color w:val="000000" w:themeColor="text1"/>
        </w:rPr>
        <w:t>26</w:t>
      </w:r>
      <w:r w:rsidR="001E216A" w:rsidRPr="004042B0">
        <w:rPr>
          <w:noProof/>
          <w:color w:val="000000" w:themeColor="text1"/>
        </w:rPr>
        <w:fldChar w:fldCharType="end"/>
      </w:r>
      <w:bookmarkEnd w:id="113"/>
      <w:r w:rsidRPr="004042B0">
        <w:rPr>
          <w:color w:val="000000" w:themeColor="text1"/>
        </w:rPr>
        <w:t xml:space="preserve"> International </w:t>
      </w:r>
      <w:r w:rsidR="00175E67" w:rsidRPr="004042B0">
        <w:rPr>
          <w:color w:val="000000" w:themeColor="text1"/>
        </w:rPr>
        <w:t>p</w:t>
      </w:r>
      <w:r w:rsidRPr="004042B0">
        <w:rPr>
          <w:color w:val="000000" w:themeColor="text1"/>
        </w:rPr>
        <w:t>ostgraduate coursework student accommodation arrangements by source countr</w:t>
      </w:r>
      <w:r w:rsidR="00B4139E" w:rsidRPr="004042B0">
        <w:rPr>
          <w:color w:val="000000" w:themeColor="text1"/>
        </w:rPr>
        <w:t>y</w:t>
      </w:r>
      <w:r w:rsidRPr="004042B0">
        <w:rPr>
          <w:color w:val="000000" w:themeColor="text1"/>
        </w:rPr>
        <w:t>, 2024 (%)</w:t>
      </w:r>
      <w:bookmarkEnd w:id="114"/>
    </w:p>
    <w:p w14:paraId="5FE113AE" w14:textId="5F92386C" w:rsidR="00E57B59" w:rsidRDefault="00896E14" w:rsidP="006758C8">
      <w:pPr>
        <w:pStyle w:val="FigureNote"/>
        <w:rPr>
          <w:highlight w:val="yellow"/>
        </w:rPr>
      </w:pPr>
      <w:r>
        <w:rPr>
          <w:noProof/>
        </w:rPr>
        <w:drawing>
          <wp:inline distT="0" distB="0" distL="0" distR="0" wp14:anchorId="70A5E609" wp14:editId="0C867D07">
            <wp:extent cx="9864000" cy="4511594"/>
            <wp:effectExtent l="0" t="0" r="4445" b="0"/>
            <wp:docPr id="103092073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20737" name="Picture 3">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864000" cy="4511594"/>
                    </a:xfrm>
                    <a:prstGeom prst="rect">
                      <a:avLst/>
                    </a:prstGeom>
                    <a:noFill/>
                  </pic:spPr>
                </pic:pic>
              </a:graphicData>
            </a:graphic>
          </wp:inline>
        </w:drawing>
      </w:r>
    </w:p>
    <w:p w14:paraId="7E74D68B" w14:textId="372FF715" w:rsidR="009F41B5" w:rsidRPr="00016C8B" w:rsidRDefault="009F41B5" w:rsidP="009F41B5">
      <w:pPr>
        <w:rPr>
          <w:rFonts w:eastAsia="Calibri" w:cs="Times New Roman"/>
          <w:sz w:val="16"/>
          <w:szCs w:val="22"/>
          <w:lang w:val="en-GB"/>
        </w:rPr>
      </w:pPr>
      <w:r>
        <w:rPr>
          <w:rFonts w:eastAsia="Calibri" w:cs="Times New Roman"/>
          <w:sz w:val="16"/>
          <w:szCs w:val="22"/>
          <w:lang w:val="en-GB"/>
        </w:rPr>
        <w:t xml:space="preserve">Note: </w:t>
      </w:r>
      <w:r w:rsidRPr="00016C8B">
        <w:rPr>
          <w:rFonts w:eastAsia="Calibri" w:cs="Times New Roman"/>
          <w:sz w:val="16"/>
          <w:szCs w:val="22"/>
          <w:lang w:val="en-GB"/>
        </w:rPr>
        <w:t xml:space="preserve">Source country in 2024 </w:t>
      </w:r>
      <w:r>
        <w:rPr>
          <w:rFonts w:eastAsia="Calibri" w:cs="Times New Roman"/>
          <w:sz w:val="16"/>
          <w:szCs w:val="22"/>
          <w:lang w:val="en-GB"/>
        </w:rPr>
        <w:t>wa</w:t>
      </w:r>
      <w:r w:rsidRPr="00016C8B">
        <w:rPr>
          <w:rFonts w:eastAsia="Calibri" w:cs="Times New Roman"/>
          <w:sz w:val="16"/>
          <w:szCs w:val="22"/>
          <w:lang w:val="en-GB"/>
        </w:rPr>
        <w:t>s based on E658 Residential address country code</w:t>
      </w:r>
      <w:r>
        <w:rPr>
          <w:rFonts w:eastAsia="Calibri" w:cs="Times New Roman"/>
          <w:sz w:val="16"/>
          <w:szCs w:val="22"/>
          <w:lang w:val="en-GB"/>
        </w:rPr>
        <w:t>.</w:t>
      </w:r>
      <w:r w:rsidR="00B4139E" w:rsidRPr="009F41B5">
        <w:rPr>
          <w:rFonts w:ascii="Segoe UI" w:hAnsi="Segoe UI" w:cs="Segoe UI"/>
          <w:color w:val="424242"/>
          <w:shd w:val="clear" w:color="auto" w:fill="FAFAFA"/>
        </w:rPr>
        <w:t xml:space="preserve"> </w:t>
      </w:r>
      <w:r w:rsidR="00B4139E" w:rsidRPr="009F41B5">
        <w:rPr>
          <w:rFonts w:eastAsia="Calibri"/>
          <w:sz w:val="16"/>
          <w:szCs w:val="22"/>
        </w:rPr>
        <w:t xml:space="preserve">Source countries shown in this figure represent the top </w:t>
      </w:r>
      <w:r w:rsidR="00F320D0">
        <w:rPr>
          <w:rFonts w:eastAsia="Calibri"/>
          <w:sz w:val="16"/>
          <w:szCs w:val="22"/>
        </w:rPr>
        <w:t>5</w:t>
      </w:r>
      <w:r w:rsidR="00B4139E" w:rsidRPr="009F41B5">
        <w:rPr>
          <w:rFonts w:eastAsia="Calibri"/>
          <w:sz w:val="16"/>
          <w:szCs w:val="22"/>
        </w:rPr>
        <w:t xml:space="preserve"> by number of survey respondents, ordered from </w:t>
      </w:r>
      <w:r w:rsidR="00B4139E">
        <w:rPr>
          <w:rFonts w:eastAsia="Calibri"/>
          <w:sz w:val="16"/>
          <w:szCs w:val="22"/>
        </w:rPr>
        <w:t>top to bottom</w:t>
      </w:r>
      <w:r w:rsidR="00B4139E" w:rsidRPr="009F41B5">
        <w:rPr>
          <w:rFonts w:eastAsia="Calibri"/>
          <w:sz w:val="16"/>
          <w:szCs w:val="22"/>
        </w:rPr>
        <w:t xml:space="preserve"> from largest to smallest.</w:t>
      </w:r>
    </w:p>
    <w:p w14:paraId="316B05DB" w14:textId="6E518676" w:rsidR="009F41B5" w:rsidRPr="002867E0" w:rsidRDefault="009F41B5" w:rsidP="006758C8">
      <w:pPr>
        <w:pStyle w:val="FigureNote"/>
        <w:rPr>
          <w:highlight w:val="yellow"/>
        </w:rPr>
        <w:sectPr w:rsidR="009F41B5" w:rsidRPr="002867E0" w:rsidSect="00F77822">
          <w:pgSz w:w="16840" w:h="11900" w:orient="landscape"/>
          <w:pgMar w:top="560" w:right="994" w:bottom="710" w:left="852" w:header="567" w:footer="567" w:gutter="0"/>
          <w:cols w:space="708"/>
          <w:docGrid w:linePitch="360"/>
        </w:sectPr>
      </w:pPr>
    </w:p>
    <w:p w14:paraId="176177F8" w14:textId="36C2090C" w:rsidR="00995CB9" w:rsidRPr="004042B0" w:rsidRDefault="00821227" w:rsidP="00995CB9">
      <w:pPr>
        <w:pStyle w:val="Heading2"/>
        <w:rPr>
          <w:color w:val="000000" w:themeColor="text1"/>
        </w:rPr>
      </w:pPr>
      <w:bookmarkStart w:id="115" w:name="_Toc206692281"/>
      <w:r w:rsidRPr="004042B0">
        <w:rPr>
          <w:color w:val="000000" w:themeColor="text1"/>
        </w:rPr>
        <w:lastRenderedPageBreak/>
        <w:t>Use of agents</w:t>
      </w:r>
      <w:bookmarkEnd w:id="115"/>
    </w:p>
    <w:p w14:paraId="51C9FAD1" w14:textId="5AF3280E" w:rsidR="00B4139E" w:rsidRPr="00B4139E" w:rsidRDefault="00995CB9" w:rsidP="00B4139E">
      <w:pPr>
        <w:pStyle w:val="Body"/>
        <w:rPr>
          <w:rFonts w:cs="Arial"/>
          <w:spacing w:val="1"/>
        </w:rPr>
      </w:pPr>
      <w:r>
        <w:t xml:space="preserve">As shown in </w:t>
      </w:r>
      <w:r w:rsidRPr="00995CB9">
        <w:rPr>
          <w:b/>
          <w:bCs/>
        </w:rPr>
        <w:fldChar w:fldCharType="begin"/>
      </w:r>
      <w:r w:rsidRPr="00995CB9">
        <w:rPr>
          <w:b/>
          <w:bCs/>
        </w:rPr>
        <w:instrText xml:space="preserve"> REF _Ref205224379 \h </w:instrText>
      </w:r>
      <w:r>
        <w:rPr>
          <w:b/>
          <w:bCs/>
        </w:rPr>
        <w:instrText xml:space="preserve"> \* MERGEFORMAT </w:instrText>
      </w:r>
      <w:r w:rsidRPr="00995CB9">
        <w:rPr>
          <w:b/>
          <w:bCs/>
        </w:rPr>
      </w:r>
      <w:r w:rsidRPr="00995CB9">
        <w:rPr>
          <w:b/>
          <w:bCs/>
        </w:rPr>
        <w:fldChar w:fldCharType="separate"/>
      </w:r>
      <w:r w:rsidR="00F96AB4" w:rsidRPr="00F96AB4">
        <w:rPr>
          <w:b/>
          <w:bCs/>
        </w:rPr>
        <w:t xml:space="preserve">Figure </w:t>
      </w:r>
      <w:r w:rsidR="00F96AB4" w:rsidRPr="00F96AB4">
        <w:rPr>
          <w:b/>
          <w:bCs/>
          <w:noProof/>
        </w:rPr>
        <w:t>27</w:t>
      </w:r>
      <w:r w:rsidRPr="00995CB9">
        <w:rPr>
          <w:b/>
          <w:bCs/>
        </w:rPr>
        <w:fldChar w:fldCharType="end"/>
      </w:r>
      <w:r>
        <w:t xml:space="preserve">, </w:t>
      </w:r>
      <w:r w:rsidR="00167782">
        <w:t xml:space="preserve">in 2024, </w:t>
      </w:r>
      <w:r w:rsidR="00AB28B5" w:rsidRPr="00AB28B5">
        <w:t xml:space="preserve">the </w:t>
      </w:r>
      <w:r w:rsidR="00821227" w:rsidRPr="00392742">
        <w:t>overwhelming majority of international undergraduate students</w:t>
      </w:r>
      <w:r w:rsidR="00AB28B5" w:rsidRPr="00AB28B5">
        <w:t>—87.8 per cent—</w:t>
      </w:r>
      <w:r w:rsidR="00821227" w:rsidRPr="00392742">
        <w:t xml:space="preserve">used an agent </w:t>
      </w:r>
      <w:r w:rsidR="00AB28B5" w:rsidRPr="00AB28B5">
        <w:t>to assist</w:t>
      </w:r>
      <w:r w:rsidR="00821227" w:rsidRPr="00392742">
        <w:t xml:space="preserve"> with their visa application or </w:t>
      </w:r>
      <w:r w:rsidR="00AB28B5" w:rsidRPr="00AB28B5">
        <w:t>enrolment</w:t>
      </w:r>
      <w:r w:rsidR="00821227" w:rsidRPr="00392742">
        <w:t xml:space="preserve"> at an institution</w:t>
      </w:r>
      <w:r w:rsidR="00431B14">
        <w:t xml:space="preserve"> when they came to Australia</w:t>
      </w:r>
      <w:r w:rsidR="00AB28B5" w:rsidRPr="00AB28B5">
        <w:t>.</w:t>
      </w:r>
      <w:r w:rsidR="00821227" w:rsidRPr="00392742">
        <w:t xml:space="preserve"> Among those </w:t>
      </w:r>
      <w:r w:rsidR="00AB28B5" w:rsidRPr="00AB28B5">
        <w:t>who used</w:t>
      </w:r>
      <w:r w:rsidR="00821227" w:rsidRPr="00392742">
        <w:t xml:space="preserve"> an agent, 93.</w:t>
      </w:r>
      <w:r w:rsidR="00392742" w:rsidRPr="00392742">
        <w:t>6</w:t>
      </w:r>
      <w:r w:rsidR="00821227" w:rsidRPr="00392742">
        <w:t xml:space="preserve"> per cent rated the service </w:t>
      </w:r>
      <w:r w:rsidR="00AB28B5" w:rsidRPr="00AB28B5">
        <w:t xml:space="preserve">they received </w:t>
      </w:r>
      <w:r w:rsidR="00821227" w:rsidRPr="00392742">
        <w:t xml:space="preserve">positively. </w:t>
      </w:r>
      <w:r w:rsidR="00B4139E" w:rsidRPr="00B4139E">
        <w:rPr>
          <w:rFonts w:cs="Arial"/>
          <w:spacing w:val="1"/>
        </w:rPr>
        <w:t>The percent positive rating for the service provided by an agent represents the proportion of respondents who selected ‘Good’ or ‘Very good’ when asked ‘How would you rate the overall service provided by the agent?’</w:t>
      </w:r>
      <w:r w:rsidR="002A135C">
        <w:rPr>
          <w:rFonts w:cs="Arial"/>
          <w:spacing w:val="1"/>
        </w:rPr>
        <w:t>.</w:t>
      </w:r>
    </w:p>
    <w:p w14:paraId="12988852" w14:textId="0F80DB17" w:rsidR="00AA3B26" w:rsidRPr="004042B0" w:rsidRDefault="00AA3B26" w:rsidP="00106643">
      <w:pPr>
        <w:pStyle w:val="Caption"/>
        <w:rPr>
          <w:color w:val="000000" w:themeColor="text1"/>
        </w:rPr>
      </w:pPr>
      <w:bookmarkStart w:id="116" w:name="_Ref171705740"/>
      <w:bookmarkStart w:id="117" w:name="_Ref205224379"/>
      <w:bookmarkStart w:id="118" w:name="_Toc206692326"/>
      <w:r w:rsidRPr="004042B0">
        <w:rPr>
          <w:color w:val="000000" w:themeColor="text1"/>
        </w:rPr>
        <w:t xml:space="preserve">Figure </w:t>
      </w:r>
      <w:r w:rsidR="001E216A" w:rsidRPr="004042B0">
        <w:rPr>
          <w:color w:val="000000" w:themeColor="text1"/>
        </w:rPr>
        <w:fldChar w:fldCharType="begin"/>
      </w:r>
      <w:r w:rsidR="001E216A" w:rsidRPr="004042B0">
        <w:rPr>
          <w:color w:val="000000" w:themeColor="text1"/>
        </w:rPr>
        <w:instrText xml:space="preserve"> SEQ Figure \* ARABIC </w:instrText>
      </w:r>
      <w:r w:rsidR="001E216A" w:rsidRPr="004042B0">
        <w:rPr>
          <w:color w:val="000000" w:themeColor="text1"/>
        </w:rPr>
        <w:fldChar w:fldCharType="separate"/>
      </w:r>
      <w:r w:rsidR="00F96AB4">
        <w:rPr>
          <w:noProof/>
          <w:color w:val="000000" w:themeColor="text1"/>
        </w:rPr>
        <w:t>27</w:t>
      </w:r>
      <w:r w:rsidR="001E216A" w:rsidRPr="004042B0">
        <w:rPr>
          <w:noProof/>
          <w:color w:val="000000" w:themeColor="text1"/>
        </w:rPr>
        <w:fldChar w:fldCharType="end"/>
      </w:r>
      <w:bookmarkEnd w:id="116"/>
      <w:bookmarkEnd w:id="117"/>
      <w:r w:rsidRPr="004042B0">
        <w:rPr>
          <w:color w:val="000000" w:themeColor="text1"/>
        </w:rPr>
        <w:t xml:space="preserve"> </w:t>
      </w:r>
      <w:r w:rsidR="00741C30" w:rsidRPr="004042B0">
        <w:rPr>
          <w:color w:val="000000" w:themeColor="text1"/>
        </w:rPr>
        <w:t>U</w:t>
      </w:r>
      <w:r w:rsidRPr="004042B0">
        <w:rPr>
          <w:color w:val="000000" w:themeColor="text1"/>
        </w:rPr>
        <w:t>se</w:t>
      </w:r>
      <w:r w:rsidR="009D1A4C" w:rsidRPr="004042B0">
        <w:rPr>
          <w:color w:val="000000" w:themeColor="text1"/>
        </w:rPr>
        <w:t xml:space="preserve"> of</w:t>
      </w:r>
      <w:r w:rsidRPr="004042B0">
        <w:rPr>
          <w:color w:val="000000" w:themeColor="text1"/>
        </w:rPr>
        <w:t xml:space="preserve"> an</w:t>
      </w:r>
      <w:r w:rsidR="002748C3" w:rsidRPr="004042B0">
        <w:rPr>
          <w:color w:val="000000" w:themeColor="text1"/>
        </w:rPr>
        <w:t>d satisfaction with an agent</w:t>
      </w:r>
      <w:r w:rsidRPr="004042B0" w:rsidDel="00583906">
        <w:rPr>
          <w:color w:val="000000" w:themeColor="text1"/>
        </w:rPr>
        <w:t xml:space="preserve"> </w:t>
      </w:r>
      <w:r w:rsidRPr="004042B0">
        <w:rPr>
          <w:color w:val="000000" w:themeColor="text1"/>
        </w:rPr>
        <w:t>to help with visa application or enrolment</w:t>
      </w:r>
      <w:r w:rsidR="00747389" w:rsidRPr="004042B0" w:rsidDel="00583906">
        <w:rPr>
          <w:color w:val="000000" w:themeColor="text1"/>
        </w:rPr>
        <w:t xml:space="preserve"> </w:t>
      </w:r>
      <w:r w:rsidR="00A3470F" w:rsidRPr="004042B0">
        <w:rPr>
          <w:color w:val="000000" w:themeColor="text1"/>
        </w:rPr>
        <w:t xml:space="preserve">by </w:t>
      </w:r>
      <w:r w:rsidR="0005477D" w:rsidRPr="004042B0">
        <w:rPr>
          <w:color w:val="000000" w:themeColor="text1"/>
        </w:rPr>
        <w:t>course</w:t>
      </w:r>
      <w:r w:rsidR="00583906" w:rsidRPr="004042B0">
        <w:rPr>
          <w:color w:val="000000" w:themeColor="text1"/>
        </w:rPr>
        <w:t xml:space="preserve"> level and </w:t>
      </w:r>
      <w:r w:rsidR="00B4139E" w:rsidRPr="004042B0">
        <w:rPr>
          <w:color w:val="000000" w:themeColor="text1"/>
        </w:rPr>
        <w:t>source country</w:t>
      </w:r>
      <w:r w:rsidR="00271BF3" w:rsidRPr="004042B0">
        <w:rPr>
          <w:color w:val="000000" w:themeColor="text1"/>
        </w:rPr>
        <w:t>, 2024</w:t>
      </w:r>
      <w:r w:rsidRPr="004042B0">
        <w:rPr>
          <w:color w:val="000000" w:themeColor="text1"/>
        </w:rPr>
        <w:t xml:space="preserve"> (%</w:t>
      </w:r>
      <w:r w:rsidR="00B4139E" w:rsidRPr="004042B0">
        <w:rPr>
          <w:color w:val="000000" w:themeColor="text1"/>
        </w:rPr>
        <w:t xml:space="preserve"> positive rating</w:t>
      </w:r>
      <w:r w:rsidRPr="004042B0">
        <w:rPr>
          <w:color w:val="000000" w:themeColor="text1"/>
        </w:rPr>
        <w:t>)</w:t>
      </w:r>
      <w:bookmarkEnd w:id="118"/>
    </w:p>
    <w:p w14:paraId="22CCB9D4" w14:textId="269333FB" w:rsidR="00544E66" w:rsidRDefault="00544E66" w:rsidP="005B3577">
      <w:pPr>
        <w:pStyle w:val="Body"/>
        <w:rPr>
          <w:color w:val="FF0000"/>
          <w:sz w:val="16"/>
          <w:szCs w:val="16"/>
          <w:lang w:eastAsia="en-AU"/>
        </w:rPr>
      </w:pPr>
      <w:r>
        <w:rPr>
          <w:noProof/>
          <w:color w:val="FF0000"/>
          <w:sz w:val="16"/>
          <w:szCs w:val="16"/>
          <w:lang w:eastAsia="en-AU"/>
        </w:rPr>
        <w:drawing>
          <wp:inline distT="0" distB="0" distL="0" distR="0" wp14:anchorId="783DDE7A" wp14:editId="539DE186">
            <wp:extent cx="6748780" cy="215661"/>
            <wp:effectExtent l="0" t="0" r="0" b="635"/>
            <wp:docPr id="18046920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92026"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91156"/>
                    <a:stretch>
                      <a:fillRect/>
                    </a:stretch>
                  </pic:blipFill>
                  <pic:spPr bwMode="auto">
                    <a:xfrm>
                      <a:off x="0" y="0"/>
                      <a:ext cx="6748780" cy="215661"/>
                    </a:xfrm>
                    <a:prstGeom prst="rect">
                      <a:avLst/>
                    </a:prstGeom>
                    <a:noFill/>
                    <a:ln>
                      <a:noFill/>
                    </a:ln>
                    <a:extLst>
                      <a:ext uri="{53640926-AAD7-44D8-BBD7-CCE9431645EC}">
                        <a14:shadowObscured xmlns:a14="http://schemas.microsoft.com/office/drawing/2010/main"/>
                      </a:ext>
                    </a:extLst>
                  </pic:spPr>
                </pic:pic>
              </a:graphicData>
            </a:graphic>
          </wp:inline>
        </w:drawing>
      </w:r>
    </w:p>
    <w:p w14:paraId="28D05087" w14:textId="472BFD4B" w:rsidR="002A135C" w:rsidRDefault="002A135C" w:rsidP="005B3577">
      <w:pPr>
        <w:pStyle w:val="Body"/>
        <w:rPr>
          <w:color w:val="FF0000"/>
          <w:sz w:val="16"/>
          <w:szCs w:val="16"/>
          <w:lang w:eastAsia="en-AU"/>
        </w:rPr>
      </w:pPr>
      <w:r>
        <w:rPr>
          <w:noProof/>
          <w:color w:val="FF0000"/>
          <w:sz w:val="16"/>
          <w:szCs w:val="16"/>
          <w:lang w:eastAsia="en-AU"/>
        </w:rPr>
        <w:drawing>
          <wp:inline distT="0" distB="0" distL="0" distR="0" wp14:anchorId="64C9EF48" wp14:editId="57DCA828">
            <wp:extent cx="6748780" cy="2493645"/>
            <wp:effectExtent l="0" t="0" r="0" b="1905"/>
            <wp:docPr id="15481767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48780" cy="2493645"/>
                    </a:xfrm>
                    <a:prstGeom prst="rect">
                      <a:avLst/>
                    </a:prstGeom>
                    <a:noFill/>
                  </pic:spPr>
                </pic:pic>
              </a:graphicData>
            </a:graphic>
          </wp:inline>
        </w:drawing>
      </w:r>
    </w:p>
    <w:p w14:paraId="5E7ACF0B" w14:textId="0D5637A6" w:rsidR="00AF298A" w:rsidRDefault="002A135C" w:rsidP="005B3577">
      <w:pPr>
        <w:pStyle w:val="Body"/>
        <w:rPr>
          <w:color w:val="FF0000"/>
          <w:sz w:val="16"/>
          <w:szCs w:val="16"/>
          <w:lang w:eastAsia="en-AU"/>
        </w:rPr>
      </w:pPr>
      <w:r>
        <w:rPr>
          <w:noProof/>
          <w:color w:val="FF0000"/>
          <w:sz w:val="16"/>
          <w:szCs w:val="16"/>
          <w:lang w:eastAsia="en-AU"/>
        </w:rPr>
        <w:drawing>
          <wp:inline distT="0" distB="0" distL="0" distR="0" wp14:anchorId="011DBB1F" wp14:editId="0A056DE9">
            <wp:extent cx="6748780" cy="2438400"/>
            <wp:effectExtent l="0" t="0" r="0" b="0"/>
            <wp:docPr id="18258912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48780" cy="2438400"/>
                    </a:xfrm>
                    <a:prstGeom prst="rect">
                      <a:avLst/>
                    </a:prstGeom>
                    <a:noFill/>
                  </pic:spPr>
                </pic:pic>
              </a:graphicData>
            </a:graphic>
          </wp:inline>
        </w:drawing>
      </w:r>
    </w:p>
    <w:p w14:paraId="22075EE3" w14:textId="38784A5E" w:rsidR="00B4139E" w:rsidRPr="009F41B5" w:rsidRDefault="009F41B5" w:rsidP="00E64846">
      <w:pPr>
        <w:rPr>
          <w:highlight w:val="yellow"/>
          <w:lang w:eastAsia="en-AU"/>
        </w:rPr>
      </w:pPr>
      <w:bookmarkStart w:id="119" w:name="_Ref64540727"/>
      <w:r>
        <w:rPr>
          <w:rFonts w:eastAsia="Calibri" w:cs="Times New Roman"/>
          <w:sz w:val="16"/>
          <w:szCs w:val="22"/>
          <w:lang w:val="en-GB"/>
        </w:rPr>
        <w:t xml:space="preserve">Note: </w:t>
      </w:r>
      <w:r w:rsidRPr="00016C8B">
        <w:rPr>
          <w:rFonts w:eastAsia="Calibri" w:cs="Times New Roman"/>
          <w:sz w:val="16"/>
          <w:szCs w:val="22"/>
          <w:lang w:val="en-GB"/>
        </w:rPr>
        <w:t xml:space="preserve">Source country in 2024 </w:t>
      </w:r>
      <w:r>
        <w:rPr>
          <w:rFonts w:eastAsia="Calibri" w:cs="Times New Roman"/>
          <w:sz w:val="16"/>
          <w:szCs w:val="22"/>
          <w:lang w:val="en-GB"/>
        </w:rPr>
        <w:t>wa</w:t>
      </w:r>
      <w:r w:rsidRPr="00016C8B">
        <w:rPr>
          <w:rFonts w:eastAsia="Calibri" w:cs="Times New Roman"/>
          <w:sz w:val="16"/>
          <w:szCs w:val="22"/>
          <w:lang w:val="en-GB"/>
        </w:rPr>
        <w:t>s based on E658 Residential address country code</w:t>
      </w:r>
      <w:r>
        <w:rPr>
          <w:rFonts w:eastAsia="Calibri" w:cs="Times New Roman"/>
          <w:sz w:val="16"/>
          <w:szCs w:val="22"/>
          <w:lang w:val="en-GB"/>
        </w:rPr>
        <w:t>.</w:t>
      </w:r>
      <w:r w:rsidR="00B4139E" w:rsidRPr="009F41B5">
        <w:rPr>
          <w:rFonts w:ascii="Segoe UI" w:hAnsi="Segoe UI" w:cs="Segoe UI"/>
          <w:color w:val="424242"/>
          <w:shd w:val="clear" w:color="auto" w:fill="FAFAFA"/>
        </w:rPr>
        <w:t xml:space="preserve"> </w:t>
      </w:r>
      <w:bookmarkStart w:id="120" w:name="_Hlk205223359"/>
      <w:r w:rsidR="00B4139E" w:rsidRPr="009F41B5">
        <w:rPr>
          <w:rFonts w:eastAsia="Calibri"/>
          <w:sz w:val="16"/>
          <w:szCs w:val="22"/>
        </w:rPr>
        <w:t xml:space="preserve">Source countries shown in this figure represent the top </w:t>
      </w:r>
      <w:r w:rsidR="00F320D0">
        <w:rPr>
          <w:rFonts w:eastAsia="Calibri"/>
          <w:sz w:val="16"/>
          <w:szCs w:val="22"/>
        </w:rPr>
        <w:t>5</w:t>
      </w:r>
      <w:r w:rsidR="00B4139E" w:rsidRPr="009F41B5">
        <w:rPr>
          <w:rFonts w:eastAsia="Calibri"/>
          <w:sz w:val="16"/>
          <w:szCs w:val="22"/>
        </w:rPr>
        <w:t xml:space="preserve"> by number of survey respondents, ordered from left to right from largest to smallest.</w:t>
      </w:r>
      <w:bookmarkEnd w:id="120"/>
    </w:p>
    <w:p w14:paraId="0DD4DE4D" w14:textId="4F85EECF" w:rsidR="00B4139E" w:rsidRPr="009F41B5" w:rsidRDefault="00B4139E" w:rsidP="006C447B">
      <w:pPr>
        <w:pStyle w:val="Body"/>
        <w:rPr>
          <w:rFonts w:cs="Arial"/>
          <w:spacing w:val="1"/>
          <w:sz w:val="16"/>
          <w:szCs w:val="16"/>
        </w:rPr>
        <w:sectPr w:rsidR="00B4139E" w:rsidRPr="009F41B5" w:rsidSect="00F77822">
          <w:pgSz w:w="11900" w:h="16840"/>
          <w:pgMar w:top="852" w:right="560" w:bottom="994" w:left="710" w:header="567" w:footer="567" w:gutter="0"/>
          <w:cols w:space="708"/>
          <w:docGrid w:linePitch="360"/>
        </w:sectPr>
      </w:pPr>
    </w:p>
    <w:p w14:paraId="1E3E1D58" w14:textId="77777777" w:rsidR="00821227" w:rsidRPr="004042B0" w:rsidRDefault="00821227" w:rsidP="00A9284B">
      <w:pPr>
        <w:pStyle w:val="Heading1"/>
        <w:rPr>
          <w:color w:val="000000" w:themeColor="text1"/>
        </w:rPr>
      </w:pPr>
      <w:bookmarkStart w:id="121" w:name="_Ref197448946"/>
      <w:bookmarkStart w:id="122" w:name="_Ref197448961"/>
      <w:bookmarkStart w:id="123" w:name="_Ref197449038"/>
      <w:bookmarkStart w:id="124" w:name="_Toc206692282"/>
      <w:bookmarkEnd w:id="119"/>
      <w:r w:rsidRPr="004042B0">
        <w:rPr>
          <w:color w:val="000000" w:themeColor="text1"/>
        </w:rPr>
        <w:lastRenderedPageBreak/>
        <w:t>Factors in deciding where to study</w:t>
      </w:r>
      <w:bookmarkEnd w:id="121"/>
      <w:bookmarkEnd w:id="122"/>
      <w:bookmarkEnd w:id="123"/>
      <w:bookmarkEnd w:id="124"/>
    </w:p>
    <w:p w14:paraId="0B508177" w14:textId="77777777" w:rsidR="00821227" w:rsidRPr="004042B0" w:rsidRDefault="00821227" w:rsidP="00CC582B">
      <w:pPr>
        <w:pStyle w:val="Heading2"/>
        <w:rPr>
          <w:color w:val="000000" w:themeColor="text1"/>
        </w:rPr>
      </w:pPr>
      <w:bookmarkStart w:id="125" w:name="_Ref197448994"/>
      <w:bookmarkStart w:id="126" w:name="_Toc206692283"/>
      <w:r w:rsidRPr="004042B0">
        <w:rPr>
          <w:color w:val="000000" w:themeColor="text1"/>
        </w:rPr>
        <w:t>Reasons for choosing to study in Australia</w:t>
      </w:r>
      <w:bookmarkEnd w:id="125"/>
      <w:bookmarkEnd w:id="126"/>
    </w:p>
    <w:p w14:paraId="560384CA" w14:textId="77777777" w:rsidR="002A135C" w:rsidRDefault="00D27EF1" w:rsidP="00D27EF1">
      <w:pPr>
        <w:pStyle w:val="Body"/>
      </w:pPr>
      <w:r w:rsidRPr="00163DAF">
        <w:t xml:space="preserve">International students were asked to rate </w:t>
      </w:r>
      <w:r w:rsidR="0024674F" w:rsidRPr="0024674F">
        <w:t>the importance</w:t>
      </w:r>
      <w:r w:rsidRPr="00163DAF">
        <w:t xml:space="preserve"> of </w:t>
      </w:r>
      <w:r w:rsidR="0024674F" w:rsidRPr="0024674F">
        <w:t>various factors</w:t>
      </w:r>
      <w:r w:rsidRPr="00163DAF">
        <w:t xml:space="preserve"> in their decision to study in Australia, </w:t>
      </w:r>
      <w:r w:rsidR="0024674F" w:rsidRPr="0024674F">
        <w:t xml:space="preserve">with </w:t>
      </w:r>
      <w:r w:rsidRPr="00163DAF">
        <w:t xml:space="preserve">key </w:t>
      </w:r>
      <w:r w:rsidR="0024674F" w:rsidRPr="0024674F">
        <w:t>findings presented</w:t>
      </w:r>
      <w:r w:rsidRPr="00163DAF">
        <w:t xml:space="preserve"> in</w:t>
      </w:r>
      <w:r w:rsidR="004E5C54">
        <w:t xml:space="preserve"> </w:t>
      </w:r>
      <w:r w:rsidR="004E5C54" w:rsidRPr="004E5C54">
        <w:rPr>
          <w:b/>
          <w:bCs/>
        </w:rPr>
        <w:fldChar w:fldCharType="begin"/>
      </w:r>
      <w:r w:rsidR="004E5C54" w:rsidRPr="004E5C54">
        <w:rPr>
          <w:b/>
          <w:bCs/>
        </w:rPr>
        <w:instrText xml:space="preserve"> REF _Ref171701519 \h </w:instrText>
      </w:r>
      <w:r w:rsidR="004E5C54">
        <w:rPr>
          <w:b/>
          <w:bCs/>
        </w:rPr>
        <w:instrText xml:space="preserve"> \* MERGEFORMAT </w:instrText>
      </w:r>
      <w:r w:rsidR="004E5C54" w:rsidRPr="004E5C54">
        <w:rPr>
          <w:b/>
          <w:bCs/>
        </w:rPr>
      </w:r>
      <w:r w:rsidR="004E5C54" w:rsidRPr="004E5C54">
        <w:rPr>
          <w:b/>
          <w:bCs/>
        </w:rPr>
        <w:fldChar w:fldCharType="separate"/>
      </w:r>
      <w:r w:rsidR="00F96AB4" w:rsidRPr="00F96AB4">
        <w:rPr>
          <w:b/>
          <w:bCs/>
        </w:rPr>
        <w:t xml:space="preserve">Figure </w:t>
      </w:r>
      <w:r w:rsidR="00F96AB4" w:rsidRPr="00F96AB4">
        <w:rPr>
          <w:b/>
          <w:bCs/>
          <w:noProof/>
        </w:rPr>
        <w:t>28</w:t>
      </w:r>
      <w:r w:rsidR="004E5C54" w:rsidRPr="004E5C54">
        <w:rPr>
          <w:b/>
          <w:bCs/>
        </w:rPr>
        <w:fldChar w:fldCharType="end"/>
      </w:r>
      <w:r w:rsidRPr="00163DAF">
        <w:t xml:space="preserve">. </w:t>
      </w:r>
    </w:p>
    <w:p w14:paraId="58450958" w14:textId="1AA8BA65" w:rsidR="00D27EF1" w:rsidRPr="00862735" w:rsidRDefault="00D27EF1" w:rsidP="00D27EF1">
      <w:pPr>
        <w:pStyle w:val="Body"/>
      </w:pPr>
      <w:r w:rsidRPr="00163DAF">
        <w:t xml:space="preserve">Personal safety and security </w:t>
      </w:r>
      <w:r w:rsidR="00B56D0C" w:rsidRPr="00B56D0C">
        <w:t>emerged as</w:t>
      </w:r>
      <w:r w:rsidRPr="00163DAF">
        <w:t xml:space="preserve"> the </w:t>
      </w:r>
      <w:r w:rsidR="00B56D0C" w:rsidRPr="00B56D0C">
        <w:t>most important</w:t>
      </w:r>
      <w:r w:rsidRPr="00163DAF">
        <w:t xml:space="preserve"> reason</w:t>
      </w:r>
      <w:r w:rsidR="00B56D0C" w:rsidRPr="00B56D0C">
        <w:t xml:space="preserve">, cited as </w:t>
      </w:r>
      <w:r w:rsidR="006D3419">
        <w:t>‘</w:t>
      </w:r>
      <w:r w:rsidR="00B56D0C" w:rsidRPr="00B56D0C">
        <w:t>extremely important</w:t>
      </w:r>
      <w:r w:rsidR="006D3419">
        <w:t>’</w:t>
      </w:r>
      <w:r w:rsidR="00B56D0C" w:rsidRPr="00B56D0C">
        <w:t xml:space="preserve"> or </w:t>
      </w:r>
      <w:r w:rsidR="006D3419">
        <w:t>‘</w:t>
      </w:r>
      <w:r w:rsidR="00B56D0C" w:rsidRPr="00B56D0C">
        <w:t>important</w:t>
      </w:r>
      <w:r w:rsidR="006D3419">
        <w:t>’</w:t>
      </w:r>
      <w:r w:rsidRPr="00163DAF">
        <w:t xml:space="preserve"> by 97.</w:t>
      </w:r>
      <w:r w:rsidR="00163DAF" w:rsidRPr="00163DAF">
        <w:t>1</w:t>
      </w:r>
      <w:r w:rsidR="008746D5">
        <w:t xml:space="preserve"> per cent </w:t>
      </w:r>
      <w:r w:rsidR="00672EE8" w:rsidRPr="00163DAF">
        <w:t xml:space="preserve">of </w:t>
      </w:r>
      <w:r w:rsidR="00B56D0C" w:rsidRPr="00B56D0C">
        <w:t>undergraduate</w:t>
      </w:r>
      <w:r w:rsidR="00672EE8" w:rsidRPr="00163DAF">
        <w:t xml:space="preserve"> and 97.</w:t>
      </w:r>
      <w:r w:rsidR="00163DAF" w:rsidRPr="00163DAF">
        <w:t>7</w:t>
      </w:r>
      <w:r w:rsidR="008746D5">
        <w:t xml:space="preserve"> per cent </w:t>
      </w:r>
      <w:r w:rsidR="00672EE8" w:rsidRPr="00163DAF">
        <w:t>of postgraduate coursework students</w:t>
      </w:r>
      <w:r w:rsidR="00C1798C">
        <w:t xml:space="preserve"> (</w:t>
      </w:r>
      <w:r w:rsidR="00C1798C" w:rsidRPr="00C1798C">
        <w:rPr>
          <w:b/>
          <w:bCs/>
        </w:rPr>
        <w:fldChar w:fldCharType="begin"/>
      </w:r>
      <w:r w:rsidR="00C1798C" w:rsidRPr="00C1798C">
        <w:rPr>
          <w:b/>
          <w:bCs/>
        </w:rPr>
        <w:instrText xml:space="preserve"> REF _Ref171701519 \h </w:instrText>
      </w:r>
      <w:r w:rsidR="00C1798C">
        <w:rPr>
          <w:b/>
          <w:bCs/>
        </w:rPr>
        <w:instrText xml:space="preserve"> \* MERGEFORMAT </w:instrText>
      </w:r>
      <w:r w:rsidR="00C1798C" w:rsidRPr="00C1798C">
        <w:rPr>
          <w:b/>
          <w:bCs/>
        </w:rPr>
      </w:r>
      <w:r w:rsidR="00C1798C" w:rsidRPr="00C1798C">
        <w:rPr>
          <w:b/>
          <w:bCs/>
        </w:rPr>
        <w:fldChar w:fldCharType="separate"/>
      </w:r>
      <w:r w:rsidR="00F96AB4" w:rsidRPr="00F96AB4">
        <w:rPr>
          <w:b/>
          <w:bCs/>
        </w:rPr>
        <w:t xml:space="preserve">Figure </w:t>
      </w:r>
      <w:r w:rsidR="00F96AB4" w:rsidRPr="00F96AB4">
        <w:rPr>
          <w:b/>
          <w:bCs/>
          <w:noProof/>
        </w:rPr>
        <w:t>28</w:t>
      </w:r>
      <w:r w:rsidR="00C1798C" w:rsidRPr="00C1798C">
        <w:rPr>
          <w:b/>
          <w:bCs/>
        </w:rPr>
        <w:fldChar w:fldCharType="end"/>
      </w:r>
      <w:r w:rsidR="00C1798C">
        <w:t>)</w:t>
      </w:r>
      <w:r w:rsidR="00B56D0C" w:rsidRPr="00B56D0C">
        <w:t>. Other highly rated factors included</w:t>
      </w:r>
      <w:r w:rsidRPr="00862735">
        <w:t xml:space="preserve"> the cost of living, the reputation of Australia’s education system, the opportunity to study in an English-speaking country, </w:t>
      </w:r>
      <w:r w:rsidR="00672EE8" w:rsidRPr="00862735">
        <w:t>and the chance to experience a new culture</w:t>
      </w:r>
      <w:r w:rsidR="00B56D0C" w:rsidRPr="00B56D0C">
        <w:t xml:space="preserve"> and </w:t>
      </w:r>
      <w:r w:rsidR="00672EE8" w:rsidRPr="00862735">
        <w:t>lifestyle.</w:t>
      </w:r>
    </w:p>
    <w:p w14:paraId="1F5237A7" w14:textId="0FCE953A" w:rsidR="00CC582B" w:rsidRDefault="00CC582B" w:rsidP="00CC582B">
      <w:pPr>
        <w:pStyle w:val="Caption"/>
        <w:rPr>
          <w:color w:val="000000" w:themeColor="text1"/>
        </w:rPr>
      </w:pPr>
      <w:bookmarkStart w:id="127" w:name="_Ref171701519"/>
      <w:bookmarkStart w:id="128" w:name="_Toc206692327"/>
      <w:r w:rsidRPr="004042B0">
        <w:rPr>
          <w:color w:val="000000" w:themeColor="text1"/>
        </w:rPr>
        <w:t xml:space="preserve">Figure </w:t>
      </w:r>
      <w:r w:rsidR="001E216A" w:rsidRPr="004042B0">
        <w:rPr>
          <w:color w:val="000000" w:themeColor="text1"/>
        </w:rPr>
        <w:fldChar w:fldCharType="begin"/>
      </w:r>
      <w:r w:rsidR="001E216A" w:rsidRPr="004042B0">
        <w:rPr>
          <w:color w:val="000000" w:themeColor="text1"/>
        </w:rPr>
        <w:instrText xml:space="preserve"> SEQ Figure \* ARABIC </w:instrText>
      </w:r>
      <w:r w:rsidR="001E216A" w:rsidRPr="004042B0">
        <w:rPr>
          <w:color w:val="000000" w:themeColor="text1"/>
        </w:rPr>
        <w:fldChar w:fldCharType="separate"/>
      </w:r>
      <w:r w:rsidR="00F96AB4">
        <w:rPr>
          <w:noProof/>
          <w:color w:val="000000" w:themeColor="text1"/>
        </w:rPr>
        <w:t>28</w:t>
      </w:r>
      <w:r w:rsidR="001E216A" w:rsidRPr="004042B0">
        <w:rPr>
          <w:noProof/>
          <w:color w:val="000000" w:themeColor="text1"/>
        </w:rPr>
        <w:fldChar w:fldCharType="end"/>
      </w:r>
      <w:bookmarkEnd w:id="127"/>
      <w:r w:rsidRPr="004042B0">
        <w:rPr>
          <w:color w:val="000000" w:themeColor="text1"/>
        </w:rPr>
        <w:t xml:space="preserve"> </w:t>
      </w:r>
      <w:bookmarkStart w:id="129" w:name="OLE_LINK2"/>
      <w:r w:rsidRPr="004042B0">
        <w:rPr>
          <w:color w:val="000000" w:themeColor="text1"/>
        </w:rPr>
        <w:t>International student reasons for choosing to study in Australia by course level, 202</w:t>
      </w:r>
      <w:r w:rsidR="00B24915" w:rsidRPr="004042B0">
        <w:rPr>
          <w:color w:val="000000" w:themeColor="text1"/>
        </w:rPr>
        <w:t>4</w:t>
      </w:r>
      <w:r w:rsidRPr="004042B0">
        <w:rPr>
          <w:color w:val="000000" w:themeColor="text1"/>
        </w:rPr>
        <w:t xml:space="preserve"> (% importance rating)</w:t>
      </w:r>
      <w:bookmarkEnd w:id="128"/>
      <w:bookmarkEnd w:id="129"/>
    </w:p>
    <w:p w14:paraId="101949E5" w14:textId="067AF06A" w:rsidR="002A135C" w:rsidRPr="002A135C" w:rsidRDefault="002A135C" w:rsidP="002A135C">
      <w:pPr>
        <w:pStyle w:val="Body"/>
        <w:rPr>
          <w:lang w:eastAsia="en-AU"/>
        </w:rPr>
      </w:pPr>
      <w:r>
        <w:rPr>
          <w:noProof/>
          <w:lang w:eastAsia="en-AU"/>
        </w:rPr>
        <w:drawing>
          <wp:inline distT="0" distB="0" distL="0" distR="0" wp14:anchorId="3BCBB435" wp14:editId="117667DB">
            <wp:extent cx="9522460" cy="2761615"/>
            <wp:effectExtent l="0" t="0" r="2540" b="635"/>
            <wp:docPr id="11153091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2460" cy="2761615"/>
                    </a:xfrm>
                    <a:prstGeom prst="rect">
                      <a:avLst/>
                    </a:prstGeom>
                    <a:noFill/>
                  </pic:spPr>
                </pic:pic>
              </a:graphicData>
            </a:graphic>
          </wp:inline>
        </w:drawing>
      </w:r>
    </w:p>
    <w:p w14:paraId="6D733E09" w14:textId="33EEB685" w:rsidR="00D43CB9" w:rsidRDefault="00821227" w:rsidP="00821227">
      <w:pPr>
        <w:pStyle w:val="Body"/>
      </w:pPr>
      <w:r w:rsidRPr="00AA747A">
        <w:t xml:space="preserve">Personal safety and security was </w:t>
      </w:r>
      <w:r w:rsidR="001F04D2" w:rsidRPr="001F04D2">
        <w:t>identified as the most important factor influencing the decision to study in Australia</w:t>
      </w:r>
      <w:r w:rsidRPr="00AA747A">
        <w:t xml:space="preserve"> by </w:t>
      </w:r>
      <w:r w:rsidR="00D45A0D" w:rsidRPr="00AA747A">
        <w:t xml:space="preserve">undergraduate </w:t>
      </w:r>
      <w:r w:rsidR="00866A2C">
        <w:t>respondent</w:t>
      </w:r>
      <w:r w:rsidR="001F04D2" w:rsidRPr="001F04D2">
        <w:t>s</w:t>
      </w:r>
      <w:r w:rsidRPr="00AA747A">
        <w:t xml:space="preserve"> from all </w:t>
      </w:r>
      <w:r w:rsidR="00F320D0">
        <w:t>5</w:t>
      </w:r>
      <w:r w:rsidRPr="00AA747A">
        <w:t xml:space="preserve"> </w:t>
      </w:r>
      <w:r w:rsidR="001F04D2" w:rsidRPr="001F04D2">
        <w:t xml:space="preserve">of the </w:t>
      </w:r>
      <w:r w:rsidRPr="00AA747A">
        <w:t>top source countries</w:t>
      </w:r>
      <w:r w:rsidRPr="00AA747A" w:rsidDel="009D44E6">
        <w:t>,</w:t>
      </w:r>
      <w:r w:rsidRPr="00AA747A">
        <w:t xml:space="preserve"> as shown </w:t>
      </w:r>
      <w:r w:rsidR="00BE5E98">
        <w:t>in</w:t>
      </w:r>
      <w:r w:rsidR="004E5C54">
        <w:t xml:space="preserve"> </w:t>
      </w:r>
      <w:r w:rsidR="004E5C54" w:rsidRPr="004E5C54">
        <w:rPr>
          <w:b/>
          <w:bCs/>
        </w:rPr>
        <w:fldChar w:fldCharType="begin"/>
      </w:r>
      <w:r w:rsidR="004E5C54" w:rsidRPr="004E5C54">
        <w:rPr>
          <w:b/>
          <w:bCs/>
        </w:rPr>
        <w:instrText xml:space="preserve"> REF _Ref171701839 \h </w:instrText>
      </w:r>
      <w:r w:rsidR="004E5C54">
        <w:rPr>
          <w:b/>
          <w:bCs/>
        </w:rPr>
        <w:instrText xml:space="preserve"> \* MERGEFORMAT </w:instrText>
      </w:r>
      <w:r w:rsidR="004E5C54" w:rsidRPr="004E5C54">
        <w:rPr>
          <w:b/>
          <w:bCs/>
        </w:rPr>
      </w:r>
      <w:r w:rsidR="004E5C54" w:rsidRPr="004E5C54">
        <w:rPr>
          <w:b/>
          <w:bCs/>
        </w:rPr>
        <w:fldChar w:fldCharType="separate"/>
      </w:r>
      <w:r w:rsidR="00F96AB4" w:rsidRPr="00F96AB4">
        <w:rPr>
          <w:b/>
          <w:bCs/>
        </w:rPr>
        <w:t xml:space="preserve">Figure </w:t>
      </w:r>
      <w:r w:rsidR="00F96AB4" w:rsidRPr="00F96AB4">
        <w:rPr>
          <w:b/>
          <w:bCs/>
          <w:noProof/>
        </w:rPr>
        <w:t>29</w:t>
      </w:r>
      <w:r w:rsidR="004E5C54" w:rsidRPr="004E5C54">
        <w:rPr>
          <w:b/>
          <w:bCs/>
        </w:rPr>
        <w:fldChar w:fldCharType="end"/>
      </w:r>
      <w:r w:rsidRPr="00E85EE1">
        <w:t xml:space="preserve">. </w:t>
      </w:r>
      <w:r w:rsidR="00D43CB9" w:rsidRPr="00D43CB9">
        <w:t>While the importance of other factors varied across countries, the reputation of Australia’s education system and the cost of living were consistently rated as important.</w:t>
      </w:r>
      <w:r w:rsidR="00D43CB9">
        <w:t xml:space="preserve"> </w:t>
      </w:r>
    </w:p>
    <w:p w14:paraId="0355D533" w14:textId="77281772" w:rsidR="006A3544" w:rsidRDefault="00821227" w:rsidP="00821227">
      <w:pPr>
        <w:pStyle w:val="Body"/>
      </w:pPr>
      <w:r w:rsidRPr="009C4CDA">
        <w:t xml:space="preserve">There </w:t>
      </w:r>
      <w:r w:rsidR="003843DA" w:rsidRPr="003843DA">
        <w:t xml:space="preserve">were notable differences between </w:t>
      </w:r>
      <w:r w:rsidRPr="009C4CDA">
        <w:t>countries in the importance placed on having family and friends in Australia</w:t>
      </w:r>
      <w:r w:rsidR="003843DA" w:rsidRPr="003843DA">
        <w:t xml:space="preserve">. This factor was rated </w:t>
      </w:r>
      <w:r w:rsidR="007F782A">
        <w:t xml:space="preserve">lowest </w:t>
      </w:r>
      <w:r w:rsidR="003843DA" w:rsidRPr="003843DA">
        <w:t xml:space="preserve">by </w:t>
      </w:r>
      <w:r w:rsidR="006E4D29">
        <w:t>respondent</w:t>
      </w:r>
      <w:r w:rsidR="003843DA" w:rsidRPr="003843DA">
        <w:t>s</w:t>
      </w:r>
      <w:r w:rsidR="007F782A">
        <w:t xml:space="preserve"> from Malaysia</w:t>
      </w:r>
      <w:r w:rsidR="0005534C">
        <w:t xml:space="preserve"> (</w:t>
      </w:r>
      <w:r w:rsidR="00530CFB">
        <w:t>49.3 per cent)</w:t>
      </w:r>
      <w:r w:rsidR="007F782A">
        <w:t xml:space="preserve"> and </w:t>
      </w:r>
      <w:r w:rsidR="0005534C">
        <w:t>China</w:t>
      </w:r>
      <w:r w:rsidR="00530CFB">
        <w:t xml:space="preserve"> (</w:t>
      </w:r>
      <w:r w:rsidR="003843DA" w:rsidRPr="003843DA">
        <w:t>excluding SARs and Taiwan) (</w:t>
      </w:r>
      <w:r w:rsidR="00530CFB">
        <w:t>50.5 per cent</w:t>
      </w:r>
      <w:r w:rsidR="003843DA" w:rsidRPr="003843DA">
        <w:t>),</w:t>
      </w:r>
      <w:r w:rsidR="00530CFB">
        <w:t xml:space="preserve"> compared to </w:t>
      </w:r>
      <w:r w:rsidR="003843DA" w:rsidRPr="003843DA">
        <w:t>a much higher rating from students</w:t>
      </w:r>
      <w:r w:rsidR="00530CFB">
        <w:t xml:space="preserve"> from </w:t>
      </w:r>
      <w:r w:rsidR="000D797F">
        <w:t xml:space="preserve">Nepal </w:t>
      </w:r>
      <w:r w:rsidR="003843DA" w:rsidRPr="003843DA">
        <w:t>(</w:t>
      </w:r>
      <w:r w:rsidR="00AD4AD5">
        <w:t>84.3 per cent</w:t>
      </w:r>
      <w:r w:rsidR="003843DA" w:rsidRPr="003843DA">
        <w:t>). Similarly, views on</w:t>
      </w:r>
      <w:r w:rsidR="006051BE">
        <w:t xml:space="preserve"> the ability to work part-time </w:t>
      </w:r>
      <w:r w:rsidR="003843DA" w:rsidRPr="003843DA">
        <w:t>varied significantly:</w:t>
      </w:r>
      <w:r w:rsidR="006051BE">
        <w:t xml:space="preserve"> </w:t>
      </w:r>
      <w:r w:rsidR="00F12478">
        <w:t xml:space="preserve">only 65.0 per cent of </w:t>
      </w:r>
      <w:r w:rsidR="003843DA" w:rsidRPr="003843DA">
        <w:t>undergraduate</w:t>
      </w:r>
      <w:r w:rsidR="00D61FE5">
        <w:t xml:space="preserve"> respondents</w:t>
      </w:r>
      <w:r w:rsidR="00F12478">
        <w:t xml:space="preserve"> from China </w:t>
      </w:r>
      <w:r w:rsidR="003843DA" w:rsidRPr="003843DA">
        <w:t>(excluding SARs and Taiwan) considered it highly important,</w:t>
      </w:r>
      <w:r w:rsidR="00F94441">
        <w:t xml:space="preserve"> compared </w:t>
      </w:r>
      <w:r w:rsidR="003843DA" w:rsidRPr="003843DA">
        <w:t xml:space="preserve">to </w:t>
      </w:r>
      <w:r w:rsidR="009E19AA">
        <w:t>96.1 per cent from Nepal and 89.3 per cent from India.</w:t>
      </w:r>
      <w:r w:rsidRPr="009C4CDA">
        <w:t xml:space="preserve"> </w:t>
      </w:r>
    </w:p>
    <w:p w14:paraId="7A0DFD0B" w14:textId="53F83E00" w:rsidR="00A740FD" w:rsidRDefault="00C12735" w:rsidP="00821227">
      <w:pPr>
        <w:pStyle w:val="Body"/>
      </w:pPr>
      <w:r w:rsidRPr="00C12735">
        <w:t xml:space="preserve">A similar </w:t>
      </w:r>
      <w:r w:rsidR="005F1C9D">
        <w:t xml:space="preserve">pattern was </w:t>
      </w:r>
      <w:r w:rsidRPr="00C12735">
        <w:t>observed among</w:t>
      </w:r>
      <w:r w:rsidR="005F1C9D">
        <w:t xml:space="preserve"> postgraduate coursework students</w:t>
      </w:r>
      <w:r w:rsidRPr="00C12735">
        <w:t>. The greatest variation</w:t>
      </w:r>
      <w:r w:rsidR="005F1C9D">
        <w:t xml:space="preserve"> between countries </w:t>
      </w:r>
      <w:r w:rsidR="002230BB">
        <w:t>was</w:t>
      </w:r>
      <w:r w:rsidR="005F1C9D">
        <w:t xml:space="preserve"> </w:t>
      </w:r>
      <w:r w:rsidRPr="00C12735">
        <w:t xml:space="preserve">again </w:t>
      </w:r>
      <w:r w:rsidR="005F1C9D">
        <w:t xml:space="preserve">in the </w:t>
      </w:r>
      <w:r w:rsidRPr="00C12735">
        <w:t xml:space="preserve">importance </w:t>
      </w:r>
      <w:r w:rsidR="005F1C9D">
        <w:t xml:space="preserve">of </w:t>
      </w:r>
      <w:r w:rsidR="00C254E7">
        <w:t>having friends and family in Australia</w:t>
      </w:r>
      <w:r w:rsidRPr="00C12735">
        <w:t xml:space="preserve">, </w:t>
      </w:r>
      <w:r w:rsidR="00C254E7">
        <w:t xml:space="preserve">with a 43.3 percentage point </w:t>
      </w:r>
      <w:r w:rsidRPr="00C12735">
        <w:t>gap</w:t>
      </w:r>
      <w:r w:rsidR="00C254E7">
        <w:t xml:space="preserve"> between </w:t>
      </w:r>
      <w:r w:rsidR="005B77B7">
        <w:t>respondent</w:t>
      </w:r>
      <w:r w:rsidRPr="00C12735">
        <w:t>s</w:t>
      </w:r>
      <w:r w:rsidR="001875FF">
        <w:t xml:space="preserve"> from China (excluding SARs and Taiwan) </w:t>
      </w:r>
      <w:r w:rsidRPr="00C12735">
        <w:t>(</w:t>
      </w:r>
      <w:r w:rsidR="001875FF">
        <w:t>42</w:t>
      </w:r>
      <w:r w:rsidR="00FE1648">
        <w:t>.2 per cent</w:t>
      </w:r>
      <w:r w:rsidRPr="00C12735">
        <w:t>) and those from Bhutan (</w:t>
      </w:r>
      <w:r w:rsidR="002230BB">
        <w:t xml:space="preserve">85.5 per cent). </w:t>
      </w:r>
      <w:r w:rsidR="003F380C">
        <w:t xml:space="preserve">The possibility of migrating to Australia was </w:t>
      </w:r>
      <w:r w:rsidRPr="00C12735">
        <w:t>rated as important by 91.3 per cent of</w:t>
      </w:r>
      <w:r w:rsidR="003F380C">
        <w:t xml:space="preserve"> </w:t>
      </w:r>
      <w:r w:rsidR="0002327F">
        <w:t xml:space="preserve">students from the Philippines, </w:t>
      </w:r>
      <w:r w:rsidRPr="00C12735">
        <w:t xml:space="preserve">compared to just 53.8 per cent of students from </w:t>
      </w:r>
      <w:r w:rsidR="000C1B94">
        <w:lastRenderedPageBreak/>
        <w:t>China (excluding SARs and Taiwan</w:t>
      </w:r>
      <w:r w:rsidRPr="00C12735">
        <w:t>).</w:t>
      </w:r>
      <w:r w:rsidR="000C1B94">
        <w:t xml:space="preserve"> </w:t>
      </w:r>
      <w:r w:rsidR="00DF1818">
        <w:t xml:space="preserve">The ability to work part-time also </w:t>
      </w:r>
      <w:r w:rsidRPr="00C12735">
        <w:t>showed</w:t>
      </w:r>
      <w:r w:rsidR="00A43C1B">
        <w:t xml:space="preserve"> wide variation</w:t>
      </w:r>
      <w:r w:rsidRPr="00C12735">
        <w:t xml:space="preserve">, with </w:t>
      </w:r>
      <w:r w:rsidR="001F0B72">
        <w:t>96.8 per cent</w:t>
      </w:r>
      <w:r w:rsidRPr="00C12735">
        <w:t xml:space="preserve"> of students from Nepal and </w:t>
      </w:r>
      <w:r w:rsidR="004F4730">
        <w:t>96.1 per cent</w:t>
      </w:r>
      <w:r w:rsidRPr="00C12735">
        <w:t xml:space="preserve"> from Bhutan</w:t>
      </w:r>
      <w:r w:rsidR="004F4730">
        <w:t xml:space="preserve"> rating </w:t>
      </w:r>
      <w:r w:rsidRPr="00C12735">
        <w:t>it</w:t>
      </w:r>
      <w:r w:rsidR="004F4730">
        <w:t xml:space="preserve"> as important, compared to </w:t>
      </w:r>
      <w:r w:rsidRPr="00C12735">
        <w:t xml:space="preserve">only </w:t>
      </w:r>
      <w:r w:rsidR="004F4730">
        <w:t xml:space="preserve">61.8 per cent </w:t>
      </w:r>
      <w:r w:rsidRPr="00C12735">
        <w:t>of</w:t>
      </w:r>
      <w:r w:rsidR="00F1512E">
        <w:t xml:space="preserve"> students from China (excluding SARs and Taiwan)</w:t>
      </w:r>
      <w:r>
        <w:t>.</w:t>
      </w:r>
    </w:p>
    <w:p w14:paraId="129D0F66" w14:textId="44D3A554" w:rsidR="00D27EF1" w:rsidRDefault="00D27EF1" w:rsidP="00D27EF1">
      <w:pPr>
        <w:pStyle w:val="Caption"/>
        <w:rPr>
          <w:color w:val="000000" w:themeColor="text1"/>
        </w:rPr>
      </w:pPr>
      <w:bookmarkStart w:id="130" w:name="_Ref171701839"/>
      <w:bookmarkStart w:id="131" w:name="_Toc206692328"/>
      <w:r w:rsidRPr="004042B0">
        <w:rPr>
          <w:color w:val="000000" w:themeColor="text1"/>
        </w:rPr>
        <w:t xml:space="preserve">Figure </w:t>
      </w:r>
      <w:r w:rsidR="001E216A" w:rsidRPr="004042B0">
        <w:rPr>
          <w:color w:val="000000" w:themeColor="text1"/>
        </w:rPr>
        <w:fldChar w:fldCharType="begin"/>
      </w:r>
      <w:r w:rsidR="001E216A" w:rsidRPr="004042B0">
        <w:rPr>
          <w:color w:val="000000" w:themeColor="text1"/>
        </w:rPr>
        <w:instrText xml:space="preserve"> SEQ Figure \* ARABIC </w:instrText>
      </w:r>
      <w:r w:rsidR="001E216A" w:rsidRPr="004042B0">
        <w:rPr>
          <w:color w:val="000000" w:themeColor="text1"/>
        </w:rPr>
        <w:fldChar w:fldCharType="separate"/>
      </w:r>
      <w:r w:rsidR="00F96AB4">
        <w:rPr>
          <w:noProof/>
          <w:color w:val="000000" w:themeColor="text1"/>
        </w:rPr>
        <w:t>29</w:t>
      </w:r>
      <w:r w:rsidR="001E216A" w:rsidRPr="004042B0">
        <w:rPr>
          <w:noProof/>
          <w:color w:val="000000" w:themeColor="text1"/>
        </w:rPr>
        <w:fldChar w:fldCharType="end"/>
      </w:r>
      <w:bookmarkEnd w:id="130"/>
      <w:r w:rsidRPr="004042B0">
        <w:rPr>
          <w:color w:val="000000" w:themeColor="text1"/>
        </w:rPr>
        <w:t xml:space="preserve"> International student reasons for choosing to study in Australia by source countr</w:t>
      </w:r>
      <w:r w:rsidR="009F41B5" w:rsidRPr="004042B0">
        <w:rPr>
          <w:color w:val="000000" w:themeColor="text1"/>
        </w:rPr>
        <w:t>y</w:t>
      </w:r>
      <w:r w:rsidRPr="004042B0">
        <w:rPr>
          <w:color w:val="000000" w:themeColor="text1"/>
        </w:rPr>
        <w:t>, 202</w:t>
      </w:r>
      <w:r w:rsidR="00E26025" w:rsidRPr="004042B0">
        <w:rPr>
          <w:color w:val="000000" w:themeColor="text1"/>
        </w:rPr>
        <w:t>4</w:t>
      </w:r>
      <w:r w:rsidRPr="004042B0">
        <w:rPr>
          <w:color w:val="000000" w:themeColor="text1"/>
        </w:rPr>
        <w:t xml:space="preserve"> (% importance rating)</w:t>
      </w:r>
      <w:bookmarkEnd w:id="131"/>
    </w:p>
    <w:p w14:paraId="408A8C2C" w14:textId="4EC1A563" w:rsidR="002A135C" w:rsidRPr="002A135C" w:rsidRDefault="002A135C" w:rsidP="002A135C">
      <w:pPr>
        <w:pStyle w:val="Body"/>
        <w:rPr>
          <w:lang w:eastAsia="en-AU"/>
        </w:rPr>
      </w:pPr>
      <w:r>
        <w:rPr>
          <w:noProof/>
          <w:lang w:eastAsia="en-AU"/>
        </w:rPr>
        <w:drawing>
          <wp:inline distT="0" distB="0" distL="0" distR="0" wp14:anchorId="3D491348" wp14:editId="7F933E15">
            <wp:extent cx="9522460" cy="2212975"/>
            <wp:effectExtent l="0" t="0" r="2540" b="0"/>
            <wp:docPr id="18662571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2460" cy="2212975"/>
                    </a:xfrm>
                    <a:prstGeom prst="rect">
                      <a:avLst/>
                    </a:prstGeom>
                    <a:noFill/>
                  </pic:spPr>
                </pic:pic>
              </a:graphicData>
            </a:graphic>
          </wp:inline>
        </w:drawing>
      </w:r>
    </w:p>
    <w:p w14:paraId="1E8D1B94" w14:textId="4A44B562" w:rsidR="00821227" w:rsidRDefault="002A135C" w:rsidP="00821227">
      <w:pPr>
        <w:pStyle w:val="Body"/>
        <w:rPr>
          <w:highlight w:val="yellow"/>
          <w:lang w:eastAsia="en-AU"/>
        </w:rPr>
      </w:pPr>
      <w:r>
        <w:rPr>
          <w:noProof/>
          <w:highlight w:val="yellow"/>
          <w:lang w:eastAsia="en-AU"/>
        </w:rPr>
        <w:drawing>
          <wp:inline distT="0" distB="0" distL="0" distR="0" wp14:anchorId="42104121" wp14:editId="40990AEB">
            <wp:extent cx="9522460" cy="2212975"/>
            <wp:effectExtent l="0" t="0" r="2540" b="0"/>
            <wp:docPr id="190524708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2460" cy="2212975"/>
                    </a:xfrm>
                    <a:prstGeom prst="rect">
                      <a:avLst/>
                    </a:prstGeom>
                    <a:noFill/>
                  </pic:spPr>
                </pic:pic>
              </a:graphicData>
            </a:graphic>
          </wp:inline>
        </w:drawing>
      </w:r>
    </w:p>
    <w:p w14:paraId="30ABEE43" w14:textId="387DBD7C" w:rsidR="002A135C" w:rsidRDefault="009F41B5" w:rsidP="00E64846">
      <w:pPr>
        <w:rPr>
          <w:rFonts w:eastAsia="Calibri"/>
          <w:sz w:val="16"/>
          <w:szCs w:val="22"/>
        </w:rPr>
      </w:pPr>
      <w:r>
        <w:rPr>
          <w:rFonts w:eastAsia="Calibri" w:cs="Times New Roman"/>
          <w:sz w:val="16"/>
          <w:szCs w:val="22"/>
          <w:lang w:val="en-GB"/>
        </w:rPr>
        <w:t xml:space="preserve">Note: </w:t>
      </w:r>
      <w:r w:rsidRPr="00016C8B">
        <w:rPr>
          <w:rFonts w:eastAsia="Calibri" w:cs="Times New Roman"/>
          <w:sz w:val="16"/>
          <w:szCs w:val="22"/>
          <w:lang w:val="en-GB"/>
        </w:rPr>
        <w:t xml:space="preserve">Source country in 2024 </w:t>
      </w:r>
      <w:r>
        <w:rPr>
          <w:rFonts w:eastAsia="Calibri" w:cs="Times New Roman"/>
          <w:sz w:val="16"/>
          <w:szCs w:val="22"/>
          <w:lang w:val="en-GB"/>
        </w:rPr>
        <w:t>wa</w:t>
      </w:r>
      <w:r w:rsidRPr="00016C8B">
        <w:rPr>
          <w:rFonts w:eastAsia="Calibri" w:cs="Times New Roman"/>
          <w:sz w:val="16"/>
          <w:szCs w:val="22"/>
          <w:lang w:val="en-GB"/>
        </w:rPr>
        <w:t>s based on E658 Residential address country code</w:t>
      </w:r>
      <w:r>
        <w:rPr>
          <w:rFonts w:eastAsia="Calibri" w:cs="Times New Roman"/>
          <w:sz w:val="16"/>
          <w:szCs w:val="22"/>
          <w:lang w:val="en-GB"/>
        </w:rPr>
        <w:t>.</w:t>
      </w:r>
      <w:r w:rsidRPr="009F41B5">
        <w:rPr>
          <w:rFonts w:ascii="Segoe UI" w:hAnsi="Segoe UI" w:cs="Segoe UI"/>
          <w:color w:val="424242"/>
          <w:shd w:val="clear" w:color="auto" w:fill="FAFAFA"/>
        </w:rPr>
        <w:t xml:space="preserve"> </w:t>
      </w:r>
      <w:r w:rsidRPr="009F41B5">
        <w:rPr>
          <w:rFonts w:eastAsia="Calibri"/>
          <w:sz w:val="16"/>
          <w:szCs w:val="22"/>
        </w:rPr>
        <w:t xml:space="preserve">Source countries shown in this figure represent the top </w:t>
      </w:r>
      <w:r w:rsidR="00F320D0">
        <w:rPr>
          <w:rFonts w:eastAsia="Calibri"/>
          <w:sz w:val="16"/>
          <w:szCs w:val="22"/>
        </w:rPr>
        <w:t>5</w:t>
      </w:r>
      <w:r w:rsidRPr="009F41B5">
        <w:rPr>
          <w:rFonts w:eastAsia="Calibri"/>
          <w:sz w:val="16"/>
          <w:szCs w:val="22"/>
        </w:rPr>
        <w:t xml:space="preserve"> by number of survey respondents, ordered from left to right from largest to smallest.</w:t>
      </w:r>
    </w:p>
    <w:p w14:paraId="4ADB1A49" w14:textId="77777777" w:rsidR="002A135C" w:rsidRDefault="002A135C">
      <w:pPr>
        <w:spacing w:after="160" w:line="259" w:lineRule="auto"/>
        <w:rPr>
          <w:rFonts w:eastAsia="Calibri"/>
          <w:sz w:val="16"/>
          <w:szCs w:val="22"/>
        </w:rPr>
      </w:pPr>
      <w:r>
        <w:rPr>
          <w:rFonts w:eastAsia="Calibri"/>
          <w:sz w:val="16"/>
          <w:szCs w:val="22"/>
        </w:rPr>
        <w:br w:type="page"/>
      </w:r>
    </w:p>
    <w:p w14:paraId="12AE018A" w14:textId="77777777" w:rsidR="009F41B5" w:rsidRPr="009F41B5" w:rsidRDefault="009F41B5" w:rsidP="00E64846">
      <w:pPr>
        <w:rPr>
          <w:highlight w:val="yellow"/>
          <w:lang w:eastAsia="en-AU"/>
        </w:rPr>
      </w:pPr>
    </w:p>
    <w:p w14:paraId="2667CB71" w14:textId="77777777" w:rsidR="00821227" w:rsidRPr="004042B0" w:rsidRDefault="00821227" w:rsidP="00CC582B">
      <w:pPr>
        <w:pStyle w:val="Heading2"/>
        <w:rPr>
          <w:color w:val="000000" w:themeColor="text1"/>
        </w:rPr>
      </w:pPr>
      <w:bookmarkStart w:id="132" w:name="_Toc206692284"/>
      <w:r w:rsidRPr="004042B0">
        <w:rPr>
          <w:color w:val="000000" w:themeColor="text1"/>
        </w:rPr>
        <w:t>Reasons for choosing to study at current institution</w:t>
      </w:r>
      <w:bookmarkEnd w:id="132"/>
    </w:p>
    <w:p w14:paraId="5EABE5BF" w14:textId="054DF59C" w:rsidR="00687A54" w:rsidRPr="004042B0" w:rsidRDefault="00D45A0D" w:rsidP="00D45A0D">
      <w:pPr>
        <w:pStyle w:val="Body"/>
        <w:rPr>
          <w:color w:val="000000" w:themeColor="text1"/>
        </w:rPr>
      </w:pPr>
      <w:r w:rsidRPr="004042B0">
        <w:rPr>
          <w:color w:val="000000" w:themeColor="text1"/>
        </w:rPr>
        <w:t xml:space="preserve">International students studying in Australia were asked to rate </w:t>
      </w:r>
      <w:r w:rsidR="009C5265" w:rsidRPr="004042B0">
        <w:rPr>
          <w:color w:val="000000" w:themeColor="text1"/>
        </w:rPr>
        <w:t>the importance</w:t>
      </w:r>
      <w:r w:rsidRPr="004042B0">
        <w:rPr>
          <w:color w:val="000000" w:themeColor="text1"/>
        </w:rPr>
        <w:t xml:space="preserve"> of </w:t>
      </w:r>
      <w:r w:rsidR="009C5265" w:rsidRPr="004042B0">
        <w:rPr>
          <w:color w:val="000000" w:themeColor="text1"/>
        </w:rPr>
        <w:t>various factors</w:t>
      </w:r>
      <w:r w:rsidRPr="004042B0">
        <w:rPr>
          <w:color w:val="000000" w:themeColor="text1"/>
        </w:rPr>
        <w:t xml:space="preserve"> in their decision to apply to their current institution. As shown in</w:t>
      </w:r>
      <w:r w:rsidR="004E5C54" w:rsidRPr="004042B0">
        <w:rPr>
          <w:color w:val="000000" w:themeColor="text1"/>
        </w:rPr>
        <w:t xml:space="preserve"> </w:t>
      </w:r>
      <w:r w:rsidR="004E5C54" w:rsidRPr="004042B0">
        <w:rPr>
          <w:b/>
          <w:bCs/>
          <w:color w:val="000000" w:themeColor="text1"/>
        </w:rPr>
        <w:fldChar w:fldCharType="begin"/>
      </w:r>
      <w:r w:rsidR="004E5C54" w:rsidRPr="004042B0">
        <w:rPr>
          <w:b/>
          <w:bCs/>
          <w:color w:val="000000" w:themeColor="text1"/>
        </w:rPr>
        <w:instrText xml:space="preserve"> REF _Ref171702208 \h  \* MERGEFORMAT </w:instrText>
      </w:r>
      <w:r w:rsidR="004E5C54" w:rsidRPr="004042B0">
        <w:rPr>
          <w:b/>
          <w:bCs/>
          <w:color w:val="000000" w:themeColor="text1"/>
        </w:rPr>
      </w:r>
      <w:r w:rsidR="004E5C54" w:rsidRPr="004042B0">
        <w:rPr>
          <w:b/>
          <w:bCs/>
          <w:color w:val="000000" w:themeColor="text1"/>
        </w:rPr>
        <w:fldChar w:fldCharType="separate"/>
      </w:r>
      <w:r w:rsidR="00F96AB4" w:rsidRPr="00F96AB4">
        <w:rPr>
          <w:b/>
          <w:bCs/>
          <w:color w:val="000000" w:themeColor="text1"/>
        </w:rPr>
        <w:t xml:space="preserve">Figure </w:t>
      </w:r>
      <w:r w:rsidR="00F96AB4" w:rsidRPr="00F96AB4">
        <w:rPr>
          <w:b/>
          <w:bCs/>
          <w:noProof/>
          <w:color w:val="000000" w:themeColor="text1"/>
        </w:rPr>
        <w:t>30</w:t>
      </w:r>
      <w:r w:rsidR="004E5C54" w:rsidRPr="004042B0">
        <w:rPr>
          <w:b/>
          <w:bCs/>
          <w:color w:val="000000" w:themeColor="text1"/>
        </w:rPr>
        <w:fldChar w:fldCharType="end"/>
      </w:r>
      <w:r w:rsidRPr="004042B0">
        <w:rPr>
          <w:b/>
          <w:color w:val="000000" w:themeColor="text1"/>
        </w:rPr>
        <w:t>,</w:t>
      </w:r>
      <w:r w:rsidRPr="004042B0">
        <w:rPr>
          <w:color w:val="000000" w:themeColor="text1"/>
        </w:rPr>
        <w:t xml:space="preserve"> </w:t>
      </w:r>
      <w:r w:rsidR="001B03C8" w:rsidRPr="004042B0">
        <w:rPr>
          <w:color w:val="000000" w:themeColor="text1"/>
        </w:rPr>
        <w:t>the</w:t>
      </w:r>
      <w:r w:rsidRPr="004042B0">
        <w:rPr>
          <w:color w:val="000000" w:themeColor="text1"/>
        </w:rPr>
        <w:t xml:space="preserve"> most important reasons </w:t>
      </w:r>
      <w:r w:rsidR="001B03C8" w:rsidRPr="004042B0">
        <w:rPr>
          <w:color w:val="000000" w:themeColor="text1"/>
        </w:rPr>
        <w:t>cited included the</w:t>
      </w:r>
      <w:r w:rsidRPr="004042B0">
        <w:rPr>
          <w:color w:val="000000" w:themeColor="text1"/>
        </w:rPr>
        <w:t xml:space="preserve"> institution offering the </w:t>
      </w:r>
      <w:r w:rsidR="001B03C8" w:rsidRPr="004042B0">
        <w:rPr>
          <w:color w:val="000000" w:themeColor="text1"/>
        </w:rPr>
        <w:t xml:space="preserve">desired </w:t>
      </w:r>
      <w:r w:rsidRPr="004042B0">
        <w:rPr>
          <w:color w:val="000000" w:themeColor="text1"/>
        </w:rPr>
        <w:t>course</w:t>
      </w:r>
      <w:r w:rsidR="00B03318" w:rsidRPr="004042B0">
        <w:rPr>
          <w:color w:val="000000" w:themeColor="text1"/>
        </w:rPr>
        <w:t>,</w:t>
      </w:r>
      <w:r w:rsidRPr="004042B0">
        <w:rPr>
          <w:color w:val="000000" w:themeColor="text1"/>
        </w:rPr>
        <w:t xml:space="preserve"> the reputation of the qualification, </w:t>
      </w:r>
      <w:r w:rsidR="00B03318" w:rsidRPr="004042B0">
        <w:rPr>
          <w:color w:val="000000" w:themeColor="text1"/>
        </w:rPr>
        <w:t xml:space="preserve">employment opportunities after </w:t>
      </w:r>
      <w:r w:rsidR="001B03C8" w:rsidRPr="004042B0">
        <w:rPr>
          <w:color w:val="000000" w:themeColor="text1"/>
        </w:rPr>
        <w:t>graduation,</w:t>
      </w:r>
      <w:r w:rsidR="00B03318" w:rsidRPr="004042B0">
        <w:rPr>
          <w:color w:val="000000" w:themeColor="text1"/>
        </w:rPr>
        <w:t xml:space="preserve"> and the reputation of the education provider</w:t>
      </w:r>
      <w:r w:rsidR="001B03C8" w:rsidRPr="004042B0">
        <w:rPr>
          <w:color w:val="000000" w:themeColor="text1"/>
        </w:rPr>
        <w:t>. Each</w:t>
      </w:r>
      <w:r w:rsidR="00B03318" w:rsidRPr="004042B0">
        <w:rPr>
          <w:color w:val="000000" w:themeColor="text1"/>
        </w:rPr>
        <w:t xml:space="preserve"> of </w:t>
      </w:r>
      <w:r w:rsidR="001B03C8" w:rsidRPr="004042B0">
        <w:rPr>
          <w:color w:val="000000" w:themeColor="text1"/>
        </w:rPr>
        <w:t>these factors was</w:t>
      </w:r>
      <w:r w:rsidRPr="004042B0">
        <w:rPr>
          <w:color w:val="000000" w:themeColor="text1"/>
        </w:rPr>
        <w:t xml:space="preserve"> rated as </w:t>
      </w:r>
      <w:r w:rsidR="001B03C8" w:rsidRPr="004042B0">
        <w:rPr>
          <w:color w:val="000000" w:themeColor="text1"/>
        </w:rPr>
        <w:t xml:space="preserve">either </w:t>
      </w:r>
      <w:r w:rsidRPr="004042B0">
        <w:rPr>
          <w:color w:val="000000" w:themeColor="text1"/>
        </w:rPr>
        <w:t xml:space="preserve">extremely important or important by </w:t>
      </w:r>
      <w:r w:rsidR="00B03318" w:rsidRPr="004042B0">
        <w:rPr>
          <w:color w:val="000000" w:themeColor="text1"/>
        </w:rPr>
        <w:t>at least 95</w:t>
      </w:r>
      <w:r w:rsidRPr="004042B0">
        <w:rPr>
          <w:color w:val="000000" w:themeColor="text1"/>
        </w:rPr>
        <w:t xml:space="preserve"> per cent </w:t>
      </w:r>
      <w:r w:rsidR="00B03318" w:rsidRPr="004042B0">
        <w:rPr>
          <w:color w:val="000000" w:themeColor="text1"/>
        </w:rPr>
        <w:t xml:space="preserve">of students at both </w:t>
      </w:r>
      <w:r w:rsidR="001B03C8" w:rsidRPr="004042B0">
        <w:rPr>
          <w:color w:val="000000" w:themeColor="text1"/>
        </w:rPr>
        <w:t>undergraduate and postgraduate coursework</w:t>
      </w:r>
      <w:r w:rsidR="00B03318" w:rsidRPr="004042B0">
        <w:rPr>
          <w:color w:val="000000" w:themeColor="text1"/>
        </w:rPr>
        <w:t xml:space="preserve"> levels</w:t>
      </w:r>
      <w:r w:rsidRPr="004042B0">
        <w:rPr>
          <w:color w:val="000000" w:themeColor="text1"/>
        </w:rPr>
        <w:t xml:space="preserve">. </w:t>
      </w:r>
      <w:r w:rsidR="00B03318" w:rsidRPr="004042B0">
        <w:rPr>
          <w:color w:val="000000" w:themeColor="text1"/>
        </w:rPr>
        <w:t xml:space="preserve">The least important </w:t>
      </w:r>
      <w:r w:rsidR="001B03C8" w:rsidRPr="004042B0">
        <w:rPr>
          <w:color w:val="000000" w:themeColor="text1"/>
        </w:rPr>
        <w:t>factor was whether</w:t>
      </w:r>
      <w:r w:rsidR="00B03318" w:rsidRPr="004042B0">
        <w:rPr>
          <w:color w:val="000000" w:themeColor="text1"/>
        </w:rPr>
        <w:t xml:space="preserve"> the institution had a partnership with the student’s local institution</w:t>
      </w:r>
      <w:r w:rsidRPr="004042B0">
        <w:rPr>
          <w:color w:val="000000" w:themeColor="text1"/>
        </w:rPr>
        <w:t xml:space="preserve">, </w:t>
      </w:r>
      <w:r w:rsidR="001B03C8" w:rsidRPr="004042B0">
        <w:rPr>
          <w:color w:val="000000" w:themeColor="text1"/>
        </w:rPr>
        <w:t>with only</w:t>
      </w:r>
      <w:r w:rsidR="00B03318" w:rsidRPr="004042B0">
        <w:rPr>
          <w:color w:val="000000" w:themeColor="text1"/>
        </w:rPr>
        <w:t xml:space="preserve"> </w:t>
      </w:r>
      <w:r w:rsidR="00A80A4F" w:rsidRPr="004042B0">
        <w:rPr>
          <w:color w:val="000000" w:themeColor="text1"/>
        </w:rPr>
        <w:t>66.9</w:t>
      </w:r>
      <w:r w:rsidR="00B03318" w:rsidRPr="004042B0">
        <w:rPr>
          <w:color w:val="000000" w:themeColor="text1"/>
        </w:rPr>
        <w:t xml:space="preserve"> per cent of international undergraduates and </w:t>
      </w:r>
      <w:r w:rsidR="00A80A4F" w:rsidRPr="004042B0">
        <w:rPr>
          <w:color w:val="000000" w:themeColor="text1"/>
        </w:rPr>
        <w:t>63.8</w:t>
      </w:r>
      <w:r w:rsidR="00B03318" w:rsidRPr="004042B0">
        <w:rPr>
          <w:color w:val="000000" w:themeColor="text1"/>
        </w:rPr>
        <w:t xml:space="preserve"> per cent of postgraduate coursework students</w:t>
      </w:r>
      <w:r w:rsidR="001B03C8" w:rsidRPr="004042B0">
        <w:rPr>
          <w:color w:val="000000" w:themeColor="text1"/>
        </w:rPr>
        <w:t xml:space="preserve"> rating it as important</w:t>
      </w:r>
      <w:r w:rsidR="00B03318" w:rsidRPr="004042B0">
        <w:rPr>
          <w:color w:val="000000" w:themeColor="text1"/>
        </w:rPr>
        <w:t>.</w:t>
      </w:r>
      <w:r w:rsidRPr="004042B0">
        <w:rPr>
          <w:color w:val="000000" w:themeColor="text1"/>
        </w:rPr>
        <w:t xml:space="preserve"> </w:t>
      </w:r>
    </w:p>
    <w:p w14:paraId="217D0608" w14:textId="217ECCF7" w:rsidR="00CC582B" w:rsidRDefault="00CC582B" w:rsidP="00CC582B">
      <w:pPr>
        <w:pStyle w:val="Caption"/>
        <w:rPr>
          <w:color w:val="000000" w:themeColor="text1"/>
        </w:rPr>
      </w:pPr>
      <w:bookmarkStart w:id="133" w:name="_Ref171702208"/>
      <w:bookmarkStart w:id="134" w:name="_Toc206692329"/>
      <w:r w:rsidRPr="004042B0">
        <w:rPr>
          <w:color w:val="000000" w:themeColor="text1"/>
        </w:rPr>
        <w:t xml:space="preserve">Figure </w:t>
      </w:r>
      <w:r w:rsidR="001E216A" w:rsidRPr="004042B0">
        <w:rPr>
          <w:color w:val="000000" w:themeColor="text1"/>
        </w:rPr>
        <w:fldChar w:fldCharType="begin"/>
      </w:r>
      <w:r w:rsidR="001E216A" w:rsidRPr="004042B0">
        <w:rPr>
          <w:color w:val="000000" w:themeColor="text1"/>
        </w:rPr>
        <w:instrText xml:space="preserve"> SEQ Figure \* ARABIC </w:instrText>
      </w:r>
      <w:r w:rsidR="001E216A" w:rsidRPr="004042B0">
        <w:rPr>
          <w:color w:val="000000" w:themeColor="text1"/>
        </w:rPr>
        <w:fldChar w:fldCharType="separate"/>
      </w:r>
      <w:r w:rsidR="00F96AB4">
        <w:rPr>
          <w:noProof/>
          <w:color w:val="000000" w:themeColor="text1"/>
        </w:rPr>
        <w:t>30</w:t>
      </w:r>
      <w:r w:rsidR="001E216A" w:rsidRPr="004042B0">
        <w:rPr>
          <w:noProof/>
          <w:color w:val="000000" w:themeColor="text1"/>
        </w:rPr>
        <w:fldChar w:fldCharType="end"/>
      </w:r>
      <w:bookmarkEnd w:id="133"/>
      <w:r w:rsidRPr="004042B0">
        <w:rPr>
          <w:color w:val="000000" w:themeColor="text1"/>
        </w:rPr>
        <w:t xml:space="preserve"> International student reasons for choosing current institution by course level, 202</w:t>
      </w:r>
      <w:r w:rsidR="002C31AA" w:rsidRPr="004042B0">
        <w:rPr>
          <w:color w:val="000000" w:themeColor="text1"/>
        </w:rPr>
        <w:t>4</w:t>
      </w:r>
      <w:r w:rsidRPr="004042B0">
        <w:rPr>
          <w:color w:val="000000" w:themeColor="text1"/>
        </w:rPr>
        <w:t xml:space="preserve"> (% importance rating)</w:t>
      </w:r>
      <w:bookmarkEnd w:id="134"/>
    </w:p>
    <w:p w14:paraId="6006E4AF" w14:textId="21BEA19B" w:rsidR="002A135C" w:rsidRPr="002A135C" w:rsidRDefault="002A135C" w:rsidP="002A135C">
      <w:pPr>
        <w:pStyle w:val="Body"/>
        <w:rPr>
          <w:lang w:eastAsia="en-AU"/>
        </w:rPr>
      </w:pPr>
      <w:r>
        <w:rPr>
          <w:noProof/>
          <w:lang w:eastAsia="en-AU"/>
        </w:rPr>
        <w:drawing>
          <wp:inline distT="0" distB="0" distL="0" distR="0" wp14:anchorId="5CC0E079" wp14:editId="081827E1">
            <wp:extent cx="9522460" cy="2493645"/>
            <wp:effectExtent l="0" t="0" r="2540" b="1905"/>
            <wp:docPr id="208468999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2460" cy="2493645"/>
                    </a:xfrm>
                    <a:prstGeom prst="rect">
                      <a:avLst/>
                    </a:prstGeom>
                    <a:noFill/>
                  </pic:spPr>
                </pic:pic>
              </a:graphicData>
            </a:graphic>
          </wp:inline>
        </w:drawing>
      </w:r>
    </w:p>
    <w:p w14:paraId="4704A079" w14:textId="67929AEB" w:rsidR="004E5C54" w:rsidRDefault="00821227" w:rsidP="004E5C54">
      <w:pPr>
        <w:pStyle w:val="Body"/>
      </w:pPr>
      <w:r w:rsidRPr="008131E6">
        <w:t xml:space="preserve">Ratings of important factors when choosing an institution were </w:t>
      </w:r>
      <w:r w:rsidR="00437898" w:rsidRPr="00437898">
        <w:t>generally</w:t>
      </w:r>
      <w:r w:rsidRPr="008131E6">
        <w:t xml:space="preserve"> consistent across the top </w:t>
      </w:r>
      <w:r w:rsidR="00F320D0">
        <w:t>5</w:t>
      </w:r>
      <w:r w:rsidRPr="008131E6">
        <w:t xml:space="preserve"> source countries </w:t>
      </w:r>
      <w:r w:rsidR="00A67365" w:rsidRPr="008131E6">
        <w:t xml:space="preserve">in terms of the order </w:t>
      </w:r>
      <w:r w:rsidR="00437898" w:rsidRPr="00437898">
        <w:t>of importance</w:t>
      </w:r>
      <w:r w:rsidR="001A5B6D">
        <w:t xml:space="preserve"> </w:t>
      </w:r>
      <w:r w:rsidR="01AF4DBC">
        <w:t xml:space="preserve">as </w:t>
      </w:r>
      <w:r w:rsidRPr="008131E6">
        <w:t xml:space="preserve">shown </w:t>
      </w:r>
      <w:r w:rsidR="00437898">
        <w:t>in</w:t>
      </w:r>
      <w:r w:rsidR="00A67365" w:rsidRPr="008131E6" w:rsidDel="001D1384">
        <w:t xml:space="preserve"> </w:t>
      </w:r>
      <w:r w:rsidR="004E5C54" w:rsidRPr="004E5C54">
        <w:rPr>
          <w:b/>
          <w:bCs/>
        </w:rPr>
        <w:fldChar w:fldCharType="begin"/>
      </w:r>
      <w:r w:rsidR="004E5C54" w:rsidRPr="004E5C54">
        <w:rPr>
          <w:b/>
          <w:bCs/>
        </w:rPr>
        <w:instrText xml:space="preserve"> REF _Ref199602061 \h </w:instrText>
      </w:r>
      <w:r w:rsidR="004E5C54">
        <w:rPr>
          <w:b/>
          <w:bCs/>
        </w:rPr>
        <w:instrText xml:space="preserve"> \* MERGEFORMAT </w:instrText>
      </w:r>
      <w:r w:rsidR="004E5C54" w:rsidRPr="004E5C54">
        <w:rPr>
          <w:b/>
          <w:bCs/>
        </w:rPr>
      </w:r>
      <w:r w:rsidR="004E5C54" w:rsidRPr="004E5C54">
        <w:rPr>
          <w:b/>
          <w:bCs/>
        </w:rPr>
        <w:fldChar w:fldCharType="separate"/>
      </w:r>
      <w:r w:rsidR="00F96AB4" w:rsidRPr="00F96AB4">
        <w:rPr>
          <w:b/>
          <w:bCs/>
        </w:rPr>
        <w:t xml:space="preserve">Figure </w:t>
      </w:r>
      <w:r w:rsidR="00F96AB4" w:rsidRPr="00F96AB4">
        <w:rPr>
          <w:b/>
          <w:bCs/>
          <w:noProof/>
        </w:rPr>
        <w:t>31</w:t>
      </w:r>
      <w:r w:rsidR="004E5C54" w:rsidRPr="004E5C54">
        <w:rPr>
          <w:b/>
          <w:bCs/>
        </w:rPr>
        <w:fldChar w:fldCharType="end"/>
      </w:r>
      <w:r w:rsidR="004E5C54">
        <w:t>.</w:t>
      </w:r>
    </w:p>
    <w:p w14:paraId="20AD6113" w14:textId="684B7AFC" w:rsidR="006049AF" w:rsidRDefault="00F8390A" w:rsidP="00565297">
      <w:pPr>
        <w:pStyle w:val="Body"/>
      </w:pPr>
      <w:r>
        <w:t>S</w:t>
      </w:r>
      <w:r w:rsidR="00F71BF0" w:rsidRPr="00F71BF0">
        <w:t>imilar to</w:t>
      </w:r>
      <w:r w:rsidR="00821227" w:rsidRPr="008131E6">
        <w:t xml:space="preserve"> the reasons for choosing to study in Australia, </w:t>
      </w:r>
      <w:r w:rsidR="00F71BF0" w:rsidRPr="00F71BF0">
        <w:t>students from India</w:t>
      </w:r>
      <w:r w:rsidR="00821227" w:rsidRPr="008131E6">
        <w:t xml:space="preserve"> and </w:t>
      </w:r>
      <w:r w:rsidR="00F71BF0" w:rsidRPr="00F71BF0">
        <w:t>Nepal</w:t>
      </w:r>
      <w:r w:rsidR="00821227" w:rsidRPr="008131E6">
        <w:t xml:space="preserve"> tended to place greater importance on </w:t>
      </w:r>
      <w:r w:rsidR="00F71BF0" w:rsidRPr="00F71BF0">
        <w:t>most factors compared to students from</w:t>
      </w:r>
      <w:r w:rsidR="00821227" w:rsidRPr="008131E6">
        <w:t xml:space="preserve"> other </w:t>
      </w:r>
      <w:r w:rsidR="00F71BF0" w:rsidRPr="00F71BF0">
        <w:t>countries. This was especially true</w:t>
      </w:r>
      <w:r w:rsidR="00222F4B">
        <w:t xml:space="preserve"> for Nepalese students</w:t>
      </w:r>
      <w:r w:rsidR="00F71BF0" w:rsidRPr="00F71BF0">
        <w:t>,</w:t>
      </w:r>
      <w:r w:rsidR="00222F4B">
        <w:t xml:space="preserve"> who rated </w:t>
      </w:r>
      <w:r w:rsidR="00122AFA">
        <w:t xml:space="preserve">having a partnership with a local institution </w:t>
      </w:r>
      <w:r w:rsidR="00F71BF0" w:rsidRPr="00F71BF0">
        <w:t>significantly higher—</w:t>
      </w:r>
      <w:r w:rsidR="00122AFA">
        <w:t>at 82.2 per cent</w:t>
      </w:r>
      <w:r w:rsidR="00F71BF0" w:rsidRPr="00F71BF0">
        <w:t>—</w:t>
      </w:r>
      <w:r w:rsidR="00122AFA">
        <w:t xml:space="preserve">than students from the other </w:t>
      </w:r>
      <w:r w:rsidR="00F71BF0" w:rsidRPr="00F71BF0">
        <w:t>major</w:t>
      </w:r>
      <w:r w:rsidR="00122AFA">
        <w:t xml:space="preserve"> source countries</w:t>
      </w:r>
      <w:r w:rsidR="00821227" w:rsidRPr="008131E6">
        <w:t>.</w:t>
      </w:r>
      <w:r w:rsidR="00A67365" w:rsidRPr="008131E6">
        <w:t xml:space="preserve"> </w:t>
      </w:r>
      <w:r w:rsidR="00F71BF0" w:rsidRPr="00F71BF0">
        <w:t xml:space="preserve">While </w:t>
      </w:r>
      <w:r w:rsidR="00872AD5">
        <w:t>respondents</w:t>
      </w:r>
      <w:r w:rsidR="007947F1">
        <w:t xml:space="preserve"> from China</w:t>
      </w:r>
      <w:r w:rsidR="00A67365" w:rsidRPr="008131E6">
        <w:t xml:space="preserve"> </w:t>
      </w:r>
      <w:r w:rsidR="00F71BF0" w:rsidRPr="00F71BF0">
        <w:t xml:space="preserve">(excluding SARs and Taiwan) </w:t>
      </w:r>
      <w:r w:rsidR="00A67365" w:rsidRPr="008131E6">
        <w:t>undergraduates</w:t>
      </w:r>
      <w:r w:rsidR="00821227" w:rsidRPr="008131E6">
        <w:t xml:space="preserve"> </w:t>
      </w:r>
      <w:r w:rsidR="00A67365" w:rsidRPr="008131E6">
        <w:t xml:space="preserve">tended to </w:t>
      </w:r>
      <w:r w:rsidR="00F71BF0" w:rsidRPr="00F71BF0">
        <w:t xml:space="preserve">assign slightly lower </w:t>
      </w:r>
      <w:r w:rsidR="00A67365" w:rsidRPr="008131E6">
        <w:t xml:space="preserve">importance </w:t>
      </w:r>
      <w:r w:rsidR="00F71BF0" w:rsidRPr="00F71BF0">
        <w:t>to</w:t>
      </w:r>
      <w:r w:rsidR="00A67365" w:rsidRPr="008131E6">
        <w:t xml:space="preserve"> many </w:t>
      </w:r>
      <w:r w:rsidR="00F71BF0" w:rsidRPr="00F71BF0">
        <w:t xml:space="preserve">factors, their </w:t>
      </w:r>
      <w:r w:rsidR="00A67365" w:rsidRPr="00116F83">
        <w:t xml:space="preserve">ratings were still relatively high. For </w:t>
      </w:r>
      <w:r w:rsidR="00F71BF0" w:rsidRPr="00F71BF0">
        <w:t>instance, although they</w:t>
      </w:r>
      <w:r w:rsidR="00A67365" w:rsidRPr="00116F83">
        <w:t xml:space="preserve"> were less likely to rate employment opportunities after course completion as a </w:t>
      </w:r>
      <w:r w:rsidR="00F71BF0" w:rsidRPr="00F71BF0">
        <w:t xml:space="preserve">key </w:t>
      </w:r>
      <w:r w:rsidR="00A67365" w:rsidRPr="00116F83">
        <w:t xml:space="preserve">reason for choosing their </w:t>
      </w:r>
      <w:r w:rsidR="00122AFA" w:rsidRPr="00116F83">
        <w:t>institution,</w:t>
      </w:r>
      <w:r w:rsidR="00A67365" w:rsidRPr="00116F83">
        <w:t xml:space="preserve"> 9</w:t>
      </w:r>
      <w:r w:rsidR="00116F83" w:rsidRPr="00116F83">
        <w:t>2.0</w:t>
      </w:r>
      <w:r w:rsidR="00A67365" w:rsidRPr="00116F83">
        <w:t xml:space="preserve"> per cent</w:t>
      </w:r>
      <w:r w:rsidR="00F71BF0" w:rsidRPr="00F71BF0">
        <w:t xml:space="preserve"> still considered it important</w:t>
      </w:r>
      <w:r w:rsidR="00A67365" w:rsidRPr="00116F83">
        <w:t>.</w:t>
      </w:r>
      <w:bookmarkStart w:id="135" w:name="_Ref175646481"/>
    </w:p>
    <w:p w14:paraId="76988EFE" w14:textId="62664041" w:rsidR="00F00EC6" w:rsidRPr="00565297" w:rsidRDefault="00BF5C93" w:rsidP="00565297">
      <w:pPr>
        <w:pStyle w:val="Body"/>
      </w:pPr>
      <w:r w:rsidRPr="00BF5C93">
        <w:t>Among</w:t>
      </w:r>
      <w:r w:rsidR="00F00EC6">
        <w:t xml:space="preserve"> postgraduate coursework students</w:t>
      </w:r>
      <w:r w:rsidRPr="00BF5C93">
        <w:t>, the pattern was similar, with most factors</w:t>
      </w:r>
      <w:r w:rsidR="00F00EC6">
        <w:t xml:space="preserve"> </w:t>
      </w:r>
      <w:r w:rsidR="002011F4">
        <w:t>rated as important</w:t>
      </w:r>
      <w:r w:rsidRPr="00BF5C93">
        <w:t xml:space="preserve"> across all </w:t>
      </w:r>
      <w:r w:rsidR="00557C2B">
        <w:t xml:space="preserve">source </w:t>
      </w:r>
      <w:r w:rsidRPr="00BF5C93">
        <w:t>countries.</w:t>
      </w:r>
      <w:r w:rsidR="000B0B9F">
        <w:t xml:space="preserve"> However, </w:t>
      </w:r>
      <w:r w:rsidRPr="00BF5C93">
        <w:t xml:space="preserve">some differences emerged. </w:t>
      </w:r>
      <w:r w:rsidR="001D6AEC">
        <w:t>R</w:t>
      </w:r>
      <w:r w:rsidR="00557C2B">
        <w:t>espondent</w:t>
      </w:r>
      <w:r w:rsidRPr="00BF5C93">
        <w:t>s from</w:t>
      </w:r>
      <w:r w:rsidR="00A95142">
        <w:t xml:space="preserve"> Nepal and Bhutan </w:t>
      </w:r>
      <w:r w:rsidRPr="00BF5C93">
        <w:t xml:space="preserve">placed much higher </w:t>
      </w:r>
      <w:r w:rsidR="00A95142">
        <w:t xml:space="preserve">importance </w:t>
      </w:r>
      <w:r w:rsidRPr="00BF5C93">
        <w:t>on</w:t>
      </w:r>
      <w:r w:rsidR="00A95142">
        <w:t xml:space="preserve"> having a partnership with </w:t>
      </w:r>
      <w:r w:rsidR="009A53FE">
        <w:t xml:space="preserve">a local institution </w:t>
      </w:r>
      <w:r w:rsidRPr="00BF5C93">
        <w:t xml:space="preserve">compared to </w:t>
      </w:r>
      <w:r w:rsidR="009A53FE">
        <w:t xml:space="preserve">students from other </w:t>
      </w:r>
      <w:r w:rsidRPr="00BF5C93">
        <w:t>major</w:t>
      </w:r>
      <w:r w:rsidR="009A53FE">
        <w:t xml:space="preserve"> source countries.</w:t>
      </w:r>
      <w:r w:rsidR="003B3436">
        <w:t xml:space="preserve"> Another </w:t>
      </w:r>
      <w:r w:rsidRPr="00BF5C93">
        <w:t xml:space="preserve">notable </w:t>
      </w:r>
      <w:r w:rsidR="003B3436">
        <w:t xml:space="preserve">difference </w:t>
      </w:r>
      <w:r w:rsidRPr="00BF5C93">
        <w:t>was in the importance placed on course fees:</w:t>
      </w:r>
      <w:r w:rsidR="003B3436">
        <w:t xml:space="preserve"> </w:t>
      </w:r>
      <w:r w:rsidR="00557C2B">
        <w:t>respondent</w:t>
      </w:r>
      <w:r w:rsidRPr="00BF5C93">
        <w:t>s</w:t>
      </w:r>
      <w:r w:rsidR="003B3436">
        <w:t xml:space="preserve"> from China </w:t>
      </w:r>
      <w:r w:rsidRPr="00BF5C93">
        <w:t xml:space="preserve">(excluding SARs and Taiwan) </w:t>
      </w:r>
      <w:r w:rsidR="003B3436">
        <w:t xml:space="preserve">were less likely to rate </w:t>
      </w:r>
      <w:r w:rsidRPr="00BF5C93">
        <w:t>this factor</w:t>
      </w:r>
      <w:r w:rsidR="003B3436">
        <w:t xml:space="preserve"> as important</w:t>
      </w:r>
      <w:r w:rsidR="00484F68">
        <w:t xml:space="preserve">, </w:t>
      </w:r>
      <w:r w:rsidRPr="00BF5C93">
        <w:t>with</w:t>
      </w:r>
      <w:r w:rsidR="00484F68">
        <w:t xml:space="preserve"> 88.4 per cent</w:t>
      </w:r>
      <w:r w:rsidR="008D3C50">
        <w:t xml:space="preserve"> </w:t>
      </w:r>
      <w:r w:rsidRPr="00BF5C93">
        <w:t xml:space="preserve">doing so, compared to over 96 per cent among </w:t>
      </w:r>
      <w:r w:rsidR="00525CF7">
        <w:t>respondent</w:t>
      </w:r>
      <w:r w:rsidRPr="00BF5C93">
        <w:t xml:space="preserve">s from </w:t>
      </w:r>
      <w:r w:rsidR="008D3C50">
        <w:t xml:space="preserve">the other </w:t>
      </w:r>
      <w:r w:rsidRPr="00BF5C93">
        <w:t>top</w:t>
      </w:r>
      <w:r w:rsidR="008D3C50">
        <w:t xml:space="preserve"> source countries</w:t>
      </w:r>
      <w:r w:rsidR="00484F68">
        <w:t>.</w:t>
      </w:r>
    </w:p>
    <w:p w14:paraId="6CD438CF" w14:textId="43C98D40" w:rsidR="00ED675F" w:rsidRDefault="00ED675F" w:rsidP="00ED675F">
      <w:pPr>
        <w:pStyle w:val="Caption"/>
        <w:rPr>
          <w:color w:val="000000" w:themeColor="text1"/>
        </w:rPr>
      </w:pPr>
      <w:bookmarkStart w:id="136" w:name="_Ref199602061"/>
      <w:bookmarkStart w:id="137" w:name="_Toc206692330"/>
      <w:r w:rsidRPr="004042B0">
        <w:rPr>
          <w:color w:val="000000" w:themeColor="text1"/>
        </w:rPr>
        <w:lastRenderedPageBreak/>
        <w:t xml:space="preserve">Figure </w:t>
      </w:r>
      <w:r w:rsidR="001E216A" w:rsidRPr="004042B0">
        <w:rPr>
          <w:color w:val="000000" w:themeColor="text1"/>
        </w:rPr>
        <w:fldChar w:fldCharType="begin"/>
      </w:r>
      <w:r w:rsidR="001E216A" w:rsidRPr="004042B0">
        <w:rPr>
          <w:color w:val="000000" w:themeColor="text1"/>
        </w:rPr>
        <w:instrText xml:space="preserve"> SEQ Figure \* ARABIC </w:instrText>
      </w:r>
      <w:r w:rsidR="001E216A" w:rsidRPr="004042B0">
        <w:rPr>
          <w:color w:val="000000" w:themeColor="text1"/>
        </w:rPr>
        <w:fldChar w:fldCharType="separate"/>
      </w:r>
      <w:r w:rsidR="00F96AB4">
        <w:rPr>
          <w:noProof/>
          <w:color w:val="000000" w:themeColor="text1"/>
        </w:rPr>
        <w:t>31</w:t>
      </w:r>
      <w:r w:rsidR="001E216A" w:rsidRPr="004042B0">
        <w:rPr>
          <w:noProof/>
          <w:color w:val="000000" w:themeColor="text1"/>
        </w:rPr>
        <w:fldChar w:fldCharType="end"/>
      </w:r>
      <w:bookmarkEnd w:id="135"/>
      <w:bookmarkEnd w:id="136"/>
      <w:r w:rsidRPr="004042B0">
        <w:rPr>
          <w:color w:val="000000" w:themeColor="text1"/>
        </w:rPr>
        <w:t xml:space="preserve"> </w:t>
      </w:r>
      <w:bookmarkStart w:id="138" w:name="OLE_LINK3"/>
      <w:r w:rsidRPr="004042B0">
        <w:rPr>
          <w:color w:val="000000" w:themeColor="text1"/>
        </w:rPr>
        <w:t>International student reasons for choosing to study at current institution by source countr</w:t>
      </w:r>
      <w:r w:rsidR="00B4139E" w:rsidRPr="004042B0">
        <w:rPr>
          <w:color w:val="000000" w:themeColor="text1"/>
        </w:rPr>
        <w:t>y</w:t>
      </w:r>
      <w:r w:rsidRPr="004042B0">
        <w:rPr>
          <w:color w:val="000000" w:themeColor="text1"/>
        </w:rPr>
        <w:t>, 202</w:t>
      </w:r>
      <w:r w:rsidR="006049AF" w:rsidRPr="004042B0">
        <w:rPr>
          <w:color w:val="000000" w:themeColor="text1"/>
        </w:rPr>
        <w:t>4</w:t>
      </w:r>
      <w:r w:rsidRPr="004042B0">
        <w:rPr>
          <w:color w:val="000000" w:themeColor="text1"/>
        </w:rPr>
        <w:t xml:space="preserve"> (% importance rating)</w:t>
      </w:r>
      <w:bookmarkEnd w:id="137"/>
      <w:bookmarkEnd w:id="138"/>
    </w:p>
    <w:p w14:paraId="6F7E613D" w14:textId="66598914" w:rsidR="002A135C" w:rsidRPr="002A135C" w:rsidRDefault="002A135C" w:rsidP="002A135C">
      <w:pPr>
        <w:pStyle w:val="Body"/>
        <w:rPr>
          <w:lang w:eastAsia="en-AU"/>
        </w:rPr>
      </w:pPr>
      <w:r>
        <w:rPr>
          <w:noProof/>
          <w:lang w:eastAsia="en-AU"/>
        </w:rPr>
        <w:drawing>
          <wp:inline distT="0" distB="0" distL="0" distR="0" wp14:anchorId="6F330289" wp14:editId="00FF89E3">
            <wp:extent cx="9522460" cy="2517775"/>
            <wp:effectExtent l="0" t="0" r="2540" b="0"/>
            <wp:docPr id="8924377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2460" cy="2517775"/>
                    </a:xfrm>
                    <a:prstGeom prst="rect">
                      <a:avLst/>
                    </a:prstGeom>
                    <a:noFill/>
                  </pic:spPr>
                </pic:pic>
              </a:graphicData>
            </a:graphic>
          </wp:inline>
        </w:drawing>
      </w:r>
    </w:p>
    <w:p w14:paraId="71A4F015" w14:textId="46CDD745" w:rsidR="00B022F9" w:rsidRDefault="002A135C" w:rsidP="00992CA0">
      <w:pPr>
        <w:pStyle w:val="Body"/>
        <w:rPr>
          <w:lang w:eastAsia="en-AU"/>
        </w:rPr>
      </w:pPr>
      <w:r>
        <w:rPr>
          <w:noProof/>
          <w:lang w:eastAsia="en-AU"/>
        </w:rPr>
        <w:drawing>
          <wp:inline distT="0" distB="0" distL="0" distR="0" wp14:anchorId="4C3EDDF6" wp14:editId="14DEEA43">
            <wp:extent cx="9522460" cy="2542540"/>
            <wp:effectExtent l="0" t="0" r="2540" b="0"/>
            <wp:docPr id="112253710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2460" cy="2542540"/>
                    </a:xfrm>
                    <a:prstGeom prst="rect">
                      <a:avLst/>
                    </a:prstGeom>
                    <a:noFill/>
                  </pic:spPr>
                </pic:pic>
              </a:graphicData>
            </a:graphic>
          </wp:inline>
        </w:drawing>
      </w:r>
    </w:p>
    <w:p w14:paraId="444F3F6E" w14:textId="0D4C7C47" w:rsidR="00B4139E" w:rsidRPr="009F41B5" w:rsidRDefault="009F41B5" w:rsidP="00E64846">
      <w:pPr>
        <w:rPr>
          <w:highlight w:val="yellow"/>
          <w:lang w:eastAsia="en-AU"/>
        </w:rPr>
      </w:pPr>
      <w:r>
        <w:rPr>
          <w:rFonts w:eastAsia="Calibri" w:cs="Times New Roman"/>
          <w:sz w:val="16"/>
          <w:szCs w:val="22"/>
          <w:lang w:val="en-GB"/>
        </w:rPr>
        <w:t xml:space="preserve">Note: </w:t>
      </w:r>
      <w:r w:rsidRPr="00016C8B">
        <w:rPr>
          <w:rFonts w:eastAsia="Calibri" w:cs="Times New Roman"/>
          <w:sz w:val="16"/>
          <w:szCs w:val="22"/>
          <w:lang w:val="en-GB"/>
        </w:rPr>
        <w:t xml:space="preserve">Source country in 2024 </w:t>
      </w:r>
      <w:r>
        <w:rPr>
          <w:rFonts w:eastAsia="Calibri" w:cs="Times New Roman"/>
          <w:sz w:val="16"/>
          <w:szCs w:val="22"/>
          <w:lang w:val="en-GB"/>
        </w:rPr>
        <w:t>wa</w:t>
      </w:r>
      <w:r w:rsidRPr="00016C8B">
        <w:rPr>
          <w:rFonts w:eastAsia="Calibri" w:cs="Times New Roman"/>
          <w:sz w:val="16"/>
          <w:szCs w:val="22"/>
          <w:lang w:val="en-GB"/>
        </w:rPr>
        <w:t>s based on E658 Residential address country code</w:t>
      </w:r>
      <w:r>
        <w:rPr>
          <w:rFonts w:eastAsia="Calibri" w:cs="Times New Roman"/>
          <w:sz w:val="16"/>
          <w:szCs w:val="22"/>
          <w:lang w:val="en-GB"/>
        </w:rPr>
        <w:t>.</w:t>
      </w:r>
      <w:r w:rsidR="006D320A">
        <w:rPr>
          <w:rFonts w:eastAsia="Calibri"/>
          <w:sz w:val="16"/>
          <w:szCs w:val="22"/>
        </w:rPr>
        <w:t xml:space="preserve"> </w:t>
      </w:r>
      <w:r w:rsidR="00B4139E" w:rsidRPr="009F41B5">
        <w:rPr>
          <w:rFonts w:eastAsia="Calibri"/>
          <w:sz w:val="16"/>
          <w:szCs w:val="22"/>
        </w:rPr>
        <w:t xml:space="preserve">Source countries shown in this figure represent the top </w:t>
      </w:r>
      <w:r w:rsidR="00F320D0">
        <w:rPr>
          <w:rFonts w:eastAsia="Calibri"/>
          <w:sz w:val="16"/>
          <w:szCs w:val="22"/>
        </w:rPr>
        <w:t>5</w:t>
      </w:r>
      <w:r w:rsidR="00B4139E" w:rsidRPr="009F41B5">
        <w:rPr>
          <w:rFonts w:eastAsia="Calibri"/>
          <w:sz w:val="16"/>
          <w:szCs w:val="22"/>
        </w:rPr>
        <w:t xml:space="preserve"> by number of survey respondents, ordered from left to right from largest to smallest.</w:t>
      </w:r>
    </w:p>
    <w:p w14:paraId="622C88E6" w14:textId="77777777" w:rsidR="00FB627F" w:rsidRDefault="00FB627F" w:rsidP="00992CA0">
      <w:pPr>
        <w:pStyle w:val="Body"/>
        <w:rPr>
          <w:lang w:eastAsia="en-AU"/>
        </w:rPr>
      </w:pPr>
    </w:p>
    <w:p w14:paraId="72B07B52" w14:textId="77777777" w:rsidR="00FB627F" w:rsidRDefault="00FB627F" w:rsidP="00992CA0">
      <w:pPr>
        <w:pStyle w:val="Body"/>
        <w:rPr>
          <w:lang w:eastAsia="en-AU"/>
        </w:rPr>
      </w:pPr>
    </w:p>
    <w:p w14:paraId="4CA850EE" w14:textId="3AC2DD9A" w:rsidR="00FB627F" w:rsidRPr="00992CA0" w:rsidRDefault="00FB627F" w:rsidP="00992CA0">
      <w:pPr>
        <w:pStyle w:val="Body"/>
        <w:rPr>
          <w:lang w:eastAsia="en-AU"/>
        </w:rPr>
        <w:sectPr w:rsidR="00FB627F" w:rsidRPr="00992CA0" w:rsidSect="00F77822">
          <w:pgSz w:w="16840" w:h="11900" w:orient="landscape"/>
          <w:pgMar w:top="560" w:right="994" w:bottom="710" w:left="852" w:header="567" w:footer="567" w:gutter="0"/>
          <w:cols w:space="708"/>
          <w:docGrid w:linePitch="360"/>
        </w:sectPr>
      </w:pPr>
    </w:p>
    <w:p w14:paraId="4EB9D4CE" w14:textId="2EEFF8E5" w:rsidR="00E87CE4" w:rsidRPr="00D51402" w:rsidRDefault="00E87CE4" w:rsidP="00E87CE4">
      <w:pPr>
        <w:pStyle w:val="AppendixHeading"/>
        <w:rPr>
          <w:color w:val="000000" w:themeColor="text1"/>
        </w:rPr>
      </w:pPr>
      <w:bookmarkStart w:id="139" w:name="_Toc531104115"/>
      <w:bookmarkStart w:id="140" w:name="_Toc531104120"/>
      <w:bookmarkStart w:id="141" w:name="_Ref205368271"/>
      <w:bookmarkStart w:id="142" w:name="_Ref205369423"/>
      <w:bookmarkStart w:id="143" w:name="_Ref206424946"/>
      <w:bookmarkStart w:id="144" w:name="_Toc206692285"/>
      <w:bookmarkEnd w:id="10"/>
      <w:bookmarkEnd w:id="139"/>
      <w:bookmarkEnd w:id="140"/>
      <w:r w:rsidRPr="00D51402">
        <w:rPr>
          <w:color w:val="000000" w:themeColor="text1"/>
        </w:rPr>
        <w:lastRenderedPageBreak/>
        <w:t xml:space="preserve">SES </w:t>
      </w:r>
      <w:r w:rsidR="00B81AD7" w:rsidRPr="00D51402">
        <w:rPr>
          <w:color w:val="000000" w:themeColor="text1"/>
        </w:rPr>
        <w:t>f</w:t>
      </w:r>
      <w:r w:rsidRPr="00D51402">
        <w:rPr>
          <w:color w:val="000000" w:themeColor="text1"/>
        </w:rPr>
        <w:t>ocus area items</w:t>
      </w:r>
      <w:bookmarkEnd w:id="141"/>
      <w:bookmarkEnd w:id="142"/>
      <w:bookmarkEnd w:id="143"/>
      <w:bookmarkEnd w:id="144"/>
    </w:p>
    <w:p w14:paraId="4A25C67E" w14:textId="77777777" w:rsidR="00E87CE4" w:rsidRPr="00D51402" w:rsidRDefault="00E87CE4" w:rsidP="00E87CE4">
      <w:pPr>
        <w:pStyle w:val="Appendix2"/>
        <w:rPr>
          <w:color w:val="000000" w:themeColor="text1"/>
        </w:rPr>
      </w:pPr>
      <w:bookmarkStart w:id="145" w:name="_Toc195645869"/>
      <w:bookmarkStart w:id="146" w:name="_Toc206692286"/>
      <w:r w:rsidRPr="00D51402">
        <w:rPr>
          <w:color w:val="000000" w:themeColor="text1"/>
        </w:rPr>
        <w:t>Skills Development</w:t>
      </w:r>
      <w:bookmarkEnd w:id="145"/>
      <w:bookmarkEnd w:id="146"/>
    </w:p>
    <w:p w14:paraId="263C9994" w14:textId="77777777" w:rsidR="00E87CE4" w:rsidRPr="00493299" w:rsidRDefault="00E87CE4" w:rsidP="00E87CE4">
      <w:pPr>
        <w:pStyle w:val="Body"/>
      </w:pPr>
      <w:r w:rsidRPr="00493299">
        <w:t>Th</w:t>
      </w:r>
      <w:r>
        <w:t>is</w:t>
      </w:r>
      <w:r w:rsidRPr="00493299">
        <w:t xml:space="preserve"> focus area asks students to reflect on the extent to which their course developed their skills and knowledge in eight areas, using a scale from 'not at all' to 'very much'</w:t>
      </w:r>
      <w:r>
        <w:t xml:space="preserve">. </w:t>
      </w:r>
    </w:p>
    <w:p w14:paraId="7DDC9961" w14:textId="77777777" w:rsidR="00E87CE4" w:rsidRPr="00A6731B" w:rsidRDefault="00E87CE4" w:rsidP="00E87CE4">
      <w:pPr>
        <w:pStyle w:val="Body"/>
      </w:pPr>
      <w:r w:rsidRPr="00A6731B">
        <w:t>To what extent has your (course) developed your:</w:t>
      </w:r>
    </w:p>
    <w:p w14:paraId="12F51D8B" w14:textId="77777777" w:rsidR="00E87CE4" w:rsidRPr="00A6731B" w:rsidRDefault="00E87CE4" w:rsidP="00E87CE4">
      <w:pPr>
        <w:pStyle w:val="Bullets1"/>
      </w:pPr>
      <w:r w:rsidRPr="00A6731B">
        <w:t>Critical thinking skills</w:t>
      </w:r>
    </w:p>
    <w:p w14:paraId="607B2859" w14:textId="77777777" w:rsidR="00E87CE4" w:rsidRPr="00A6731B" w:rsidRDefault="00E87CE4" w:rsidP="00E87CE4">
      <w:pPr>
        <w:pStyle w:val="Bullets1"/>
      </w:pPr>
      <w:r w:rsidRPr="00A6731B">
        <w:t>Ability to solve complex problems</w:t>
      </w:r>
    </w:p>
    <w:p w14:paraId="6FC7C9C7" w14:textId="77777777" w:rsidR="00E87CE4" w:rsidRPr="00A6731B" w:rsidRDefault="00E87CE4" w:rsidP="00E87CE4">
      <w:pPr>
        <w:pStyle w:val="Bullets1"/>
      </w:pPr>
      <w:r w:rsidRPr="00A6731B">
        <w:t>Ability to work with others</w:t>
      </w:r>
    </w:p>
    <w:p w14:paraId="5E94C343" w14:textId="77777777" w:rsidR="00E87CE4" w:rsidRPr="00A6731B" w:rsidRDefault="00E87CE4" w:rsidP="00E87CE4">
      <w:pPr>
        <w:pStyle w:val="Bullets1"/>
      </w:pPr>
      <w:r w:rsidRPr="00A6731B">
        <w:t xml:space="preserve">Confidence to learn independently </w:t>
      </w:r>
    </w:p>
    <w:p w14:paraId="0C13D7CE" w14:textId="77777777" w:rsidR="00E87CE4" w:rsidRPr="00A6731B" w:rsidRDefault="00E87CE4" w:rsidP="00E87CE4">
      <w:pPr>
        <w:pStyle w:val="Bullets1"/>
      </w:pPr>
      <w:r w:rsidRPr="00A6731B">
        <w:t>Written communication skills</w:t>
      </w:r>
    </w:p>
    <w:p w14:paraId="704AB3FA" w14:textId="77777777" w:rsidR="00E87CE4" w:rsidRPr="00A6731B" w:rsidRDefault="00E87CE4" w:rsidP="00E87CE4">
      <w:pPr>
        <w:pStyle w:val="Bullets1"/>
      </w:pPr>
      <w:r w:rsidRPr="00A6731B">
        <w:t>Spoken communication skills</w:t>
      </w:r>
    </w:p>
    <w:p w14:paraId="7CE77C39" w14:textId="77777777" w:rsidR="00E87CE4" w:rsidRPr="00A6731B" w:rsidRDefault="00E87CE4" w:rsidP="00E87CE4">
      <w:pPr>
        <w:pStyle w:val="Bullets1"/>
      </w:pPr>
      <w:r w:rsidRPr="00A6731B">
        <w:t>Knowledge of field(s) studying</w:t>
      </w:r>
    </w:p>
    <w:p w14:paraId="57958107" w14:textId="7643A70D" w:rsidR="00E87CE4" w:rsidRDefault="00E87CE4" w:rsidP="00E87CE4">
      <w:pPr>
        <w:pStyle w:val="Bullets1"/>
      </w:pPr>
      <w:r w:rsidRPr="00A6731B">
        <w:t>Development of work-related knowledge and skills</w:t>
      </w:r>
      <w:r w:rsidR="00E63CBA">
        <w:t>.</w:t>
      </w:r>
    </w:p>
    <w:p w14:paraId="1D83E028" w14:textId="77777777" w:rsidR="00E87CE4" w:rsidRPr="00A6731B" w:rsidRDefault="00E87CE4" w:rsidP="00E87CE4">
      <w:pPr>
        <w:pStyle w:val="Bullets1"/>
        <w:numPr>
          <w:ilvl w:val="0"/>
          <w:numId w:val="0"/>
        </w:numPr>
        <w:ind w:left="851"/>
      </w:pPr>
    </w:p>
    <w:p w14:paraId="673B269C" w14:textId="77777777" w:rsidR="00E87CE4" w:rsidRPr="00D51402" w:rsidRDefault="00E87CE4" w:rsidP="00E87CE4">
      <w:pPr>
        <w:pStyle w:val="Appendix2"/>
        <w:rPr>
          <w:color w:val="000000" w:themeColor="text1"/>
        </w:rPr>
      </w:pPr>
      <w:bookmarkStart w:id="147" w:name="_Toc195645870"/>
      <w:bookmarkStart w:id="148" w:name="_Toc206692287"/>
      <w:r w:rsidRPr="00D51402">
        <w:rPr>
          <w:color w:val="000000" w:themeColor="text1"/>
        </w:rPr>
        <w:t>Peer Engagement (formerly Learner Engagement)</w:t>
      </w:r>
      <w:bookmarkEnd w:id="147"/>
      <w:bookmarkEnd w:id="148"/>
      <w:r w:rsidRPr="00D51402">
        <w:rPr>
          <w:color w:val="000000" w:themeColor="text1"/>
        </w:rPr>
        <w:tab/>
      </w:r>
    </w:p>
    <w:p w14:paraId="634524D5" w14:textId="77777777" w:rsidR="00E87CE4" w:rsidRDefault="00E87CE4" w:rsidP="00E87CE4">
      <w:pPr>
        <w:pStyle w:val="Body"/>
      </w:pPr>
      <w:bookmarkStart w:id="149" w:name="_Hlk193363794"/>
      <w:r>
        <w:t>This</w:t>
      </w:r>
      <w:r w:rsidRPr="00E84385">
        <w:t xml:space="preserve"> focus area asks students to indicate how frequently they engage with other students inside and outside formal study, using a scale from ‘never’ to ‘always’. </w:t>
      </w:r>
    </w:p>
    <w:p w14:paraId="6EA2EA60" w14:textId="77777777" w:rsidR="00E87CE4" w:rsidRPr="00E84385" w:rsidRDefault="00E87CE4" w:rsidP="00E87CE4">
      <w:pPr>
        <w:pStyle w:val="Body"/>
        <w:ind w:left="360"/>
      </w:pPr>
      <w:r w:rsidRPr="00E84385">
        <w:t>The underlying items for this focus area are how frequently they have:</w:t>
      </w:r>
    </w:p>
    <w:p w14:paraId="7B064D66" w14:textId="77777777" w:rsidR="00E87CE4" w:rsidRPr="00E84385" w:rsidRDefault="00E87CE4" w:rsidP="00E87CE4">
      <w:pPr>
        <w:pStyle w:val="Bullets1"/>
      </w:pPr>
      <w:r w:rsidRPr="00E84385">
        <w:t>Contributed to class discussion (e.g. in-person discussions, online chat forums, discussion boards)</w:t>
      </w:r>
    </w:p>
    <w:p w14:paraId="3BD42AE1" w14:textId="77777777" w:rsidR="00E87CE4" w:rsidRPr="00E84385" w:rsidRDefault="00E87CE4" w:rsidP="00E87CE4">
      <w:pPr>
        <w:pStyle w:val="Bullets1"/>
      </w:pPr>
      <w:r w:rsidRPr="00E84385">
        <w:t>Worked with other students as part of your &lt;course&gt; (e.g. group assignments, in-class collaboration)</w:t>
      </w:r>
    </w:p>
    <w:p w14:paraId="557DD812" w14:textId="77777777" w:rsidR="00E87CE4" w:rsidRPr="00E84385" w:rsidRDefault="00E87CE4" w:rsidP="00E87CE4">
      <w:pPr>
        <w:pStyle w:val="Bullets1"/>
      </w:pPr>
      <w:r w:rsidRPr="00E84385">
        <w:t>Interacted socially with other students outside of your study</w:t>
      </w:r>
    </w:p>
    <w:p w14:paraId="57D71EAD" w14:textId="15CE5396" w:rsidR="00E87CE4" w:rsidRPr="00E84385" w:rsidRDefault="00E87CE4" w:rsidP="00E87CE4">
      <w:pPr>
        <w:pStyle w:val="Bullets1"/>
      </w:pPr>
      <w:r w:rsidRPr="00E84385">
        <w:t>Interacted with a diverse range of students</w:t>
      </w:r>
      <w:r w:rsidR="00E63CBA">
        <w:t>.</w:t>
      </w:r>
    </w:p>
    <w:p w14:paraId="72C0C184" w14:textId="77777777" w:rsidR="00E87CE4" w:rsidRPr="003F1BB9" w:rsidRDefault="00E87CE4" w:rsidP="00E87CE4">
      <w:pPr>
        <w:pStyle w:val="Z"/>
        <w:rPr>
          <w:rFonts w:ascii="Calibri" w:hAnsi="Calibri" w:cs="Calibri"/>
          <w:color w:val="000000"/>
          <w:szCs w:val="18"/>
          <w:highlight w:val="yellow"/>
        </w:rPr>
      </w:pPr>
      <w:bookmarkStart w:id="150" w:name="_Ref58491414"/>
      <w:bookmarkStart w:id="151" w:name="_Ref58491406"/>
      <w:bookmarkEnd w:id="149"/>
    </w:p>
    <w:p w14:paraId="67CCC9A8" w14:textId="77777777" w:rsidR="00E87CE4" w:rsidRPr="00D51402" w:rsidRDefault="00E87CE4" w:rsidP="00E87CE4">
      <w:pPr>
        <w:pStyle w:val="Appendix2"/>
        <w:rPr>
          <w:color w:val="000000" w:themeColor="text1"/>
        </w:rPr>
      </w:pPr>
      <w:bookmarkStart w:id="152" w:name="_Toc195645871"/>
      <w:bookmarkStart w:id="153" w:name="_Toc206692288"/>
      <w:bookmarkEnd w:id="150"/>
      <w:bookmarkEnd w:id="151"/>
      <w:r w:rsidRPr="00D51402">
        <w:rPr>
          <w:color w:val="000000" w:themeColor="text1"/>
        </w:rPr>
        <w:t>Teaching Quality and Engagement (formerly Teaching Quality)</w:t>
      </w:r>
      <w:bookmarkEnd w:id="152"/>
      <w:bookmarkEnd w:id="153"/>
    </w:p>
    <w:p w14:paraId="366110AB" w14:textId="775D16A2" w:rsidR="00E87CE4" w:rsidRDefault="00E87CE4" w:rsidP="00E87CE4">
      <w:pPr>
        <w:spacing w:before="120" w:after="120" w:line="300" w:lineRule="auto"/>
        <w:rPr>
          <w:rFonts w:eastAsia="Times New Roman" w:cs="Times New Roman"/>
        </w:rPr>
      </w:pPr>
      <w:r w:rsidRPr="1CA001D7">
        <w:rPr>
          <w:rFonts w:eastAsia="Times New Roman" w:cs="Times New Roman"/>
        </w:rPr>
        <w:t xml:space="preserve">This focus area asks students to rate the quality of their </w:t>
      </w:r>
      <w:r w:rsidR="00023793" w:rsidRPr="1CA001D7">
        <w:rPr>
          <w:rFonts w:eastAsia="Times New Roman" w:cs="Times New Roman"/>
        </w:rPr>
        <w:t>entire</w:t>
      </w:r>
      <w:r w:rsidRPr="1CA001D7">
        <w:rPr>
          <w:rFonts w:eastAsia="Times New Roman" w:cs="Times New Roman"/>
        </w:rPr>
        <w:t xml:space="preserve"> educational experience </w:t>
      </w:r>
      <w:r w:rsidR="00F0525D" w:rsidRPr="1CA001D7">
        <w:rPr>
          <w:rFonts w:eastAsia="Times New Roman" w:cs="Times New Roman"/>
        </w:rPr>
        <w:t>(</w:t>
      </w:r>
      <w:r w:rsidR="002F4FE4" w:rsidRPr="1CA001D7">
        <w:rPr>
          <w:rFonts w:eastAsia="Times New Roman" w:cs="Times New Roman"/>
        </w:rPr>
        <w:t>i.e.</w:t>
      </w:r>
      <w:r w:rsidR="00F0525D" w:rsidRPr="1CA001D7">
        <w:rPr>
          <w:rFonts w:eastAsia="Times New Roman" w:cs="Times New Roman"/>
        </w:rPr>
        <w:t xml:space="preserve"> </w:t>
      </w:r>
      <w:r w:rsidR="002F4FE4" w:rsidRPr="1CA001D7">
        <w:rPr>
          <w:rFonts w:eastAsia="Times New Roman" w:cs="Times New Roman"/>
        </w:rPr>
        <w:t>O</w:t>
      </w:r>
      <w:r w:rsidR="00F0525D" w:rsidRPr="1CA001D7">
        <w:rPr>
          <w:rFonts w:eastAsia="Times New Roman" w:cs="Times New Roman"/>
        </w:rPr>
        <w:t xml:space="preserve">verall </w:t>
      </w:r>
      <w:r w:rsidR="002F4FE4" w:rsidRPr="1CA001D7">
        <w:rPr>
          <w:rFonts w:eastAsia="Times New Roman" w:cs="Times New Roman"/>
        </w:rPr>
        <w:t>E</w:t>
      </w:r>
      <w:r w:rsidR="00F0525D" w:rsidRPr="1CA001D7">
        <w:rPr>
          <w:rFonts w:eastAsia="Times New Roman" w:cs="Times New Roman"/>
        </w:rPr>
        <w:t xml:space="preserve">ducational </w:t>
      </w:r>
      <w:r w:rsidR="002F4FE4" w:rsidRPr="1CA001D7">
        <w:rPr>
          <w:rFonts w:eastAsia="Times New Roman" w:cs="Times New Roman"/>
        </w:rPr>
        <w:t>E</w:t>
      </w:r>
      <w:r w:rsidR="00F0525D" w:rsidRPr="1CA001D7">
        <w:rPr>
          <w:rFonts w:eastAsia="Times New Roman" w:cs="Times New Roman"/>
        </w:rPr>
        <w:t xml:space="preserve">xperience) </w:t>
      </w:r>
      <w:r w:rsidRPr="1CA001D7">
        <w:rPr>
          <w:rFonts w:eastAsia="Times New Roman" w:cs="Times New Roman"/>
        </w:rPr>
        <w:t xml:space="preserve">and </w:t>
      </w:r>
      <w:r w:rsidR="00D05E84" w:rsidRPr="1CA001D7">
        <w:rPr>
          <w:rFonts w:eastAsia="Times New Roman" w:cs="Times New Roman"/>
        </w:rPr>
        <w:t>the q</w:t>
      </w:r>
      <w:r w:rsidR="008A4E71" w:rsidRPr="1CA001D7">
        <w:rPr>
          <w:rFonts w:eastAsia="Times New Roman" w:cs="Times New Roman"/>
        </w:rPr>
        <w:t>uality of teaching</w:t>
      </w:r>
      <w:r w:rsidRPr="1CA001D7">
        <w:rPr>
          <w:rFonts w:eastAsia="Times New Roman" w:cs="Times New Roman"/>
        </w:rPr>
        <w:t xml:space="preserve">, ranging from fair to excellent. It also asks students to evaluate the relevance and focus of their course to their education, as well as the extent to which academic staff undertake certain actions, from </w:t>
      </w:r>
      <w:r w:rsidR="350A77E8" w:rsidRPr="1CA001D7">
        <w:rPr>
          <w:rFonts w:eastAsia="Times New Roman" w:cs="Times New Roman"/>
        </w:rPr>
        <w:t>‘</w:t>
      </w:r>
      <w:r w:rsidRPr="1CA001D7">
        <w:rPr>
          <w:rFonts w:eastAsia="Times New Roman" w:cs="Times New Roman"/>
        </w:rPr>
        <w:t>not at all</w:t>
      </w:r>
      <w:r w:rsidR="0ED64675" w:rsidRPr="1CA001D7">
        <w:rPr>
          <w:rFonts w:eastAsia="Times New Roman" w:cs="Times New Roman"/>
        </w:rPr>
        <w:t>’</w:t>
      </w:r>
      <w:r w:rsidRPr="1CA001D7">
        <w:rPr>
          <w:rFonts w:eastAsia="Times New Roman" w:cs="Times New Roman"/>
        </w:rPr>
        <w:t xml:space="preserve"> to </w:t>
      </w:r>
      <w:r w:rsidR="3A9F2170" w:rsidRPr="1CA001D7">
        <w:rPr>
          <w:rFonts w:eastAsia="Times New Roman" w:cs="Times New Roman"/>
        </w:rPr>
        <w:t>‘</w:t>
      </w:r>
      <w:r w:rsidRPr="1CA001D7">
        <w:rPr>
          <w:rFonts w:eastAsia="Times New Roman" w:cs="Times New Roman"/>
        </w:rPr>
        <w:t>very much</w:t>
      </w:r>
      <w:r w:rsidR="3CD00C70" w:rsidRPr="1CA001D7">
        <w:rPr>
          <w:rFonts w:eastAsia="Times New Roman" w:cs="Times New Roman"/>
        </w:rPr>
        <w:t>’</w:t>
      </w:r>
      <w:r w:rsidRPr="1CA001D7">
        <w:rPr>
          <w:rFonts w:eastAsia="Times New Roman" w:cs="Times New Roman"/>
        </w:rPr>
        <w:t>.</w:t>
      </w:r>
    </w:p>
    <w:p w14:paraId="44C93368" w14:textId="77777777" w:rsidR="00E87CE4" w:rsidRPr="00D61524" w:rsidRDefault="00E87CE4" w:rsidP="00E87CE4">
      <w:pPr>
        <w:pStyle w:val="Body"/>
      </w:pPr>
      <w:r w:rsidRPr="00D61524">
        <w:t>The items are:</w:t>
      </w:r>
    </w:p>
    <w:p w14:paraId="75C5FAF7" w14:textId="77777777" w:rsidR="00E87CE4" w:rsidRPr="00D61524" w:rsidRDefault="00E87CE4" w:rsidP="00E87CE4">
      <w:pPr>
        <w:pStyle w:val="Bullets1"/>
      </w:pPr>
      <w:r w:rsidRPr="289FA31E">
        <w:rPr>
          <w:lang w:val="en-GB"/>
        </w:rPr>
        <w:t>Course well-structured and focused</w:t>
      </w:r>
    </w:p>
    <w:p w14:paraId="4739BBEF" w14:textId="77777777" w:rsidR="00E87CE4" w:rsidRPr="00D61524" w:rsidRDefault="00E87CE4" w:rsidP="00E87CE4">
      <w:pPr>
        <w:pStyle w:val="Bullets1"/>
      </w:pPr>
      <w:r w:rsidRPr="00D61524">
        <w:t>Course relevant to education as a whole</w:t>
      </w:r>
    </w:p>
    <w:p w14:paraId="0CEB9060" w14:textId="77777777" w:rsidR="00E87CE4" w:rsidRPr="00D61524" w:rsidRDefault="00E87CE4" w:rsidP="00E87CE4">
      <w:pPr>
        <w:pStyle w:val="Bullets1"/>
      </w:pPr>
      <w:r w:rsidRPr="00D61524">
        <w:t>Teachers engaged you actively in learning</w:t>
      </w:r>
    </w:p>
    <w:p w14:paraId="440E7077" w14:textId="77777777" w:rsidR="00E87CE4" w:rsidRPr="00D61524" w:rsidRDefault="00E87CE4" w:rsidP="00E87CE4">
      <w:pPr>
        <w:pStyle w:val="Bullets1"/>
      </w:pPr>
      <w:r w:rsidRPr="18B0DB06">
        <w:rPr>
          <w:lang w:val="en-GB"/>
        </w:rPr>
        <w:t>Teachers demonstrated concern for student learning</w:t>
      </w:r>
    </w:p>
    <w:p w14:paraId="78FD6AE8" w14:textId="77777777" w:rsidR="00E87CE4" w:rsidRPr="00D61524" w:rsidRDefault="00E87CE4" w:rsidP="00E87CE4">
      <w:pPr>
        <w:pStyle w:val="Bullets1"/>
      </w:pPr>
      <w:r w:rsidRPr="00D61524">
        <w:t>Teachers provided clear explanations on coursework and assessment</w:t>
      </w:r>
    </w:p>
    <w:p w14:paraId="2CFB32C7" w14:textId="77777777" w:rsidR="00E87CE4" w:rsidRPr="00D61524" w:rsidRDefault="00E87CE4" w:rsidP="00E87CE4">
      <w:pPr>
        <w:pStyle w:val="Bullets1"/>
      </w:pPr>
      <w:r w:rsidRPr="00D61524">
        <w:t>Teachers stimulated you intellectually</w:t>
      </w:r>
    </w:p>
    <w:p w14:paraId="3BD7D6BB" w14:textId="77777777" w:rsidR="00E87CE4" w:rsidRPr="00D61524" w:rsidRDefault="00E87CE4" w:rsidP="00E87CE4">
      <w:pPr>
        <w:pStyle w:val="Bullets1"/>
      </w:pPr>
      <w:r w:rsidRPr="00D61524">
        <w:t>Teachers commented on your work in ways that help you learn</w:t>
      </w:r>
    </w:p>
    <w:p w14:paraId="6255A6FD" w14:textId="77777777" w:rsidR="00E87CE4" w:rsidRPr="00D61524" w:rsidRDefault="00E87CE4" w:rsidP="00E87CE4">
      <w:pPr>
        <w:pStyle w:val="Bullets1"/>
      </w:pPr>
      <w:r w:rsidRPr="00D61524">
        <w:t>Teachers seemed helpful and approachable</w:t>
      </w:r>
    </w:p>
    <w:p w14:paraId="0AF416B3" w14:textId="77777777" w:rsidR="00E87CE4" w:rsidRPr="00D61524" w:rsidRDefault="00E87CE4" w:rsidP="00E87CE4">
      <w:pPr>
        <w:pStyle w:val="Bullets1"/>
      </w:pPr>
      <w:r w:rsidRPr="00D61524">
        <w:t>Teachers set assessment tasks that challenge you to learn</w:t>
      </w:r>
    </w:p>
    <w:p w14:paraId="51177BE3" w14:textId="77777777" w:rsidR="00E87CE4" w:rsidRPr="00D61524" w:rsidRDefault="00E87CE4" w:rsidP="00E87CE4">
      <w:pPr>
        <w:pStyle w:val="Bullets1"/>
      </w:pPr>
      <w:r w:rsidRPr="00D61524">
        <w:t>Overall quality of teaching</w:t>
      </w:r>
    </w:p>
    <w:p w14:paraId="0CF88969" w14:textId="1E81BDFC" w:rsidR="00E87CE4" w:rsidRPr="00D61524" w:rsidRDefault="00E87CE4" w:rsidP="00E87CE4">
      <w:pPr>
        <w:pStyle w:val="Bullets1"/>
      </w:pPr>
      <w:r w:rsidRPr="00D61524">
        <w:lastRenderedPageBreak/>
        <w:t>Overall quality of entire educational experience</w:t>
      </w:r>
      <w:r w:rsidR="004348C5">
        <w:t>.</w:t>
      </w:r>
    </w:p>
    <w:p w14:paraId="35BC41BC" w14:textId="77777777" w:rsidR="00E87CE4" w:rsidRPr="00D51402" w:rsidRDefault="00E87CE4" w:rsidP="00E87CE4">
      <w:pPr>
        <w:pStyle w:val="Appendix2"/>
        <w:rPr>
          <w:color w:val="000000" w:themeColor="text1"/>
        </w:rPr>
      </w:pPr>
      <w:bookmarkStart w:id="154" w:name="_Toc195645872"/>
      <w:bookmarkStart w:id="155" w:name="_Toc206692289"/>
      <w:r w:rsidRPr="00D51402">
        <w:rPr>
          <w:color w:val="000000" w:themeColor="text1"/>
        </w:rPr>
        <w:t>Student Support and Services (formerly Student Support)</w:t>
      </w:r>
      <w:bookmarkEnd w:id="154"/>
      <w:bookmarkEnd w:id="155"/>
    </w:p>
    <w:p w14:paraId="123292CE" w14:textId="710C21E4" w:rsidR="00E87CE4" w:rsidRDefault="00E87CE4" w:rsidP="00E87CE4">
      <w:pPr>
        <w:pStyle w:val="Body"/>
      </w:pPr>
      <w:r w:rsidRPr="00811359">
        <w:t xml:space="preserve">This focus area asks students to rate the helpfulness of various supports and services provided by their institution, ranging from </w:t>
      </w:r>
      <w:r w:rsidR="0F378ADB">
        <w:t>‘</w:t>
      </w:r>
      <w:r w:rsidRPr="00811359">
        <w:t xml:space="preserve">not at all </w:t>
      </w:r>
      <w:r>
        <w:t>helpful</w:t>
      </w:r>
      <w:r w:rsidR="374DDC06">
        <w:t>’</w:t>
      </w:r>
      <w:r w:rsidRPr="00811359">
        <w:t xml:space="preserve"> to </w:t>
      </w:r>
      <w:r w:rsidR="52E69162">
        <w:t>‘</w:t>
      </w:r>
      <w:r w:rsidRPr="00811359">
        <w:t xml:space="preserve">very </w:t>
      </w:r>
      <w:r>
        <w:t>helpful</w:t>
      </w:r>
      <w:r w:rsidR="1AB0A849">
        <w:t>’</w:t>
      </w:r>
      <w:r w:rsidRPr="00811359">
        <w:t>, with an option for 'Not Used' for those who did not utili</w:t>
      </w:r>
      <w:r>
        <w:t>s</w:t>
      </w:r>
      <w:r w:rsidRPr="00811359">
        <w:t>e the support services</w:t>
      </w:r>
      <w:r w:rsidRPr="00045B63">
        <w:t xml:space="preserve">. </w:t>
      </w:r>
    </w:p>
    <w:p w14:paraId="3936A395" w14:textId="77777777" w:rsidR="00E87CE4" w:rsidRPr="00045B63" w:rsidRDefault="00E87CE4" w:rsidP="00E87CE4">
      <w:pPr>
        <w:pStyle w:val="Body"/>
        <w:ind w:left="357"/>
      </w:pPr>
      <w:r>
        <w:t>How helpful have you found the following supports and services provided by your institution during &lt;survey year&gt;:</w:t>
      </w:r>
    </w:p>
    <w:p w14:paraId="002E4E32" w14:textId="40AF8EF1" w:rsidR="00E87CE4" w:rsidRPr="00045B63" w:rsidRDefault="00893C02" w:rsidP="00E87CE4">
      <w:pPr>
        <w:pStyle w:val="Bullets1"/>
      </w:pPr>
      <w:r w:rsidRPr="00045B63">
        <w:t>Enrolment</w:t>
      </w:r>
      <w:r w:rsidR="00E87CE4" w:rsidRPr="00045B63">
        <w:t xml:space="preserve"> process and support</w:t>
      </w:r>
    </w:p>
    <w:p w14:paraId="0B7A7716" w14:textId="170594F8" w:rsidR="00E87CE4" w:rsidRPr="00045B63" w:rsidRDefault="00893C02" w:rsidP="00E87CE4">
      <w:pPr>
        <w:pStyle w:val="Bullets1"/>
      </w:pPr>
      <w:r w:rsidRPr="00045B63">
        <w:t>Induction</w:t>
      </w:r>
      <w:r w:rsidR="00E87CE4" w:rsidRPr="00045B63">
        <w:t>/orientation activities</w:t>
      </w:r>
    </w:p>
    <w:p w14:paraId="74372CD4" w14:textId="041748A9" w:rsidR="00E87CE4" w:rsidRPr="00045B63" w:rsidRDefault="00893C02" w:rsidP="00E87CE4">
      <w:pPr>
        <w:pStyle w:val="Bullets1"/>
      </w:pPr>
      <w:r w:rsidRPr="00045B63">
        <w:t>Online</w:t>
      </w:r>
      <w:r w:rsidR="00E87CE4" w:rsidRPr="00045B63">
        <w:t xml:space="preserve"> learning platform</w:t>
      </w:r>
    </w:p>
    <w:p w14:paraId="03BFC52F" w14:textId="38B710B0" w:rsidR="00E87CE4" w:rsidRPr="00045B63" w:rsidRDefault="00893C02" w:rsidP="00E87CE4">
      <w:pPr>
        <w:pStyle w:val="Bullets1"/>
      </w:pPr>
      <w:r w:rsidRPr="00045B63">
        <w:t>Career</w:t>
      </w:r>
      <w:r w:rsidR="00E87CE4" w:rsidRPr="00045B63">
        <w:t xml:space="preserve"> development services</w:t>
      </w:r>
    </w:p>
    <w:p w14:paraId="6EFC504C" w14:textId="68E7AEE9" w:rsidR="00E87CE4" w:rsidRPr="00045B63" w:rsidRDefault="00893C02" w:rsidP="00E87CE4">
      <w:pPr>
        <w:pStyle w:val="Bullets1"/>
      </w:pPr>
      <w:r w:rsidRPr="00045B63">
        <w:t>Study</w:t>
      </w:r>
      <w:r w:rsidR="00E87CE4" w:rsidRPr="00045B63">
        <w:t xml:space="preserve"> or learning support services</w:t>
      </w:r>
    </w:p>
    <w:p w14:paraId="60A16499" w14:textId="53477B29" w:rsidR="00E87CE4" w:rsidRPr="00045B63" w:rsidRDefault="00893C02" w:rsidP="00E87CE4">
      <w:pPr>
        <w:pStyle w:val="Bullets1"/>
      </w:pPr>
      <w:r w:rsidRPr="00045B63">
        <w:t>Counsellors</w:t>
      </w:r>
      <w:r w:rsidR="00E87CE4" w:rsidRPr="00045B63">
        <w:t xml:space="preserve"> and</w:t>
      </w:r>
      <w:r w:rsidR="5296CDE6">
        <w:t>/</w:t>
      </w:r>
      <w:r w:rsidR="00E87CE4" w:rsidRPr="00045B63">
        <w:t>or health services</w:t>
      </w:r>
    </w:p>
    <w:p w14:paraId="2A9D3E7D" w14:textId="2FDD208A" w:rsidR="00E87CE4" w:rsidRDefault="00893C02" w:rsidP="00E87CE4">
      <w:pPr>
        <w:pStyle w:val="Bullets1"/>
      </w:pPr>
      <w:r w:rsidRPr="00045B63">
        <w:t>Financial</w:t>
      </w:r>
      <w:r w:rsidR="00E87CE4" w:rsidRPr="00045B63">
        <w:t xml:space="preserve"> and</w:t>
      </w:r>
      <w:r w:rsidR="4E35596D">
        <w:t>/</w:t>
      </w:r>
      <w:r w:rsidR="00E87CE4" w:rsidRPr="00045B63">
        <w:t>or legal advisors</w:t>
      </w:r>
      <w:r w:rsidR="00E63CBA">
        <w:t>.</w:t>
      </w:r>
    </w:p>
    <w:p w14:paraId="6D731361" w14:textId="77777777" w:rsidR="00E87CE4" w:rsidRPr="00E64846" w:rsidRDefault="00E87CE4" w:rsidP="00E87CE4">
      <w:pPr>
        <w:pStyle w:val="Z"/>
        <w:spacing w:before="120" w:after="120"/>
        <w:rPr>
          <w:sz w:val="20"/>
          <w:lang w:val="en-AU"/>
        </w:rPr>
      </w:pPr>
    </w:p>
    <w:p w14:paraId="72BB6580" w14:textId="77777777" w:rsidR="00E87CE4" w:rsidRPr="00D51402" w:rsidRDefault="00E87CE4" w:rsidP="00E87CE4">
      <w:pPr>
        <w:pStyle w:val="Appendix2"/>
        <w:rPr>
          <w:color w:val="000000" w:themeColor="text1"/>
        </w:rPr>
      </w:pPr>
      <w:bookmarkStart w:id="156" w:name="_Toc195645873"/>
      <w:bookmarkStart w:id="157" w:name="_Toc206692290"/>
      <w:r w:rsidRPr="00D51402">
        <w:rPr>
          <w:color w:val="000000" w:themeColor="text1"/>
        </w:rPr>
        <w:t>Learning Resources</w:t>
      </w:r>
      <w:bookmarkEnd w:id="156"/>
      <w:bookmarkEnd w:id="157"/>
    </w:p>
    <w:p w14:paraId="1A31C3AF" w14:textId="332ED871" w:rsidR="00E87CE4" w:rsidRDefault="00E87CE4" w:rsidP="00E87CE4">
      <w:pPr>
        <w:spacing w:before="120" w:after="120" w:line="300" w:lineRule="auto"/>
        <w:rPr>
          <w:rFonts w:eastAsia="Times New Roman" w:cs="Times New Roman"/>
        </w:rPr>
      </w:pPr>
      <w:r w:rsidRPr="2E56E58F">
        <w:rPr>
          <w:rFonts w:eastAsia="Times New Roman" w:cs="Times New Roman"/>
        </w:rPr>
        <w:t xml:space="preserve">The Learning Resources focus area asks students to rate the quality of various learning resources provided by the institution, ranging from </w:t>
      </w:r>
      <w:r w:rsidR="3C41ACA0" w:rsidRPr="2E56E58F">
        <w:rPr>
          <w:rFonts w:eastAsia="Times New Roman" w:cs="Times New Roman"/>
        </w:rPr>
        <w:t>‘</w:t>
      </w:r>
      <w:r w:rsidR="754401D1" w:rsidRPr="2E56E58F">
        <w:rPr>
          <w:rFonts w:eastAsia="Times New Roman" w:cs="Times New Roman"/>
        </w:rPr>
        <w:t>poor</w:t>
      </w:r>
      <w:r w:rsidR="0D24D947" w:rsidRPr="2E56E58F">
        <w:rPr>
          <w:rFonts w:eastAsia="Times New Roman" w:cs="Times New Roman"/>
        </w:rPr>
        <w:t>’</w:t>
      </w:r>
      <w:r w:rsidRPr="2E56E58F">
        <w:rPr>
          <w:rFonts w:eastAsia="Times New Roman" w:cs="Times New Roman"/>
        </w:rPr>
        <w:t xml:space="preserve"> to </w:t>
      </w:r>
      <w:r w:rsidR="482F2384" w:rsidRPr="2E56E58F">
        <w:rPr>
          <w:rFonts w:eastAsia="Times New Roman" w:cs="Times New Roman"/>
        </w:rPr>
        <w:t>‘</w:t>
      </w:r>
      <w:r w:rsidR="754401D1" w:rsidRPr="2E56E58F">
        <w:rPr>
          <w:rFonts w:eastAsia="Times New Roman" w:cs="Times New Roman"/>
        </w:rPr>
        <w:t>excellent</w:t>
      </w:r>
      <w:r w:rsidR="75E58C7D" w:rsidRPr="2E56E58F">
        <w:rPr>
          <w:rFonts w:eastAsia="Times New Roman" w:cs="Times New Roman"/>
        </w:rPr>
        <w:t>’</w:t>
      </w:r>
      <w:r w:rsidRPr="2E56E58F">
        <w:rPr>
          <w:rFonts w:eastAsia="Times New Roman" w:cs="Times New Roman"/>
        </w:rPr>
        <w:t xml:space="preserve">. </w:t>
      </w:r>
    </w:p>
    <w:p w14:paraId="022CBE82" w14:textId="77777777" w:rsidR="00E87CE4" w:rsidRPr="006A6349" w:rsidRDefault="00E87CE4" w:rsidP="00E87CE4">
      <w:pPr>
        <w:pStyle w:val="Body"/>
      </w:pPr>
      <w:r w:rsidRPr="006A6349">
        <w:t>The items relate to the quality of:</w:t>
      </w:r>
    </w:p>
    <w:p w14:paraId="099541F8" w14:textId="723DC3A6" w:rsidR="00E87CE4" w:rsidRPr="006A6349" w:rsidRDefault="00893C02" w:rsidP="00E87CE4">
      <w:pPr>
        <w:pStyle w:val="Bullets1"/>
      </w:pPr>
      <w:r w:rsidRPr="006A6349">
        <w:t>Teaching</w:t>
      </w:r>
      <w:r w:rsidR="00E87CE4" w:rsidRPr="006A6349">
        <w:t xml:space="preserve"> spaces</w:t>
      </w:r>
    </w:p>
    <w:p w14:paraId="3E10782D" w14:textId="5B75F790" w:rsidR="00E87CE4" w:rsidRPr="006A6349" w:rsidRDefault="00893C02" w:rsidP="00E87CE4">
      <w:pPr>
        <w:pStyle w:val="Bullets1"/>
      </w:pPr>
      <w:r w:rsidRPr="006A6349">
        <w:t>Student</w:t>
      </w:r>
      <w:r w:rsidR="00E87CE4" w:rsidRPr="006A6349">
        <w:t xml:space="preserve"> spaces and common areas</w:t>
      </w:r>
    </w:p>
    <w:p w14:paraId="18DF1FD8" w14:textId="46EA8069" w:rsidR="00E87CE4" w:rsidRPr="006A6349" w:rsidRDefault="00893C02" w:rsidP="00E87CE4">
      <w:pPr>
        <w:pStyle w:val="Bullets1"/>
      </w:pPr>
      <w:r w:rsidRPr="006A6349">
        <w:t>Online</w:t>
      </w:r>
      <w:r w:rsidR="00E87CE4" w:rsidRPr="006A6349">
        <w:t xml:space="preserve"> learning materials</w:t>
      </w:r>
    </w:p>
    <w:p w14:paraId="42D5734A" w14:textId="03C0FA29" w:rsidR="00E87CE4" w:rsidRPr="006A6349" w:rsidRDefault="00893C02" w:rsidP="00E87CE4">
      <w:pPr>
        <w:pStyle w:val="Bullets1"/>
      </w:pPr>
      <w:r w:rsidRPr="006A6349">
        <w:t>Computing/it</w:t>
      </w:r>
      <w:r w:rsidR="00E87CE4" w:rsidRPr="006A6349">
        <w:t xml:space="preserve"> resources</w:t>
      </w:r>
    </w:p>
    <w:p w14:paraId="11B4C536" w14:textId="2C3F8586" w:rsidR="00E87CE4" w:rsidRPr="006A6349" w:rsidRDefault="00893C02" w:rsidP="00E87CE4">
      <w:pPr>
        <w:pStyle w:val="Bullets1"/>
      </w:pPr>
      <w:r w:rsidRPr="006A6349">
        <w:t>Assigned</w:t>
      </w:r>
      <w:r w:rsidR="00E87CE4" w:rsidRPr="006A6349">
        <w:t xml:space="preserve"> books, notes and resources</w:t>
      </w:r>
    </w:p>
    <w:p w14:paraId="5EFE6E99" w14:textId="35D51600" w:rsidR="00E87CE4" w:rsidRPr="006A6349" w:rsidRDefault="00893C02" w:rsidP="00E87CE4">
      <w:pPr>
        <w:pStyle w:val="Bullets1"/>
      </w:pPr>
      <w:r w:rsidRPr="006A6349">
        <w:t>Laboratory</w:t>
      </w:r>
      <w:r w:rsidR="00E87CE4" w:rsidRPr="006A6349">
        <w:t xml:space="preserve"> or studio equipment</w:t>
      </w:r>
    </w:p>
    <w:p w14:paraId="61E5D672" w14:textId="55555364" w:rsidR="00E87CE4" w:rsidRPr="006A6349" w:rsidRDefault="00893C02" w:rsidP="00E87CE4">
      <w:pPr>
        <w:pStyle w:val="Bullets1"/>
      </w:pPr>
      <w:r w:rsidRPr="006A6349">
        <w:t>Library</w:t>
      </w:r>
      <w:r w:rsidR="00E87CE4" w:rsidRPr="006A6349">
        <w:t xml:space="preserve"> resources and facilities</w:t>
      </w:r>
      <w:r w:rsidR="00E63CBA">
        <w:t>.</w:t>
      </w:r>
    </w:p>
    <w:p w14:paraId="61BC25AE" w14:textId="77777777" w:rsidR="0077630A" w:rsidRPr="0077630A" w:rsidRDefault="0077630A" w:rsidP="0077630A">
      <w:pPr>
        <w:rPr>
          <w:rFonts w:cs="Arial"/>
          <w:color w:val="000000" w:themeColor="text1"/>
          <w:lang w:val="en-GB"/>
        </w:rPr>
      </w:pPr>
    </w:p>
    <w:p w14:paraId="4A484959" w14:textId="1D8FF916" w:rsidR="000E3415" w:rsidRPr="00D51402" w:rsidRDefault="00366C0A" w:rsidP="000E3415">
      <w:pPr>
        <w:pStyle w:val="Appendix2"/>
        <w:rPr>
          <w:color w:val="000000" w:themeColor="text1"/>
        </w:rPr>
      </w:pPr>
      <w:bookmarkStart w:id="158" w:name="_Toc206692291"/>
      <w:r w:rsidRPr="00D51402">
        <w:rPr>
          <w:color w:val="000000" w:themeColor="text1"/>
        </w:rPr>
        <w:t>Overall Educational Experience</w:t>
      </w:r>
      <w:bookmarkEnd w:id="158"/>
    </w:p>
    <w:p w14:paraId="1E63438A" w14:textId="2B9FDE94" w:rsidR="00884C00" w:rsidRDefault="00D76E4A" w:rsidP="00F77F05">
      <w:pPr>
        <w:pStyle w:val="Body"/>
      </w:pPr>
      <w:r>
        <w:t xml:space="preserve">The </w:t>
      </w:r>
      <w:r w:rsidR="00366C0A">
        <w:t>Overall Educational Experience</w:t>
      </w:r>
      <w:r>
        <w:t xml:space="preserve"> is a stand-alone item which asks students</w:t>
      </w:r>
      <w:r w:rsidR="0047709E">
        <w:t xml:space="preserve"> </w:t>
      </w:r>
      <w:r w:rsidR="008D594A">
        <w:t>to think</w:t>
      </w:r>
      <w:r w:rsidR="0047709E">
        <w:t xml:space="preserve"> about their course</w:t>
      </w:r>
      <w:r w:rsidR="008D594A">
        <w:t xml:space="preserve"> this year and</w:t>
      </w:r>
      <w:r>
        <w:t xml:space="preserve"> to rate the </w:t>
      </w:r>
      <w:r w:rsidR="00F0525D">
        <w:t>q</w:t>
      </w:r>
      <w:r>
        <w:t xml:space="preserve">uality of their </w:t>
      </w:r>
      <w:r w:rsidR="00F0525D">
        <w:t>e</w:t>
      </w:r>
      <w:r>
        <w:t xml:space="preserve">ntire </w:t>
      </w:r>
      <w:r w:rsidR="00F0525D">
        <w:t>e</w:t>
      </w:r>
      <w:r>
        <w:t xml:space="preserve">ducational </w:t>
      </w:r>
      <w:r w:rsidR="00F0525D">
        <w:t>e</w:t>
      </w:r>
      <w:r>
        <w:t>xperience</w:t>
      </w:r>
      <w:r w:rsidR="008C7F85">
        <w:t xml:space="preserve"> </w:t>
      </w:r>
      <w:r>
        <w:t xml:space="preserve">on a </w:t>
      </w:r>
      <w:r w:rsidR="008B11D3">
        <w:t>four-point</w:t>
      </w:r>
      <w:r>
        <w:t xml:space="preserve"> scale from </w:t>
      </w:r>
      <w:r w:rsidR="71190E9D">
        <w:t>‘</w:t>
      </w:r>
      <w:r w:rsidR="004D3C73">
        <w:t>p</w:t>
      </w:r>
      <w:r w:rsidR="4BB62485">
        <w:t>oor</w:t>
      </w:r>
      <w:r w:rsidR="0449FD80">
        <w:t>’</w:t>
      </w:r>
      <w:r w:rsidR="008D594A">
        <w:t xml:space="preserve"> to </w:t>
      </w:r>
      <w:r w:rsidR="0449FD80">
        <w:t>‘</w:t>
      </w:r>
      <w:r w:rsidR="004D3C73">
        <w:t>e</w:t>
      </w:r>
      <w:r w:rsidR="4BB62485">
        <w:t>xcellent</w:t>
      </w:r>
      <w:r w:rsidR="2E54E7DC">
        <w:t>’</w:t>
      </w:r>
      <w:r w:rsidR="008D594A">
        <w:t xml:space="preserve">.  </w:t>
      </w:r>
    </w:p>
    <w:p w14:paraId="0FFC3D36" w14:textId="77777777" w:rsidR="00884C00" w:rsidRDefault="00884C00" w:rsidP="00F77F05">
      <w:pPr>
        <w:pStyle w:val="Body"/>
      </w:pPr>
    </w:p>
    <w:p w14:paraId="6FC9C4B9" w14:textId="77777777" w:rsidR="00F77F05" w:rsidRDefault="00F77F05" w:rsidP="00F77F05">
      <w:pPr>
        <w:pStyle w:val="Body"/>
        <w:sectPr w:rsidR="00F77F05" w:rsidSect="00F77822">
          <w:pgSz w:w="11900" w:h="16840"/>
          <w:pgMar w:top="852" w:right="560" w:bottom="994" w:left="710" w:header="567" w:footer="567" w:gutter="0"/>
          <w:cols w:space="708"/>
          <w:docGrid w:linePitch="360"/>
        </w:sectPr>
      </w:pPr>
    </w:p>
    <w:p w14:paraId="4837AB4A" w14:textId="24EB1850" w:rsidR="005A5905" w:rsidRPr="00D51402" w:rsidRDefault="007F3225" w:rsidP="00C734A0">
      <w:pPr>
        <w:pStyle w:val="AppendixHeading"/>
        <w:rPr>
          <w:color w:val="000000" w:themeColor="text1"/>
        </w:rPr>
      </w:pPr>
      <w:bookmarkStart w:id="159" w:name="_Toc206692292"/>
      <w:r w:rsidRPr="00D51402">
        <w:rPr>
          <w:color w:val="000000" w:themeColor="text1"/>
        </w:rPr>
        <w:lastRenderedPageBreak/>
        <w:t>Detailed t</w:t>
      </w:r>
      <w:r w:rsidR="00C734A0" w:rsidRPr="00D51402">
        <w:rPr>
          <w:color w:val="000000" w:themeColor="text1"/>
        </w:rPr>
        <w:t>ables</w:t>
      </w:r>
      <w:bookmarkEnd w:id="159"/>
    </w:p>
    <w:p w14:paraId="76109D43" w14:textId="639E5225" w:rsidR="00FA1C14" w:rsidRPr="002A135C" w:rsidRDefault="00FA1C14" w:rsidP="002A135C">
      <w:pPr>
        <w:pStyle w:val="Caption"/>
        <w:rPr>
          <w:color w:val="000000" w:themeColor="text1"/>
        </w:rPr>
      </w:pPr>
      <w:bookmarkStart w:id="160" w:name="_Ref64968195"/>
      <w:bookmarkStart w:id="161" w:name="_Toc206692296"/>
      <w:bookmarkStart w:id="162" w:name="_Ref97269490"/>
      <w:bookmarkStart w:id="163" w:name="_Ref98845310"/>
      <w:r w:rsidRPr="00D51402">
        <w:rPr>
          <w:color w:val="000000" w:themeColor="text1"/>
        </w:rPr>
        <w:t xml:space="preserve">Table </w:t>
      </w:r>
      <w:r w:rsidR="001E216A" w:rsidRPr="00D51402">
        <w:rPr>
          <w:color w:val="000000" w:themeColor="text1"/>
        </w:rPr>
        <w:fldChar w:fldCharType="begin"/>
      </w:r>
      <w:r w:rsidR="001E216A" w:rsidRPr="00D51402">
        <w:rPr>
          <w:color w:val="000000" w:themeColor="text1"/>
        </w:rPr>
        <w:instrText xml:space="preserve"> SEQ Table \* ARABIC </w:instrText>
      </w:r>
      <w:r w:rsidR="001E216A" w:rsidRPr="00D51402">
        <w:rPr>
          <w:color w:val="000000" w:themeColor="text1"/>
        </w:rPr>
        <w:fldChar w:fldCharType="separate"/>
      </w:r>
      <w:r w:rsidR="00F96AB4">
        <w:rPr>
          <w:noProof/>
          <w:color w:val="000000" w:themeColor="text1"/>
        </w:rPr>
        <w:t>4</w:t>
      </w:r>
      <w:r w:rsidR="001E216A" w:rsidRPr="00D51402">
        <w:rPr>
          <w:noProof/>
          <w:color w:val="000000" w:themeColor="text1"/>
        </w:rPr>
        <w:fldChar w:fldCharType="end"/>
      </w:r>
      <w:bookmarkEnd w:id="160"/>
      <w:r w:rsidRPr="00D51402">
        <w:rPr>
          <w:color w:val="000000" w:themeColor="text1"/>
        </w:rPr>
        <w:t xml:space="preserve"> International undergraduate student education experience by source country</w:t>
      </w:r>
      <w:r w:rsidR="00812963" w:rsidRPr="00D51402">
        <w:rPr>
          <w:color w:val="000000" w:themeColor="text1"/>
        </w:rPr>
        <w:t>,</w:t>
      </w:r>
      <w:r w:rsidRPr="00D51402">
        <w:rPr>
          <w:color w:val="000000" w:themeColor="text1"/>
        </w:rPr>
        <w:t xml:space="preserve"> 2022-2024 (% positive rating)</w:t>
      </w:r>
      <w:bookmarkEnd w:id="161"/>
    </w:p>
    <w:tbl>
      <w:tblPr>
        <w:tblStyle w:val="TableGrid1"/>
        <w:tblW w:w="15446" w:type="dxa"/>
        <w:tblLayout w:type="fixed"/>
        <w:tblLook w:val="04A0" w:firstRow="1" w:lastRow="0" w:firstColumn="1" w:lastColumn="0" w:noHBand="0" w:noVBand="1"/>
      </w:tblPr>
      <w:tblGrid>
        <w:gridCol w:w="1555"/>
        <w:gridCol w:w="771"/>
        <w:gridCol w:w="772"/>
        <w:gridCol w:w="772"/>
        <w:gridCol w:w="771"/>
        <w:gridCol w:w="772"/>
        <w:gridCol w:w="772"/>
        <w:gridCol w:w="772"/>
        <w:gridCol w:w="771"/>
        <w:gridCol w:w="772"/>
        <w:gridCol w:w="772"/>
        <w:gridCol w:w="771"/>
        <w:gridCol w:w="772"/>
        <w:gridCol w:w="772"/>
        <w:gridCol w:w="772"/>
        <w:gridCol w:w="771"/>
        <w:gridCol w:w="772"/>
        <w:gridCol w:w="772"/>
        <w:gridCol w:w="772"/>
      </w:tblGrid>
      <w:tr w:rsidR="00D51402" w:rsidRPr="00516B90" w14:paraId="30B128C4" w14:textId="77777777" w:rsidTr="00364236">
        <w:trPr>
          <w:trHeight w:val="302"/>
          <w:tblHeader/>
        </w:trPr>
        <w:tc>
          <w:tcPr>
            <w:tcW w:w="1555" w:type="dxa"/>
            <w:noWrap/>
          </w:tcPr>
          <w:p w14:paraId="1C7C102E" w14:textId="77777777" w:rsidR="00D51402" w:rsidRPr="00973B32" w:rsidRDefault="00D51402">
            <w:pPr>
              <w:pStyle w:val="Footertable"/>
              <w:rPr>
                <w:rFonts w:ascii="Calibri" w:hAnsi="Calibri" w:cs="Calibri"/>
                <w:color w:val="auto"/>
                <w:sz w:val="18"/>
                <w:szCs w:val="18"/>
              </w:rPr>
            </w:pPr>
          </w:p>
        </w:tc>
        <w:tc>
          <w:tcPr>
            <w:tcW w:w="771" w:type="dxa"/>
            <w:noWrap/>
            <w:vAlign w:val="bottom"/>
          </w:tcPr>
          <w:p w14:paraId="5E85656A" w14:textId="01D50BCC"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Skills Development</w:t>
            </w:r>
            <w:r>
              <w:rPr>
                <w:rFonts w:ascii="Calibri" w:hAnsi="Calibri" w:cs="Calibri"/>
                <w:b/>
                <w:bCs/>
                <w:sz w:val="18"/>
                <w:szCs w:val="18"/>
              </w:rPr>
              <w:t xml:space="preserve"> 2022</w:t>
            </w:r>
          </w:p>
        </w:tc>
        <w:tc>
          <w:tcPr>
            <w:tcW w:w="772" w:type="dxa"/>
            <w:noWrap/>
            <w:vAlign w:val="bottom"/>
          </w:tcPr>
          <w:p w14:paraId="3E906FE5" w14:textId="67C26F7C"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Skills Development</w:t>
            </w:r>
            <w:r>
              <w:rPr>
                <w:rFonts w:ascii="Calibri" w:hAnsi="Calibri" w:cs="Calibri"/>
                <w:b/>
                <w:bCs/>
                <w:sz w:val="18"/>
                <w:szCs w:val="18"/>
              </w:rPr>
              <w:t xml:space="preserve"> 2023</w:t>
            </w:r>
          </w:p>
        </w:tc>
        <w:tc>
          <w:tcPr>
            <w:tcW w:w="772" w:type="dxa"/>
            <w:noWrap/>
            <w:vAlign w:val="bottom"/>
          </w:tcPr>
          <w:p w14:paraId="46217C9B" w14:textId="031F18A9"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Skills Development</w:t>
            </w:r>
            <w:r>
              <w:rPr>
                <w:rFonts w:ascii="Calibri" w:hAnsi="Calibri" w:cs="Calibri"/>
                <w:b/>
                <w:bCs/>
                <w:sz w:val="18"/>
                <w:szCs w:val="18"/>
              </w:rPr>
              <w:t xml:space="preserve"> 2024</w:t>
            </w:r>
          </w:p>
        </w:tc>
        <w:tc>
          <w:tcPr>
            <w:tcW w:w="771" w:type="dxa"/>
            <w:noWrap/>
            <w:vAlign w:val="bottom"/>
          </w:tcPr>
          <w:p w14:paraId="0DB62D0A" w14:textId="4C6631EC"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Peer Engagement*</w:t>
            </w:r>
            <w:r>
              <w:rPr>
                <w:rFonts w:ascii="Calibri" w:hAnsi="Calibri" w:cs="Calibri"/>
                <w:b/>
                <w:bCs/>
                <w:sz w:val="18"/>
                <w:szCs w:val="18"/>
              </w:rPr>
              <w:t xml:space="preserve"> 2022</w:t>
            </w:r>
          </w:p>
        </w:tc>
        <w:tc>
          <w:tcPr>
            <w:tcW w:w="772" w:type="dxa"/>
            <w:noWrap/>
            <w:vAlign w:val="bottom"/>
          </w:tcPr>
          <w:p w14:paraId="20EA8D3C" w14:textId="38C4FFD7"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Peer Engagement*</w:t>
            </w:r>
            <w:r>
              <w:rPr>
                <w:rFonts w:ascii="Calibri" w:hAnsi="Calibri" w:cs="Calibri"/>
                <w:b/>
                <w:bCs/>
                <w:sz w:val="18"/>
                <w:szCs w:val="18"/>
              </w:rPr>
              <w:t xml:space="preserve"> 2023</w:t>
            </w:r>
          </w:p>
        </w:tc>
        <w:tc>
          <w:tcPr>
            <w:tcW w:w="772" w:type="dxa"/>
            <w:noWrap/>
            <w:vAlign w:val="bottom"/>
          </w:tcPr>
          <w:p w14:paraId="6138FDE7" w14:textId="2EB23EAF"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Peer Engagement*</w:t>
            </w:r>
            <w:r>
              <w:rPr>
                <w:rFonts w:ascii="Calibri" w:hAnsi="Calibri" w:cs="Calibri"/>
                <w:b/>
                <w:bCs/>
                <w:sz w:val="18"/>
                <w:szCs w:val="18"/>
              </w:rPr>
              <w:t xml:space="preserve"> 2024</w:t>
            </w:r>
          </w:p>
        </w:tc>
        <w:tc>
          <w:tcPr>
            <w:tcW w:w="772" w:type="dxa"/>
            <w:noWrap/>
            <w:vAlign w:val="bottom"/>
          </w:tcPr>
          <w:p w14:paraId="62716F37" w14:textId="4F33BE16"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Teaching Quality and Engagement</w:t>
            </w:r>
            <w:r>
              <w:rPr>
                <w:rFonts w:ascii="Calibri" w:hAnsi="Calibri" w:cs="Calibri"/>
                <w:b/>
                <w:bCs/>
                <w:sz w:val="18"/>
                <w:szCs w:val="18"/>
              </w:rPr>
              <w:t xml:space="preserve"> 2022</w:t>
            </w:r>
          </w:p>
        </w:tc>
        <w:tc>
          <w:tcPr>
            <w:tcW w:w="771" w:type="dxa"/>
            <w:noWrap/>
            <w:vAlign w:val="bottom"/>
          </w:tcPr>
          <w:p w14:paraId="34C48B31" w14:textId="39EBF3D3"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Teaching Quality and Engagement</w:t>
            </w:r>
            <w:r>
              <w:rPr>
                <w:rFonts w:ascii="Calibri" w:hAnsi="Calibri" w:cs="Calibri"/>
                <w:b/>
                <w:bCs/>
                <w:sz w:val="18"/>
                <w:szCs w:val="18"/>
              </w:rPr>
              <w:t xml:space="preserve"> 2023</w:t>
            </w:r>
          </w:p>
        </w:tc>
        <w:tc>
          <w:tcPr>
            <w:tcW w:w="772" w:type="dxa"/>
            <w:noWrap/>
            <w:vAlign w:val="bottom"/>
          </w:tcPr>
          <w:p w14:paraId="731C9417" w14:textId="2054F7DC"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Teaching Quality and Engagement</w:t>
            </w:r>
            <w:r>
              <w:rPr>
                <w:rFonts w:ascii="Calibri" w:hAnsi="Calibri" w:cs="Calibri"/>
                <w:b/>
                <w:bCs/>
                <w:sz w:val="18"/>
                <w:szCs w:val="18"/>
              </w:rPr>
              <w:t xml:space="preserve"> 2024</w:t>
            </w:r>
          </w:p>
        </w:tc>
        <w:tc>
          <w:tcPr>
            <w:tcW w:w="772" w:type="dxa"/>
            <w:noWrap/>
            <w:vAlign w:val="bottom"/>
          </w:tcPr>
          <w:p w14:paraId="2A6A2686" w14:textId="46D5D98B"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Student Support and Services*</w:t>
            </w:r>
            <w:r>
              <w:rPr>
                <w:rFonts w:ascii="Calibri" w:hAnsi="Calibri" w:cs="Calibri"/>
                <w:b/>
                <w:bCs/>
                <w:sz w:val="18"/>
                <w:szCs w:val="18"/>
              </w:rPr>
              <w:t xml:space="preserve"> 2022</w:t>
            </w:r>
          </w:p>
        </w:tc>
        <w:tc>
          <w:tcPr>
            <w:tcW w:w="771" w:type="dxa"/>
            <w:noWrap/>
            <w:vAlign w:val="bottom"/>
          </w:tcPr>
          <w:p w14:paraId="4554B95F" w14:textId="14124EC7"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Student Support and Services*</w:t>
            </w:r>
            <w:r>
              <w:rPr>
                <w:rFonts w:ascii="Calibri" w:hAnsi="Calibri" w:cs="Calibri"/>
                <w:b/>
                <w:bCs/>
                <w:sz w:val="18"/>
                <w:szCs w:val="18"/>
              </w:rPr>
              <w:t xml:space="preserve"> 2023</w:t>
            </w:r>
          </w:p>
        </w:tc>
        <w:tc>
          <w:tcPr>
            <w:tcW w:w="772" w:type="dxa"/>
            <w:noWrap/>
            <w:vAlign w:val="bottom"/>
          </w:tcPr>
          <w:p w14:paraId="5E58516B" w14:textId="39E1DE1D"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Student Support and Services*</w:t>
            </w:r>
            <w:r>
              <w:rPr>
                <w:rFonts w:ascii="Calibri" w:hAnsi="Calibri" w:cs="Calibri"/>
                <w:b/>
                <w:bCs/>
                <w:sz w:val="18"/>
                <w:szCs w:val="18"/>
              </w:rPr>
              <w:t xml:space="preserve"> 2024</w:t>
            </w:r>
          </w:p>
        </w:tc>
        <w:tc>
          <w:tcPr>
            <w:tcW w:w="772" w:type="dxa"/>
            <w:noWrap/>
            <w:vAlign w:val="bottom"/>
          </w:tcPr>
          <w:p w14:paraId="7D3862E3" w14:textId="7DC1A807"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Learning Resources</w:t>
            </w:r>
            <w:r>
              <w:rPr>
                <w:rFonts w:ascii="Calibri" w:hAnsi="Calibri" w:cs="Calibri"/>
                <w:b/>
                <w:bCs/>
                <w:sz w:val="18"/>
                <w:szCs w:val="18"/>
              </w:rPr>
              <w:t xml:space="preserve"> 2022</w:t>
            </w:r>
          </w:p>
        </w:tc>
        <w:tc>
          <w:tcPr>
            <w:tcW w:w="772" w:type="dxa"/>
            <w:noWrap/>
            <w:vAlign w:val="bottom"/>
          </w:tcPr>
          <w:p w14:paraId="7736A9AE" w14:textId="494922C9"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Learning Resources</w:t>
            </w:r>
            <w:r>
              <w:rPr>
                <w:rFonts w:ascii="Calibri" w:hAnsi="Calibri" w:cs="Calibri"/>
                <w:b/>
                <w:bCs/>
                <w:sz w:val="18"/>
                <w:szCs w:val="18"/>
              </w:rPr>
              <w:t xml:space="preserve"> 2023</w:t>
            </w:r>
          </w:p>
        </w:tc>
        <w:tc>
          <w:tcPr>
            <w:tcW w:w="771" w:type="dxa"/>
            <w:noWrap/>
            <w:vAlign w:val="bottom"/>
          </w:tcPr>
          <w:p w14:paraId="071864C9" w14:textId="3C22278A"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Learning Resources</w:t>
            </w:r>
            <w:r>
              <w:rPr>
                <w:rFonts w:ascii="Calibri" w:hAnsi="Calibri" w:cs="Calibri"/>
                <w:b/>
                <w:bCs/>
                <w:sz w:val="18"/>
                <w:szCs w:val="18"/>
              </w:rPr>
              <w:t xml:space="preserve"> 2024</w:t>
            </w:r>
          </w:p>
        </w:tc>
        <w:tc>
          <w:tcPr>
            <w:tcW w:w="772" w:type="dxa"/>
            <w:noWrap/>
            <w:vAlign w:val="bottom"/>
          </w:tcPr>
          <w:p w14:paraId="4DDF2E23" w14:textId="607BA6F3" w:rsidR="00D51402" w:rsidRPr="00973B32" w:rsidRDefault="00D51402" w:rsidP="00080D31">
            <w:pPr>
              <w:pStyle w:val="Footertable"/>
              <w:spacing w:before="120" w:after="80"/>
              <w:jc w:val="center"/>
              <w:rPr>
                <w:rFonts w:ascii="Calibri" w:hAnsi="Calibri" w:cs="Calibri"/>
                <w:color w:val="auto"/>
                <w:sz w:val="18"/>
                <w:szCs w:val="18"/>
              </w:rPr>
            </w:pPr>
            <w:r>
              <w:rPr>
                <w:rFonts w:ascii="Calibri" w:hAnsi="Calibri" w:cs="Calibri"/>
                <w:b/>
                <w:bCs/>
                <w:sz w:val="18"/>
                <w:szCs w:val="18"/>
              </w:rPr>
              <w:t>Overall Educational Experience 2022</w:t>
            </w:r>
          </w:p>
        </w:tc>
        <w:tc>
          <w:tcPr>
            <w:tcW w:w="772" w:type="dxa"/>
            <w:noWrap/>
            <w:vAlign w:val="bottom"/>
          </w:tcPr>
          <w:p w14:paraId="05F9DA9F" w14:textId="5E358174" w:rsidR="00D51402" w:rsidRPr="00973B32" w:rsidRDefault="00D51402" w:rsidP="00080D31">
            <w:pPr>
              <w:pStyle w:val="Footertable"/>
              <w:spacing w:before="120" w:after="80"/>
              <w:jc w:val="center"/>
              <w:rPr>
                <w:rFonts w:ascii="Calibri" w:hAnsi="Calibri" w:cs="Calibri"/>
                <w:color w:val="auto"/>
                <w:sz w:val="18"/>
                <w:szCs w:val="18"/>
              </w:rPr>
            </w:pPr>
            <w:r>
              <w:rPr>
                <w:rFonts w:ascii="Calibri" w:hAnsi="Calibri" w:cs="Calibri"/>
                <w:b/>
                <w:bCs/>
                <w:sz w:val="18"/>
                <w:szCs w:val="18"/>
              </w:rPr>
              <w:t>Overall Educational Experience 2023</w:t>
            </w:r>
          </w:p>
        </w:tc>
        <w:tc>
          <w:tcPr>
            <w:tcW w:w="772" w:type="dxa"/>
            <w:noWrap/>
            <w:vAlign w:val="bottom"/>
          </w:tcPr>
          <w:p w14:paraId="5D44BA6F" w14:textId="3831C28C" w:rsidR="00D51402" w:rsidRPr="00973B32" w:rsidRDefault="00D51402" w:rsidP="00080D31">
            <w:pPr>
              <w:pStyle w:val="Footertable"/>
              <w:spacing w:before="120" w:after="80"/>
              <w:jc w:val="center"/>
              <w:rPr>
                <w:rFonts w:ascii="Calibri" w:hAnsi="Calibri" w:cs="Calibri"/>
                <w:color w:val="auto"/>
                <w:sz w:val="18"/>
                <w:szCs w:val="18"/>
              </w:rPr>
            </w:pPr>
            <w:r>
              <w:rPr>
                <w:rFonts w:ascii="Calibri" w:hAnsi="Calibri" w:cs="Calibri"/>
                <w:b/>
                <w:bCs/>
                <w:sz w:val="18"/>
                <w:szCs w:val="18"/>
              </w:rPr>
              <w:t>Overall Educational Experience 2024</w:t>
            </w:r>
          </w:p>
        </w:tc>
      </w:tr>
      <w:tr w:rsidR="00FA1C14" w:rsidRPr="00516B90" w14:paraId="5CC5C98D" w14:textId="77777777" w:rsidTr="00080D31">
        <w:trPr>
          <w:trHeight w:val="302"/>
        </w:trPr>
        <w:tc>
          <w:tcPr>
            <w:tcW w:w="1555" w:type="dxa"/>
            <w:noWrap/>
            <w:vAlign w:val="center"/>
            <w:hideMark/>
          </w:tcPr>
          <w:p w14:paraId="16A94EF1" w14:textId="77777777" w:rsidR="00FA1C14" w:rsidRPr="00973B32" w:rsidRDefault="00FA1C14" w:rsidP="00080D31">
            <w:pPr>
              <w:pStyle w:val="Footertable"/>
              <w:spacing w:before="60" w:after="60"/>
              <w:rPr>
                <w:rFonts w:ascii="Calibri" w:hAnsi="Calibri" w:cs="Calibri"/>
                <w:color w:val="auto"/>
                <w:sz w:val="18"/>
                <w:szCs w:val="18"/>
              </w:rPr>
            </w:pPr>
            <w:r w:rsidRPr="00973B32">
              <w:rPr>
                <w:rFonts w:ascii="Calibri" w:hAnsi="Calibri" w:cs="Calibri"/>
                <w:color w:val="auto"/>
                <w:sz w:val="18"/>
                <w:szCs w:val="18"/>
              </w:rPr>
              <w:t>Nepal</w:t>
            </w:r>
          </w:p>
        </w:tc>
        <w:tc>
          <w:tcPr>
            <w:tcW w:w="771" w:type="dxa"/>
            <w:noWrap/>
            <w:vAlign w:val="center"/>
          </w:tcPr>
          <w:p w14:paraId="784623E0"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84.3</w:t>
            </w:r>
          </w:p>
        </w:tc>
        <w:tc>
          <w:tcPr>
            <w:tcW w:w="772" w:type="dxa"/>
            <w:noWrap/>
            <w:vAlign w:val="center"/>
          </w:tcPr>
          <w:p w14:paraId="35DB4EA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84.9</w:t>
            </w:r>
          </w:p>
        </w:tc>
        <w:tc>
          <w:tcPr>
            <w:tcW w:w="772" w:type="dxa"/>
            <w:noWrap/>
            <w:vAlign w:val="center"/>
          </w:tcPr>
          <w:p w14:paraId="3964FCF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85.7</w:t>
            </w:r>
          </w:p>
        </w:tc>
        <w:tc>
          <w:tcPr>
            <w:tcW w:w="771" w:type="dxa"/>
            <w:noWrap/>
            <w:vAlign w:val="center"/>
          </w:tcPr>
          <w:p w14:paraId="72494E38"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65.9</w:t>
            </w:r>
          </w:p>
        </w:tc>
        <w:tc>
          <w:tcPr>
            <w:tcW w:w="772" w:type="dxa"/>
            <w:noWrap/>
            <w:vAlign w:val="center"/>
          </w:tcPr>
          <w:p w14:paraId="014AA6EB"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77.6</w:t>
            </w:r>
          </w:p>
        </w:tc>
        <w:tc>
          <w:tcPr>
            <w:tcW w:w="772" w:type="dxa"/>
            <w:noWrap/>
            <w:vAlign w:val="center"/>
          </w:tcPr>
          <w:p w14:paraId="27F2407E"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80.2</w:t>
            </w:r>
          </w:p>
        </w:tc>
        <w:tc>
          <w:tcPr>
            <w:tcW w:w="772" w:type="dxa"/>
            <w:noWrap/>
            <w:vAlign w:val="center"/>
          </w:tcPr>
          <w:p w14:paraId="13A0E151"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81.7</w:t>
            </w:r>
          </w:p>
        </w:tc>
        <w:tc>
          <w:tcPr>
            <w:tcW w:w="771" w:type="dxa"/>
            <w:noWrap/>
            <w:vAlign w:val="center"/>
          </w:tcPr>
          <w:p w14:paraId="1DF0A09B"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83.9</w:t>
            </w:r>
          </w:p>
        </w:tc>
        <w:tc>
          <w:tcPr>
            <w:tcW w:w="772" w:type="dxa"/>
            <w:noWrap/>
            <w:vAlign w:val="center"/>
          </w:tcPr>
          <w:p w14:paraId="334E10AC"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83.2</w:t>
            </w:r>
          </w:p>
        </w:tc>
        <w:tc>
          <w:tcPr>
            <w:tcW w:w="772" w:type="dxa"/>
            <w:noWrap/>
            <w:vAlign w:val="center"/>
          </w:tcPr>
          <w:p w14:paraId="54E254B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79.5</w:t>
            </w:r>
          </w:p>
        </w:tc>
        <w:tc>
          <w:tcPr>
            <w:tcW w:w="771" w:type="dxa"/>
            <w:noWrap/>
            <w:vAlign w:val="center"/>
          </w:tcPr>
          <w:p w14:paraId="09D8B17C"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79.7</w:t>
            </w:r>
          </w:p>
        </w:tc>
        <w:tc>
          <w:tcPr>
            <w:tcW w:w="772" w:type="dxa"/>
            <w:noWrap/>
            <w:vAlign w:val="center"/>
          </w:tcPr>
          <w:p w14:paraId="591D984B"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79.0</w:t>
            </w:r>
          </w:p>
        </w:tc>
        <w:tc>
          <w:tcPr>
            <w:tcW w:w="772" w:type="dxa"/>
            <w:noWrap/>
            <w:vAlign w:val="center"/>
          </w:tcPr>
          <w:p w14:paraId="5F686291"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80.0</w:t>
            </w:r>
          </w:p>
        </w:tc>
        <w:tc>
          <w:tcPr>
            <w:tcW w:w="772" w:type="dxa"/>
            <w:noWrap/>
            <w:vAlign w:val="center"/>
          </w:tcPr>
          <w:p w14:paraId="429A2F0A"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78.3</w:t>
            </w:r>
          </w:p>
        </w:tc>
        <w:tc>
          <w:tcPr>
            <w:tcW w:w="771" w:type="dxa"/>
            <w:noWrap/>
            <w:vAlign w:val="center"/>
          </w:tcPr>
          <w:p w14:paraId="300B6EB9"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77.9</w:t>
            </w:r>
          </w:p>
        </w:tc>
        <w:tc>
          <w:tcPr>
            <w:tcW w:w="772" w:type="dxa"/>
            <w:noWrap/>
            <w:vAlign w:val="center"/>
          </w:tcPr>
          <w:p w14:paraId="41A36BC0"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76.1</w:t>
            </w:r>
          </w:p>
        </w:tc>
        <w:tc>
          <w:tcPr>
            <w:tcW w:w="772" w:type="dxa"/>
            <w:noWrap/>
            <w:vAlign w:val="center"/>
          </w:tcPr>
          <w:p w14:paraId="35697599"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78.1</w:t>
            </w:r>
          </w:p>
        </w:tc>
        <w:tc>
          <w:tcPr>
            <w:tcW w:w="772" w:type="dxa"/>
            <w:noWrap/>
            <w:vAlign w:val="center"/>
          </w:tcPr>
          <w:p w14:paraId="29D1480C"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76.0</w:t>
            </w:r>
          </w:p>
        </w:tc>
      </w:tr>
      <w:tr w:rsidR="00FA1C14" w:rsidRPr="00516B90" w14:paraId="6883EF12" w14:textId="77777777" w:rsidTr="00080D31">
        <w:trPr>
          <w:trHeight w:val="302"/>
        </w:trPr>
        <w:tc>
          <w:tcPr>
            <w:tcW w:w="1555" w:type="dxa"/>
            <w:noWrap/>
            <w:vAlign w:val="center"/>
            <w:hideMark/>
          </w:tcPr>
          <w:p w14:paraId="2AD21438" w14:textId="77777777" w:rsidR="00FA1C14" w:rsidRPr="00973B32" w:rsidRDefault="00FA1C14" w:rsidP="00080D31">
            <w:pPr>
              <w:pStyle w:val="Footertable"/>
              <w:spacing w:before="60" w:after="60"/>
              <w:rPr>
                <w:rFonts w:ascii="Calibri" w:hAnsi="Calibri" w:cs="Calibri"/>
                <w:color w:val="auto"/>
                <w:sz w:val="18"/>
                <w:szCs w:val="18"/>
              </w:rPr>
            </w:pPr>
            <w:r w:rsidRPr="00973B32">
              <w:rPr>
                <w:rFonts w:ascii="Calibri" w:hAnsi="Calibri" w:cs="Calibri"/>
                <w:color w:val="auto"/>
                <w:sz w:val="18"/>
                <w:szCs w:val="18"/>
              </w:rPr>
              <w:t>China (excludes SARs and Taiwan)</w:t>
            </w:r>
          </w:p>
        </w:tc>
        <w:tc>
          <w:tcPr>
            <w:tcW w:w="771" w:type="dxa"/>
            <w:noWrap/>
            <w:vAlign w:val="center"/>
          </w:tcPr>
          <w:p w14:paraId="585E74B2"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78.4</w:t>
            </w:r>
          </w:p>
        </w:tc>
        <w:tc>
          <w:tcPr>
            <w:tcW w:w="772" w:type="dxa"/>
            <w:noWrap/>
            <w:vAlign w:val="center"/>
          </w:tcPr>
          <w:p w14:paraId="3AAFAE0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78.7</w:t>
            </w:r>
          </w:p>
        </w:tc>
        <w:tc>
          <w:tcPr>
            <w:tcW w:w="772" w:type="dxa"/>
            <w:noWrap/>
            <w:vAlign w:val="center"/>
          </w:tcPr>
          <w:p w14:paraId="00B4027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78.2</w:t>
            </w:r>
          </w:p>
        </w:tc>
        <w:tc>
          <w:tcPr>
            <w:tcW w:w="771" w:type="dxa"/>
            <w:noWrap/>
            <w:vAlign w:val="center"/>
          </w:tcPr>
          <w:p w14:paraId="14CF1A0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58.6</w:t>
            </w:r>
          </w:p>
        </w:tc>
        <w:tc>
          <w:tcPr>
            <w:tcW w:w="772" w:type="dxa"/>
            <w:noWrap/>
            <w:vAlign w:val="center"/>
          </w:tcPr>
          <w:p w14:paraId="682611A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64.6</w:t>
            </w:r>
          </w:p>
        </w:tc>
        <w:tc>
          <w:tcPr>
            <w:tcW w:w="772" w:type="dxa"/>
            <w:noWrap/>
            <w:vAlign w:val="center"/>
          </w:tcPr>
          <w:p w14:paraId="177FFEDC"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65.3</w:t>
            </w:r>
          </w:p>
        </w:tc>
        <w:tc>
          <w:tcPr>
            <w:tcW w:w="772" w:type="dxa"/>
            <w:noWrap/>
            <w:vAlign w:val="center"/>
          </w:tcPr>
          <w:p w14:paraId="24610F2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79.0</w:t>
            </w:r>
          </w:p>
        </w:tc>
        <w:tc>
          <w:tcPr>
            <w:tcW w:w="771" w:type="dxa"/>
            <w:noWrap/>
            <w:vAlign w:val="center"/>
          </w:tcPr>
          <w:p w14:paraId="3A8ED463"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79.5</w:t>
            </w:r>
          </w:p>
        </w:tc>
        <w:tc>
          <w:tcPr>
            <w:tcW w:w="772" w:type="dxa"/>
            <w:noWrap/>
            <w:vAlign w:val="center"/>
          </w:tcPr>
          <w:p w14:paraId="14769A8E"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79.2</w:t>
            </w:r>
          </w:p>
        </w:tc>
        <w:tc>
          <w:tcPr>
            <w:tcW w:w="772" w:type="dxa"/>
            <w:noWrap/>
            <w:vAlign w:val="center"/>
          </w:tcPr>
          <w:p w14:paraId="25140318"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71.6</w:t>
            </w:r>
          </w:p>
        </w:tc>
        <w:tc>
          <w:tcPr>
            <w:tcW w:w="771" w:type="dxa"/>
            <w:noWrap/>
            <w:vAlign w:val="center"/>
          </w:tcPr>
          <w:p w14:paraId="0BC76A77"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74.5</w:t>
            </w:r>
          </w:p>
        </w:tc>
        <w:tc>
          <w:tcPr>
            <w:tcW w:w="772" w:type="dxa"/>
            <w:noWrap/>
            <w:vAlign w:val="center"/>
          </w:tcPr>
          <w:p w14:paraId="7C4C1A4A"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74.1</w:t>
            </w:r>
          </w:p>
        </w:tc>
        <w:tc>
          <w:tcPr>
            <w:tcW w:w="772" w:type="dxa"/>
            <w:noWrap/>
            <w:vAlign w:val="center"/>
          </w:tcPr>
          <w:p w14:paraId="0E997888"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87.7</w:t>
            </w:r>
          </w:p>
        </w:tc>
        <w:tc>
          <w:tcPr>
            <w:tcW w:w="772" w:type="dxa"/>
            <w:noWrap/>
            <w:vAlign w:val="center"/>
          </w:tcPr>
          <w:p w14:paraId="30B19F6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87.7</w:t>
            </w:r>
          </w:p>
        </w:tc>
        <w:tc>
          <w:tcPr>
            <w:tcW w:w="771" w:type="dxa"/>
            <w:noWrap/>
            <w:vAlign w:val="center"/>
          </w:tcPr>
          <w:p w14:paraId="293CC30E"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88.5</w:t>
            </w:r>
          </w:p>
        </w:tc>
        <w:tc>
          <w:tcPr>
            <w:tcW w:w="772" w:type="dxa"/>
            <w:noWrap/>
            <w:vAlign w:val="center"/>
          </w:tcPr>
          <w:p w14:paraId="1B13B001"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74.1</w:t>
            </w:r>
          </w:p>
        </w:tc>
        <w:tc>
          <w:tcPr>
            <w:tcW w:w="772" w:type="dxa"/>
            <w:noWrap/>
            <w:vAlign w:val="center"/>
          </w:tcPr>
          <w:p w14:paraId="5D53C784"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72.9</w:t>
            </w:r>
          </w:p>
        </w:tc>
        <w:tc>
          <w:tcPr>
            <w:tcW w:w="772" w:type="dxa"/>
            <w:noWrap/>
            <w:vAlign w:val="center"/>
          </w:tcPr>
          <w:p w14:paraId="7219F2C9"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72.2</w:t>
            </w:r>
          </w:p>
        </w:tc>
      </w:tr>
      <w:tr w:rsidR="00FA1C14" w:rsidRPr="00516B90" w14:paraId="23202725" w14:textId="77777777" w:rsidTr="00080D31">
        <w:trPr>
          <w:trHeight w:val="302"/>
        </w:trPr>
        <w:tc>
          <w:tcPr>
            <w:tcW w:w="1555" w:type="dxa"/>
            <w:noWrap/>
            <w:vAlign w:val="center"/>
            <w:hideMark/>
          </w:tcPr>
          <w:p w14:paraId="28776EAA" w14:textId="77777777" w:rsidR="00FA1C14" w:rsidRPr="00973B32" w:rsidRDefault="00FA1C14" w:rsidP="00080D31">
            <w:pPr>
              <w:pStyle w:val="Footertable"/>
              <w:spacing w:before="60" w:after="60"/>
              <w:rPr>
                <w:rFonts w:ascii="Calibri" w:hAnsi="Calibri" w:cs="Calibri"/>
                <w:color w:val="auto"/>
                <w:sz w:val="18"/>
                <w:szCs w:val="18"/>
              </w:rPr>
            </w:pPr>
            <w:r w:rsidRPr="00973B32">
              <w:rPr>
                <w:rFonts w:ascii="Calibri" w:hAnsi="Calibri" w:cs="Calibri"/>
                <w:color w:val="auto"/>
                <w:sz w:val="18"/>
                <w:szCs w:val="18"/>
              </w:rPr>
              <w:t>India</w:t>
            </w:r>
          </w:p>
        </w:tc>
        <w:tc>
          <w:tcPr>
            <w:tcW w:w="771" w:type="dxa"/>
            <w:noWrap/>
            <w:vAlign w:val="center"/>
          </w:tcPr>
          <w:p w14:paraId="08DD4388"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87.6</w:t>
            </w:r>
          </w:p>
        </w:tc>
        <w:tc>
          <w:tcPr>
            <w:tcW w:w="772" w:type="dxa"/>
            <w:noWrap/>
            <w:vAlign w:val="center"/>
          </w:tcPr>
          <w:p w14:paraId="2B746EBB"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88.4</w:t>
            </w:r>
          </w:p>
        </w:tc>
        <w:tc>
          <w:tcPr>
            <w:tcW w:w="772" w:type="dxa"/>
            <w:noWrap/>
            <w:vAlign w:val="center"/>
          </w:tcPr>
          <w:p w14:paraId="2CC8C9DC"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87.7</w:t>
            </w:r>
          </w:p>
        </w:tc>
        <w:tc>
          <w:tcPr>
            <w:tcW w:w="771" w:type="dxa"/>
            <w:noWrap/>
            <w:vAlign w:val="center"/>
          </w:tcPr>
          <w:p w14:paraId="2DF4D32A"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71.6</w:t>
            </w:r>
          </w:p>
        </w:tc>
        <w:tc>
          <w:tcPr>
            <w:tcW w:w="772" w:type="dxa"/>
            <w:noWrap/>
            <w:vAlign w:val="center"/>
          </w:tcPr>
          <w:p w14:paraId="2455CEB9"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77.6</w:t>
            </w:r>
          </w:p>
        </w:tc>
        <w:tc>
          <w:tcPr>
            <w:tcW w:w="772" w:type="dxa"/>
            <w:noWrap/>
            <w:vAlign w:val="center"/>
          </w:tcPr>
          <w:p w14:paraId="0AE8483B"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80.2</w:t>
            </w:r>
          </w:p>
        </w:tc>
        <w:tc>
          <w:tcPr>
            <w:tcW w:w="772" w:type="dxa"/>
            <w:noWrap/>
            <w:vAlign w:val="center"/>
          </w:tcPr>
          <w:p w14:paraId="0C27BBAE"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83.8</w:t>
            </w:r>
          </w:p>
        </w:tc>
        <w:tc>
          <w:tcPr>
            <w:tcW w:w="771" w:type="dxa"/>
            <w:noWrap/>
            <w:vAlign w:val="center"/>
          </w:tcPr>
          <w:p w14:paraId="6B57B72F"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85.6</w:t>
            </w:r>
          </w:p>
        </w:tc>
        <w:tc>
          <w:tcPr>
            <w:tcW w:w="772" w:type="dxa"/>
            <w:noWrap/>
            <w:vAlign w:val="center"/>
          </w:tcPr>
          <w:p w14:paraId="1F1B700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85.1</w:t>
            </w:r>
          </w:p>
        </w:tc>
        <w:tc>
          <w:tcPr>
            <w:tcW w:w="772" w:type="dxa"/>
            <w:noWrap/>
            <w:vAlign w:val="center"/>
          </w:tcPr>
          <w:p w14:paraId="7AA56A0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83.2</w:t>
            </w:r>
          </w:p>
        </w:tc>
        <w:tc>
          <w:tcPr>
            <w:tcW w:w="771" w:type="dxa"/>
            <w:noWrap/>
            <w:vAlign w:val="center"/>
          </w:tcPr>
          <w:p w14:paraId="36E14BD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83.9</w:t>
            </w:r>
          </w:p>
        </w:tc>
        <w:tc>
          <w:tcPr>
            <w:tcW w:w="772" w:type="dxa"/>
            <w:noWrap/>
            <w:vAlign w:val="center"/>
          </w:tcPr>
          <w:p w14:paraId="7C271AB1"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82.7</w:t>
            </w:r>
          </w:p>
        </w:tc>
        <w:tc>
          <w:tcPr>
            <w:tcW w:w="772" w:type="dxa"/>
            <w:noWrap/>
            <w:vAlign w:val="center"/>
          </w:tcPr>
          <w:p w14:paraId="03380339"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87.7</w:t>
            </w:r>
          </w:p>
        </w:tc>
        <w:tc>
          <w:tcPr>
            <w:tcW w:w="772" w:type="dxa"/>
            <w:noWrap/>
            <w:vAlign w:val="center"/>
          </w:tcPr>
          <w:p w14:paraId="16E04C32"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88.3</w:t>
            </w:r>
          </w:p>
        </w:tc>
        <w:tc>
          <w:tcPr>
            <w:tcW w:w="771" w:type="dxa"/>
            <w:noWrap/>
            <w:vAlign w:val="center"/>
          </w:tcPr>
          <w:p w14:paraId="35D7CD4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86.5</w:t>
            </w:r>
          </w:p>
        </w:tc>
        <w:tc>
          <w:tcPr>
            <w:tcW w:w="772" w:type="dxa"/>
            <w:noWrap/>
            <w:vAlign w:val="center"/>
          </w:tcPr>
          <w:p w14:paraId="32EA95E7"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77.8</w:t>
            </w:r>
          </w:p>
        </w:tc>
        <w:tc>
          <w:tcPr>
            <w:tcW w:w="772" w:type="dxa"/>
            <w:noWrap/>
            <w:vAlign w:val="center"/>
          </w:tcPr>
          <w:p w14:paraId="6C857D7B"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80.5</w:t>
            </w:r>
          </w:p>
        </w:tc>
        <w:tc>
          <w:tcPr>
            <w:tcW w:w="772" w:type="dxa"/>
            <w:noWrap/>
            <w:vAlign w:val="center"/>
          </w:tcPr>
          <w:p w14:paraId="582BCB39"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79.9</w:t>
            </w:r>
          </w:p>
        </w:tc>
      </w:tr>
      <w:tr w:rsidR="00FA1C14" w:rsidRPr="00516B90" w14:paraId="0D860A93" w14:textId="77777777" w:rsidTr="00080D31">
        <w:trPr>
          <w:trHeight w:val="302"/>
        </w:trPr>
        <w:tc>
          <w:tcPr>
            <w:tcW w:w="1555" w:type="dxa"/>
            <w:noWrap/>
            <w:vAlign w:val="center"/>
            <w:hideMark/>
          </w:tcPr>
          <w:p w14:paraId="238A7D53" w14:textId="77777777" w:rsidR="00FA1C14" w:rsidRPr="00973B32" w:rsidRDefault="00FA1C14" w:rsidP="00080D31">
            <w:pPr>
              <w:pStyle w:val="Footertable"/>
              <w:spacing w:before="60" w:after="60"/>
              <w:rPr>
                <w:rFonts w:ascii="Calibri" w:hAnsi="Calibri" w:cs="Calibri"/>
                <w:color w:val="auto"/>
                <w:sz w:val="18"/>
                <w:szCs w:val="18"/>
              </w:rPr>
            </w:pPr>
            <w:r w:rsidRPr="00973B32">
              <w:rPr>
                <w:rFonts w:ascii="Calibri" w:hAnsi="Calibri" w:cs="Calibri"/>
                <w:color w:val="auto"/>
                <w:sz w:val="18"/>
                <w:szCs w:val="18"/>
              </w:rPr>
              <w:t>Vietnam</w:t>
            </w:r>
          </w:p>
        </w:tc>
        <w:tc>
          <w:tcPr>
            <w:tcW w:w="771" w:type="dxa"/>
            <w:noWrap/>
            <w:vAlign w:val="center"/>
          </w:tcPr>
          <w:p w14:paraId="12F6AC8D"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79.7</w:t>
            </w:r>
          </w:p>
        </w:tc>
        <w:tc>
          <w:tcPr>
            <w:tcW w:w="772" w:type="dxa"/>
            <w:noWrap/>
            <w:vAlign w:val="center"/>
          </w:tcPr>
          <w:p w14:paraId="1C465712"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81.6</w:t>
            </w:r>
          </w:p>
        </w:tc>
        <w:tc>
          <w:tcPr>
            <w:tcW w:w="772" w:type="dxa"/>
            <w:noWrap/>
            <w:vAlign w:val="center"/>
          </w:tcPr>
          <w:p w14:paraId="518709B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83.5</w:t>
            </w:r>
          </w:p>
        </w:tc>
        <w:tc>
          <w:tcPr>
            <w:tcW w:w="771" w:type="dxa"/>
            <w:noWrap/>
            <w:vAlign w:val="center"/>
          </w:tcPr>
          <w:p w14:paraId="448C3920"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60.4</w:t>
            </w:r>
          </w:p>
        </w:tc>
        <w:tc>
          <w:tcPr>
            <w:tcW w:w="772" w:type="dxa"/>
            <w:noWrap/>
            <w:vAlign w:val="center"/>
          </w:tcPr>
          <w:p w14:paraId="5278485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67.2</w:t>
            </w:r>
          </w:p>
        </w:tc>
        <w:tc>
          <w:tcPr>
            <w:tcW w:w="772" w:type="dxa"/>
            <w:noWrap/>
            <w:vAlign w:val="center"/>
          </w:tcPr>
          <w:p w14:paraId="6B7BB832"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71.7</w:t>
            </w:r>
          </w:p>
        </w:tc>
        <w:tc>
          <w:tcPr>
            <w:tcW w:w="772" w:type="dxa"/>
            <w:noWrap/>
            <w:vAlign w:val="center"/>
          </w:tcPr>
          <w:p w14:paraId="045655C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77.9</w:t>
            </w:r>
          </w:p>
        </w:tc>
        <w:tc>
          <w:tcPr>
            <w:tcW w:w="771" w:type="dxa"/>
            <w:noWrap/>
            <w:vAlign w:val="center"/>
          </w:tcPr>
          <w:p w14:paraId="7F2526ED"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81.4</w:t>
            </w:r>
          </w:p>
        </w:tc>
        <w:tc>
          <w:tcPr>
            <w:tcW w:w="772" w:type="dxa"/>
            <w:noWrap/>
            <w:vAlign w:val="center"/>
          </w:tcPr>
          <w:p w14:paraId="4F53536C"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82.5</w:t>
            </w:r>
          </w:p>
        </w:tc>
        <w:tc>
          <w:tcPr>
            <w:tcW w:w="772" w:type="dxa"/>
            <w:noWrap/>
            <w:vAlign w:val="center"/>
          </w:tcPr>
          <w:p w14:paraId="4AB443DB"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73.5</w:t>
            </w:r>
          </w:p>
        </w:tc>
        <w:tc>
          <w:tcPr>
            <w:tcW w:w="771" w:type="dxa"/>
            <w:noWrap/>
            <w:vAlign w:val="center"/>
          </w:tcPr>
          <w:p w14:paraId="009BF870"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78.5</w:t>
            </w:r>
          </w:p>
        </w:tc>
        <w:tc>
          <w:tcPr>
            <w:tcW w:w="772" w:type="dxa"/>
            <w:noWrap/>
            <w:vAlign w:val="center"/>
          </w:tcPr>
          <w:p w14:paraId="7A9685EC"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80.0</w:t>
            </w:r>
          </w:p>
        </w:tc>
        <w:tc>
          <w:tcPr>
            <w:tcW w:w="772" w:type="dxa"/>
            <w:noWrap/>
            <w:vAlign w:val="center"/>
          </w:tcPr>
          <w:p w14:paraId="7B9CB980"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80.1</w:t>
            </w:r>
          </w:p>
        </w:tc>
        <w:tc>
          <w:tcPr>
            <w:tcW w:w="772" w:type="dxa"/>
            <w:noWrap/>
            <w:vAlign w:val="center"/>
          </w:tcPr>
          <w:p w14:paraId="4685582A"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83.7</w:t>
            </w:r>
          </w:p>
        </w:tc>
        <w:tc>
          <w:tcPr>
            <w:tcW w:w="771" w:type="dxa"/>
            <w:noWrap/>
            <w:vAlign w:val="center"/>
          </w:tcPr>
          <w:p w14:paraId="0494160F"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84.5</w:t>
            </w:r>
          </w:p>
        </w:tc>
        <w:tc>
          <w:tcPr>
            <w:tcW w:w="772" w:type="dxa"/>
            <w:noWrap/>
            <w:vAlign w:val="center"/>
          </w:tcPr>
          <w:p w14:paraId="401EE5E9"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70.0</w:t>
            </w:r>
          </w:p>
        </w:tc>
        <w:tc>
          <w:tcPr>
            <w:tcW w:w="772" w:type="dxa"/>
            <w:noWrap/>
            <w:vAlign w:val="center"/>
          </w:tcPr>
          <w:p w14:paraId="7C66F8C7"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72.1</w:t>
            </w:r>
          </w:p>
        </w:tc>
        <w:tc>
          <w:tcPr>
            <w:tcW w:w="772" w:type="dxa"/>
            <w:noWrap/>
            <w:vAlign w:val="center"/>
          </w:tcPr>
          <w:p w14:paraId="1562E208"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73.3</w:t>
            </w:r>
          </w:p>
        </w:tc>
      </w:tr>
      <w:tr w:rsidR="00FA1C14" w:rsidRPr="00516B90" w14:paraId="78635479" w14:textId="77777777" w:rsidTr="00080D31">
        <w:trPr>
          <w:trHeight w:val="302"/>
        </w:trPr>
        <w:tc>
          <w:tcPr>
            <w:tcW w:w="1555" w:type="dxa"/>
            <w:noWrap/>
            <w:vAlign w:val="center"/>
            <w:hideMark/>
          </w:tcPr>
          <w:p w14:paraId="6A506FAF" w14:textId="77777777" w:rsidR="00FA1C14" w:rsidRPr="00973B32" w:rsidRDefault="00FA1C14" w:rsidP="00080D31">
            <w:pPr>
              <w:pStyle w:val="Footertable"/>
              <w:spacing w:before="60" w:after="60"/>
              <w:rPr>
                <w:rFonts w:ascii="Calibri" w:hAnsi="Calibri" w:cs="Calibri"/>
                <w:color w:val="auto"/>
                <w:sz w:val="18"/>
                <w:szCs w:val="18"/>
              </w:rPr>
            </w:pPr>
            <w:r w:rsidRPr="00973B32">
              <w:rPr>
                <w:rFonts w:ascii="Calibri" w:hAnsi="Calibri" w:cs="Calibri"/>
                <w:color w:val="auto"/>
                <w:sz w:val="18"/>
                <w:szCs w:val="18"/>
              </w:rPr>
              <w:t>Malaysia</w:t>
            </w:r>
          </w:p>
        </w:tc>
        <w:tc>
          <w:tcPr>
            <w:tcW w:w="771" w:type="dxa"/>
            <w:noWrap/>
            <w:vAlign w:val="center"/>
          </w:tcPr>
          <w:p w14:paraId="2AD974F3"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81.5</w:t>
            </w:r>
          </w:p>
        </w:tc>
        <w:tc>
          <w:tcPr>
            <w:tcW w:w="772" w:type="dxa"/>
            <w:noWrap/>
            <w:vAlign w:val="center"/>
          </w:tcPr>
          <w:p w14:paraId="7368691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86.5</w:t>
            </w:r>
          </w:p>
        </w:tc>
        <w:tc>
          <w:tcPr>
            <w:tcW w:w="772" w:type="dxa"/>
            <w:noWrap/>
            <w:vAlign w:val="center"/>
          </w:tcPr>
          <w:p w14:paraId="079476E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83.6</w:t>
            </w:r>
          </w:p>
        </w:tc>
        <w:tc>
          <w:tcPr>
            <w:tcW w:w="771" w:type="dxa"/>
            <w:noWrap/>
            <w:vAlign w:val="center"/>
          </w:tcPr>
          <w:p w14:paraId="65A1D31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57.2</w:t>
            </w:r>
          </w:p>
        </w:tc>
        <w:tc>
          <w:tcPr>
            <w:tcW w:w="772" w:type="dxa"/>
            <w:noWrap/>
            <w:vAlign w:val="center"/>
          </w:tcPr>
          <w:p w14:paraId="0C2BA6B2"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66.5</w:t>
            </w:r>
          </w:p>
        </w:tc>
        <w:tc>
          <w:tcPr>
            <w:tcW w:w="772" w:type="dxa"/>
            <w:noWrap/>
            <w:vAlign w:val="center"/>
          </w:tcPr>
          <w:p w14:paraId="01A6BAE2"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68.8</w:t>
            </w:r>
          </w:p>
        </w:tc>
        <w:tc>
          <w:tcPr>
            <w:tcW w:w="772" w:type="dxa"/>
            <w:noWrap/>
            <w:vAlign w:val="center"/>
          </w:tcPr>
          <w:p w14:paraId="745C16C3"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79.2</w:t>
            </w:r>
          </w:p>
        </w:tc>
        <w:tc>
          <w:tcPr>
            <w:tcW w:w="771" w:type="dxa"/>
            <w:noWrap/>
            <w:vAlign w:val="center"/>
          </w:tcPr>
          <w:p w14:paraId="0BE22C8F"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84.0</w:t>
            </w:r>
          </w:p>
        </w:tc>
        <w:tc>
          <w:tcPr>
            <w:tcW w:w="772" w:type="dxa"/>
            <w:noWrap/>
            <w:vAlign w:val="center"/>
          </w:tcPr>
          <w:p w14:paraId="7ED41062"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81.1</w:t>
            </w:r>
          </w:p>
        </w:tc>
        <w:tc>
          <w:tcPr>
            <w:tcW w:w="772" w:type="dxa"/>
            <w:noWrap/>
            <w:vAlign w:val="center"/>
          </w:tcPr>
          <w:p w14:paraId="288586C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72.5</w:t>
            </w:r>
          </w:p>
        </w:tc>
        <w:tc>
          <w:tcPr>
            <w:tcW w:w="771" w:type="dxa"/>
            <w:noWrap/>
            <w:vAlign w:val="center"/>
          </w:tcPr>
          <w:p w14:paraId="2590277B"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80.1</w:t>
            </w:r>
          </w:p>
        </w:tc>
        <w:tc>
          <w:tcPr>
            <w:tcW w:w="772" w:type="dxa"/>
            <w:noWrap/>
            <w:vAlign w:val="center"/>
          </w:tcPr>
          <w:p w14:paraId="26477373"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77.0</w:t>
            </w:r>
          </w:p>
        </w:tc>
        <w:tc>
          <w:tcPr>
            <w:tcW w:w="772" w:type="dxa"/>
            <w:noWrap/>
            <w:vAlign w:val="center"/>
          </w:tcPr>
          <w:p w14:paraId="1E24CD7C"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81.1</w:t>
            </w:r>
          </w:p>
        </w:tc>
        <w:tc>
          <w:tcPr>
            <w:tcW w:w="772" w:type="dxa"/>
            <w:noWrap/>
            <w:vAlign w:val="center"/>
          </w:tcPr>
          <w:p w14:paraId="04EBC533"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84.9</w:t>
            </w:r>
          </w:p>
        </w:tc>
        <w:tc>
          <w:tcPr>
            <w:tcW w:w="771" w:type="dxa"/>
            <w:noWrap/>
            <w:vAlign w:val="center"/>
          </w:tcPr>
          <w:p w14:paraId="63F8DD03"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84.0</w:t>
            </w:r>
          </w:p>
        </w:tc>
        <w:tc>
          <w:tcPr>
            <w:tcW w:w="772" w:type="dxa"/>
            <w:noWrap/>
            <w:vAlign w:val="center"/>
          </w:tcPr>
          <w:p w14:paraId="5D43B1BA"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70.0</w:t>
            </w:r>
          </w:p>
        </w:tc>
        <w:tc>
          <w:tcPr>
            <w:tcW w:w="772" w:type="dxa"/>
            <w:noWrap/>
            <w:vAlign w:val="center"/>
          </w:tcPr>
          <w:p w14:paraId="09060D28"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74.9</w:t>
            </w:r>
          </w:p>
        </w:tc>
        <w:tc>
          <w:tcPr>
            <w:tcW w:w="772" w:type="dxa"/>
            <w:noWrap/>
            <w:vAlign w:val="center"/>
          </w:tcPr>
          <w:p w14:paraId="4833702D"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73.7</w:t>
            </w:r>
          </w:p>
        </w:tc>
      </w:tr>
      <w:tr w:rsidR="00FA1C14" w:rsidRPr="00624305" w14:paraId="56152DB4" w14:textId="77777777" w:rsidTr="00080D31">
        <w:trPr>
          <w:trHeight w:val="494"/>
        </w:trPr>
        <w:tc>
          <w:tcPr>
            <w:tcW w:w="1555" w:type="dxa"/>
            <w:noWrap/>
            <w:vAlign w:val="center"/>
          </w:tcPr>
          <w:p w14:paraId="15AC95E7" w14:textId="77777777" w:rsidR="00FA1C14" w:rsidRPr="00973B32" w:rsidRDefault="00FA1C14" w:rsidP="00080D31">
            <w:pPr>
              <w:pStyle w:val="Footertable"/>
              <w:spacing w:before="60" w:after="60"/>
              <w:rPr>
                <w:rFonts w:ascii="Calibri" w:hAnsi="Calibri" w:cs="Calibri"/>
                <w:b/>
                <w:bCs/>
                <w:color w:val="auto"/>
                <w:sz w:val="18"/>
                <w:szCs w:val="18"/>
              </w:rPr>
            </w:pPr>
            <w:r w:rsidRPr="00973B32">
              <w:rPr>
                <w:rFonts w:ascii="Calibri" w:hAnsi="Calibri" w:cs="Calibri"/>
                <w:b/>
                <w:bCs/>
                <w:color w:val="auto"/>
                <w:sz w:val="18"/>
                <w:szCs w:val="18"/>
              </w:rPr>
              <w:t>Total international</w:t>
            </w:r>
          </w:p>
        </w:tc>
        <w:tc>
          <w:tcPr>
            <w:tcW w:w="771" w:type="dxa"/>
            <w:noWrap/>
            <w:vAlign w:val="center"/>
          </w:tcPr>
          <w:p w14:paraId="18FF80C8" w14:textId="77777777" w:rsidR="00FA1C14" w:rsidRPr="00973B3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81.8</w:t>
            </w:r>
          </w:p>
        </w:tc>
        <w:tc>
          <w:tcPr>
            <w:tcW w:w="772" w:type="dxa"/>
            <w:noWrap/>
            <w:vAlign w:val="center"/>
          </w:tcPr>
          <w:p w14:paraId="1CFC4589" w14:textId="77777777" w:rsidR="00FA1C14" w:rsidRPr="00973B3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83.4</w:t>
            </w:r>
          </w:p>
        </w:tc>
        <w:tc>
          <w:tcPr>
            <w:tcW w:w="772" w:type="dxa"/>
            <w:noWrap/>
            <w:vAlign w:val="center"/>
          </w:tcPr>
          <w:p w14:paraId="15045A2F" w14:textId="77777777" w:rsidR="00FA1C14" w:rsidRPr="00973B3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83.7</w:t>
            </w:r>
          </w:p>
        </w:tc>
        <w:tc>
          <w:tcPr>
            <w:tcW w:w="771" w:type="dxa"/>
            <w:noWrap/>
            <w:vAlign w:val="center"/>
          </w:tcPr>
          <w:p w14:paraId="63048681" w14:textId="77777777" w:rsidR="00FA1C14" w:rsidRPr="00973B32" w:rsidDel="00D935A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61.5</w:t>
            </w:r>
          </w:p>
        </w:tc>
        <w:tc>
          <w:tcPr>
            <w:tcW w:w="772" w:type="dxa"/>
            <w:noWrap/>
            <w:vAlign w:val="center"/>
          </w:tcPr>
          <w:p w14:paraId="3FA8DD01" w14:textId="77777777" w:rsidR="00FA1C14" w:rsidRPr="00973B32" w:rsidDel="00D935A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69.5</w:t>
            </w:r>
          </w:p>
        </w:tc>
        <w:tc>
          <w:tcPr>
            <w:tcW w:w="772" w:type="dxa"/>
            <w:noWrap/>
            <w:vAlign w:val="center"/>
          </w:tcPr>
          <w:p w14:paraId="4C33368B" w14:textId="77777777" w:rsidR="00FA1C14" w:rsidRPr="00973B32" w:rsidDel="00D935A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72.2</w:t>
            </w:r>
          </w:p>
        </w:tc>
        <w:tc>
          <w:tcPr>
            <w:tcW w:w="772" w:type="dxa"/>
            <w:noWrap/>
            <w:vAlign w:val="center"/>
          </w:tcPr>
          <w:p w14:paraId="63C061C3" w14:textId="77777777" w:rsidR="00FA1C14" w:rsidRPr="00973B32" w:rsidDel="00D935A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80.2</w:t>
            </w:r>
          </w:p>
        </w:tc>
        <w:tc>
          <w:tcPr>
            <w:tcW w:w="771" w:type="dxa"/>
            <w:noWrap/>
            <w:vAlign w:val="center"/>
          </w:tcPr>
          <w:p w14:paraId="66736BED" w14:textId="77777777" w:rsidR="00FA1C14" w:rsidRPr="00973B32" w:rsidDel="00FA3C0B"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82.5</w:t>
            </w:r>
          </w:p>
        </w:tc>
        <w:tc>
          <w:tcPr>
            <w:tcW w:w="772" w:type="dxa"/>
            <w:noWrap/>
            <w:vAlign w:val="center"/>
          </w:tcPr>
          <w:p w14:paraId="75004720" w14:textId="77777777" w:rsidR="00FA1C14" w:rsidRPr="00973B32" w:rsidDel="00FA3C0B"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81.9</w:t>
            </w:r>
          </w:p>
        </w:tc>
        <w:tc>
          <w:tcPr>
            <w:tcW w:w="772" w:type="dxa"/>
            <w:noWrap/>
            <w:vAlign w:val="center"/>
          </w:tcPr>
          <w:p w14:paraId="26B58346" w14:textId="77777777" w:rsidR="00FA1C14" w:rsidRPr="00973B32" w:rsidDel="00D935A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75.0</w:t>
            </w:r>
          </w:p>
        </w:tc>
        <w:tc>
          <w:tcPr>
            <w:tcW w:w="771" w:type="dxa"/>
            <w:noWrap/>
            <w:vAlign w:val="center"/>
          </w:tcPr>
          <w:p w14:paraId="1C79D698" w14:textId="77777777" w:rsidR="00FA1C14" w:rsidRPr="00973B32" w:rsidDel="00FA3C0B"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78.1</w:t>
            </w:r>
          </w:p>
        </w:tc>
        <w:tc>
          <w:tcPr>
            <w:tcW w:w="772" w:type="dxa"/>
            <w:noWrap/>
            <w:vAlign w:val="center"/>
          </w:tcPr>
          <w:p w14:paraId="092A479C" w14:textId="77777777" w:rsidR="00FA1C14" w:rsidRPr="00973B32" w:rsidDel="00FA3C0B"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77.5</w:t>
            </w:r>
          </w:p>
        </w:tc>
        <w:tc>
          <w:tcPr>
            <w:tcW w:w="772" w:type="dxa"/>
            <w:noWrap/>
            <w:vAlign w:val="center"/>
          </w:tcPr>
          <w:p w14:paraId="3609DC9A" w14:textId="77777777" w:rsidR="00FA1C14" w:rsidRPr="00973B32" w:rsidDel="00D935A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83.8</w:t>
            </w:r>
          </w:p>
        </w:tc>
        <w:tc>
          <w:tcPr>
            <w:tcW w:w="772" w:type="dxa"/>
            <w:noWrap/>
            <w:vAlign w:val="center"/>
          </w:tcPr>
          <w:p w14:paraId="3360CAE0" w14:textId="77777777" w:rsidR="00FA1C14" w:rsidRPr="00973B32" w:rsidDel="00FA3C0B"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84.5</w:t>
            </w:r>
          </w:p>
        </w:tc>
        <w:tc>
          <w:tcPr>
            <w:tcW w:w="771" w:type="dxa"/>
            <w:noWrap/>
            <w:vAlign w:val="center"/>
          </w:tcPr>
          <w:p w14:paraId="2353BF6E" w14:textId="77777777" w:rsidR="00FA1C14" w:rsidRPr="00973B32" w:rsidDel="00FA3C0B"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83.0</w:t>
            </w:r>
          </w:p>
        </w:tc>
        <w:tc>
          <w:tcPr>
            <w:tcW w:w="772" w:type="dxa"/>
            <w:noWrap/>
            <w:vAlign w:val="center"/>
          </w:tcPr>
          <w:p w14:paraId="5EE3A072" w14:textId="77777777" w:rsidR="00FA1C14" w:rsidRPr="00973B32" w:rsidDel="00D935A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74.4</w:t>
            </w:r>
          </w:p>
        </w:tc>
        <w:tc>
          <w:tcPr>
            <w:tcW w:w="772" w:type="dxa"/>
            <w:noWrap/>
            <w:vAlign w:val="center"/>
          </w:tcPr>
          <w:p w14:paraId="5D8F2C2D" w14:textId="77777777" w:rsidR="00FA1C14" w:rsidRPr="00973B32" w:rsidDel="00FA3C0B"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75.8</w:t>
            </w:r>
          </w:p>
        </w:tc>
        <w:tc>
          <w:tcPr>
            <w:tcW w:w="772" w:type="dxa"/>
            <w:noWrap/>
            <w:vAlign w:val="center"/>
          </w:tcPr>
          <w:p w14:paraId="589E905D" w14:textId="77777777" w:rsidR="00FA1C14" w:rsidRPr="00973B32" w:rsidDel="00FA3C0B"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74.9</w:t>
            </w:r>
          </w:p>
        </w:tc>
      </w:tr>
    </w:tbl>
    <w:p w14:paraId="519E0311" w14:textId="248CC97F" w:rsidR="00B1771A" w:rsidRDefault="00B1771A" w:rsidP="00A20DA0">
      <w:pPr>
        <w:pStyle w:val="FigureNote"/>
      </w:pPr>
      <w:r>
        <w:t xml:space="preserve">Note: </w:t>
      </w:r>
      <w:r w:rsidRPr="00016C8B">
        <w:t xml:space="preserve">Source country </w:t>
      </w:r>
      <w:r w:rsidR="00FB3DF9">
        <w:t>was derived from E</w:t>
      </w:r>
      <w:r w:rsidR="00D94B90">
        <w:t>3</w:t>
      </w:r>
      <w:r w:rsidR="00FB3DF9">
        <w:t xml:space="preserve">46 Country of birth prior to 2024. </w:t>
      </w:r>
      <w:r w:rsidR="009A4EA2">
        <w:t>From</w:t>
      </w:r>
      <w:r w:rsidRPr="00016C8B">
        <w:t xml:space="preserve"> 2024</w:t>
      </w:r>
      <w:r w:rsidR="009A4EA2">
        <w:t>, source country</w:t>
      </w:r>
      <w:r w:rsidRPr="00016C8B">
        <w:t xml:space="preserve"> </w:t>
      </w:r>
      <w:r>
        <w:t>wa</w:t>
      </w:r>
      <w:r w:rsidRPr="00016C8B">
        <w:t>s based on E658 Residential address country code</w:t>
      </w:r>
      <w:r>
        <w:t xml:space="preserve">. </w:t>
      </w:r>
      <w:r w:rsidRPr="009F41B5">
        <w:t xml:space="preserve">Source countries shown in this </w:t>
      </w:r>
      <w:r w:rsidR="00261FDD">
        <w:t>table</w:t>
      </w:r>
      <w:r w:rsidRPr="009F41B5">
        <w:t xml:space="preserve"> represent the top </w:t>
      </w:r>
      <w:r>
        <w:t>5</w:t>
      </w:r>
      <w:r w:rsidRPr="009F41B5">
        <w:t xml:space="preserve"> by number of survey respondents, ordered from </w:t>
      </w:r>
      <w:r w:rsidR="004470AB">
        <w:t>l</w:t>
      </w:r>
      <w:r w:rsidRPr="009F41B5">
        <w:t>argest to smallest.</w:t>
      </w:r>
    </w:p>
    <w:p w14:paraId="05873E24" w14:textId="272616BC" w:rsidR="00FA1C14" w:rsidRPr="00A20DA0" w:rsidRDefault="00B0787E" w:rsidP="00A20DA0">
      <w:pPr>
        <w:pStyle w:val="FigureNote"/>
        <w:rPr>
          <w:szCs w:val="16"/>
        </w:rPr>
      </w:pPr>
      <w:r w:rsidRPr="00A20DA0">
        <w:rPr>
          <w:szCs w:val="16"/>
        </w:rPr>
        <w:t>*</w:t>
      </w:r>
      <w:r w:rsidR="00FA1C14" w:rsidRPr="00A20DA0">
        <w:rPr>
          <w:szCs w:val="16"/>
        </w:rPr>
        <w:t xml:space="preserve"> </w:t>
      </w:r>
      <w:r w:rsidRPr="00A20DA0">
        <w:rPr>
          <w:szCs w:val="16"/>
        </w:rPr>
        <w:t>P</w:t>
      </w:r>
      <w:r w:rsidR="00FA1C14" w:rsidRPr="00A20DA0">
        <w:rPr>
          <w:szCs w:val="16"/>
        </w:rPr>
        <w:t xml:space="preserve">rior to 2023, the Peer Engagement focus area was named Learner Engagement and Student Support and Services, was previously the Student Support focus area. This table should be used to compare the cohort responses but year on year comparisons between 2022 and 2023 </w:t>
      </w:r>
      <w:r w:rsidR="00163121" w:rsidRPr="00A20DA0">
        <w:rPr>
          <w:szCs w:val="16"/>
        </w:rPr>
        <w:t xml:space="preserve">should be </w:t>
      </w:r>
      <w:r w:rsidR="00FA1C14" w:rsidRPr="00A20DA0">
        <w:rPr>
          <w:szCs w:val="16"/>
        </w:rPr>
        <w:t>treated with caution.</w:t>
      </w:r>
    </w:p>
    <w:p w14:paraId="4EACD5A2" w14:textId="77777777" w:rsidR="002A135C" w:rsidRDefault="002A135C">
      <w:pPr>
        <w:spacing w:after="160" w:line="259" w:lineRule="auto"/>
        <w:rPr>
          <w:rFonts w:eastAsia="Times New Roman" w:cs="Arial"/>
          <w:b/>
          <w:bCs/>
          <w:color w:val="000000" w:themeColor="text1"/>
          <w:sz w:val="21"/>
          <w:szCs w:val="21"/>
          <w:lang w:eastAsia="en-AU"/>
        </w:rPr>
      </w:pPr>
      <w:bookmarkStart w:id="164" w:name="_Toc206692297"/>
      <w:r>
        <w:rPr>
          <w:color w:val="000000" w:themeColor="text1"/>
        </w:rPr>
        <w:br w:type="page"/>
      </w:r>
    </w:p>
    <w:p w14:paraId="6384390E" w14:textId="71B88400" w:rsidR="00FA1C14" w:rsidRPr="002A135C" w:rsidRDefault="00FA1C14" w:rsidP="002A135C">
      <w:pPr>
        <w:pStyle w:val="Caption"/>
        <w:rPr>
          <w:color w:val="000000" w:themeColor="text1"/>
        </w:rPr>
      </w:pPr>
      <w:r w:rsidRPr="00D51402">
        <w:rPr>
          <w:color w:val="000000" w:themeColor="text1"/>
        </w:rPr>
        <w:lastRenderedPageBreak/>
        <w:t xml:space="preserve">Table </w:t>
      </w:r>
      <w:r w:rsidR="001E216A" w:rsidRPr="00D51402">
        <w:rPr>
          <w:color w:val="000000" w:themeColor="text1"/>
        </w:rPr>
        <w:fldChar w:fldCharType="begin"/>
      </w:r>
      <w:r w:rsidR="001E216A" w:rsidRPr="00D51402">
        <w:rPr>
          <w:color w:val="000000" w:themeColor="text1"/>
        </w:rPr>
        <w:instrText xml:space="preserve"> SEQ Table \* ARABIC </w:instrText>
      </w:r>
      <w:r w:rsidR="001E216A" w:rsidRPr="00D51402">
        <w:rPr>
          <w:color w:val="000000" w:themeColor="text1"/>
        </w:rPr>
        <w:fldChar w:fldCharType="separate"/>
      </w:r>
      <w:r w:rsidR="00F96AB4">
        <w:rPr>
          <w:noProof/>
          <w:color w:val="000000" w:themeColor="text1"/>
        </w:rPr>
        <w:t>5</w:t>
      </w:r>
      <w:r w:rsidR="001E216A" w:rsidRPr="00D51402">
        <w:rPr>
          <w:noProof/>
          <w:color w:val="000000" w:themeColor="text1"/>
        </w:rPr>
        <w:fldChar w:fldCharType="end"/>
      </w:r>
      <w:r w:rsidRPr="00D51402">
        <w:rPr>
          <w:color w:val="000000" w:themeColor="text1"/>
        </w:rPr>
        <w:t xml:space="preserve"> International postgraduate coursework student education experience by source country</w:t>
      </w:r>
      <w:r w:rsidR="0017274B" w:rsidRPr="00D51402">
        <w:rPr>
          <w:color w:val="000000" w:themeColor="text1"/>
        </w:rPr>
        <w:t>, 2022-2024</w:t>
      </w:r>
      <w:r w:rsidRPr="00D51402">
        <w:rPr>
          <w:color w:val="000000" w:themeColor="text1"/>
        </w:rPr>
        <w:t xml:space="preserve"> (% positive rating)</w:t>
      </w:r>
      <w:bookmarkEnd w:id="164"/>
    </w:p>
    <w:tbl>
      <w:tblPr>
        <w:tblStyle w:val="TableGrid1"/>
        <w:tblW w:w="15446" w:type="dxa"/>
        <w:tblLayout w:type="fixed"/>
        <w:tblLook w:val="04A0" w:firstRow="1" w:lastRow="0" w:firstColumn="1" w:lastColumn="0" w:noHBand="0" w:noVBand="1"/>
      </w:tblPr>
      <w:tblGrid>
        <w:gridCol w:w="1555"/>
        <w:gridCol w:w="771"/>
        <w:gridCol w:w="772"/>
        <w:gridCol w:w="772"/>
        <w:gridCol w:w="771"/>
        <w:gridCol w:w="772"/>
        <w:gridCol w:w="772"/>
        <w:gridCol w:w="772"/>
        <w:gridCol w:w="771"/>
        <w:gridCol w:w="772"/>
        <w:gridCol w:w="772"/>
        <w:gridCol w:w="771"/>
        <w:gridCol w:w="772"/>
        <w:gridCol w:w="772"/>
        <w:gridCol w:w="772"/>
        <w:gridCol w:w="771"/>
        <w:gridCol w:w="772"/>
        <w:gridCol w:w="772"/>
        <w:gridCol w:w="772"/>
      </w:tblGrid>
      <w:tr w:rsidR="00364236" w:rsidRPr="00656013" w14:paraId="7F1910B7" w14:textId="77777777" w:rsidTr="00364236">
        <w:trPr>
          <w:trHeight w:val="302"/>
          <w:tblHeader/>
        </w:trPr>
        <w:tc>
          <w:tcPr>
            <w:tcW w:w="1555" w:type="dxa"/>
            <w:noWrap/>
            <w:vAlign w:val="bottom"/>
          </w:tcPr>
          <w:p w14:paraId="11511658" w14:textId="77777777" w:rsidR="003412D0" w:rsidRPr="00973B32" w:rsidRDefault="003412D0" w:rsidP="003412D0">
            <w:pPr>
              <w:pStyle w:val="Footertable"/>
              <w:spacing w:before="120" w:after="80"/>
              <w:jc w:val="center"/>
              <w:rPr>
                <w:rFonts w:ascii="Calibri" w:hAnsi="Calibri" w:cs="Calibri"/>
                <w:sz w:val="18"/>
                <w:szCs w:val="18"/>
              </w:rPr>
            </w:pPr>
          </w:p>
        </w:tc>
        <w:tc>
          <w:tcPr>
            <w:tcW w:w="771" w:type="dxa"/>
            <w:noWrap/>
            <w:vAlign w:val="bottom"/>
          </w:tcPr>
          <w:p w14:paraId="6ED2DBAC" w14:textId="490D6249"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Skills Development</w:t>
            </w:r>
            <w:r>
              <w:rPr>
                <w:rFonts w:ascii="Calibri" w:hAnsi="Calibri" w:cs="Calibri"/>
                <w:b/>
                <w:bCs/>
                <w:sz w:val="18"/>
                <w:szCs w:val="18"/>
              </w:rPr>
              <w:t xml:space="preserve"> 2022</w:t>
            </w:r>
          </w:p>
        </w:tc>
        <w:tc>
          <w:tcPr>
            <w:tcW w:w="772" w:type="dxa"/>
            <w:noWrap/>
            <w:vAlign w:val="bottom"/>
          </w:tcPr>
          <w:p w14:paraId="2A424E0C" w14:textId="21806064"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Skills Development</w:t>
            </w:r>
            <w:r>
              <w:rPr>
                <w:rFonts w:ascii="Calibri" w:hAnsi="Calibri" w:cs="Calibri"/>
                <w:b/>
                <w:bCs/>
                <w:sz w:val="18"/>
                <w:szCs w:val="18"/>
              </w:rPr>
              <w:t xml:space="preserve"> 2023</w:t>
            </w:r>
          </w:p>
        </w:tc>
        <w:tc>
          <w:tcPr>
            <w:tcW w:w="772" w:type="dxa"/>
            <w:noWrap/>
            <w:vAlign w:val="bottom"/>
          </w:tcPr>
          <w:p w14:paraId="4CB8DFE0" w14:textId="54FE95F2"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Skills Development</w:t>
            </w:r>
            <w:r>
              <w:rPr>
                <w:rFonts w:ascii="Calibri" w:hAnsi="Calibri" w:cs="Calibri"/>
                <w:b/>
                <w:bCs/>
                <w:sz w:val="18"/>
                <w:szCs w:val="18"/>
              </w:rPr>
              <w:t xml:space="preserve"> 2024</w:t>
            </w:r>
          </w:p>
        </w:tc>
        <w:tc>
          <w:tcPr>
            <w:tcW w:w="771" w:type="dxa"/>
            <w:noWrap/>
            <w:vAlign w:val="bottom"/>
          </w:tcPr>
          <w:p w14:paraId="6B717315" w14:textId="45CB58E7"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Peer Engagement*</w:t>
            </w:r>
            <w:r>
              <w:rPr>
                <w:rFonts w:ascii="Calibri" w:hAnsi="Calibri" w:cs="Calibri"/>
                <w:b/>
                <w:bCs/>
                <w:sz w:val="18"/>
                <w:szCs w:val="18"/>
              </w:rPr>
              <w:t xml:space="preserve"> 2022</w:t>
            </w:r>
          </w:p>
        </w:tc>
        <w:tc>
          <w:tcPr>
            <w:tcW w:w="772" w:type="dxa"/>
            <w:noWrap/>
            <w:vAlign w:val="bottom"/>
          </w:tcPr>
          <w:p w14:paraId="7A58DD3E" w14:textId="251E76A7"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Peer Engagement*</w:t>
            </w:r>
            <w:r>
              <w:rPr>
                <w:rFonts w:ascii="Calibri" w:hAnsi="Calibri" w:cs="Calibri"/>
                <w:b/>
                <w:bCs/>
                <w:sz w:val="18"/>
                <w:szCs w:val="18"/>
              </w:rPr>
              <w:t xml:space="preserve"> 2023</w:t>
            </w:r>
          </w:p>
        </w:tc>
        <w:tc>
          <w:tcPr>
            <w:tcW w:w="772" w:type="dxa"/>
            <w:noWrap/>
            <w:vAlign w:val="bottom"/>
          </w:tcPr>
          <w:p w14:paraId="3E2C9407" w14:textId="1CBAAB41"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Peer Engagement*</w:t>
            </w:r>
            <w:r>
              <w:rPr>
                <w:rFonts w:ascii="Calibri" w:hAnsi="Calibri" w:cs="Calibri"/>
                <w:b/>
                <w:bCs/>
                <w:sz w:val="18"/>
                <w:szCs w:val="18"/>
              </w:rPr>
              <w:t xml:space="preserve"> 2024</w:t>
            </w:r>
          </w:p>
        </w:tc>
        <w:tc>
          <w:tcPr>
            <w:tcW w:w="772" w:type="dxa"/>
            <w:noWrap/>
            <w:vAlign w:val="bottom"/>
          </w:tcPr>
          <w:p w14:paraId="4F3797CD" w14:textId="40489423"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Teaching Quality and Engagement</w:t>
            </w:r>
            <w:r>
              <w:rPr>
                <w:rFonts w:ascii="Calibri" w:hAnsi="Calibri" w:cs="Calibri"/>
                <w:b/>
                <w:bCs/>
                <w:sz w:val="18"/>
                <w:szCs w:val="18"/>
              </w:rPr>
              <w:t xml:space="preserve"> 2022</w:t>
            </w:r>
          </w:p>
        </w:tc>
        <w:tc>
          <w:tcPr>
            <w:tcW w:w="771" w:type="dxa"/>
            <w:noWrap/>
            <w:vAlign w:val="bottom"/>
          </w:tcPr>
          <w:p w14:paraId="22C76359" w14:textId="3B67CD0B"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Teaching Quality and Engagement</w:t>
            </w:r>
            <w:r>
              <w:rPr>
                <w:rFonts w:ascii="Calibri" w:hAnsi="Calibri" w:cs="Calibri"/>
                <w:b/>
                <w:bCs/>
                <w:sz w:val="18"/>
                <w:szCs w:val="18"/>
              </w:rPr>
              <w:t xml:space="preserve"> 2023</w:t>
            </w:r>
          </w:p>
        </w:tc>
        <w:tc>
          <w:tcPr>
            <w:tcW w:w="772" w:type="dxa"/>
            <w:noWrap/>
            <w:vAlign w:val="bottom"/>
          </w:tcPr>
          <w:p w14:paraId="563B18EF" w14:textId="18320008"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Teaching Quality and Engagement</w:t>
            </w:r>
            <w:r>
              <w:rPr>
                <w:rFonts w:ascii="Calibri" w:hAnsi="Calibri" w:cs="Calibri"/>
                <w:b/>
                <w:bCs/>
                <w:sz w:val="18"/>
                <w:szCs w:val="18"/>
              </w:rPr>
              <w:t xml:space="preserve"> 2024</w:t>
            </w:r>
          </w:p>
        </w:tc>
        <w:tc>
          <w:tcPr>
            <w:tcW w:w="772" w:type="dxa"/>
            <w:noWrap/>
            <w:vAlign w:val="bottom"/>
          </w:tcPr>
          <w:p w14:paraId="34386D3B" w14:textId="5137EEFF"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Student Support and Services*</w:t>
            </w:r>
            <w:r>
              <w:rPr>
                <w:rFonts w:ascii="Calibri" w:hAnsi="Calibri" w:cs="Calibri"/>
                <w:b/>
                <w:bCs/>
                <w:sz w:val="18"/>
                <w:szCs w:val="18"/>
              </w:rPr>
              <w:t xml:space="preserve"> 2022</w:t>
            </w:r>
          </w:p>
        </w:tc>
        <w:tc>
          <w:tcPr>
            <w:tcW w:w="771" w:type="dxa"/>
            <w:noWrap/>
            <w:vAlign w:val="bottom"/>
          </w:tcPr>
          <w:p w14:paraId="73C33331" w14:textId="69D8A066"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Student Support and Services*</w:t>
            </w:r>
            <w:r>
              <w:rPr>
                <w:rFonts w:ascii="Calibri" w:hAnsi="Calibri" w:cs="Calibri"/>
                <w:b/>
                <w:bCs/>
                <w:sz w:val="18"/>
                <w:szCs w:val="18"/>
              </w:rPr>
              <w:t xml:space="preserve"> 2023</w:t>
            </w:r>
          </w:p>
        </w:tc>
        <w:tc>
          <w:tcPr>
            <w:tcW w:w="772" w:type="dxa"/>
            <w:noWrap/>
            <w:vAlign w:val="bottom"/>
          </w:tcPr>
          <w:p w14:paraId="228FD8F0" w14:textId="368E5B3F"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Student Support and Services*</w:t>
            </w:r>
            <w:r>
              <w:rPr>
                <w:rFonts w:ascii="Calibri" w:hAnsi="Calibri" w:cs="Calibri"/>
                <w:b/>
                <w:bCs/>
                <w:sz w:val="18"/>
                <w:szCs w:val="18"/>
              </w:rPr>
              <w:t xml:space="preserve"> 2024</w:t>
            </w:r>
          </w:p>
        </w:tc>
        <w:tc>
          <w:tcPr>
            <w:tcW w:w="772" w:type="dxa"/>
            <w:noWrap/>
            <w:vAlign w:val="bottom"/>
          </w:tcPr>
          <w:p w14:paraId="03822584" w14:textId="0E4F52D6"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Learning Resources</w:t>
            </w:r>
            <w:r>
              <w:rPr>
                <w:rFonts w:ascii="Calibri" w:hAnsi="Calibri" w:cs="Calibri"/>
                <w:b/>
                <w:bCs/>
                <w:sz w:val="18"/>
                <w:szCs w:val="18"/>
              </w:rPr>
              <w:t xml:space="preserve"> 2022</w:t>
            </w:r>
          </w:p>
        </w:tc>
        <w:tc>
          <w:tcPr>
            <w:tcW w:w="772" w:type="dxa"/>
            <w:noWrap/>
            <w:vAlign w:val="bottom"/>
          </w:tcPr>
          <w:p w14:paraId="32E5E084" w14:textId="14299225"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Learning Resources</w:t>
            </w:r>
            <w:r>
              <w:rPr>
                <w:rFonts w:ascii="Calibri" w:hAnsi="Calibri" w:cs="Calibri"/>
                <w:b/>
                <w:bCs/>
                <w:sz w:val="18"/>
                <w:szCs w:val="18"/>
              </w:rPr>
              <w:t xml:space="preserve"> 2023</w:t>
            </w:r>
          </w:p>
        </w:tc>
        <w:tc>
          <w:tcPr>
            <w:tcW w:w="771" w:type="dxa"/>
            <w:noWrap/>
            <w:vAlign w:val="bottom"/>
          </w:tcPr>
          <w:p w14:paraId="37E2FE32" w14:textId="19D843F9"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Learning Resources</w:t>
            </w:r>
            <w:r>
              <w:rPr>
                <w:rFonts w:ascii="Calibri" w:hAnsi="Calibri" w:cs="Calibri"/>
                <w:b/>
                <w:bCs/>
                <w:sz w:val="18"/>
                <w:szCs w:val="18"/>
              </w:rPr>
              <w:t xml:space="preserve"> 2024</w:t>
            </w:r>
          </w:p>
        </w:tc>
        <w:tc>
          <w:tcPr>
            <w:tcW w:w="772" w:type="dxa"/>
            <w:noWrap/>
            <w:vAlign w:val="bottom"/>
          </w:tcPr>
          <w:p w14:paraId="1A3EA0A1" w14:textId="18B47995" w:rsidR="003412D0" w:rsidRPr="00973B32" w:rsidRDefault="003412D0" w:rsidP="003412D0">
            <w:pPr>
              <w:pStyle w:val="Footertable"/>
              <w:spacing w:before="120" w:after="80"/>
              <w:jc w:val="center"/>
              <w:rPr>
                <w:rFonts w:ascii="Calibri" w:hAnsi="Calibri" w:cs="Calibri"/>
                <w:color w:val="auto"/>
                <w:sz w:val="18"/>
                <w:szCs w:val="18"/>
              </w:rPr>
            </w:pPr>
            <w:r>
              <w:rPr>
                <w:rFonts w:ascii="Calibri" w:hAnsi="Calibri" w:cs="Calibri"/>
                <w:b/>
                <w:bCs/>
                <w:sz w:val="18"/>
                <w:szCs w:val="18"/>
              </w:rPr>
              <w:t>Overall Educational Experience 2022</w:t>
            </w:r>
          </w:p>
        </w:tc>
        <w:tc>
          <w:tcPr>
            <w:tcW w:w="772" w:type="dxa"/>
            <w:noWrap/>
            <w:vAlign w:val="bottom"/>
          </w:tcPr>
          <w:p w14:paraId="6FA4F982" w14:textId="5EA8FF9A" w:rsidR="003412D0" w:rsidRPr="00973B32" w:rsidRDefault="003412D0" w:rsidP="003412D0">
            <w:pPr>
              <w:pStyle w:val="Footertable"/>
              <w:spacing w:before="120" w:after="80"/>
              <w:jc w:val="center"/>
              <w:rPr>
                <w:rFonts w:ascii="Calibri" w:hAnsi="Calibri" w:cs="Calibri"/>
                <w:color w:val="auto"/>
                <w:sz w:val="18"/>
                <w:szCs w:val="18"/>
              </w:rPr>
            </w:pPr>
            <w:r>
              <w:rPr>
                <w:rFonts w:ascii="Calibri" w:hAnsi="Calibri" w:cs="Calibri"/>
                <w:b/>
                <w:bCs/>
                <w:sz w:val="18"/>
                <w:szCs w:val="18"/>
              </w:rPr>
              <w:t>Overall Educational Experience 2023</w:t>
            </w:r>
          </w:p>
        </w:tc>
        <w:tc>
          <w:tcPr>
            <w:tcW w:w="772" w:type="dxa"/>
            <w:noWrap/>
            <w:vAlign w:val="bottom"/>
          </w:tcPr>
          <w:p w14:paraId="2704D2D6" w14:textId="146292CF" w:rsidR="003412D0" w:rsidRPr="00973B32" w:rsidRDefault="003412D0" w:rsidP="003412D0">
            <w:pPr>
              <w:pStyle w:val="Footertable"/>
              <w:spacing w:before="120" w:after="80"/>
              <w:jc w:val="center"/>
              <w:rPr>
                <w:rFonts w:ascii="Calibri" w:hAnsi="Calibri" w:cs="Calibri"/>
                <w:color w:val="auto"/>
                <w:sz w:val="18"/>
                <w:szCs w:val="18"/>
              </w:rPr>
            </w:pPr>
            <w:r>
              <w:rPr>
                <w:rFonts w:ascii="Calibri" w:hAnsi="Calibri" w:cs="Calibri"/>
                <w:b/>
                <w:bCs/>
                <w:sz w:val="18"/>
                <w:szCs w:val="18"/>
              </w:rPr>
              <w:t>Overall Educational Experience 2024</w:t>
            </w:r>
          </w:p>
        </w:tc>
      </w:tr>
      <w:tr w:rsidR="00FA1C14" w:rsidRPr="00656013" w14:paraId="770BCAB9" w14:textId="77777777" w:rsidTr="00364236">
        <w:trPr>
          <w:trHeight w:val="302"/>
        </w:trPr>
        <w:tc>
          <w:tcPr>
            <w:tcW w:w="1555" w:type="dxa"/>
            <w:noWrap/>
            <w:vAlign w:val="center"/>
            <w:hideMark/>
          </w:tcPr>
          <w:p w14:paraId="417FC894" w14:textId="77777777" w:rsidR="00FA1C14" w:rsidRPr="00973B32" w:rsidRDefault="00FA1C14" w:rsidP="00364236">
            <w:pPr>
              <w:pStyle w:val="Footertable"/>
              <w:spacing w:before="60" w:after="60"/>
              <w:rPr>
                <w:rFonts w:ascii="Calibri" w:hAnsi="Calibri" w:cs="Calibri"/>
                <w:sz w:val="18"/>
                <w:szCs w:val="18"/>
              </w:rPr>
            </w:pPr>
            <w:r w:rsidRPr="00973B32">
              <w:rPr>
                <w:rFonts w:ascii="Calibri" w:hAnsi="Calibri" w:cs="Calibri"/>
                <w:sz w:val="18"/>
                <w:szCs w:val="18"/>
              </w:rPr>
              <w:t>China (excludes SARs and Taiwan)</w:t>
            </w:r>
          </w:p>
        </w:tc>
        <w:tc>
          <w:tcPr>
            <w:tcW w:w="771" w:type="dxa"/>
            <w:noWrap/>
            <w:vAlign w:val="center"/>
          </w:tcPr>
          <w:p w14:paraId="5E3EAABC"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81.5</w:t>
            </w:r>
          </w:p>
        </w:tc>
        <w:tc>
          <w:tcPr>
            <w:tcW w:w="772" w:type="dxa"/>
            <w:noWrap/>
            <w:vAlign w:val="center"/>
          </w:tcPr>
          <w:p w14:paraId="2528C763"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80.7</w:t>
            </w:r>
          </w:p>
        </w:tc>
        <w:tc>
          <w:tcPr>
            <w:tcW w:w="772" w:type="dxa"/>
            <w:noWrap/>
            <w:vAlign w:val="center"/>
          </w:tcPr>
          <w:p w14:paraId="2875F9AF"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81.0</w:t>
            </w:r>
          </w:p>
        </w:tc>
        <w:tc>
          <w:tcPr>
            <w:tcW w:w="771" w:type="dxa"/>
            <w:noWrap/>
            <w:vAlign w:val="center"/>
          </w:tcPr>
          <w:p w14:paraId="50F86472"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58.7</w:t>
            </w:r>
          </w:p>
        </w:tc>
        <w:tc>
          <w:tcPr>
            <w:tcW w:w="772" w:type="dxa"/>
            <w:noWrap/>
            <w:vAlign w:val="center"/>
          </w:tcPr>
          <w:p w14:paraId="64325A41"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67.6</w:t>
            </w:r>
          </w:p>
        </w:tc>
        <w:tc>
          <w:tcPr>
            <w:tcW w:w="772" w:type="dxa"/>
            <w:noWrap/>
            <w:vAlign w:val="center"/>
          </w:tcPr>
          <w:p w14:paraId="7ABD5E94"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70.2</w:t>
            </w:r>
          </w:p>
        </w:tc>
        <w:tc>
          <w:tcPr>
            <w:tcW w:w="772" w:type="dxa"/>
            <w:noWrap/>
            <w:vAlign w:val="center"/>
          </w:tcPr>
          <w:p w14:paraId="4DE25458"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81.9</w:t>
            </w:r>
          </w:p>
        </w:tc>
        <w:tc>
          <w:tcPr>
            <w:tcW w:w="771" w:type="dxa"/>
            <w:noWrap/>
            <w:vAlign w:val="center"/>
          </w:tcPr>
          <w:p w14:paraId="7ECA821E"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79.8</w:t>
            </w:r>
          </w:p>
        </w:tc>
        <w:tc>
          <w:tcPr>
            <w:tcW w:w="772" w:type="dxa"/>
            <w:noWrap/>
            <w:vAlign w:val="center"/>
          </w:tcPr>
          <w:p w14:paraId="39EEA40C"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80.1</w:t>
            </w:r>
          </w:p>
        </w:tc>
        <w:tc>
          <w:tcPr>
            <w:tcW w:w="772" w:type="dxa"/>
            <w:noWrap/>
            <w:vAlign w:val="center"/>
          </w:tcPr>
          <w:p w14:paraId="1318309C"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74.7</w:t>
            </w:r>
          </w:p>
        </w:tc>
        <w:tc>
          <w:tcPr>
            <w:tcW w:w="771" w:type="dxa"/>
            <w:noWrap/>
            <w:vAlign w:val="center"/>
          </w:tcPr>
          <w:p w14:paraId="220D98C1"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75.0</w:t>
            </w:r>
          </w:p>
        </w:tc>
        <w:tc>
          <w:tcPr>
            <w:tcW w:w="772" w:type="dxa"/>
            <w:noWrap/>
            <w:vAlign w:val="center"/>
          </w:tcPr>
          <w:p w14:paraId="7EA9F3E9"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74.5</w:t>
            </w:r>
          </w:p>
        </w:tc>
        <w:tc>
          <w:tcPr>
            <w:tcW w:w="772" w:type="dxa"/>
            <w:noWrap/>
            <w:vAlign w:val="center"/>
          </w:tcPr>
          <w:p w14:paraId="58FF1CA4"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88.6</w:t>
            </w:r>
          </w:p>
        </w:tc>
        <w:tc>
          <w:tcPr>
            <w:tcW w:w="772" w:type="dxa"/>
            <w:noWrap/>
            <w:vAlign w:val="center"/>
          </w:tcPr>
          <w:p w14:paraId="4DFAA81A"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88.1</w:t>
            </w:r>
          </w:p>
        </w:tc>
        <w:tc>
          <w:tcPr>
            <w:tcW w:w="771" w:type="dxa"/>
            <w:noWrap/>
            <w:vAlign w:val="center"/>
          </w:tcPr>
          <w:p w14:paraId="240FD632"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88.0</w:t>
            </w:r>
          </w:p>
        </w:tc>
        <w:tc>
          <w:tcPr>
            <w:tcW w:w="772" w:type="dxa"/>
            <w:noWrap/>
            <w:vAlign w:val="center"/>
          </w:tcPr>
          <w:p w14:paraId="0E991375"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77.7</w:t>
            </w:r>
          </w:p>
        </w:tc>
        <w:tc>
          <w:tcPr>
            <w:tcW w:w="772" w:type="dxa"/>
            <w:noWrap/>
            <w:vAlign w:val="center"/>
          </w:tcPr>
          <w:p w14:paraId="218C3A6F"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72.6</w:t>
            </w:r>
          </w:p>
        </w:tc>
        <w:tc>
          <w:tcPr>
            <w:tcW w:w="772" w:type="dxa"/>
            <w:noWrap/>
            <w:vAlign w:val="center"/>
          </w:tcPr>
          <w:p w14:paraId="1BAA8061"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71.3</w:t>
            </w:r>
          </w:p>
        </w:tc>
      </w:tr>
      <w:tr w:rsidR="00FA1C14" w:rsidRPr="00656013" w14:paraId="7FD0F446" w14:textId="77777777" w:rsidTr="00364236">
        <w:trPr>
          <w:trHeight w:val="302"/>
        </w:trPr>
        <w:tc>
          <w:tcPr>
            <w:tcW w:w="1555" w:type="dxa"/>
            <w:noWrap/>
            <w:vAlign w:val="center"/>
            <w:hideMark/>
          </w:tcPr>
          <w:p w14:paraId="1A6D11F9" w14:textId="77777777" w:rsidR="00FA1C14" w:rsidRPr="00973B32" w:rsidRDefault="00FA1C14" w:rsidP="00364236">
            <w:pPr>
              <w:pStyle w:val="Footertable"/>
              <w:spacing w:before="60" w:after="60"/>
              <w:rPr>
                <w:rFonts w:ascii="Calibri" w:hAnsi="Calibri" w:cs="Calibri"/>
                <w:sz w:val="18"/>
                <w:szCs w:val="18"/>
              </w:rPr>
            </w:pPr>
            <w:r w:rsidRPr="00973B32">
              <w:rPr>
                <w:rFonts w:ascii="Calibri" w:hAnsi="Calibri" w:cs="Calibri"/>
                <w:sz w:val="18"/>
                <w:szCs w:val="18"/>
              </w:rPr>
              <w:t>India</w:t>
            </w:r>
          </w:p>
        </w:tc>
        <w:tc>
          <w:tcPr>
            <w:tcW w:w="771" w:type="dxa"/>
            <w:noWrap/>
            <w:vAlign w:val="center"/>
          </w:tcPr>
          <w:p w14:paraId="65572D2F"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88.0</w:t>
            </w:r>
          </w:p>
        </w:tc>
        <w:tc>
          <w:tcPr>
            <w:tcW w:w="772" w:type="dxa"/>
            <w:noWrap/>
            <w:vAlign w:val="center"/>
          </w:tcPr>
          <w:p w14:paraId="5C6D58F6"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88.6</w:t>
            </w:r>
          </w:p>
        </w:tc>
        <w:tc>
          <w:tcPr>
            <w:tcW w:w="772" w:type="dxa"/>
            <w:noWrap/>
            <w:vAlign w:val="center"/>
          </w:tcPr>
          <w:p w14:paraId="69FABCFE"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88.8</w:t>
            </w:r>
          </w:p>
        </w:tc>
        <w:tc>
          <w:tcPr>
            <w:tcW w:w="771" w:type="dxa"/>
            <w:noWrap/>
            <w:vAlign w:val="center"/>
          </w:tcPr>
          <w:p w14:paraId="53313E21"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70.6</w:t>
            </w:r>
          </w:p>
        </w:tc>
        <w:tc>
          <w:tcPr>
            <w:tcW w:w="772" w:type="dxa"/>
            <w:noWrap/>
            <w:vAlign w:val="center"/>
          </w:tcPr>
          <w:p w14:paraId="23295A5F"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81.0</w:t>
            </w:r>
          </w:p>
        </w:tc>
        <w:tc>
          <w:tcPr>
            <w:tcW w:w="772" w:type="dxa"/>
            <w:noWrap/>
            <w:vAlign w:val="center"/>
          </w:tcPr>
          <w:p w14:paraId="047CB4F3"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83.5</w:t>
            </w:r>
          </w:p>
        </w:tc>
        <w:tc>
          <w:tcPr>
            <w:tcW w:w="772" w:type="dxa"/>
            <w:noWrap/>
            <w:vAlign w:val="center"/>
          </w:tcPr>
          <w:p w14:paraId="3F3677DD"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84.8</w:t>
            </w:r>
          </w:p>
        </w:tc>
        <w:tc>
          <w:tcPr>
            <w:tcW w:w="771" w:type="dxa"/>
            <w:noWrap/>
            <w:vAlign w:val="center"/>
          </w:tcPr>
          <w:p w14:paraId="27A12BDC"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86.3</w:t>
            </w:r>
          </w:p>
        </w:tc>
        <w:tc>
          <w:tcPr>
            <w:tcW w:w="772" w:type="dxa"/>
            <w:noWrap/>
            <w:vAlign w:val="center"/>
          </w:tcPr>
          <w:p w14:paraId="6D1C50D7"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85.6</w:t>
            </w:r>
          </w:p>
        </w:tc>
        <w:tc>
          <w:tcPr>
            <w:tcW w:w="772" w:type="dxa"/>
            <w:noWrap/>
            <w:vAlign w:val="center"/>
          </w:tcPr>
          <w:p w14:paraId="7256319A"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83.4</w:t>
            </w:r>
          </w:p>
        </w:tc>
        <w:tc>
          <w:tcPr>
            <w:tcW w:w="771" w:type="dxa"/>
            <w:noWrap/>
            <w:vAlign w:val="center"/>
          </w:tcPr>
          <w:p w14:paraId="6FB9D78E"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85.9</w:t>
            </w:r>
          </w:p>
        </w:tc>
        <w:tc>
          <w:tcPr>
            <w:tcW w:w="772" w:type="dxa"/>
            <w:noWrap/>
            <w:vAlign w:val="center"/>
          </w:tcPr>
          <w:p w14:paraId="478F511B"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84.9</w:t>
            </w:r>
          </w:p>
        </w:tc>
        <w:tc>
          <w:tcPr>
            <w:tcW w:w="772" w:type="dxa"/>
            <w:noWrap/>
            <w:vAlign w:val="center"/>
          </w:tcPr>
          <w:p w14:paraId="60274FA6"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88.8</w:t>
            </w:r>
          </w:p>
        </w:tc>
        <w:tc>
          <w:tcPr>
            <w:tcW w:w="772" w:type="dxa"/>
            <w:noWrap/>
            <w:vAlign w:val="center"/>
          </w:tcPr>
          <w:p w14:paraId="5F278126"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90.1</w:t>
            </w:r>
          </w:p>
        </w:tc>
        <w:tc>
          <w:tcPr>
            <w:tcW w:w="771" w:type="dxa"/>
            <w:noWrap/>
            <w:vAlign w:val="center"/>
          </w:tcPr>
          <w:p w14:paraId="09927396"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90.0</w:t>
            </w:r>
          </w:p>
        </w:tc>
        <w:tc>
          <w:tcPr>
            <w:tcW w:w="772" w:type="dxa"/>
            <w:noWrap/>
            <w:vAlign w:val="center"/>
          </w:tcPr>
          <w:p w14:paraId="526900BB"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79.5</w:t>
            </w:r>
          </w:p>
        </w:tc>
        <w:tc>
          <w:tcPr>
            <w:tcW w:w="772" w:type="dxa"/>
            <w:noWrap/>
            <w:vAlign w:val="center"/>
          </w:tcPr>
          <w:p w14:paraId="214DEB77"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79.3</w:t>
            </w:r>
          </w:p>
        </w:tc>
        <w:tc>
          <w:tcPr>
            <w:tcW w:w="772" w:type="dxa"/>
            <w:noWrap/>
            <w:vAlign w:val="center"/>
          </w:tcPr>
          <w:p w14:paraId="454EEC6D"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78.8</w:t>
            </w:r>
          </w:p>
        </w:tc>
      </w:tr>
      <w:tr w:rsidR="00FA1C14" w:rsidRPr="00656013" w14:paraId="04281DBA" w14:textId="77777777" w:rsidTr="00364236">
        <w:trPr>
          <w:trHeight w:val="302"/>
        </w:trPr>
        <w:tc>
          <w:tcPr>
            <w:tcW w:w="1555" w:type="dxa"/>
            <w:noWrap/>
            <w:vAlign w:val="center"/>
            <w:hideMark/>
          </w:tcPr>
          <w:p w14:paraId="0E382A1A" w14:textId="77777777" w:rsidR="00FA1C14" w:rsidRPr="00973B32" w:rsidRDefault="00FA1C14" w:rsidP="00364236">
            <w:pPr>
              <w:pStyle w:val="Footertable"/>
              <w:spacing w:before="60" w:after="60"/>
              <w:rPr>
                <w:rFonts w:ascii="Calibri" w:hAnsi="Calibri" w:cs="Calibri"/>
                <w:sz w:val="18"/>
                <w:szCs w:val="18"/>
              </w:rPr>
            </w:pPr>
            <w:r w:rsidRPr="00973B32">
              <w:rPr>
                <w:rFonts w:ascii="Calibri" w:hAnsi="Calibri" w:cs="Calibri"/>
                <w:sz w:val="18"/>
                <w:szCs w:val="18"/>
              </w:rPr>
              <w:t>Nepal</w:t>
            </w:r>
          </w:p>
        </w:tc>
        <w:tc>
          <w:tcPr>
            <w:tcW w:w="771" w:type="dxa"/>
            <w:noWrap/>
            <w:vAlign w:val="center"/>
          </w:tcPr>
          <w:p w14:paraId="1BB3E6EA"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84.2</w:t>
            </w:r>
          </w:p>
        </w:tc>
        <w:tc>
          <w:tcPr>
            <w:tcW w:w="772" w:type="dxa"/>
            <w:noWrap/>
            <w:vAlign w:val="center"/>
          </w:tcPr>
          <w:p w14:paraId="5FAE4CB6"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85.5</w:t>
            </w:r>
          </w:p>
        </w:tc>
        <w:tc>
          <w:tcPr>
            <w:tcW w:w="772" w:type="dxa"/>
            <w:noWrap/>
            <w:vAlign w:val="center"/>
          </w:tcPr>
          <w:p w14:paraId="3CC1DAAD"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86.5</w:t>
            </w:r>
          </w:p>
        </w:tc>
        <w:tc>
          <w:tcPr>
            <w:tcW w:w="771" w:type="dxa"/>
            <w:noWrap/>
            <w:vAlign w:val="center"/>
          </w:tcPr>
          <w:p w14:paraId="73EF02A6"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63.8</w:t>
            </w:r>
          </w:p>
        </w:tc>
        <w:tc>
          <w:tcPr>
            <w:tcW w:w="772" w:type="dxa"/>
            <w:noWrap/>
            <w:vAlign w:val="center"/>
          </w:tcPr>
          <w:p w14:paraId="33459869"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80.3</w:t>
            </w:r>
          </w:p>
        </w:tc>
        <w:tc>
          <w:tcPr>
            <w:tcW w:w="772" w:type="dxa"/>
            <w:noWrap/>
            <w:vAlign w:val="center"/>
          </w:tcPr>
          <w:p w14:paraId="0FF4C299"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81.3</w:t>
            </w:r>
          </w:p>
        </w:tc>
        <w:tc>
          <w:tcPr>
            <w:tcW w:w="772" w:type="dxa"/>
            <w:noWrap/>
            <w:vAlign w:val="center"/>
          </w:tcPr>
          <w:p w14:paraId="3BDA21E0"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83.6</w:t>
            </w:r>
          </w:p>
        </w:tc>
        <w:tc>
          <w:tcPr>
            <w:tcW w:w="771" w:type="dxa"/>
            <w:noWrap/>
            <w:vAlign w:val="center"/>
          </w:tcPr>
          <w:p w14:paraId="3A52745A"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85.2</w:t>
            </w:r>
          </w:p>
        </w:tc>
        <w:tc>
          <w:tcPr>
            <w:tcW w:w="772" w:type="dxa"/>
            <w:noWrap/>
            <w:vAlign w:val="center"/>
          </w:tcPr>
          <w:p w14:paraId="084682B5"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84.7</w:t>
            </w:r>
          </w:p>
        </w:tc>
        <w:tc>
          <w:tcPr>
            <w:tcW w:w="772" w:type="dxa"/>
            <w:noWrap/>
            <w:vAlign w:val="center"/>
          </w:tcPr>
          <w:p w14:paraId="1410FD59"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78.5</w:t>
            </w:r>
          </w:p>
        </w:tc>
        <w:tc>
          <w:tcPr>
            <w:tcW w:w="771" w:type="dxa"/>
            <w:noWrap/>
            <w:vAlign w:val="center"/>
          </w:tcPr>
          <w:p w14:paraId="6AD3FD85"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80.3</w:t>
            </w:r>
          </w:p>
        </w:tc>
        <w:tc>
          <w:tcPr>
            <w:tcW w:w="772" w:type="dxa"/>
            <w:noWrap/>
            <w:vAlign w:val="center"/>
          </w:tcPr>
          <w:p w14:paraId="61B1CE60"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80.4</w:t>
            </w:r>
          </w:p>
        </w:tc>
        <w:tc>
          <w:tcPr>
            <w:tcW w:w="772" w:type="dxa"/>
            <w:noWrap/>
            <w:vAlign w:val="center"/>
          </w:tcPr>
          <w:p w14:paraId="7D472AD6"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80.2</w:t>
            </w:r>
          </w:p>
        </w:tc>
        <w:tc>
          <w:tcPr>
            <w:tcW w:w="772" w:type="dxa"/>
            <w:noWrap/>
            <w:vAlign w:val="center"/>
          </w:tcPr>
          <w:p w14:paraId="2E435E83"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80.4</w:t>
            </w:r>
          </w:p>
        </w:tc>
        <w:tc>
          <w:tcPr>
            <w:tcW w:w="771" w:type="dxa"/>
            <w:noWrap/>
            <w:vAlign w:val="center"/>
          </w:tcPr>
          <w:p w14:paraId="698D8A59"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82.6</w:t>
            </w:r>
          </w:p>
        </w:tc>
        <w:tc>
          <w:tcPr>
            <w:tcW w:w="772" w:type="dxa"/>
            <w:noWrap/>
            <w:vAlign w:val="center"/>
          </w:tcPr>
          <w:p w14:paraId="76017276"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74.7</w:t>
            </w:r>
          </w:p>
        </w:tc>
        <w:tc>
          <w:tcPr>
            <w:tcW w:w="772" w:type="dxa"/>
            <w:noWrap/>
            <w:vAlign w:val="center"/>
          </w:tcPr>
          <w:p w14:paraId="30911BEB"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77.1</w:t>
            </w:r>
          </w:p>
        </w:tc>
        <w:tc>
          <w:tcPr>
            <w:tcW w:w="772" w:type="dxa"/>
            <w:noWrap/>
            <w:vAlign w:val="center"/>
          </w:tcPr>
          <w:p w14:paraId="49E8D45F"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74.9</w:t>
            </w:r>
          </w:p>
        </w:tc>
      </w:tr>
      <w:tr w:rsidR="00FA1C14" w:rsidRPr="00656013" w14:paraId="74825B26" w14:textId="77777777" w:rsidTr="00364236">
        <w:trPr>
          <w:trHeight w:val="302"/>
        </w:trPr>
        <w:tc>
          <w:tcPr>
            <w:tcW w:w="1555" w:type="dxa"/>
            <w:noWrap/>
            <w:vAlign w:val="center"/>
            <w:hideMark/>
          </w:tcPr>
          <w:p w14:paraId="12091A8D" w14:textId="77777777" w:rsidR="00FA1C14" w:rsidRPr="00973B32" w:rsidRDefault="00FA1C14" w:rsidP="00364236">
            <w:pPr>
              <w:pStyle w:val="Footertable"/>
              <w:spacing w:before="60" w:after="60"/>
              <w:rPr>
                <w:rFonts w:ascii="Calibri" w:hAnsi="Calibri" w:cs="Calibri"/>
                <w:sz w:val="18"/>
                <w:szCs w:val="18"/>
              </w:rPr>
            </w:pPr>
            <w:r w:rsidRPr="00973B32">
              <w:rPr>
                <w:rFonts w:ascii="Calibri" w:hAnsi="Calibri" w:cs="Calibri"/>
                <w:sz w:val="18"/>
                <w:szCs w:val="18"/>
              </w:rPr>
              <w:t>Bhutan</w:t>
            </w:r>
          </w:p>
        </w:tc>
        <w:tc>
          <w:tcPr>
            <w:tcW w:w="771" w:type="dxa"/>
            <w:noWrap/>
            <w:vAlign w:val="center"/>
          </w:tcPr>
          <w:p w14:paraId="024C4C9F"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90.7</w:t>
            </w:r>
          </w:p>
        </w:tc>
        <w:tc>
          <w:tcPr>
            <w:tcW w:w="772" w:type="dxa"/>
            <w:noWrap/>
            <w:vAlign w:val="center"/>
          </w:tcPr>
          <w:p w14:paraId="4424287C"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89.1</w:t>
            </w:r>
          </w:p>
        </w:tc>
        <w:tc>
          <w:tcPr>
            <w:tcW w:w="772" w:type="dxa"/>
            <w:noWrap/>
            <w:vAlign w:val="center"/>
          </w:tcPr>
          <w:p w14:paraId="3A31E3C8"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88.0</w:t>
            </w:r>
          </w:p>
        </w:tc>
        <w:tc>
          <w:tcPr>
            <w:tcW w:w="771" w:type="dxa"/>
            <w:noWrap/>
            <w:vAlign w:val="center"/>
          </w:tcPr>
          <w:p w14:paraId="26FC4C1F"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67.8</w:t>
            </w:r>
          </w:p>
        </w:tc>
        <w:tc>
          <w:tcPr>
            <w:tcW w:w="772" w:type="dxa"/>
            <w:noWrap/>
            <w:vAlign w:val="center"/>
          </w:tcPr>
          <w:p w14:paraId="3800FA48"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77.9</w:t>
            </w:r>
          </w:p>
        </w:tc>
        <w:tc>
          <w:tcPr>
            <w:tcW w:w="772" w:type="dxa"/>
            <w:noWrap/>
            <w:vAlign w:val="center"/>
          </w:tcPr>
          <w:p w14:paraId="188E7EC4"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79.5</w:t>
            </w:r>
          </w:p>
        </w:tc>
        <w:tc>
          <w:tcPr>
            <w:tcW w:w="772" w:type="dxa"/>
            <w:noWrap/>
            <w:vAlign w:val="center"/>
          </w:tcPr>
          <w:p w14:paraId="2DA1DA2E"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90.7</w:t>
            </w:r>
          </w:p>
        </w:tc>
        <w:tc>
          <w:tcPr>
            <w:tcW w:w="771" w:type="dxa"/>
            <w:noWrap/>
            <w:vAlign w:val="center"/>
          </w:tcPr>
          <w:p w14:paraId="353BDA4C"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91.1</w:t>
            </w:r>
          </w:p>
        </w:tc>
        <w:tc>
          <w:tcPr>
            <w:tcW w:w="772" w:type="dxa"/>
            <w:noWrap/>
            <w:vAlign w:val="center"/>
          </w:tcPr>
          <w:p w14:paraId="5432694E"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89.7</w:t>
            </w:r>
          </w:p>
        </w:tc>
        <w:tc>
          <w:tcPr>
            <w:tcW w:w="772" w:type="dxa"/>
            <w:noWrap/>
            <w:vAlign w:val="center"/>
          </w:tcPr>
          <w:p w14:paraId="2CFEAB0E"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85.6</w:t>
            </w:r>
          </w:p>
        </w:tc>
        <w:tc>
          <w:tcPr>
            <w:tcW w:w="771" w:type="dxa"/>
            <w:noWrap/>
            <w:vAlign w:val="center"/>
          </w:tcPr>
          <w:p w14:paraId="40F50A22"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89.2</w:t>
            </w:r>
          </w:p>
        </w:tc>
        <w:tc>
          <w:tcPr>
            <w:tcW w:w="772" w:type="dxa"/>
            <w:noWrap/>
            <w:vAlign w:val="center"/>
          </w:tcPr>
          <w:p w14:paraId="13929039"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86.7</w:t>
            </w:r>
          </w:p>
        </w:tc>
        <w:tc>
          <w:tcPr>
            <w:tcW w:w="772" w:type="dxa"/>
            <w:noWrap/>
            <w:vAlign w:val="center"/>
          </w:tcPr>
          <w:p w14:paraId="78B39453"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88.0</w:t>
            </w:r>
          </w:p>
        </w:tc>
        <w:tc>
          <w:tcPr>
            <w:tcW w:w="772" w:type="dxa"/>
            <w:noWrap/>
            <w:vAlign w:val="center"/>
          </w:tcPr>
          <w:p w14:paraId="1C4E2825"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92.9</w:t>
            </w:r>
          </w:p>
        </w:tc>
        <w:tc>
          <w:tcPr>
            <w:tcW w:w="771" w:type="dxa"/>
            <w:noWrap/>
            <w:vAlign w:val="center"/>
          </w:tcPr>
          <w:p w14:paraId="7D66CDCF"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90.4</w:t>
            </w:r>
          </w:p>
        </w:tc>
        <w:tc>
          <w:tcPr>
            <w:tcW w:w="772" w:type="dxa"/>
            <w:noWrap/>
            <w:vAlign w:val="center"/>
          </w:tcPr>
          <w:p w14:paraId="6BF26B25"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86.1</w:t>
            </w:r>
          </w:p>
        </w:tc>
        <w:tc>
          <w:tcPr>
            <w:tcW w:w="772" w:type="dxa"/>
            <w:noWrap/>
            <w:vAlign w:val="center"/>
          </w:tcPr>
          <w:p w14:paraId="4E05487A"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84.4</w:t>
            </w:r>
          </w:p>
        </w:tc>
        <w:tc>
          <w:tcPr>
            <w:tcW w:w="772" w:type="dxa"/>
            <w:noWrap/>
            <w:vAlign w:val="center"/>
          </w:tcPr>
          <w:p w14:paraId="3BBA48A9"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80.8</w:t>
            </w:r>
          </w:p>
        </w:tc>
      </w:tr>
      <w:tr w:rsidR="00FA1C14" w:rsidRPr="00656013" w14:paraId="4BD733E8" w14:textId="77777777" w:rsidTr="00364236">
        <w:trPr>
          <w:trHeight w:val="302"/>
        </w:trPr>
        <w:tc>
          <w:tcPr>
            <w:tcW w:w="1555" w:type="dxa"/>
            <w:noWrap/>
            <w:vAlign w:val="center"/>
            <w:hideMark/>
          </w:tcPr>
          <w:p w14:paraId="47EFC640" w14:textId="77777777" w:rsidR="00FA1C14" w:rsidRPr="00973B32" w:rsidRDefault="00FA1C14" w:rsidP="00364236">
            <w:pPr>
              <w:pStyle w:val="Footertable"/>
              <w:spacing w:before="60" w:after="60"/>
              <w:rPr>
                <w:rFonts w:ascii="Calibri" w:hAnsi="Calibri" w:cs="Calibri"/>
                <w:sz w:val="18"/>
                <w:szCs w:val="18"/>
              </w:rPr>
            </w:pPr>
            <w:r w:rsidRPr="00973B32">
              <w:rPr>
                <w:rFonts w:ascii="Calibri" w:hAnsi="Calibri" w:cs="Calibri"/>
                <w:sz w:val="18"/>
                <w:szCs w:val="18"/>
              </w:rPr>
              <w:t>Philippines</w:t>
            </w:r>
          </w:p>
        </w:tc>
        <w:tc>
          <w:tcPr>
            <w:tcW w:w="771" w:type="dxa"/>
            <w:noWrap/>
            <w:vAlign w:val="center"/>
          </w:tcPr>
          <w:p w14:paraId="5495726B"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93.4</w:t>
            </w:r>
          </w:p>
        </w:tc>
        <w:tc>
          <w:tcPr>
            <w:tcW w:w="772" w:type="dxa"/>
            <w:noWrap/>
            <w:vAlign w:val="center"/>
          </w:tcPr>
          <w:p w14:paraId="045365AA"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93.6</w:t>
            </w:r>
          </w:p>
        </w:tc>
        <w:tc>
          <w:tcPr>
            <w:tcW w:w="772" w:type="dxa"/>
            <w:noWrap/>
            <w:vAlign w:val="center"/>
          </w:tcPr>
          <w:p w14:paraId="0E6FE8BA"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92.1</w:t>
            </w:r>
          </w:p>
        </w:tc>
        <w:tc>
          <w:tcPr>
            <w:tcW w:w="771" w:type="dxa"/>
            <w:noWrap/>
            <w:vAlign w:val="center"/>
          </w:tcPr>
          <w:p w14:paraId="763FE35C"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69.0</w:t>
            </w:r>
          </w:p>
        </w:tc>
        <w:tc>
          <w:tcPr>
            <w:tcW w:w="772" w:type="dxa"/>
            <w:noWrap/>
            <w:vAlign w:val="center"/>
          </w:tcPr>
          <w:p w14:paraId="0C023EAE"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76.5</w:t>
            </w:r>
          </w:p>
        </w:tc>
        <w:tc>
          <w:tcPr>
            <w:tcW w:w="772" w:type="dxa"/>
            <w:noWrap/>
            <w:vAlign w:val="center"/>
          </w:tcPr>
          <w:p w14:paraId="4D2B4F3C"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81.4</w:t>
            </w:r>
          </w:p>
        </w:tc>
        <w:tc>
          <w:tcPr>
            <w:tcW w:w="772" w:type="dxa"/>
            <w:noWrap/>
            <w:vAlign w:val="center"/>
          </w:tcPr>
          <w:p w14:paraId="118B8937"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91.5</w:t>
            </w:r>
          </w:p>
        </w:tc>
        <w:tc>
          <w:tcPr>
            <w:tcW w:w="771" w:type="dxa"/>
            <w:noWrap/>
            <w:vAlign w:val="center"/>
          </w:tcPr>
          <w:p w14:paraId="311BC358"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90.9</w:t>
            </w:r>
          </w:p>
        </w:tc>
        <w:tc>
          <w:tcPr>
            <w:tcW w:w="772" w:type="dxa"/>
            <w:noWrap/>
            <w:vAlign w:val="center"/>
          </w:tcPr>
          <w:p w14:paraId="1121E1EF"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89.4</w:t>
            </w:r>
          </w:p>
        </w:tc>
        <w:tc>
          <w:tcPr>
            <w:tcW w:w="772" w:type="dxa"/>
            <w:noWrap/>
            <w:vAlign w:val="center"/>
          </w:tcPr>
          <w:p w14:paraId="5BE554EE"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88.4</w:t>
            </w:r>
          </w:p>
        </w:tc>
        <w:tc>
          <w:tcPr>
            <w:tcW w:w="771" w:type="dxa"/>
            <w:noWrap/>
            <w:vAlign w:val="center"/>
          </w:tcPr>
          <w:p w14:paraId="07F816C4"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86.9</w:t>
            </w:r>
          </w:p>
        </w:tc>
        <w:tc>
          <w:tcPr>
            <w:tcW w:w="772" w:type="dxa"/>
            <w:noWrap/>
            <w:vAlign w:val="center"/>
          </w:tcPr>
          <w:p w14:paraId="538E0AAF"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84.5</w:t>
            </w:r>
          </w:p>
        </w:tc>
        <w:tc>
          <w:tcPr>
            <w:tcW w:w="772" w:type="dxa"/>
            <w:noWrap/>
            <w:vAlign w:val="center"/>
          </w:tcPr>
          <w:p w14:paraId="0B3CBF3B"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90.5</w:t>
            </w:r>
          </w:p>
        </w:tc>
        <w:tc>
          <w:tcPr>
            <w:tcW w:w="772" w:type="dxa"/>
            <w:noWrap/>
            <w:vAlign w:val="center"/>
          </w:tcPr>
          <w:p w14:paraId="3481043D"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90.3</w:t>
            </w:r>
          </w:p>
        </w:tc>
        <w:tc>
          <w:tcPr>
            <w:tcW w:w="771" w:type="dxa"/>
            <w:noWrap/>
            <w:vAlign w:val="center"/>
          </w:tcPr>
          <w:p w14:paraId="548C6EC7"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87.1</w:t>
            </w:r>
          </w:p>
        </w:tc>
        <w:tc>
          <w:tcPr>
            <w:tcW w:w="772" w:type="dxa"/>
            <w:noWrap/>
            <w:vAlign w:val="center"/>
          </w:tcPr>
          <w:p w14:paraId="2A82A13C"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85.0</w:t>
            </w:r>
          </w:p>
        </w:tc>
        <w:tc>
          <w:tcPr>
            <w:tcW w:w="772" w:type="dxa"/>
            <w:noWrap/>
            <w:vAlign w:val="center"/>
          </w:tcPr>
          <w:p w14:paraId="70704593"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85.5</w:t>
            </w:r>
          </w:p>
        </w:tc>
        <w:tc>
          <w:tcPr>
            <w:tcW w:w="772" w:type="dxa"/>
            <w:noWrap/>
            <w:vAlign w:val="center"/>
          </w:tcPr>
          <w:p w14:paraId="1E29FCE2"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84.1</w:t>
            </w:r>
          </w:p>
        </w:tc>
      </w:tr>
      <w:tr w:rsidR="000A4017" w:rsidRPr="00624305" w14:paraId="4F422D2D" w14:textId="77777777" w:rsidTr="00364236">
        <w:trPr>
          <w:trHeight w:val="494"/>
        </w:trPr>
        <w:tc>
          <w:tcPr>
            <w:tcW w:w="1555" w:type="dxa"/>
            <w:noWrap/>
            <w:vAlign w:val="center"/>
            <w:hideMark/>
          </w:tcPr>
          <w:p w14:paraId="19EF21E7" w14:textId="77777777" w:rsidR="000A4017" w:rsidRPr="00973B32" w:rsidRDefault="000A4017" w:rsidP="00364236">
            <w:pPr>
              <w:pStyle w:val="Footertable"/>
              <w:spacing w:before="60" w:after="60"/>
              <w:rPr>
                <w:rFonts w:ascii="Calibri" w:hAnsi="Calibri" w:cs="Calibri"/>
                <w:b/>
                <w:bCs/>
                <w:sz w:val="18"/>
                <w:szCs w:val="18"/>
              </w:rPr>
            </w:pPr>
            <w:r w:rsidRPr="00973B32">
              <w:rPr>
                <w:rFonts w:ascii="Calibri" w:hAnsi="Calibri" w:cs="Calibri"/>
                <w:b/>
                <w:bCs/>
                <w:sz w:val="18"/>
                <w:szCs w:val="18"/>
              </w:rPr>
              <w:t>Total international</w:t>
            </w:r>
          </w:p>
        </w:tc>
        <w:tc>
          <w:tcPr>
            <w:tcW w:w="771" w:type="dxa"/>
            <w:noWrap/>
            <w:vAlign w:val="center"/>
          </w:tcPr>
          <w:p w14:paraId="05F44D80" w14:textId="1DA01DFF"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84.1</w:t>
            </w:r>
          </w:p>
        </w:tc>
        <w:tc>
          <w:tcPr>
            <w:tcW w:w="772" w:type="dxa"/>
            <w:noWrap/>
            <w:vAlign w:val="center"/>
          </w:tcPr>
          <w:p w14:paraId="084DCBEB" w14:textId="22AB7AD5"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85.5</w:t>
            </w:r>
          </w:p>
        </w:tc>
        <w:tc>
          <w:tcPr>
            <w:tcW w:w="772" w:type="dxa"/>
            <w:noWrap/>
            <w:vAlign w:val="center"/>
          </w:tcPr>
          <w:p w14:paraId="2B94B47D" w14:textId="279403E3"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86.0</w:t>
            </w:r>
          </w:p>
        </w:tc>
        <w:tc>
          <w:tcPr>
            <w:tcW w:w="771" w:type="dxa"/>
            <w:noWrap/>
            <w:vAlign w:val="center"/>
          </w:tcPr>
          <w:p w14:paraId="02DCE925" w14:textId="52577BCC"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62.2</w:t>
            </w:r>
          </w:p>
        </w:tc>
        <w:tc>
          <w:tcPr>
            <w:tcW w:w="772" w:type="dxa"/>
            <w:noWrap/>
            <w:vAlign w:val="center"/>
          </w:tcPr>
          <w:p w14:paraId="6FE8D9B9" w14:textId="01351914"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74.3</w:t>
            </w:r>
          </w:p>
        </w:tc>
        <w:tc>
          <w:tcPr>
            <w:tcW w:w="772" w:type="dxa"/>
            <w:noWrap/>
            <w:vAlign w:val="center"/>
          </w:tcPr>
          <w:p w14:paraId="52F591A2" w14:textId="6D0FD12E"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77.7</w:t>
            </w:r>
          </w:p>
        </w:tc>
        <w:tc>
          <w:tcPr>
            <w:tcW w:w="772" w:type="dxa"/>
            <w:noWrap/>
            <w:vAlign w:val="center"/>
          </w:tcPr>
          <w:p w14:paraId="31E0D556" w14:textId="311CA0CC"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82.6</w:t>
            </w:r>
          </w:p>
        </w:tc>
        <w:tc>
          <w:tcPr>
            <w:tcW w:w="771" w:type="dxa"/>
            <w:noWrap/>
            <w:vAlign w:val="center"/>
          </w:tcPr>
          <w:p w14:paraId="196503C9" w14:textId="325174A6"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84.1</w:t>
            </w:r>
          </w:p>
        </w:tc>
        <w:tc>
          <w:tcPr>
            <w:tcW w:w="772" w:type="dxa"/>
            <w:noWrap/>
            <w:vAlign w:val="center"/>
          </w:tcPr>
          <w:p w14:paraId="534EEAB1" w14:textId="79F4C32B"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84.1</w:t>
            </w:r>
          </w:p>
        </w:tc>
        <w:tc>
          <w:tcPr>
            <w:tcW w:w="772" w:type="dxa"/>
            <w:noWrap/>
            <w:vAlign w:val="center"/>
          </w:tcPr>
          <w:p w14:paraId="158E7CBE" w14:textId="32D1197F"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76.9</w:t>
            </w:r>
          </w:p>
        </w:tc>
        <w:tc>
          <w:tcPr>
            <w:tcW w:w="771" w:type="dxa"/>
            <w:noWrap/>
            <w:vAlign w:val="center"/>
          </w:tcPr>
          <w:p w14:paraId="165442D8" w14:textId="1ACBE78B"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80.4</w:t>
            </w:r>
          </w:p>
        </w:tc>
        <w:tc>
          <w:tcPr>
            <w:tcW w:w="772" w:type="dxa"/>
            <w:noWrap/>
            <w:vAlign w:val="center"/>
          </w:tcPr>
          <w:p w14:paraId="39950653" w14:textId="1B7E8123"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80.3</w:t>
            </w:r>
          </w:p>
        </w:tc>
        <w:tc>
          <w:tcPr>
            <w:tcW w:w="772" w:type="dxa"/>
            <w:noWrap/>
            <w:vAlign w:val="center"/>
          </w:tcPr>
          <w:p w14:paraId="25207E4A" w14:textId="226C6C62"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86.4</w:t>
            </w:r>
          </w:p>
        </w:tc>
        <w:tc>
          <w:tcPr>
            <w:tcW w:w="772" w:type="dxa"/>
            <w:noWrap/>
            <w:vAlign w:val="center"/>
          </w:tcPr>
          <w:p w14:paraId="6A999214" w14:textId="3486BEF6" w:rsidR="000A4017" w:rsidRPr="00973B32" w:rsidRDefault="000A4017" w:rsidP="00364236">
            <w:pPr>
              <w:pStyle w:val="Footertable"/>
              <w:ind w:right="96"/>
              <w:jc w:val="right"/>
              <w:rPr>
                <w:rFonts w:ascii="Calibri" w:hAnsi="Calibri" w:cs="Calibri"/>
                <w:b/>
                <w:bCs/>
                <w:color w:val="auto"/>
                <w:sz w:val="18"/>
                <w:szCs w:val="18"/>
              </w:rPr>
            </w:pPr>
            <w:r w:rsidRPr="00973B32">
              <w:rPr>
                <w:rFonts w:ascii="Calibri" w:hAnsi="Calibri" w:cs="Calibri"/>
                <w:b/>
                <w:bCs/>
                <w:color w:val="auto"/>
                <w:sz w:val="18"/>
                <w:szCs w:val="18"/>
              </w:rPr>
              <w:t>87.7</w:t>
            </w:r>
          </w:p>
        </w:tc>
        <w:tc>
          <w:tcPr>
            <w:tcW w:w="771" w:type="dxa"/>
            <w:noWrap/>
            <w:vAlign w:val="center"/>
          </w:tcPr>
          <w:p w14:paraId="2086081F" w14:textId="3058ACE9" w:rsidR="000A4017" w:rsidRPr="00973B32" w:rsidRDefault="000A4017" w:rsidP="00364236">
            <w:pPr>
              <w:pStyle w:val="Footertable"/>
              <w:ind w:right="96"/>
              <w:jc w:val="right"/>
              <w:rPr>
                <w:rFonts w:ascii="Calibri" w:hAnsi="Calibri" w:cs="Calibri"/>
                <w:b/>
                <w:bCs/>
                <w:color w:val="auto"/>
                <w:sz w:val="18"/>
                <w:szCs w:val="18"/>
              </w:rPr>
            </w:pPr>
            <w:r w:rsidRPr="00973B32">
              <w:rPr>
                <w:rFonts w:ascii="Calibri" w:hAnsi="Calibri" w:cs="Calibri"/>
                <w:b/>
                <w:bCs/>
                <w:color w:val="auto"/>
                <w:sz w:val="18"/>
                <w:szCs w:val="18"/>
              </w:rPr>
              <w:t>87.3</w:t>
            </w:r>
          </w:p>
        </w:tc>
        <w:tc>
          <w:tcPr>
            <w:tcW w:w="772" w:type="dxa"/>
            <w:noWrap/>
            <w:vAlign w:val="center"/>
          </w:tcPr>
          <w:p w14:paraId="50F25498" w14:textId="1508AA0F" w:rsidR="000A4017" w:rsidRPr="00973B32" w:rsidRDefault="000A4017" w:rsidP="00364236">
            <w:pPr>
              <w:pStyle w:val="Footertable"/>
              <w:ind w:right="96"/>
              <w:jc w:val="right"/>
              <w:rPr>
                <w:rFonts w:ascii="Calibri" w:hAnsi="Calibri" w:cs="Calibri"/>
                <w:b/>
                <w:bCs/>
                <w:color w:val="auto"/>
                <w:sz w:val="18"/>
                <w:szCs w:val="18"/>
              </w:rPr>
            </w:pPr>
            <w:r w:rsidRPr="00973B32">
              <w:rPr>
                <w:rFonts w:ascii="Calibri" w:hAnsi="Calibri" w:cs="Calibri"/>
                <w:b/>
                <w:bCs/>
                <w:color w:val="auto"/>
                <w:sz w:val="18"/>
                <w:szCs w:val="18"/>
              </w:rPr>
              <w:t>76.9</w:t>
            </w:r>
          </w:p>
        </w:tc>
        <w:tc>
          <w:tcPr>
            <w:tcW w:w="772" w:type="dxa"/>
            <w:noWrap/>
            <w:vAlign w:val="center"/>
          </w:tcPr>
          <w:p w14:paraId="7BA4220F" w14:textId="0870B228" w:rsidR="000A4017" w:rsidRPr="00973B32" w:rsidRDefault="000A4017" w:rsidP="00364236">
            <w:pPr>
              <w:pStyle w:val="Footertable"/>
              <w:ind w:right="96"/>
              <w:jc w:val="right"/>
              <w:rPr>
                <w:rFonts w:ascii="Calibri" w:hAnsi="Calibri" w:cs="Calibri"/>
                <w:b/>
                <w:bCs/>
                <w:color w:val="auto"/>
                <w:sz w:val="18"/>
                <w:szCs w:val="18"/>
              </w:rPr>
            </w:pPr>
            <w:r w:rsidRPr="00973B32">
              <w:rPr>
                <w:rFonts w:ascii="Calibri" w:hAnsi="Calibri" w:cs="Calibri"/>
                <w:b/>
                <w:bCs/>
                <w:color w:val="auto"/>
                <w:sz w:val="18"/>
                <w:szCs w:val="18"/>
              </w:rPr>
              <w:t>77.0</w:t>
            </w:r>
          </w:p>
        </w:tc>
        <w:tc>
          <w:tcPr>
            <w:tcW w:w="772" w:type="dxa"/>
            <w:noWrap/>
            <w:vAlign w:val="center"/>
          </w:tcPr>
          <w:p w14:paraId="62BB874B" w14:textId="666F5E8D" w:rsidR="000A4017" w:rsidRPr="00973B32" w:rsidRDefault="000A4017" w:rsidP="00364236">
            <w:pPr>
              <w:pStyle w:val="Footertable"/>
              <w:ind w:right="96"/>
              <w:jc w:val="right"/>
              <w:rPr>
                <w:rFonts w:ascii="Calibri" w:hAnsi="Calibri" w:cs="Calibri"/>
                <w:b/>
                <w:bCs/>
                <w:color w:val="auto"/>
                <w:sz w:val="18"/>
                <w:szCs w:val="18"/>
              </w:rPr>
            </w:pPr>
            <w:r w:rsidRPr="00973B32">
              <w:rPr>
                <w:rFonts w:ascii="Calibri" w:hAnsi="Calibri" w:cs="Calibri"/>
                <w:b/>
                <w:bCs/>
                <w:color w:val="auto"/>
                <w:sz w:val="18"/>
                <w:szCs w:val="18"/>
              </w:rPr>
              <w:t>76.3</w:t>
            </w:r>
          </w:p>
        </w:tc>
      </w:tr>
    </w:tbl>
    <w:p w14:paraId="22E8DA50" w14:textId="77777777" w:rsidR="00D37153" w:rsidRDefault="00D37153" w:rsidP="00D37153">
      <w:pPr>
        <w:pStyle w:val="FigureNote"/>
      </w:pPr>
      <w:r>
        <w:t xml:space="preserve">Note: </w:t>
      </w:r>
      <w:r w:rsidRPr="00016C8B">
        <w:t xml:space="preserve">Source country </w:t>
      </w:r>
      <w:r>
        <w:t>was derived from E346 Country of birth prior to 2024. From</w:t>
      </w:r>
      <w:r w:rsidRPr="00016C8B">
        <w:t xml:space="preserve"> 2024</w:t>
      </w:r>
      <w:r>
        <w:t>, source country</w:t>
      </w:r>
      <w:r w:rsidRPr="00016C8B">
        <w:t xml:space="preserve"> </w:t>
      </w:r>
      <w:r>
        <w:t>wa</w:t>
      </w:r>
      <w:r w:rsidRPr="00016C8B">
        <w:t>s based on E658 Residential address country code</w:t>
      </w:r>
      <w:r>
        <w:t xml:space="preserve">. </w:t>
      </w:r>
      <w:r w:rsidRPr="009F41B5">
        <w:t xml:space="preserve">Source countries shown in this </w:t>
      </w:r>
      <w:r>
        <w:t>table</w:t>
      </w:r>
      <w:r w:rsidRPr="009F41B5">
        <w:t xml:space="preserve"> represent the top </w:t>
      </w:r>
      <w:r>
        <w:t>5</w:t>
      </w:r>
      <w:r w:rsidRPr="009F41B5">
        <w:t xml:space="preserve"> by number of survey respondents, ordered from </w:t>
      </w:r>
      <w:r>
        <w:t>l</w:t>
      </w:r>
      <w:r w:rsidRPr="009F41B5">
        <w:t>argest to smallest.</w:t>
      </w:r>
    </w:p>
    <w:p w14:paraId="5A0BFEA3" w14:textId="77777777" w:rsidR="00D37153" w:rsidRPr="009E7EEB" w:rsidRDefault="00D37153" w:rsidP="00D37153">
      <w:pPr>
        <w:pStyle w:val="FigureNote"/>
        <w:rPr>
          <w:szCs w:val="16"/>
        </w:rPr>
      </w:pPr>
      <w:r w:rsidRPr="009E7EEB">
        <w:rPr>
          <w:szCs w:val="16"/>
        </w:rPr>
        <w:t>* Prior to 2023, the Peer Engagement focus area was named Learner Engagement and Student Support and Services, was previously the Student Support focus area. This table should be used to compare the cohort responses but year on year comparisons between 2022 and 2023 should be treated with caution.</w:t>
      </w:r>
    </w:p>
    <w:p w14:paraId="653DAACD" w14:textId="77777777" w:rsidR="002A135C" w:rsidRDefault="002A135C">
      <w:pPr>
        <w:spacing w:after="160" w:line="259" w:lineRule="auto"/>
        <w:rPr>
          <w:rFonts w:eastAsia="Times New Roman" w:cs="Arial"/>
          <w:b/>
          <w:bCs/>
          <w:color w:val="000000" w:themeColor="text1"/>
          <w:sz w:val="21"/>
          <w:szCs w:val="21"/>
          <w:lang w:eastAsia="en-AU"/>
        </w:rPr>
      </w:pPr>
      <w:bookmarkStart w:id="165" w:name="_Ref199601314"/>
      <w:bookmarkStart w:id="166" w:name="_Toc206692298"/>
      <w:r>
        <w:rPr>
          <w:color w:val="000000" w:themeColor="text1"/>
        </w:rPr>
        <w:br w:type="page"/>
      </w:r>
    </w:p>
    <w:p w14:paraId="1B9D544D" w14:textId="61D937C7" w:rsidR="00C73E8C" w:rsidRPr="002A135C" w:rsidRDefault="007847EB" w:rsidP="002A135C">
      <w:pPr>
        <w:pStyle w:val="Caption"/>
        <w:rPr>
          <w:color w:val="000000" w:themeColor="text1"/>
        </w:rPr>
      </w:pPr>
      <w:r w:rsidRPr="00E40220">
        <w:rPr>
          <w:color w:val="000000" w:themeColor="text1"/>
        </w:rPr>
        <w:lastRenderedPageBreak/>
        <w:t xml:space="preserve">Table </w:t>
      </w:r>
      <w:r w:rsidR="001E216A" w:rsidRPr="00E40220">
        <w:rPr>
          <w:color w:val="000000" w:themeColor="text1"/>
        </w:rPr>
        <w:fldChar w:fldCharType="begin"/>
      </w:r>
      <w:r w:rsidR="001E216A" w:rsidRPr="00E40220">
        <w:rPr>
          <w:color w:val="000000" w:themeColor="text1"/>
        </w:rPr>
        <w:instrText xml:space="preserve"> SEQ Table \* ARABIC </w:instrText>
      </w:r>
      <w:r w:rsidR="001E216A" w:rsidRPr="00E40220">
        <w:rPr>
          <w:color w:val="000000" w:themeColor="text1"/>
        </w:rPr>
        <w:fldChar w:fldCharType="separate"/>
      </w:r>
      <w:r w:rsidR="00F96AB4">
        <w:rPr>
          <w:noProof/>
          <w:color w:val="000000" w:themeColor="text1"/>
        </w:rPr>
        <w:t>6</w:t>
      </w:r>
      <w:r w:rsidR="001E216A" w:rsidRPr="00E40220">
        <w:rPr>
          <w:noProof/>
          <w:color w:val="000000" w:themeColor="text1"/>
        </w:rPr>
        <w:fldChar w:fldCharType="end"/>
      </w:r>
      <w:bookmarkEnd w:id="165"/>
      <w:r w:rsidR="000D65B4" w:rsidRPr="00E40220">
        <w:rPr>
          <w:color w:val="000000" w:themeColor="text1"/>
        </w:rPr>
        <w:t xml:space="preserve"> International undergraduate student rating by </w:t>
      </w:r>
      <w:r w:rsidR="00B81AD7" w:rsidRPr="00E40220">
        <w:rPr>
          <w:color w:val="000000" w:themeColor="text1"/>
        </w:rPr>
        <w:t>f</w:t>
      </w:r>
      <w:r w:rsidR="000D65B4" w:rsidRPr="00E40220">
        <w:rPr>
          <w:color w:val="000000" w:themeColor="text1"/>
        </w:rPr>
        <w:t xml:space="preserve">ocus </w:t>
      </w:r>
      <w:r w:rsidR="00B81AD7" w:rsidRPr="00E40220">
        <w:rPr>
          <w:color w:val="000000" w:themeColor="text1"/>
        </w:rPr>
        <w:t>a</w:t>
      </w:r>
      <w:r w:rsidR="000D65B4" w:rsidRPr="00E40220">
        <w:rPr>
          <w:color w:val="000000" w:themeColor="text1"/>
        </w:rPr>
        <w:t>rea and study area, 2022-2024 (% posit</w:t>
      </w:r>
      <w:r w:rsidR="00D569D5" w:rsidRPr="00E40220">
        <w:rPr>
          <w:color w:val="000000" w:themeColor="text1"/>
        </w:rPr>
        <w:t>i</w:t>
      </w:r>
      <w:r w:rsidR="000D65B4" w:rsidRPr="00E40220">
        <w:rPr>
          <w:color w:val="000000" w:themeColor="text1"/>
        </w:rPr>
        <w:t>ve rating)</w:t>
      </w:r>
      <w:bookmarkEnd w:id="166"/>
    </w:p>
    <w:tbl>
      <w:tblPr>
        <w:tblStyle w:val="TableGrid1"/>
        <w:tblW w:w="15446" w:type="dxa"/>
        <w:tblLayout w:type="fixed"/>
        <w:tblLook w:val="04A0" w:firstRow="1" w:lastRow="0" w:firstColumn="1" w:lastColumn="0" w:noHBand="0" w:noVBand="1"/>
      </w:tblPr>
      <w:tblGrid>
        <w:gridCol w:w="1838"/>
        <w:gridCol w:w="756"/>
        <w:gridCol w:w="756"/>
        <w:gridCol w:w="756"/>
        <w:gridCol w:w="756"/>
        <w:gridCol w:w="756"/>
        <w:gridCol w:w="756"/>
        <w:gridCol w:w="756"/>
        <w:gridCol w:w="756"/>
        <w:gridCol w:w="756"/>
        <w:gridCol w:w="756"/>
        <w:gridCol w:w="756"/>
        <w:gridCol w:w="756"/>
        <w:gridCol w:w="756"/>
        <w:gridCol w:w="756"/>
        <w:gridCol w:w="756"/>
        <w:gridCol w:w="756"/>
        <w:gridCol w:w="756"/>
        <w:gridCol w:w="756"/>
      </w:tblGrid>
      <w:tr w:rsidR="00364236" w:rsidRPr="00A65A10" w14:paraId="7C81C928" w14:textId="77777777" w:rsidTr="00364236">
        <w:trPr>
          <w:trHeight w:val="344"/>
          <w:tblHeader/>
        </w:trPr>
        <w:tc>
          <w:tcPr>
            <w:tcW w:w="1838" w:type="dxa"/>
            <w:vAlign w:val="bottom"/>
          </w:tcPr>
          <w:p w14:paraId="3A678AE8" w14:textId="77777777" w:rsidR="00364236" w:rsidRPr="00660FCB" w:rsidRDefault="00364236" w:rsidP="00364236">
            <w:pPr>
              <w:spacing w:before="120" w:after="80"/>
              <w:jc w:val="center"/>
              <w:rPr>
                <w:rFonts w:ascii="Calibri" w:hAnsi="Calibri" w:cs="Calibri"/>
                <w:sz w:val="18"/>
              </w:rPr>
            </w:pPr>
          </w:p>
        </w:tc>
        <w:tc>
          <w:tcPr>
            <w:tcW w:w="756" w:type="dxa"/>
            <w:vAlign w:val="bottom"/>
          </w:tcPr>
          <w:p w14:paraId="3148B123" w14:textId="7FF42F25"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Skills Development</w:t>
            </w:r>
            <w:r>
              <w:rPr>
                <w:rFonts w:ascii="Calibri" w:hAnsi="Calibri" w:cs="Calibri"/>
                <w:b/>
                <w:bCs/>
                <w:sz w:val="18"/>
              </w:rPr>
              <w:t xml:space="preserve"> 2022</w:t>
            </w:r>
          </w:p>
        </w:tc>
        <w:tc>
          <w:tcPr>
            <w:tcW w:w="756" w:type="dxa"/>
            <w:vAlign w:val="bottom"/>
          </w:tcPr>
          <w:p w14:paraId="4CC050CC" w14:textId="55C193DA"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Skills Development</w:t>
            </w:r>
            <w:r>
              <w:rPr>
                <w:rFonts w:ascii="Calibri" w:hAnsi="Calibri" w:cs="Calibri"/>
                <w:b/>
                <w:bCs/>
                <w:sz w:val="18"/>
              </w:rPr>
              <w:t xml:space="preserve"> 2023</w:t>
            </w:r>
          </w:p>
        </w:tc>
        <w:tc>
          <w:tcPr>
            <w:tcW w:w="756" w:type="dxa"/>
            <w:vAlign w:val="bottom"/>
          </w:tcPr>
          <w:p w14:paraId="08E88E16" w14:textId="7E52044F"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Skills Development</w:t>
            </w:r>
            <w:r>
              <w:rPr>
                <w:rFonts w:ascii="Calibri" w:hAnsi="Calibri" w:cs="Calibri"/>
                <w:b/>
                <w:bCs/>
                <w:sz w:val="18"/>
              </w:rPr>
              <w:t xml:space="preserve"> 2024</w:t>
            </w:r>
          </w:p>
        </w:tc>
        <w:tc>
          <w:tcPr>
            <w:tcW w:w="756" w:type="dxa"/>
            <w:vAlign w:val="bottom"/>
          </w:tcPr>
          <w:p w14:paraId="5C9F8BA7" w14:textId="77449738"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Peer Engagement</w:t>
            </w:r>
            <w:r>
              <w:rPr>
                <w:rFonts w:ascii="Calibri" w:hAnsi="Calibri" w:cs="Calibri"/>
                <w:b/>
                <w:bCs/>
                <w:sz w:val="18"/>
              </w:rPr>
              <w:t xml:space="preserve"> 2022</w:t>
            </w:r>
          </w:p>
        </w:tc>
        <w:tc>
          <w:tcPr>
            <w:tcW w:w="756" w:type="dxa"/>
            <w:vAlign w:val="bottom"/>
          </w:tcPr>
          <w:p w14:paraId="6FBD5F34" w14:textId="1D6A42EC"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Peer Engagement</w:t>
            </w:r>
            <w:r>
              <w:rPr>
                <w:rFonts w:ascii="Calibri" w:hAnsi="Calibri" w:cs="Calibri"/>
                <w:b/>
                <w:bCs/>
                <w:sz w:val="18"/>
              </w:rPr>
              <w:t xml:space="preserve"> 2023</w:t>
            </w:r>
          </w:p>
        </w:tc>
        <w:tc>
          <w:tcPr>
            <w:tcW w:w="756" w:type="dxa"/>
            <w:vAlign w:val="bottom"/>
          </w:tcPr>
          <w:p w14:paraId="4EFA506A" w14:textId="109609B7"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Peer Engagement</w:t>
            </w:r>
            <w:r>
              <w:rPr>
                <w:rFonts w:ascii="Calibri" w:hAnsi="Calibri" w:cs="Calibri"/>
                <w:b/>
                <w:bCs/>
                <w:sz w:val="18"/>
              </w:rPr>
              <w:t xml:space="preserve"> 2024</w:t>
            </w:r>
          </w:p>
        </w:tc>
        <w:tc>
          <w:tcPr>
            <w:tcW w:w="756" w:type="dxa"/>
            <w:vAlign w:val="bottom"/>
          </w:tcPr>
          <w:p w14:paraId="73EBDC61" w14:textId="785E3499"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Teaching Quality and Engagement</w:t>
            </w:r>
            <w:r>
              <w:rPr>
                <w:rFonts w:ascii="Calibri" w:hAnsi="Calibri" w:cs="Calibri"/>
                <w:b/>
                <w:bCs/>
                <w:sz w:val="18"/>
              </w:rPr>
              <w:t xml:space="preserve"> 2022</w:t>
            </w:r>
          </w:p>
        </w:tc>
        <w:tc>
          <w:tcPr>
            <w:tcW w:w="756" w:type="dxa"/>
            <w:vAlign w:val="bottom"/>
          </w:tcPr>
          <w:p w14:paraId="3A726854" w14:textId="5114C319"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Teaching Quality and Engagement</w:t>
            </w:r>
            <w:r>
              <w:rPr>
                <w:rFonts w:ascii="Calibri" w:hAnsi="Calibri" w:cs="Calibri"/>
                <w:b/>
                <w:bCs/>
                <w:sz w:val="18"/>
              </w:rPr>
              <w:t xml:space="preserve"> 2023</w:t>
            </w:r>
          </w:p>
        </w:tc>
        <w:tc>
          <w:tcPr>
            <w:tcW w:w="756" w:type="dxa"/>
            <w:vAlign w:val="bottom"/>
          </w:tcPr>
          <w:p w14:paraId="5219385B" w14:textId="248D771E"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Teaching Quality and Engagement</w:t>
            </w:r>
            <w:r>
              <w:rPr>
                <w:rFonts w:ascii="Calibri" w:hAnsi="Calibri" w:cs="Calibri"/>
                <w:b/>
                <w:bCs/>
                <w:sz w:val="18"/>
              </w:rPr>
              <w:t xml:space="preserve"> 2024</w:t>
            </w:r>
          </w:p>
        </w:tc>
        <w:tc>
          <w:tcPr>
            <w:tcW w:w="756" w:type="dxa"/>
            <w:vAlign w:val="bottom"/>
          </w:tcPr>
          <w:p w14:paraId="2C93CCBB" w14:textId="66FF6AE0"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Student Support and Services</w:t>
            </w:r>
            <w:r>
              <w:rPr>
                <w:rFonts w:ascii="Calibri" w:hAnsi="Calibri" w:cs="Calibri"/>
                <w:b/>
                <w:bCs/>
                <w:sz w:val="18"/>
              </w:rPr>
              <w:t xml:space="preserve"> 2022</w:t>
            </w:r>
          </w:p>
        </w:tc>
        <w:tc>
          <w:tcPr>
            <w:tcW w:w="756" w:type="dxa"/>
            <w:vAlign w:val="bottom"/>
          </w:tcPr>
          <w:p w14:paraId="3D21FB53" w14:textId="65695F99"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Student Support and Services</w:t>
            </w:r>
            <w:r>
              <w:rPr>
                <w:rFonts w:ascii="Calibri" w:hAnsi="Calibri" w:cs="Calibri"/>
                <w:b/>
                <w:bCs/>
                <w:sz w:val="18"/>
              </w:rPr>
              <w:t xml:space="preserve"> 2023</w:t>
            </w:r>
          </w:p>
        </w:tc>
        <w:tc>
          <w:tcPr>
            <w:tcW w:w="756" w:type="dxa"/>
            <w:vAlign w:val="bottom"/>
          </w:tcPr>
          <w:p w14:paraId="5BB36D60" w14:textId="6FB3F275"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Student Support and Services</w:t>
            </w:r>
            <w:r>
              <w:rPr>
                <w:rFonts w:ascii="Calibri" w:hAnsi="Calibri" w:cs="Calibri"/>
                <w:b/>
                <w:bCs/>
                <w:sz w:val="18"/>
              </w:rPr>
              <w:t xml:space="preserve"> 2024</w:t>
            </w:r>
          </w:p>
        </w:tc>
        <w:tc>
          <w:tcPr>
            <w:tcW w:w="756" w:type="dxa"/>
            <w:vAlign w:val="bottom"/>
          </w:tcPr>
          <w:p w14:paraId="0D77EDFF" w14:textId="6FA565CA"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Learning Resources</w:t>
            </w:r>
            <w:r>
              <w:rPr>
                <w:rFonts w:ascii="Calibri" w:hAnsi="Calibri" w:cs="Calibri"/>
                <w:b/>
                <w:bCs/>
                <w:sz w:val="18"/>
              </w:rPr>
              <w:t xml:space="preserve"> 2022</w:t>
            </w:r>
          </w:p>
        </w:tc>
        <w:tc>
          <w:tcPr>
            <w:tcW w:w="756" w:type="dxa"/>
            <w:vAlign w:val="bottom"/>
          </w:tcPr>
          <w:p w14:paraId="4CF1F540" w14:textId="373EF982"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Learning Resources</w:t>
            </w:r>
            <w:r>
              <w:rPr>
                <w:rFonts w:ascii="Calibri" w:hAnsi="Calibri" w:cs="Calibri"/>
                <w:b/>
                <w:bCs/>
                <w:sz w:val="18"/>
              </w:rPr>
              <w:t xml:space="preserve"> 2023</w:t>
            </w:r>
          </w:p>
        </w:tc>
        <w:tc>
          <w:tcPr>
            <w:tcW w:w="756" w:type="dxa"/>
            <w:vAlign w:val="bottom"/>
          </w:tcPr>
          <w:p w14:paraId="795A7921" w14:textId="05F6C520"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Learning Resources</w:t>
            </w:r>
            <w:r>
              <w:rPr>
                <w:rFonts w:ascii="Calibri" w:hAnsi="Calibri" w:cs="Calibri"/>
                <w:b/>
                <w:bCs/>
                <w:sz w:val="18"/>
              </w:rPr>
              <w:t xml:space="preserve"> 2024</w:t>
            </w:r>
          </w:p>
        </w:tc>
        <w:tc>
          <w:tcPr>
            <w:tcW w:w="756" w:type="dxa"/>
            <w:vAlign w:val="bottom"/>
          </w:tcPr>
          <w:p w14:paraId="1EE5E1DF" w14:textId="66F50862" w:rsidR="00364236" w:rsidRPr="0049534D" w:rsidRDefault="00364236" w:rsidP="00364236">
            <w:pPr>
              <w:spacing w:before="120" w:after="80"/>
              <w:jc w:val="center"/>
              <w:rPr>
                <w:rFonts w:ascii="Calibri" w:hAnsi="Calibri" w:cs="Calibri"/>
                <w:sz w:val="18"/>
              </w:rPr>
            </w:pPr>
            <w:r>
              <w:rPr>
                <w:rFonts w:ascii="Calibri" w:hAnsi="Calibri" w:cs="Calibri"/>
                <w:b/>
                <w:bCs/>
                <w:sz w:val="18"/>
              </w:rPr>
              <w:t>Overall Educational Experience 2022</w:t>
            </w:r>
          </w:p>
        </w:tc>
        <w:tc>
          <w:tcPr>
            <w:tcW w:w="756" w:type="dxa"/>
            <w:vAlign w:val="bottom"/>
          </w:tcPr>
          <w:p w14:paraId="7416FDA7" w14:textId="614F7470" w:rsidR="00364236" w:rsidRPr="0049534D" w:rsidRDefault="00364236" w:rsidP="00364236">
            <w:pPr>
              <w:spacing w:before="120" w:after="80"/>
              <w:jc w:val="center"/>
              <w:rPr>
                <w:rFonts w:ascii="Calibri" w:hAnsi="Calibri" w:cs="Calibri"/>
                <w:sz w:val="18"/>
              </w:rPr>
            </w:pPr>
            <w:r>
              <w:rPr>
                <w:rFonts w:ascii="Calibri" w:hAnsi="Calibri" w:cs="Calibri"/>
                <w:b/>
                <w:bCs/>
                <w:sz w:val="18"/>
              </w:rPr>
              <w:t>Overall Educational Experience 2023</w:t>
            </w:r>
          </w:p>
        </w:tc>
        <w:tc>
          <w:tcPr>
            <w:tcW w:w="756" w:type="dxa"/>
            <w:vAlign w:val="bottom"/>
          </w:tcPr>
          <w:p w14:paraId="310DE11C" w14:textId="4032C88D" w:rsidR="00364236" w:rsidRPr="0049534D" w:rsidRDefault="00364236" w:rsidP="00364236">
            <w:pPr>
              <w:spacing w:before="120" w:after="80"/>
              <w:jc w:val="center"/>
              <w:rPr>
                <w:rFonts w:ascii="Calibri" w:hAnsi="Calibri" w:cs="Calibri"/>
                <w:sz w:val="18"/>
              </w:rPr>
            </w:pPr>
            <w:r>
              <w:rPr>
                <w:rFonts w:ascii="Calibri" w:hAnsi="Calibri" w:cs="Calibri"/>
                <w:b/>
                <w:bCs/>
                <w:sz w:val="18"/>
              </w:rPr>
              <w:t>Overall Educational Experience 2024</w:t>
            </w:r>
          </w:p>
        </w:tc>
      </w:tr>
      <w:tr w:rsidR="00481507" w:rsidRPr="00A65A10" w14:paraId="0CE9FA1D" w14:textId="77777777" w:rsidTr="00364236">
        <w:trPr>
          <w:trHeight w:val="344"/>
        </w:trPr>
        <w:tc>
          <w:tcPr>
            <w:tcW w:w="1838" w:type="dxa"/>
            <w:vAlign w:val="center"/>
            <w:hideMark/>
          </w:tcPr>
          <w:p w14:paraId="0BE89534" w14:textId="77777777" w:rsidR="00A63D9C" w:rsidRPr="00660FCB" w:rsidRDefault="00A63D9C" w:rsidP="00364236">
            <w:pPr>
              <w:spacing w:before="60" w:after="60"/>
              <w:rPr>
                <w:rFonts w:eastAsia="Times New Roman" w:cs="Arial"/>
                <w:sz w:val="18"/>
                <w:lang w:eastAsia="en-AU"/>
              </w:rPr>
            </w:pPr>
            <w:r w:rsidRPr="00660FCB">
              <w:rPr>
                <w:rFonts w:ascii="Calibri" w:hAnsi="Calibri" w:cs="Calibri"/>
                <w:sz w:val="18"/>
              </w:rPr>
              <w:t>Agriculture and environmental studies</w:t>
            </w:r>
          </w:p>
        </w:tc>
        <w:tc>
          <w:tcPr>
            <w:tcW w:w="756" w:type="dxa"/>
            <w:vAlign w:val="center"/>
            <w:hideMark/>
          </w:tcPr>
          <w:p w14:paraId="74B09B7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80.5</w:t>
            </w:r>
          </w:p>
        </w:tc>
        <w:tc>
          <w:tcPr>
            <w:tcW w:w="756" w:type="dxa"/>
            <w:vAlign w:val="center"/>
            <w:hideMark/>
          </w:tcPr>
          <w:p w14:paraId="3649318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82.5</w:t>
            </w:r>
          </w:p>
        </w:tc>
        <w:tc>
          <w:tcPr>
            <w:tcW w:w="756" w:type="dxa"/>
            <w:vAlign w:val="center"/>
            <w:hideMark/>
          </w:tcPr>
          <w:p w14:paraId="30FE918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82.6</w:t>
            </w:r>
          </w:p>
        </w:tc>
        <w:tc>
          <w:tcPr>
            <w:tcW w:w="756" w:type="dxa"/>
            <w:vAlign w:val="center"/>
            <w:hideMark/>
          </w:tcPr>
          <w:p w14:paraId="31213DA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55.7</w:t>
            </w:r>
          </w:p>
        </w:tc>
        <w:tc>
          <w:tcPr>
            <w:tcW w:w="756" w:type="dxa"/>
            <w:vAlign w:val="center"/>
            <w:hideMark/>
          </w:tcPr>
          <w:p w14:paraId="6346510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66.1</w:t>
            </w:r>
          </w:p>
        </w:tc>
        <w:tc>
          <w:tcPr>
            <w:tcW w:w="756" w:type="dxa"/>
            <w:vAlign w:val="center"/>
            <w:hideMark/>
          </w:tcPr>
          <w:p w14:paraId="1B9F904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62.3</w:t>
            </w:r>
          </w:p>
        </w:tc>
        <w:tc>
          <w:tcPr>
            <w:tcW w:w="756" w:type="dxa"/>
            <w:vAlign w:val="center"/>
            <w:hideMark/>
          </w:tcPr>
          <w:p w14:paraId="536F9F2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86.9</w:t>
            </w:r>
          </w:p>
        </w:tc>
        <w:tc>
          <w:tcPr>
            <w:tcW w:w="756" w:type="dxa"/>
            <w:vAlign w:val="center"/>
            <w:hideMark/>
          </w:tcPr>
          <w:p w14:paraId="7C38A7ED" w14:textId="22DCFB3B"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88</w:t>
            </w:r>
            <w:r w:rsidR="00E75A83" w:rsidRPr="0049534D">
              <w:rPr>
                <w:rFonts w:ascii="Calibri" w:hAnsi="Calibri" w:cs="Calibri"/>
                <w:sz w:val="18"/>
              </w:rPr>
              <w:t>.0</w:t>
            </w:r>
          </w:p>
        </w:tc>
        <w:tc>
          <w:tcPr>
            <w:tcW w:w="756" w:type="dxa"/>
            <w:vAlign w:val="center"/>
            <w:hideMark/>
          </w:tcPr>
          <w:p w14:paraId="248F215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82.6</w:t>
            </w:r>
          </w:p>
        </w:tc>
        <w:tc>
          <w:tcPr>
            <w:tcW w:w="756" w:type="dxa"/>
            <w:vAlign w:val="center"/>
            <w:hideMark/>
          </w:tcPr>
          <w:p w14:paraId="21FFC6C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75.4</w:t>
            </w:r>
          </w:p>
        </w:tc>
        <w:tc>
          <w:tcPr>
            <w:tcW w:w="756" w:type="dxa"/>
            <w:vAlign w:val="center"/>
            <w:hideMark/>
          </w:tcPr>
          <w:p w14:paraId="6C797989" w14:textId="3CD9B80D"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w:t>
            </w:r>
            <w:r w:rsidR="00E75A83" w:rsidRPr="0049534D">
              <w:rPr>
                <w:rFonts w:ascii="Calibri" w:hAnsi="Calibri" w:cs="Calibri"/>
                <w:sz w:val="18"/>
              </w:rPr>
              <w:t>.0</w:t>
            </w:r>
          </w:p>
        </w:tc>
        <w:tc>
          <w:tcPr>
            <w:tcW w:w="756" w:type="dxa"/>
            <w:vAlign w:val="center"/>
            <w:hideMark/>
          </w:tcPr>
          <w:p w14:paraId="0B38744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79.4</w:t>
            </w:r>
          </w:p>
        </w:tc>
        <w:tc>
          <w:tcPr>
            <w:tcW w:w="756" w:type="dxa"/>
            <w:vAlign w:val="center"/>
            <w:hideMark/>
          </w:tcPr>
          <w:p w14:paraId="0FD1BD3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89.7</w:t>
            </w:r>
          </w:p>
        </w:tc>
        <w:tc>
          <w:tcPr>
            <w:tcW w:w="756" w:type="dxa"/>
            <w:vAlign w:val="center"/>
            <w:hideMark/>
          </w:tcPr>
          <w:p w14:paraId="7C5465E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91.5</w:t>
            </w:r>
          </w:p>
        </w:tc>
        <w:tc>
          <w:tcPr>
            <w:tcW w:w="756" w:type="dxa"/>
            <w:vAlign w:val="center"/>
            <w:hideMark/>
          </w:tcPr>
          <w:p w14:paraId="4CD746D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86.3</w:t>
            </w:r>
          </w:p>
        </w:tc>
        <w:tc>
          <w:tcPr>
            <w:tcW w:w="756" w:type="dxa"/>
            <w:vAlign w:val="center"/>
            <w:hideMark/>
          </w:tcPr>
          <w:p w14:paraId="79C53E7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77.9</w:t>
            </w:r>
          </w:p>
        </w:tc>
        <w:tc>
          <w:tcPr>
            <w:tcW w:w="756" w:type="dxa"/>
            <w:vAlign w:val="center"/>
            <w:hideMark/>
          </w:tcPr>
          <w:p w14:paraId="1EF9E99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81.4</w:t>
            </w:r>
          </w:p>
        </w:tc>
        <w:tc>
          <w:tcPr>
            <w:tcW w:w="756" w:type="dxa"/>
            <w:vAlign w:val="center"/>
            <w:hideMark/>
          </w:tcPr>
          <w:p w14:paraId="7484277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74.3</w:t>
            </w:r>
          </w:p>
        </w:tc>
      </w:tr>
      <w:tr w:rsidR="00481507" w:rsidRPr="00A65A10" w14:paraId="258D6B8E" w14:textId="77777777" w:rsidTr="00364236">
        <w:trPr>
          <w:trHeight w:val="344"/>
        </w:trPr>
        <w:tc>
          <w:tcPr>
            <w:tcW w:w="1838" w:type="dxa"/>
            <w:vAlign w:val="center"/>
            <w:hideMark/>
          </w:tcPr>
          <w:p w14:paraId="072CD8EB" w14:textId="77777777" w:rsidR="00A63D9C" w:rsidRPr="00660FCB" w:rsidRDefault="00A63D9C" w:rsidP="00364236">
            <w:pPr>
              <w:spacing w:before="60" w:after="60"/>
              <w:rPr>
                <w:rFonts w:eastAsia="Times New Roman" w:cs="Arial"/>
                <w:sz w:val="18"/>
                <w:lang w:eastAsia="en-AU"/>
              </w:rPr>
            </w:pPr>
            <w:r w:rsidRPr="00660FCB">
              <w:rPr>
                <w:rFonts w:ascii="Calibri" w:hAnsi="Calibri" w:cs="Calibri"/>
                <w:sz w:val="18"/>
              </w:rPr>
              <w:t>Architecture and built environment</w:t>
            </w:r>
          </w:p>
        </w:tc>
        <w:tc>
          <w:tcPr>
            <w:tcW w:w="756" w:type="dxa"/>
            <w:vAlign w:val="center"/>
            <w:hideMark/>
          </w:tcPr>
          <w:p w14:paraId="5E8A738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79.5</w:t>
            </w:r>
          </w:p>
        </w:tc>
        <w:tc>
          <w:tcPr>
            <w:tcW w:w="756" w:type="dxa"/>
            <w:vAlign w:val="center"/>
            <w:hideMark/>
          </w:tcPr>
          <w:p w14:paraId="007FF3A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80.5</w:t>
            </w:r>
          </w:p>
        </w:tc>
        <w:tc>
          <w:tcPr>
            <w:tcW w:w="756" w:type="dxa"/>
            <w:vAlign w:val="center"/>
            <w:hideMark/>
          </w:tcPr>
          <w:p w14:paraId="47B39BD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81.8</w:t>
            </w:r>
          </w:p>
        </w:tc>
        <w:tc>
          <w:tcPr>
            <w:tcW w:w="756" w:type="dxa"/>
            <w:vAlign w:val="center"/>
            <w:hideMark/>
          </w:tcPr>
          <w:p w14:paraId="506F8F0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62.9</w:t>
            </w:r>
          </w:p>
        </w:tc>
        <w:tc>
          <w:tcPr>
            <w:tcW w:w="756" w:type="dxa"/>
            <w:vAlign w:val="center"/>
            <w:hideMark/>
          </w:tcPr>
          <w:p w14:paraId="62CFF79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68.3</w:t>
            </w:r>
          </w:p>
        </w:tc>
        <w:tc>
          <w:tcPr>
            <w:tcW w:w="756" w:type="dxa"/>
            <w:vAlign w:val="center"/>
            <w:hideMark/>
          </w:tcPr>
          <w:p w14:paraId="5F5AE83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68.2</w:t>
            </w:r>
          </w:p>
        </w:tc>
        <w:tc>
          <w:tcPr>
            <w:tcW w:w="756" w:type="dxa"/>
            <w:vAlign w:val="center"/>
            <w:hideMark/>
          </w:tcPr>
          <w:p w14:paraId="3D8CAB2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77.8</w:t>
            </w:r>
          </w:p>
        </w:tc>
        <w:tc>
          <w:tcPr>
            <w:tcW w:w="756" w:type="dxa"/>
            <w:vAlign w:val="center"/>
            <w:hideMark/>
          </w:tcPr>
          <w:p w14:paraId="588ED11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80.1</w:t>
            </w:r>
          </w:p>
        </w:tc>
        <w:tc>
          <w:tcPr>
            <w:tcW w:w="756" w:type="dxa"/>
            <w:vAlign w:val="center"/>
            <w:hideMark/>
          </w:tcPr>
          <w:p w14:paraId="79F7EB44" w14:textId="5F7DBCF3"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w:t>
            </w:r>
            <w:r w:rsidR="00E75A83" w:rsidRPr="0049534D">
              <w:rPr>
                <w:rFonts w:ascii="Calibri" w:hAnsi="Calibri" w:cs="Calibri"/>
                <w:sz w:val="18"/>
              </w:rPr>
              <w:t>.0</w:t>
            </w:r>
          </w:p>
        </w:tc>
        <w:tc>
          <w:tcPr>
            <w:tcW w:w="756" w:type="dxa"/>
            <w:vAlign w:val="center"/>
            <w:hideMark/>
          </w:tcPr>
          <w:p w14:paraId="37098B5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70.1</w:t>
            </w:r>
          </w:p>
        </w:tc>
        <w:tc>
          <w:tcPr>
            <w:tcW w:w="756" w:type="dxa"/>
            <w:vAlign w:val="center"/>
            <w:hideMark/>
          </w:tcPr>
          <w:p w14:paraId="043330F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71.2</w:t>
            </w:r>
          </w:p>
        </w:tc>
        <w:tc>
          <w:tcPr>
            <w:tcW w:w="756" w:type="dxa"/>
            <w:vAlign w:val="center"/>
            <w:hideMark/>
          </w:tcPr>
          <w:p w14:paraId="3AEB567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68.5</w:t>
            </w:r>
          </w:p>
        </w:tc>
        <w:tc>
          <w:tcPr>
            <w:tcW w:w="756" w:type="dxa"/>
            <w:vAlign w:val="center"/>
            <w:hideMark/>
          </w:tcPr>
          <w:p w14:paraId="7160028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82.2</w:t>
            </w:r>
          </w:p>
        </w:tc>
        <w:tc>
          <w:tcPr>
            <w:tcW w:w="756" w:type="dxa"/>
            <w:vAlign w:val="center"/>
            <w:hideMark/>
          </w:tcPr>
          <w:p w14:paraId="0B4E720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81.2</w:t>
            </w:r>
          </w:p>
        </w:tc>
        <w:tc>
          <w:tcPr>
            <w:tcW w:w="756" w:type="dxa"/>
            <w:vAlign w:val="center"/>
            <w:hideMark/>
          </w:tcPr>
          <w:p w14:paraId="5B784C3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81.8</w:t>
            </w:r>
          </w:p>
        </w:tc>
        <w:tc>
          <w:tcPr>
            <w:tcW w:w="756" w:type="dxa"/>
            <w:vAlign w:val="center"/>
            <w:hideMark/>
          </w:tcPr>
          <w:p w14:paraId="3111524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70.2</w:t>
            </w:r>
          </w:p>
        </w:tc>
        <w:tc>
          <w:tcPr>
            <w:tcW w:w="756" w:type="dxa"/>
            <w:vAlign w:val="center"/>
            <w:hideMark/>
          </w:tcPr>
          <w:p w14:paraId="008EDF7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71.1</w:t>
            </w:r>
          </w:p>
        </w:tc>
        <w:tc>
          <w:tcPr>
            <w:tcW w:w="756" w:type="dxa"/>
            <w:vAlign w:val="center"/>
            <w:hideMark/>
          </w:tcPr>
          <w:p w14:paraId="041E9D8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70.4</w:t>
            </w:r>
          </w:p>
        </w:tc>
      </w:tr>
      <w:tr w:rsidR="00481507" w:rsidRPr="00A65A10" w14:paraId="4100973E" w14:textId="77777777" w:rsidTr="00364236">
        <w:trPr>
          <w:trHeight w:val="344"/>
        </w:trPr>
        <w:tc>
          <w:tcPr>
            <w:tcW w:w="1838" w:type="dxa"/>
            <w:vAlign w:val="center"/>
            <w:hideMark/>
          </w:tcPr>
          <w:p w14:paraId="3D63F811" w14:textId="77777777" w:rsidR="00A63D9C" w:rsidRPr="00660FCB" w:rsidRDefault="00A63D9C" w:rsidP="00364236">
            <w:pPr>
              <w:spacing w:before="60" w:after="60"/>
              <w:rPr>
                <w:rFonts w:eastAsia="Times New Roman" w:cs="Arial"/>
                <w:sz w:val="18"/>
                <w:lang w:eastAsia="en-AU"/>
              </w:rPr>
            </w:pPr>
            <w:r w:rsidRPr="00660FCB">
              <w:rPr>
                <w:rFonts w:ascii="Calibri" w:hAnsi="Calibri" w:cs="Calibri"/>
                <w:sz w:val="18"/>
              </w:rPr>
              <w:t>Business and management</w:t>
            </w:r>
          </w:p>
        </w:tc>
        <w:tc>
          <w:tcPr>
            <w:tcW w:w="756" w:type="dxa"/>
            <w:vAlign w:val="center"/>
            <w:hideMark/>
          </w:tcPr>
          <w:p w14:paraId="3F3077A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82.1</w:t>
            </w:r>
          </w:p>
        </w:tc>
        <w:tc>
          <w:tcPr>
            <w:tcW w:w="756" w:type="dxa"/>
            <w:vAlign w:val="center"/>
            <w:hideMark/>
          </w:tcPr>
          <w:p w14:paraId="416C4C1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83.4</w:t>
            </w:r>
          </w:p>
        </w:tc>
        <w:tc>
          <w:tcPr>
            <w:tcW w:w="756" w:type="dxa"/>
            <w:vAlign w:val="center"/>
            <w:hideMark/>
          </w:tcPr>
          <w:p w14:paraId="72AFEE3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83.6</w:t>
            </w:r>
          </w:p>
        </w:tc>
        <w:tc>
          <w:tcPr>
            <w:tcW w:w="756" w:type="dxa"/>
            <w:vAlign w:val="center"/>
            <w:hideMark/>
          </w:tcPr>
          <w:p w14:paraId="62518D7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62.6</w:t>
            </w:r>
          </w:p>
        </w:tc>
        <w:tc>
          <w:tcPr>
            <w:tcW w:w="756" w:type="dxa"/>
            <w:vAlign w:val="center"/>
            <w:hideMark/>
          </w:tcPr>
          <w:p w14:paraId="6DADDD8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71.5</w:t>
            </w:r>
          </w:p>
        </w:tc>
        <w:tc>
          <w:tcPr>
            <w:tcW w:w="756" w:type="dxa"/>
            <w:vAlign w:val="center"/>
            <w:hideMark/>
          </w:tcPr>
          <w:p w14:paraId="0B8F135F" w14:textId="77777777" w:rsidR="00E75A83" w:rsidRPr="0049534D" w:rsidRDefault="00E75A83" w:rsidP="00364236">
            <w:pPr>
              <w:ind w:right="113"/>
              <w:jc w:val="right"/>
              <w:rPr>
                <w:rFonts w:ascii="Calibri" w:eastAsia="Times New Roman" w:hAnsi="Calibri" w:cs="Calibri"/>
                <w:color w:val="000000"/>
                <w:sz w:val="18"/>
              </w:rPr>
            </w:pPr>
            <w:r w:rsidRPr="0049534D">
              <w:rPr>
                <w:rFonts w:ascii="Calibri" w:hAnsi="Calibri" w:cs="Calibri"/>
                <w:color w:val="000000"/>
                <w:sz w:val="18"/>
              </w:rPr>
              <w:t>74.0</w:t>
            </w:r>
          </w:p>
          <w:p w14:paraId="4218A48A" w14:textId="07C33130" w:rsidR="00A63D9C" w:rsidRPr="0049534D" w:rsidRDefault="00A63D9C" w:rsidP="00364236">
            <w:pPr>
              <w:ind w:right="113"/>
              <w:jc w:val="right"/>
              <w:rPr>
                <w:rFonts w:eastAsia="Times New Roman" w:cs="Arial"/>
                <w:sz w:val="18"/>
                <w:lang w:eastAsia="en-AU"/>
              </w:rPr>
            </w:pPr>
          </w:p>
        </w:tc>
        <w:tc>
          <w:tcPr>
            <w:tcW w:w="756" w:type="dxa"/>
            <w:vAlign w:val="center"/>
            <w:hideMark/>
          </w:tcPr>
          <w:p w14:paraId="466D1EF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81.7</w:t>
            </w:r>
          </w:p>
        </w:tc>
        <w:tc>
          <w:tcPr>
            <w:tcW w:w="756" w:type="dxa"/>
            <w:vAlign w:val="center"/>
            <w:hideMark/>
          </w:tcPr>
          <w:p w14:paraId="6349EBF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83.8</w:t>
            </w:r>
          </w:p>
        </w:tc>
        <w:tc>
          <w:tcPr>
            <w:tcW w:w="756" w:type="dxa"/>
            <w:vAlign w:val="center"/>
            <w:hideMark/>
          </w:tcPr>
          <w:p w14:paraId="25EDE40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83.2</w:t>
            </w:r>
          </w:p>
        </w:tc>
        <w:tc>
          <w:tcPr>
            <w:tcW w:w="756" w:type="dxa"/>
            <w:vAlign w:val="center"/>
            <w:hideMark/>
          </w:tcPr>
          <w:p w14:paraId="3250D79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77.3</w:t>
            </w:r>
          </w:p>
        </w:tc>
        <w:tc>
          <w:tcPr>
            <w:tcW w:w="756" w:type="dxa"/>
            <w:vAlign w:val="center"/>
            <w:hideMark/>
          </w:tcPr>
          <w:p w14:paraId="626AFABE" w14:textId="7D4F8CA4"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w:t>
            </w:r>
            <w:r w:rsidR="00E75A83" w:rsidRPr="0049534D">
              <w:rPr>
                <w:rFonts w:ascii="Calibri" w:hAnsi="Calibri" w:cs="Calibri"/>
                <w:sz w:val="18"/>
              </w:rPr>
              <w:t>.0</w:t>
            </w:r>
          </w:p>
        </w:tc>
        <w:tc>
          <w:tcPr>
            <w:tcW w:w="756" w:type="dxa"/>
            <w:vAlign w:val="center"/>
            <w:hideMark/>
          </w:tcPr>
          <w:p w14:paraId="3D222AC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79.9</w:t>
            </w:r>
          </w:p>
        </w:tc>
        <w:tc>
          <w:tcPr>
            <w:tcW w:w="756" w:type="dxa"/>
            <w:vAlign w:val="center"/>
            <w:hideMark/>
          </w:tcPr>
          <w:p w14:paraId="62D019B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85.3</w:t>
            </w:r>
          </w:p>
        </w:tc>
        <w:tc>
          <w:tcPr>
            <w:tcW w:w="756" w:type="dxa"/>
            <w:vAlign w:val="center"/>
            <w:hideMark/>
          </w:tcPr>
          <w:p w14:paraId="647854C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86.1</w:t>
            </w:r>
          </w:p>
        </w:tc>
        <w:tc>
          <w:tcPr>
            <w:tcW w:w="756" w:type="dxa"/>
            <w:vAlign w:val="center"/>
            <w:hideMark/>
          </w:tcPr>
          <w:p w14:paraId="77585BE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84.8</w:t>
            </w:r>
          </w:p>
        </w:tc>
        <w:tc>
          <w:tcPr>
            <w:tcW w:w="756" w:type="dxa"/>
            <w:vAlign w:val="center"/>
            <w:hideMark/>
          </w:tcPr>
          <w:p w14:paraId="13CBC84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77.3</w:t>
            </w:r>
          </w:p>
        </w:tc>
        <w:tc>
          <w:tcPr>
            <w:tcW w:w="756" w:type="dxa"/>
            <w:vAlign w:val="center"/>
            <w:hideMark/>
          </w:tcPr>
          <w:p w14:paraId="0BCF075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77.4</w:t>
            </w:r>
          </w:p>
        </w:tc>
        <w:tc>
          <w:tcPr>
            <w:tcW w:w="756" w:type="dxa"/>
            <w:vAlign w:val="center"/>
            <w:hideMark/>
          </w:tcPr>
          <w:p w14:paraId="205A3DC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75.8</w:t>
            </w:r>
          </w:p>
        </w:tc>
      </w:tr>
      <w:tr w:rsidR="00481507" w:rsidRPr="00A65A10" w14:paraId="2CA84309" w14:textId="77777777" w:rsidTr="00364236">
        <w:trPr>
          <w:trHeight w:val="344"/>
        </w:trPr>
        <w:tc>
          <w:tcPr>
            <w:tcW w:w="1838" w:type="dxa"/>
            <w:vAlign w:val="center"/>
            <w:hideMark/>
          </w:tcPr>
          <w:p w14:paraId="4EB6F5D9" w14:textId="77777777" w:rsidR="00A63D9C" w:rsidRPr="00660FCB" w:rsidRDefault="00A63D9C" w:rsidP="00364236">
            <w:pPr>
              <w:spacing w:before="60" w:after="60"/>
              <w:rPr>
                <w:rFonts w:eastAsia="Times New Roman" w:cs="Arial"/>
                <w:sz w:val="18"/>
                <w:lang w:eastAsia="en-AU"/>
              </w:rPr>
            </w:pPr>
            <w:r w:rsidRPr="00660FCB">
              <w:rPr>
                <w:rFonts w:ascii="Calibri" w:hAnsi="Calibri" w:cs="Calibri"/>
                <w:sz w:val="18"/>
              </w:rPr>
              <w:t>Communications</w:t>
            </w:r>
          </w:p>
        </w:tc>
        <w:tc>
          <w:tcPr>
            <w:tcW w:w="756" w:type="dxa"/>
            <w:vAlign w:val="center"/>
            <w:hideMark/>
          </w:tcPr>
          <w:p w14:paraId="5C0254E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83.4</w:t>
            </w:r>
          </w:p>
        </w:tc>
        <w:tc>
          <w:tcPr>
            <w:tcW w:w="756" w:type="dxa"/>
            <w:vAlign w:val="center"/>
            <w:hideMark/>
          </w:tcPr>
          <w:p w14:paraId="607F2DC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85.1</w:t>
            </w:r>
          </w:p>
        </w:tc>
        <w:tc>
          <w:tcPr>
            <w:tcW w:w="756" w:type="dxa"/>
            <w:vAlign w:val="center"/>
            <w:hideMark/>
          </w:tcPr>
          <w:p w14:paraId="0A0C16A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82.3</w:t>
            </w:r>
          </w:p>
        </w:tc>
        <w:tc>
          <w:tcPr>
            <w:tcW w:w="756" w:type="dxa"/>
            <w:vAlign w:val="center"/>
            <w:hideMark/>
          </w:tcPr>
          <w:p w14:paraId="0CCE5CC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64.7</w:t>
            </w:r>
          </w:p>
        </w:tc>
        <w:tc>
          <w:tcPr>
            <w:tcW w:w="756" w:type="dxa"/>
            <w:vAlign w:val="center"/>
            <w:hideMark/>
          </w:tcPr>
          <w:p w14:paraId="63C978F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69.5</w:t>
            </w:r>
          </w:p>
        </w:tc>
        <w:tc>
          <w:tcPr>
            <w:tcW w:w="756" w:type="dxa"/>
            <w:vAlign w:val="center"/>
            <w:hideMark/>
          </w:tcPr>
          <w:p w14:paraId="433334B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73.3</w:t>
            </w:r>
          </w:p>
        </w:tc>
        <w:tc>
          <w:tcPr>
            <w:tcW w:w="756" w:type="dxa"/>
            <w:vAlign w:val="center"/>
            <w:hideMark/>
          </w:tcPr>
          <w:p w14:paraId="1E7A09C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85.6</w:t>
            </w:r>
          </w:p>
        </w:tc>
        <w:tc>
          <w:tcPr>
            <w:tcW w:w="756" w:type="dxa"/>
            <w:vAlign w:val="center"/>
            <w:hideMark/>
          </w:tcPr>
          <w:p w14:paraId="4AD6D59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83.7</w:t>
            </w:r>
          </w:p>
        </w:tc>
        <w:tc>
          <w:tcPr>
            <w:tcW w:w="756" w:type="dxa"/>
            <w:vAlign w:val="center"/>
            <w:hideMark/>
          </w:tcPr>
          <w:p w14:paraId="2ECCCCB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83.2</w:t>
            </w:r>
          </w:p>
        </w:tc>
        <w:tc>
          <w:tcPr>
            <w:tcW w:w="756" w:type="dxa"/>
            <w:vAlign w:val="center"/>
            <w:hideMark/>
          </w:tcPr>
          <w:p w14:paraId="01D6273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73.6</w:t>
            </w:r>
          </w:p>
        </w:tc>
        <w:tc>
          <w:tcPr>
            <w:tcW w:w="756" w:type="dxa"/>
            <w:vAlign w:val="center"/>
            <w:hideMark/>
          </w:tcPr>
          <w:p w14:paraId="0FAABB8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76.2</w:t>
            </w:r>
          </w:p>
        </w:tc>
        <w:tc>
          <w:tcPr>
            <w:tcW w:w="756" w:type="dxa"/>
            <w:vAlign w:val="center"/>
            <w:hideMark/>
          </w:tcPr>
          <w:p w14:paraId="23E7ED8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75.3</w:t>
            </w:r>
          </w:p>
        </w:tc>
        <w:tc>
          <w:tcPr>
            <w:tcW w:w="756" w:type="dxa"/>
            <w:vAlign w:val="center"/>
            <w:hideMark/>
          </w:tcPr>
          <w:p w14:paraId="13901E3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87.6</w:t>
            </w:r>
          </w:p>
        </w:tc>
        <w:tc>
          <w:tcPr>
            <w:tcW w:w="756" w:type="dxa"/>
            <w:vAlign w:val="center"/>
            <w:hideMark/>
          </w:tcPr>
          <w:p w14:paraId="1AE443C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86.5</w:t>
            </w:r>
          </w:p>
        </w:tc>
        <w:tc>
          <w:tcPr>
            <w:tcW w:w="756" w:type="dxa"/>
            <w:vAlign w:val="center"/>
            <w:hideMark/>
          </w:tcPr>
          <w:p w14:paraId="4209FA2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86.1</w:t>
            </w:r>
          </w:p>
        </w:tc>
        <w:tc>
          <w:tcPr>
            <w:tcW w:w="756" w:type="dxa"/>
            <w:vAlign w:val="center"/>
            <w:hideMark/>
          </w:tcPr>
          <w:p w14:paraId="13CF36A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78.7</w:t>
            </w:r>
          </w:p>
        </w:tc>
        <w:tc>
          <w:tcPr>
            <w:tcW w:w="756" w:type="dxa"/>
            <w:vAlign w:val="center"/>
            <w:hideMark/>
          </w:tcPr>
          <w:p w14:paraId="0F6FDE1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76.8</w:t>
            </w:r>
          </w:p>
        </w:tc>
        <w:tc>
          <w:tcPr>
            <w:tcW w:w="756" w:type="dxa"/>
            <w:vAlign w:val="center"/>
            <w:hideMark/>
          </w:tcPr>
          <w:p w14:paraId="51A7C7C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75.7</w:t>
            </w:r>
          </w:p>
        </w:tc>
      </w:tr>
      <w:tr w:rsidR="00481507" w:rsidRPr="00A65A10" w14:paraId="013F6946" w14:textId="77777777" w:rsidTr="00364236">
        <w:trPr>
          <w:trHeight w:val="471"/>
        </w:trPr>
        <w:tc>
          <w:tcPr>
            <w:tcW w:w="1838" w:type="dxa"/>
            <w:vAlign w:val="center"/>
            <w:hideMark/>
          </w:tcPr>
          <w:p w14:paraId="4E208204" w14:textId="77777777" w:rsidR="00A63D9C" w:rsidRPr="00660FCB" w:rsidRDefault="00A63D9C" w:rsidP="00364236">
            <w:pPr>
              <w:spacing w:before="60" w:after="60"/>
              <w:rPr>
                <w:rFonts w:eastAsia="Times New Roman" w:cs="Arial"/>
                <w:sz w:val="18"/>
                <w:lang w:eastAsia="en-AU"/>
              </w:rPr>
            </w:pPr>
            <w:r w:rsidRPr="00660FCB">
              <w:rPr>
                <w:rFonts w:ascii="Calibri" w:hAnsi="Calibri" w:cs="Calibri"/>
                <w:sz w:val="18"/>
              </w:rPr>
              <w:t>Computing and information systems</w:t>
            </w:r>
          </w:p>
        </w:tc>
        <w:tc>
          <w:tcPr>
            <w:tcW w:w="756" w:type="dxa"/>
            <w:vAlign w:val="center"/>
            <w:hideMark/>
          </w:tcPr>
          <w:p w14:paraId="5028B3C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78.3</w:t>
            </w:r>
          </w:p>
        </w:tc>
        <w:tc>
          <w:tcPr>
            <w:tcW w:w="756" w:type="dxa"/>
            <w:vAlign w:val="center"/>
            <w:hideMark/>
          </w:tcPr>
          <w:p w14:paraId="4486FCA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77.5</w:t>
            </w:r>
          </w:p>
        </w:tc>
        <w:tc>
          <w:tcPr>
            <w:tcW w:w="756" w:type="dxa"/>
            <w:vAlign w:val="center"/>
            <w:hideMark/>
          </w:tcPr>
          <w:p w14:paraId="0997F84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77.5</w:t>
            </w:r>
          </w:p>
        </w:tc>
        <w:tc>
          <w:tcPr>
            <w:tcW w:w="756" w:type="dxa"/>
            <w:vAlign w:val="center"/>
            <w:hideMark/>
          </w:tcPr>
          <w:p w14:paraId="261B77B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60.4</w:t>
            </w:r>
          </w:p>
        </w:tc>
        <w:tc>
          <w:tcPr>
            <w:tcW w:w="756" w:type="dxa"/>
            <w:vAlign w:val="center"/>
            <w:hideMark/>
          </w:tcPr>
          <w:p w14:paraId="06CC270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68.5</w:t>
            </w:r>
          </w:p>
        </w:tc>
        <w:tc>
          <w:tcPr>
            <w:tcW w:w="756" w:type="dxa"/>
            <w:vAlign w:val="center"/>
            <w:hideMark/>
          </w:tcPr>
          <w:p w14:paraId="6102344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72.3</w:t>
            </w:r>
          </w:p>
        </w:tc>
        <w:tc>
          <w:tcPr>
            <w:tcW w:w="756" w:type="dxa"/>
            <w:vAlign w:val="center"/>
            <w:hideMark/>
          </w:tcPr>
          <w:p w14:paraId="2C9D320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77.2</w:t>
            </w:r>
          </w:p>
        </w:tc>
        <w:tc>
          <w:tcPr>
            <w:tcW w:w="756" w:type="dxa"/>
            <w:vAlign w:val="center"/>
            <w:hideMark/>
          </w:tcPr>
          <w:p w14:paraId="25944DD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78.6</w:t>
            </w:r>
          </w:p>
        </w:tc>
        <w:tc>
          <w:tcPr>
            <w:tcW w:w="756" w:type="dxa"/>
            <w:vAlign w:val="center"/>
            <w:hideMark/>
          </w:tcPr>
          <w:p w14:paraId="457C210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76.3</w:t>
            </w:r>
          </w:p>
        </w:tc>
        <w:tc>
          <w:tcPr>
            <w:tcW w:w="756" w:type="dxa"/>
            <w:vAlign w:val="center"/>
            <w:hideMark/>
          </w:tcPr>
          <w:p w14:paraId="460AF7A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75.3</w:t>
            </w:r>
          </w:p>
        </w:tc>
        <w:tc>
          <w:tcPr>
            <w:tcW w:w="756" w:type="dxa"/>
            <w:vAlign w:val="center"/>
            <w:hideMark/>
          </w:tcPr>
          <w:p w14:paraId="2DCBCF2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76.4</w:t>
            </w:r>
          </w:p>
        </w:tc>
        <w:tc>
          <w:tcPr>
            <w:tcW w:w="756" w:type="dxa"/>
            <w:vAlign w:val="center"/>
            <w:hideMark/>
          </w:tcPr>
          <w:p w14:paraId="7ED622C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74.9</w:t>
            </w:r>
          </w:p>
        </w:tc>
        <w:tc>
          <w:tcPr>
            <w:tcW w:w="756" w:type="dxa"/>
            <w:vAlign w:val="center"/>
            <w:hideMark/>
          </w:tcPr>
          <w:p w14:paraId="78019E9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81.5</w:t>
            </w:r>
          </w:p>
        </w:tc>
        <w:tc>
          <w:tcPr>
            <w:tcW w:w="756" w:type="dxa"/>
            <w:vAlign w:val="center"/>
            <w:hideMark/>
          </w:tcPr>
          <w:p w14:paraId="712EB0F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82.8</w:t>
            </w:r>
          </w:p>
        </w:tc>
        <w:tc>
          <w:tcPr>
            <w:tcW w:w="756" w:type="dxa"/>
            <w:vAlign w:val="center"/>
            <w:hideMark/>
          </w:tcPr>
          <w:p w14:paraId="2748F6E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79.2</w:t>
            </w:r>
          </w:p>
        </w:tc>
        <w:tc>
          <w:tcPr>
            <w:tcW w:w="756" w:type="dxa"/>
            <w:vAlign w:val="center"/>
            <w:hideMark/>
          </w:tcPr>
          <w:p w14:paraId="35342A9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72.8</w:t>
            </w:r>
          </w:p>
        </w:tc>
        <w:tc>
          <w:tcPr>
            <w:tcW w:w="756" w:type="dxa"/>
            <w:vAlign w:val="center"/>
            <w:hideMark/>
          </w:tcPr>
          <w:p w14:paraId="2D53EC88" w14:textId="025979EC"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w:t>
            </w:r>
            <w:r w:rsidR="00E75A83" w:rsidRPr="0049534D">
              <w:rPr>
                <w:rFonts w:ascii="Calibri" w:hAnsi="Calibri" w:cs="Calibri"/>
                <w:sz w:val="18"/>
              </w:rPr>
              <w:t>.0</w:t>
            </w:r>
          </w:p>
        </w:tc>
        <w:tc>
          <w:tcPr>
            <w:tcW w:w="756" w:type="dxa"/>
            <w:vAlign w:val="center"/>
            <w:hideMark/>
          </w:tcPr>
          <w:p w14:paraId="07A5DDE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68.3</w:t>
            </w:r>
          </w:p>
        </w:tc>
      </w:tr>
      <w:tr w:rsidR="00481507" w:rsidRPr="00A65A10" w14:paraId="5781619C" w14:textId="77777777" w:rsidTr="00364236">
        <w:trPr>
          <w:trHeight w:val="344"/>
        </w:trPr>
        <w:tc>
          <w:tcPr>
            <w:tcW w:w="1838" w:type="dxa"/>
            <w:vAlign w:val="center"/>
            <w:hideMark/>
          </w:tcPr>
          <w:p w14:paraId="78B6614B"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Creative arts</w:t>
            </w:r>
          </w:p>
        </w:tc>
        <w:tc>
          <w:tcPr>
            <w:tcW w:w="756" w:type="dxa"/>
            <w:vAlign w:val="center"/>
            <w:hideMark/>
          </w:tcPr>
          <w:p w14:paraId="07BF634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80.1</w:t>
            </w:r>
          </w:p>
        </w:tc>
        <w:tc>
          <w:tcPr>
            <w:tcW w:w="756" w:type="dxa"/>
            <w:vAlign w:val="center"/>
            <w:hideMark/>
          </w:tcPr>
          <w:p w14:paraId="545132F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82.5</w:t>
            </w:r>
          </w:p>
        </w:tc>
        <w:tc>
          <w:tcPr>
            <w:tcW w:w="756" w:type="dxa"/>
            <w:vAlign w:val="center"/>
            <w:hideMark/>
          </w:tcPr>
          <w:p w14:paraId="4A1C740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84.1</w:t>
            </w:r>
          </w:p>
        </w:tc>
        <w:tc>
          <w:tcPr>
            <w:tcW w:w="756" w:type="dxa"/>
            <w:vAlign w:val="center"/>
            <w:hideMark/>
          </w:tcPr>
          <w:p w14:paraId="409C5C5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57.1</w:t>
            </w:r>
          </w:p>
        </w:tc>
        <w:tc>
          <w:tcPr>
            <w:tcW w:w="756" w:type="dxa"/>
            <w:vAlign w:val="center"/>
            <w:hideMark/>
          </w:tcPr>
          <w:p w14:paraId="498FD5C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65.9</w:t>
            </w:r>
          </w:p>
        </w:tc>
        <w:tc>
          <w:tcPr>
            <w:tcW w:w="756" w:type="dxa"/>
            <w:vAlign w:val="center"/>
            <w:hideMark/>
          </w:tcPr>
          <w:p w14:paraId="2E09923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65.3</w:t>
            </w:r>
          </w:p>
        </w:tc>
        <w:tc>
          <w:tcPr>
            <w:tcW w:w="756" w:type="dxa"/>
            <w:vAlign w:val="center"/>
            <w:hideMark/>
          </w:tcPr>
          <w:p w14:paraId="403ABD5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83.1</w:t>
            </w:r>
          </w:p>
        </w:tc>
        <w:tc>
          <w:tcPr>
            <w:tcW w:w="756" w:type="dxa"/>
            <w:vAlign w:val="center"/>
            <w:hideMark/>
          </w:tcPr>
          <w:p w14:paraId="287E946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83.9</w:t>
            </w:r>
          </w:p>
        </w:tc>
        <w:tc>
          <w:tcPr>
            <w:tcW w:w="756" w:type="dxa"/>
            <w:vAlign w:val="center"/>
            <w:hideMark/>
          </w:tcPr>
          <w:p w14:paraId="1B0F756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83.5</w:t>
            </w:r>
          </w:p>
        </w:tc>
        <w:tc>
          <w:tcPr>
            <w:tcW w:w="756" w:type="dxa"/>
            <w:vAlign w:val="center"/>
            <w:hideMark/>
          </w:tcPr>
          <w:p w14:paraId="3B16D4C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72.6</w:t>
            </w:r>
          </w:p>
        </w:tc>
        <w:tc>
          <w:tcPr>
            <w:tcW w:w="756" w:type="dxa"/>
            <w:vAlign w:val="center"/>
            <w:hideMark/>
          </w:tcPr>
          <w:p w14:paraId="75EE3F5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73.4</w:t>
            </w:r>
          </w:p>
        </w:tc>
        <w:tc>
          <w:tcPr>
            <w:tcW w:w="756" w:type="dxa"/>
            <w:vAlign w:val="center"/>
            <w:hideMark/>
          </w:tcPr>
          <w:p w14:paraId="500002E2" w14:textId="0ADC2324"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w:t>
            </w:r>
            <w:r w:rsidR="00E75A83" w:rsidRPr="0049534D">
              <w:rPr>
                <w:rFonts w:ascii="Calibri" w:hAnsi="Calibri" w:cs="Calibri"/>
                <w:sz w:val="18"/>
              </w:rPr>
              <w:t>.0</w:t>
            </w:r>
          </w:p>
        </w:tc>
        <w:tc>
          <w:tcPr>
            <w:tcW w:w="756" w:type="dxa"/>
            <w:vAlign w:val="center"/>
            <w:hideMark/>
          </w:tcPr>
          <w:p w14:paraId="2B7B66B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83.9</w:t>
            </w:r>
          </w:p>
        </w:tc>
        <w:tc>
          <w:tcPr>
            <w:tcW w:w="756" w:type="dxa"/>
            <w:vAlign w:val="center"/>
            <w:hideMark/>
          </w:tcPr>
          <w:p w14:paraId="381FCF9F" w14:textId="231D3AE8"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w:t>
            </w:r>
            <w:r w:rsidR="00E75A83" w:rsidRPr="0049534D">
              <w:rPr>
                <w:rFonts w:ascii="Calibri" w:hAnsi="Calibri" w:cs="Calibri"/>
                <w:sz w:val="18"/>
              </w:rPr>
              <w:t>.0</w:t>
            </w:r>
          </w:p>
        </w:tc>
        <w:tc>
          <w:tcPr>
            <w:tcW w:w="756" w:type="dxa"/>
            <w:vAlign w:val="center"/>
            <w:hideMark/>
          </w:tcPr>
          <w:p w14:paraId="376CE47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83.5</w:t>
            </w:r>
          </w:p>
        </w:tc>
        <w:tc>
          <w:tcPr>
            <w:tcW w:w="756" w:type="dxa"/>
            <w:vAlign w:val="center"/>
            <w:hideMark/>
          </w:tcPr>
          <w:p w14:paraId="6786BEE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74.9</w:t>
            </w:r>
          </w:p>
        </w:tc>
        <w:tc>
          <w:tcPr>
            <w:tcW w:w="756" w:type="dxa"/>
            <w:vAlign w:val="center"/>
            <w:hideMark/>
          </w:tcPr>
          <w:p w14:paraId="37561A1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75.6</w:t>
            </w:r>
          </w:p>
        </w:tc>
        <w:tc>
          <w:tcPr>
            <w:tcW w:w="756" w:type="dxa"/>
            <w:vAlign w:val="center"/>
            <w:hideMark/>
          </w:tcPr>
          <w:p w14:paraId="7D34392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75.1</w:t>
            </w:r>
          </w:p>
        </w:tc>
      </w:tr>
      <w:tr w:rsidR="00481507" w:rsidRPr="00A65A10" w14:paraId="5355C22F" w14:textId="77777777" w:rsidTr="00364236">
        <w:trPr>
          <w:trHeight w:val="344"/>
        </w:trPr>
        <w:tc>
          <w:tcPr>
            <w:tcW w:w="1838" w:type="dxa"/>
            <w:vAlign w:val="center"/>
            <w:hideMark/>
          </w:tcPr>
          <w:p w14:paraId="198A92CA"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Dentistry</w:t>
            </w:r>
          </w:p>
        </w:tc>
        <w:tc>
          <w:tcPr>
            <w:tcW w:w="756" w:type="dxa"/>
            <w:vAlign w:val="center"/>
            <w:hideMark/>
          </w:tcPr>
          <w:p w14:paraId="742DFF2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82.5</w:t>
            </w:r>
          </w:p>
        </w:tc>
        <w:tc>
          <w:tcPr>
            <w:tcW w:w="756" w:type="dxa"/>
            <w:vAlign w:val="center"/>
            <w:hideMark/>
          </w:tcPr>
          <w:p w14:paraId="23A3A9E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86.3</w:t>
            </w:r>
          </w:p>
        </w:tc>
        <w:tc>
          <w:tcPr>
            <w:tcW w:w="756" w:type="dxa"/>
            <w:vAlign w:val="center"/>
            <w:hideMark/>
          </w:tcPr>
          <w:p w14:paraId="58BAF30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86.4</w:t>
            </w:r>
          </w:p>
        </w:tc>
        <w:tc>
          <w:tcPr>
            <w:tcW w:w="756" w:type="dxa"/>
            <w:vAlign w:val="center"/>
            <w:hideMark/>
          </w:tcPr>
          <w:p w14:paraId="170AAFD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61.3</w:t>
            </w:r>
          </w:p>
        </w:tc>
        <w:tc>
          <w:tcPr>
            <w:tcW w:w="756" w:type="dxa"/>
            <w:vAlign w:val="center"/>
            <w:hideMark/>
          </w:tcPr>
          <w:p w14:paraId="1008591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63.2</w:t>
            </w:r>
          </w:p>
        </w:tc>
        <w:tc>
          <w:tcPr>
            <w:tcW w:w="756" w:type="dxa"/>
            <w:vAlign w:val="center"/>
            <w:hideMark/>
          </w:tcPr>
          <w:p w14:paraId="2B4FAC7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63.2</w:t>
            </w:r>
          </w:p>
        </w:tc>
        <w:tc>
          <w:tcPr>
            <w:tcW w:w="756" w:type="dxa"/>
            <w:vAlign w:val="center"/>
            <w:hideMark/>
          </w:tcPr>
          <w:p w14:paraId="2A981F8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70.2</w:t>
            </w:r>
          </w:p>
        </w:tc>
        <w:tc>
          <w:tcPr>
            <w:tcW w:w="756" w:type="dxa"/>
            <w:vAlign w:val="center"/>
            <w:hideMark/>
          </w:tcPr>
          <w:p w14:paraId="28FE772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73.5</w:t>
            </w:r>
          </w:p>
        </w:tc>
        <w:tc>
          <w:tcPr>
            <w:tcW w:w="756" w:type="dxa"/>
            <w:vAlign w:val="center"/>
            <w:hideMark/>
          </w:tcPr>
          <w:p w14:paraId="452CF4D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84.9</w:t>
            </w:r>
          </w:p>
        </w:tc>
        <w:tc>
          <w:tcPr>
            <w:tcW w:w="756" w:type="dxa"/>
            <w:vAlign w:val="center"/>
            <w:hideMark/>
          </w:tcPr>
          <w:p w14:paraId="68B9E3B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68.1</w:t>
            </w:r>
          </w:p>
        </w:tc>
        <w:tc>
          <w:tcPr>
            <w:tcW w:w="756" w:type="dxa"/>
            <w:vAlign w:val="center"/>
            <w:hideMark/>
          </w:tcPr>
          <w:p w14:paraId="3E62279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58.7</w:t>
            </w:r>
          </w:p>
        </w:tc>
        <w:tc>
          <w:tcPr>
            <w:tcW w:w="756" w:type="dxa"/>
            <w:vAlign w:val="center"/>
            <w:hideMark/>
          </w:tcPr>
          <w:p w14:paraId="5694CD1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72.1</w:t>
            </w:r>
          </w:p>
        </w:tc>
        <w:tc>
          <w:tcPr>
            <w:tcW w:w="756" w:type="dxa"/>
            <w:vAlign w:val="center"/>
            <w:hideMark/>
          </w:tcPr>
          <w:p w14:paraId="258C453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74.3</w:t>
            </w:r>
          </w:p>
        </w:tc>
        <w:tc>
          <w:tcPr>
            <w:tcW w:w="756" w:type="dxa"/>
            <w:vAlign w:val="center"/>
            <w:hideMark/>
          </w:tcPr>
          <w:p w14:paraId="11483DB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72.8</w:t>
            </w:r>
          </w:p>
        </w:tc>
        <w:tc>
          <w:tcPr>
            <w:tcW w:w="756" w:type="dxa"/>
            <w:vAlign w:val="center"/>
            <w:hideMark/>
          </w:tcPr>
          <w:p w14:paraId="1B74CDE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83.2</w:t>
            </w:r>
          </w:p>
        </w:tc>
        <w:tc>
          <w:tcPr>
            <w:tcW w:w="756" w:type="dxa"/>
            <w:vAlign w:val="center"/>
            <w:hideMark/>
          </w:tcPr>
          <w:p w14:paraId="6B0B0B4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71.7</w:t>
            </w:r>
          </w:p>
        </w:tc>
        <w:tc>
          <w:tcPr>
            <w:tcW w:w="756" w:type="dxa"/>
            <w:vAlign w:val="center"/>
            <w:hideMark/>
          </w:tcPr>
          <w:p w14:paraId="21BB804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65.8</w:t>
            </w:r>
          </w:p>
        </w:tc>
        <w:tc>
          <w:tcPr>
            <w:tcW w:w="756" w:type="dxa"/>
            <w:vAlign w:val="center"/>
            <w:hideMark/>
          </w:tcPr>
          <w:p w14:paraId="3134D82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77.4</w:t>
            </w:r>
          </w:p>
        </w:tc>
      </w:tr>
      <w:tr w:rsidR="00481507" w:rsidRPr="00A65A10" w14:paraId="788865AF" w14:textId="77777777" w:rsidTr="00364236">
        <w:trPr>
          <w:trHeight w:val="344"/>
        </w:trPr>
        <w:tc>
          <w:tcPr>
            <w:tcW w:w="1838" w:type="dxa"/>
            <w:vAlign w:val="center"/>
            <w:hideMark/>
          </w:tcPr>
          <w:p w14:paraId="1C0779BD"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Engineering</w:t>
            </w:r>
          </w:p>
        </w:tc>
        <w:tc>
          <w:tcPr>
            <w:tcW w:w="756" w:type="dxa"/>
            <w:vAlign w:val="center"/>
            <w:hideMark/>
          </w:tcPr>
          <w:p w14:paraId="65D61A6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80.6</w:t>
            </w:r>
          </w:p>
        </w:tc>
        <w:tc>
          <w:tcPr>
            <w:tcW w:w="756" w:type="dxa"/>
            <w:vAlign w:val="center"/>
            <w:hideMark/>
          </w:tcPr>
          <w:p w14:paraId="61BEE97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81.2</w:t>
            </w:r>
          </w:p>
        </w:tc>
        <w:tc>
          <w:tcPr>
            <w:tcW w:w="756" w:type="dxa"/>
            <w:vAlign w:val="center"/>
            <w:hideMark/>
          </w:tcPr>
          <w:p w14:paraId="740F0EC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82.2</w:t>
            </w:r>
          </w:p>
        </w:tc>
        <w:tc>
          <w:tcPr>
            <w:tcW w:w="756" w:type="dxa"/>
            <w:vAlign w:val="center"/>
            <w:hideMark/>
          </w:tcPr>
          <w:p w14:paraId="00B61FD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62.2</w:t>
            </w:r>
          </w:p>
        </w:tc>
        <w:tc>
          <w:tcPr>
            <w:tcW w:w="756" w:type="dxa"/>
            <w:vAlign w:val="center"/>
            <w:hideMark/>
          </w:tcPr>
          <w:p w14:paraId="65F03C3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68.7</w:t>
            </w:r>
          </w:p>
        </w:tc>
        <w:tc>
          <w:tcPr>
            <w:tcW w:w="756" w:type="dxa"/>
            <w:vAlign w:val="center"/>
            <w:hideMark/>
          </w:tcPr>
          <w:p w14:paraId="4C43044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71.2</w:t>
            </w:r>
          </w:p>
        </w:tc>
        <w:tc>
          <w:tcPr>
            <w:tcW w:w="756" w:type="dxa"/>
            <w:vAlign w:val="center"/>
            <w:hideMark/>
          </w:tcPr>
          <w:p w14:paraId="4207746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76.9</w:t>
            </w:r>
          </w:p>
        </w:tc>
        <w:tc>
          <w:tcPr>
            <w:tcW w:w="756" w:type="dxa"/>
            <w:vAlign w:val="center"/>
            <w:hideMark/>
          </w:tcPr>
          <w:p w14:paraId="330A5DA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78.1</w:t>
            </w:r>
          </w:p>
        </w:tc>
        <w:tc>
          <w:tcPr>
            <w:tcW w:w="756" w:type="dxa"/>
            <w:vAlign w:val="center"/>
            <w:hideMark/>
          </w:tcPr>
          <w:p w14:paraId="2FB6AFC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79.4</w:t>
            </w:r>
          </w:p>
        </w:tc>
        <w:tc>
          <w:tcPr>
            <w:tcW w:w="756" w:type="dxa"/>
            <w:vAlign w:val="center"/>
            <w:hideMark/>
          </w:tcPr>
          <w:p w14:paraId="0E8200F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73.1</w:t>
            </w:r>
          </w:p>
        </w:tc>
        <w:tc>
          <w:tcPr>
            <w:tcW w:w="756" w:type="dxa"/>
            <w:vAlign w:val="center"/>
            <w:hideMark/>
          </w:tcPr>
          <w:p w14:paraId="2C6AF85E" w14:textId="677CED6C"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w:t>
            </w:r>
            <w:r w:rsidR="00E75A83" w:rsidRPr="0049534D">
              <w:rPr>
                <w:rFonts w:ascii="Calibri" w:hAnsi="Calibri" w:cs="Calibri"/>
                <w:sz w:val="18"/>
              </w:rPr>
              <w:t>.0</w:t>
            </w:r>
          </w:p>
        </w:tc>
        <w:tc>
          <w:tcPr>
            <w:tcW w:w="756" w:type="dxa"/>
            <w:vAlign w:val="center"/>
            <w:hideMark/>
          </w:tcPr>
          <w:p w14:paraId="1EC6E75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76.5</w:t>
            </w:r>
          </w:p>
        </w:tc>
        <w:tc>
          <w:tcPr>
            <w:tcW w:w="756" w:type="dxa"/>
            <w:vAlign w:val="center"/>
            <w:hideMark/>
          </w:tcPr>
          <w:p w14:paraId="4FA4FEF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84.5</w:t>
            </w:r>
          </w:p>
        </w:tc>
        <w:tc>
          <w:tcPr>
            <w:tcW w:w="756" w:type="dxa"/>
            <w:vAlign w:val="center"/>
            <w:hideMark/>
          </w:tcPr>
          <w:p w14:paraId="07D6433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85.6</w:t>
            </w:r>
          </w:p>
        </w:tc>
        <w:tc>
          <w:tcPr>
            <w:tcW w:w="756" w:type="dxa"/>
            <w:vAlign w:val="center"/>
            <w:hideMark/>
          </w:tcPr>
          <w:p w14:paraId="41DC732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87.1</w:t>
            </w:r>
          </w:p>
        </w:tc>
        <w:tc>
          <w:tcPr>
            <w:tcW w:w="756" w:type="dxa"/>
            <w:vAlign w:val="center"/>
            <w:hideMark/>
          </w:tcPr>
          <w:p w14:paraId="4139D25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70.6</w:t>
            </w:r>
          </w:p>
        </w:tc>
        <w:tc>
          <w:tcPr>
            <w:tcW w:w="756" w:type="dxa"/>
            <w:vAlign w:val="center"/>
            <w:hideMark/>
          </w:tcPr>
          <w:p w14:paraId="6248330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71.8</w:t>
            </w:r>
          </w:p>
        </w:tc>
        <w:tc>
          <w:tcPr>
            <w:tcW w:w="756" w:type="dxa"/>
            <w:vAlign w:val="center"/>
            <w:hideMark/>
          </w:tcPr>
          <w:p w14:paraId="06DA1C9D" w14:textId="0EE53360"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w:t>
            </w:r>
            <w:r w:rsidR="00E75A83" w:rsidRPr="0049534D">
              <w:rPr>
                <w:rFonts w:ascii="Calibri" w:hAnsi="Calibri" w:cs="Calibri"/>
                <w:sz w:val="18"/>
              </w:rPr>
              <w:t>.0</w:t>
            </w:r>
          </w:p>
        </w:tc>
      </w:tr>
      <w:tr w:rsidR="00481507" w:rsidRPr="00A65A10" w14:paraId="4E27CC6D" w14:textId="77777777" w:rsidTr="00364236">
        <w:trPr>
          <w:trHeight w:val="344"/>
        </w:trPr>
        <w:tc>
          <w:tcPr>
            <w:tcW w:w="1838" w:type="dxa"/>
            <w:vAlign w:val="center"/>
            <w:hideMark/>
          </w:tcPr>
          <w:p w14:paraId="23B1E2B0"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Health services and support</w:t>
            </w:r>
          </w:p>
        </w:tc>
        <w:tc>
          <w:tcPr>
            <w:tcW w:w="756" w:type="dxa"/>
            <w:vAlign w:val="center"/>
            <w:hideMark/>
          </w:tcPr>
          <w:p w14:paraId="7A52340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82.8</w:t>
            </w:r>
          </w:p>
        </w:tc>
        <w:tc>
          <w:tcPr>
            <w:tcW w:w="756" w:type="dxa"/>
            <w:vAlign w:val="center"/>
            <w:hideMark/>
          </w:tcPr>
          <w:p w14:paraId="3EA201C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86.1</w:t>
            </w:r>
          </w:p>
        </w:tc>
        <w:tc>
          <w:tcPr>
            <w:tcW w:w="756" w:type="dxa"/>
            <w:vAlign w:val="center"/>
            <w:hideMark/>
          </w:tcPr>
          <w:p w14:paraId="682BDDA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86.3</w:t>
            </w:r>
          </w:p>
        </w:tc>
        <w:tc>
          <w:tcPr>
            <w:tcW w:w="756" w:type="dxa"/>
            <w:vAlign w:val="center"/>
            <w:hideMark/>
          </w:tcPr>
          <w:p w14:paraId="75E24041" w14:textId="1386DD15"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59</w:t>
            </w:r>
            <w:r w:rsidR="00E75A83" w:rsidRPr="0049534D">
              <w:rPr>
                <w:rFonts w:ascii="Calibri" w:hAnsi="Calibri" w:cs="Calibri"/>
                <w:sz w:val="18"/>
              </w:rPr>
              <w:t>.0</w:t>
            </w:r>
          </w:p>
        </w:tc>
        <w:tc>
          <w:tcPr>
            <w:tcW w:w="756" w:type="dxa"/>
            <w:vAlign w:val="center"/>
            <w:hideMark/>
          </w:tcPr>
          <w:p w14:paraId="03C7E47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68.4</w:t>
            </w:r>
          </w:p>
        </w:tc>
        <w:tc>
          <w:tcPr>
            <w:tcW w:w="756" w:type="dxa"/>
            <w:vAlign w:val="center"/>
            <w:hideMark/>
          </w:tcPr>
          <w:p w14:paraId="2695786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71.1</w:t>
            </w:r>
          </w:p>
        </w:tc>
        <w:tc>
          <w:tcPr>
            <w:tcW w:w="756" w:type="dxa"/>
            <w:vAlign w:val="center"/>
            <w:hideMark/>
          </w:tcPr>
          <w:p w14:paraId="4F3833C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83.8</w:t>
            </w:r>
          </w:p>
        </w:tc>
        <w:tc>
          <w:tcPr>
            <w:tcW w:w="756" w:type="dxa"/>
            <w:vAlign w:val="center"/>
            <w:hideMark/>
          </w:tcPr>
          <w:p w14:paraId="3A27FE0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85.9</w:t>
            </w:r>
          </w:p>
        </w:tc>
        <w:tc>
          <w:tcPr>
            <w:tcW w:w="756" w:type="dxa"/>
            <w:vAlign w:val="center"/>
            <w:hideMark/>
          </w:tcPr>
          <w:p w14:paraId="2B4992C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86.2</w:t>
            </w:r>
          </w:p>
        </w:tc>
        <w:tc>
          <w:tcPr>
            <w:tcW w:w="756" w:type="dxa"/>
            <w:vAlign w:val="center"/>
            <w:hideMark/>
          </w:tcPr>
          <w:p w14:paraId="4091EC7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76.6</w:t>
            </w:r>
          </w:p>
        </w:tc>
        <w:tc>
          <w:tcPr>
            <w:tcW w:w="756" w:type="dxa"/>
            <w:vAlign w:val="center"/>
            <w:hideMark/>
          </w:tcPr>
          <w:p w14:paraId="392A305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81.5</w:t>
            </w:r>
          </w:p>
        </w:tc>
        <w:tc>
          <w:tcPr>
            <w:tcW w:w="756" w:type="dxa"/>
            <w:vAlign w:val="center"/>
            <w:hideMark/>
          </w:tcPr>
          <w:p w14:paraId="228DEEB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80.9</w:t>
            </w:r>
          </w:p>
        </w:tc>
        <w:tc>
          <w:tcPr>
            <w:tcW w:w="756" w:type="dxa"/>
            <w:vAlign w:val="center"/>
            <w:hideMark/>
          </w:tcPr>
          <w:p w14:paraId="3A0B022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84.9</w:t>
            </w:r>
          </w:p>
        </w:tc>
        <w:tc>
          <w:tcPr>
            <w:tcW w:w="756" w:type="dxa"/>
            <w:vAlign w:val="center"/>
            <w:hideMark/>
          </w:tcPr>
          <w:p w14:paraId="535D48D6" w14:textId="08441E90"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88</w:t>
            </w:r>
            <w:r w:rsidR="00E75A83" w:rsidRPr="0049534D">
              <w:rPr>
                <w:rFonts w:ascii="Calibri" w:hAnsi="Calibri" w:cs="Calibri"/>
                <w:sz w:val="18"/>
              </w:rPr>
              <w:t>.0</w:t>
            </w:r>
          </w:p>
        </w:tc>
        <w:tc>
          <w:tcPr>
            <w:tcW w:w="756" w:type="dxa"/>
            <w:vAlign w:val="center"/>
            <w:hideMark/>
          </w:tcPr>
          <w:p w14:paraId="3CC010F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84.9</w:t>
            </w:r>
          </w:p>
        </w:tc>
        <w:tc>
          <w:tcPr>
            <w:tcW w:w="756" w:type="dxa"/>
            <w:vAlign w:val="center"/>
            <w:hideMark/>
          </w:tcPr>
          <w:p w14:paraId="2F57715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76.7</w:t>
            </w:r>
          </w:p>
        </w:tc>
        <w:tc>
          <w:tcPr>
            <w:tcW w:w="756" w:type="dxa"/>
            <w:vAlign w:val="center"/>
            <w:hideMark/>
          </w:tcPr>
          <w:p w14:paraId="48A373B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79.1</w:t>
            </w:r>
          </w:p>
        </w:tc>
        <w:tc>
          <w:tcPr>
            <w:tcW w:w="756" w:type="dxa"/>
            <w:vAlign w:val="center"/>
            <w:hideMark/>
          </w:tcPr>
          <w:p w14:paraId="419A0E6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80.6</w:t>
            </w:r>
          </w:p>
        </w:tc>
      </w:tr>
      <w:tr w:rsidR="00481507" w:rsidRPr="00A65A10" w14:paraId="7E228DBB" w14:textId="77777777" w:rsidTr="00364236">
        <w:trPr>
          <w:trHeight w:val="344"/>
        </w:trPr>
        <w:tc>
          <w:tcPr>
            <w:tcW w:w="1838" w:type="dxa"/>
            <w:vAlign w:val="center"/>
            <w:hideMark/>
          </w:tcPr>
          <w:p w14:paraId="67DA5C38"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Humanities, culture and social sciences</w:t>
            </w:r>
          </w:p>
        </w:tc>
        <w:tc>
          <w:tcPr>
            <w:tcW w:w="756" w:type="dxa"/>
            <w:vAlign w:val="center"/>
            <w:hideMark/>
          </w:tcPr>
          <w:p w14:paraId="3F10BC6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79.1</w:t>
            </w:r>
          </w:p>
        </w:tc>
        <w:tc>
          <w:tcPr>
            <w:tcW w:w="756" w:type="dxa"/>
            <w:vAlign w:val="center"/>
            <w:hideMark/>
          </w:tcPr>
          <w:p w14:paraId="00181F5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81.9</w:t>
            </w:r>
          </w:p>
        </w:tc>
        <w:tc>
          <w:tcPr>
            <w:tcW w:w="756" w:type="dxa"/>
            <w:vAlign w:val="center"/>
            <w:hideMark/>
          </w:tcPr>
          <w:p w14:paraId="38766235" w14:textId="39933669"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w:t>
            </w:r>
            <w:r w:rsidR="00E75A83" w:rsidRPr="0049534D">
              <w:rPr>
                <w:rFonts w:ascii="Calibri" w:hAnsi="Calibri" w:cs="Calibri"/>
                <w:sz w:val="18"/>
              </w:rPr>
              <w:t>.0</w:t>
            </w:r>
          </w:p>
        </w:tc>
        <w:tc>
          <w:tcPr>
            <w:tcW w:w="756" w:type="dxa"/>
            <w:vAlign w:val="center"/>
            <w:hideMark/>
          </w:tcPr>
          <w:p w14:paraId="30A267C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58.6</w:t>
            </w:r>
          </w:p>
        </w:tc>
        <w:tc>
          <w:tcPr>
            <w:tcW w:w="756" w:type="dxa"/>
            <w:vAlign w:val="center"/>
            <w:hideMark/>
          </w:tcPr>
          <w:p w14:paraId="6174A45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65.3</w:t>
            </w:r>
          </w:p>
        </w:tc>
        <w:tc>
          <w:tcPr>
            <w:tcW w:w="756" w:type="dxa"/>
            <w:vAlign w:val="center"/>
            <w:hideMark/>
          </w:tcPr>
          <w:p w14:paraId="52D2B13E" w14:textId="5D00E8FE"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65</w:t>
            </w:r>
            <w:r w:rsidR="00E75A83" w:rsidRPr="0049534D">
              <w:rPr>
                <w:rFonts w:ascii="Calibri" w:hAnsi="Calibri" w:cs="Calibri"/>
                <w:sz w:val="18"/>
              </w:rPr>
              <w:t>.0</w:t>
            </w:r>
          </w:p>
        </w:tc>
        <w:tc>
          <w:tcPr>
            <w:tcW w:w="756" w:type="dxa"/>
            <w:vAlign w:val="center"/>
            <w:hideMark/>
          </w:tcPr>
          <w:p w14:paraId="77E6847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81.6</w:t>
            </w:r>
          </w:p>
        </w:tc>
        <w:tc>
          <w:tcPr>
            <w:tcW w:w="756" w:type="dxa"/>
            <w:vAlign w:val="center"/>
            <w:hideMark/>
          </w:tcPr>
          <w:p w14:paraId="6174CD7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82.8</w:t>
            </w:r>
          </w:p>
        </w:tc>
        <w:tc>
          <w:tcPr>
            <w:tcW w:w="756" w:type="dxa"/>
            <w:vAlign w:val="center"/>
            <w:hideMark/>
          </w:tcPr>
          <w:p w14:paraId="58FBB216" w14:textId="7F4974E6"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w:t>
            </w:r>
            <w:r w:rsidR="00E75A83" w:rsidRPr="0049534D">
              <w:rPr>
                <w:rFonts w:ascii="Calibri" w:hAnsi="Calibri" w:cs="Calibri"/>
                <w:sz w:val="18"/>
              </w:rPr>
              <w:t>.0</w:t>
            </w:r>
          </w:p>
        </w:tc>
        <w:tc>
          <w:tcPr>
            <w:tcW w:w="756" w:type="dxa"/>
            <w:vAlign w:val="center"/>
            <w:hideMark/>
          </w:tcPr>
          <w:p w14:paraId="4AEBDDF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70.8</w:t>
            </w:r>
          </w:p>
        </w:tc>
        <w:tc>
          <w:tcPr>
            <w:tcW w:w="756" w:type="dxa"/>
            <w:vAlign w:val="center"/>
            <w:hideMark/>
          </w:tcPr>
          <w:p w14:paraId="55B0379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73.8</w:t>
            </w:r>
          </w:p>
        </w:tc>
        <w:tc>
          <w:tcPr>
            <w:tcW w:w="756" w:type="dxa"/>
            <w:vAlign w:val="center"/>
            <w:hideMark/>
          </w:tcPr>
          <w:p w14:paraId="6452297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73.4</w:t>
            </w:r>
          </w:p>
        </w:tc>
        <w:tc>
          <w:tcPr>
            <w:tcW w:w="756" w:type="dxa"/>
            <w:vAlign w:val="center"/>
            <w:hideMark/>
          </w:tcPr>
          <w:p w14:paraId="3F0CE915" w14:textId="47D7B14C"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w:t>
            </w:r>
            <w:r w:rsidR="00E75A83" w:rsidRPr="0049534D">
              <w:rPr>
                <w:rFonts w:ascii="Calibri" w:hAnsi="Calibri" w:cs="Calibri"/>
                <w:sz w:val="18"/>
              </w:rPr>
              <w:t>.0</w:t>
            </w:r>
          </w:p>
        </w:tc>
        <w:tc>
          <w:tcPr>
            <w:tcW w:w="756" w:type="dxa"/>
            <w:vAlign w:val="center"/>
            <w:hideMark/>
          </w:tcPr>
          <w:p w14:paraId="6D56AF5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88.3</w:t>
            </w:r>
          </w:p>
        </w:tc>
        <w:tc>
          <w:tcPr>
            <w:tcW w:w="756" w:type="dxa"/>
            <w:vAlign w:val="center"/>
            <w:hideMark/>
          </w:tcPr>
          <w:p w14:paraId="31912E8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88.4</w:t>
            </w:r>
          </w:p>
        </w:tc>
        <w:tc>
          <w:tcPr>
            <w:tcW w:w="756" w:type="dxa"/>
            <w:vAlign w:val="center"/>
            <w:hideMark/>
          </w:tcPr>
          <w:p w14:paraId="29B2415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72.7</w:t>
            </w:r>
          </w:p>
        </w:tc>
        <w:tc>
          <w:tcPr>
            <w:tcW w:w="756" w:type="dxa"/>
            <w:vAlign w:val="center"/>
            <w:hideMark/>
          </w:tcPr>
          <w:p w14:paraId="36807F3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74.2</w:t>
            </w:r>
          </w:p>
        </w:tc>
        <w:tc>
          <w:tcPr>
            <w:tcW w:w="756" w:type="dxa"/>
            <w:vAlign w:val="center"/>
            <w:hideMark/>
          </w:tcPr>
          <w:p w14:paraId="7A9D430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76.4</w:t>
            </w:r>
          </w:p>
        </w:tc>
      </w:tr>
      <w:tr w:rsidR="00481507" w:rsidRPr="00A65A10" w14:paraId="16471248" w14:textId="77777777" w:rsidTr="00364236">
        <w:trPr>
          <w:trHeight w:val="344"/>
        </w:trPr>
        <w:tc>
          <w:tcPr>
            <w:tcW w:w="1838" w:type="dxa"/>
            <w:vAlign w:val="center"/>
            <w:hideMark/>
          </w:tcPr>
          <w:p w14:paraId="0EA445BC"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Law and paralegal studies</w:t>
            </w:r>
          </w:p>
        </w:tc>
        <w:tc>
          <w:tcPr>
            <w:tcW w:w="756" w:type="dxa"/>
            <w:vAlign w:val="center"/>
            <w:hideMark/>
          </w:tcPr>
          <w:p w14:paraId="4F13E81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80.4</w:t>
            </w:r>
          </w:p>
        </w:tc>
        <w:tc>
          <w:tcPr>
            <w:tcW w:w="756" w:type="dxa"/>
            <w:vAlign w:val="center"/>
            <w:hideMark/>
          </w:tcPr>
          <w:p w14:paraId="49BB3C9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83.3</w:t>
            </w:r>
          </w:p>
        </w:tc>
        <w:tc>
          <w:tcPr>
            <w:tcW w:w="756" w:type="dxa"/>
            <w:vAlign w:val="center"/>
            <w:hideMark/>
          </w:tcPr>
          <w:p w14:paraId="2F10CB0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83.5</w:t>
            </w:r>
          </w:p>
        </w:tc>
        <w:tc>
          <w:tcPr>
            <w:tcW w:w="756" w:type="dxa"/>
            <w:vAlign w:val="center"/>
            <w:hideMark/>
          </w:tcPr>
          <w:p w14:paraId="324947F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56.9</w:t>
            </w:r>
          </w:p>
        </w:tc>
        <w:tc>
          <w:tcPr>
            <w:tcW w:w="756" w:type="dxa"/>
            <w:vAlign w:val="center"/>
            <w:hideMark/>
          </w:tcPr>
          <w:p w14:paraId="4059F38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59.7</w:t>
            </w:r>
          </w:p>
        </w:tc>
        <w:tc>
          <w:tcPr>
            <w:tcW w:w="756" w:type="dxa"/>
            <w:vAlign w:val="center"/>
            <w:hideMark/>
          </w:tcPr>
          <w:p w14:paraId="55E0F32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55.5</w:t>
            </w:r>
          </w:p>
        </w:tc>
        <w:tc>
          <w:tcPr>
            <w:tcW w:w="756" w:type="dxa"/>
            <w:vAlign w:val="center"/>
            <w:hideMark/>
          </w:tcPr>
          <w:p w14:paraId="31DD59A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79.9</w:t>
            </w:r>
          </w:p>
        </w:tc>
        <w:tc>
          <w:tcPr>
            <w:tcW w:w="756" w:type="dxa"/>
            <w:vAlign w:val="center"/>
            <w:hideMark/>
          </w:tcPr>
          <w:p w14:paraId="13C5AC9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80.6</w:t>
            </w:r>
          </w:p>
        </w:tc>
        <w:tc>
          <w:tcPr>
            <w:tcW w:w="756" w:type="dxa"/>
            <w:vAlign w:val="center"/>
            <w:hideMark/>
          </w:tcPr>
          <w:p w14:paraId="217A206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75.9</w:t>
            </w:r>
          </w:p>
        </w:tc>
        <w:tc>
          <w:tcPr>
            <w:tcW w:w="756" w:type="dxa"/>
            <w:vAlign w:val="center"/>
            <w:hideMark/>
          </w:tcPr>
          <w:p w14:paraId="6539CE3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70.1</w:t>
            </w:r>
          </w:p>
        </w:tc>
        <w:tc>
          <w:tcPr>
            <w:tcW w:w="756" w:type="dxa"/>
            <w:vAlign w:val="center"/>
            <w:hideMark/>
          </w:tcPr>
          <w:p w14:paraId="75A8A95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75.3</w:t>
            </w:r>
          </w:p>
        </w:tc>
        <w:tc>
          <w:tcPr>
            <w:tcW w:w="756" w:type="dxa"/>
            <w:vAlign w:val="center"/>
            <w:hideMark/>
          </w:tcPr>
          <w:p w14:paraId="6275192A" w14:textId="3A4FAD5C"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w:t>
            </w:r>
            <w:r w:rsidR="00E75A83" w:rsidRPr="0049534D">
              <w:rPr>
                <w:rFonts w:ascii="Calibri" w:hAnsi="Calibri" w:cs="Calibri"/>
                <w:sz w:val="18"/>
              </w:rPr>
              <w:t>.0</w:t>
            </w:r>
          </w:p>
        </w:tc>
        <w:tc>
          <w:tcPr>
            <w:tcW w:w="756" w:type="dxa"/>
            <w:vAlign w:val="center"/>
            <w:hideMark/>
          </w:tcPr>
          <w:p w14:paraId="415340B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76.5</w:t>
            </w:r>
          </w:p>
        </w:tc>
        <w:tc>
          <w:tcPr>
            <w:tcW w:w="756" w:type="dxa"/>
            <w:vAlign w:val="center"/>
            <w:hideMark/>
          </w:tcPr>
          <w:p w14:paraId="31E5976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81.7</w:t>
            </w:r>
          </w:p>
        </w:tc>
        <w:tc>
          <w:tcPr>
            <w:tcW w:w="756" w:type="dxa"/>
            <w:vAlign w:val="center"/>
            <w:hideMark/>
          </w:tcPr>
          <w:p w14:paraId="4FED05E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83.7</w:t>
            </w:r>
          </w:p>
        </w:tc>
        <w:tc>
          <w:tcPr>
            <w:tcW w:w="756" w:type="dxa"/>
            <w:vAlign w:val="center"/>
            <w:hideMark/>
          </w:tcPr>
          <w:p w14:paraId="530777E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73.1</w:t>
            </w:r>
          </w:p>
        </w:tc>
        <w:tc>
          <w:tcPr>
            <w:tcW w:w="756" w:type="dxa"/>
            <w:vAlign w:val="center"/>
            <w:hideMark/>
          </w:tcPr>
          <w:p w14:paraId="6090D49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72.4</w:t>
            </w:r>
          </w:p>
        </w:tc>
        <w:tc>
          <w:tcPr>
            <w:tcW w:w="756" w:type="dxa"/>
            <w:vAlign w:val="center"/>
            <w:hideMark/>
          </w:tcPr>
          <w:p w14:paraId="2F3819E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74.7</w:t>
            </w:r>
          </w:p>
        </w:tc>
      </w:tr>
      <w:tr w:rsidR="00481507" w:rsidRPr="00A65A10" w14:paraId="6C662E89" w14:textId="77777777" w:rsidTr="00364236">
        <w:trPr>
          <w:trHeight w:val="344"/>
        </w:trPr>
        <w:tc>
          <w:tcPr>
            <w:tcW w:w="1838" w:type="dxa"/>
            <w:vAlign w:val="center"/>
            <w:hideMark/>
          </w:tcPr>
          <w:p w14:paraId="3F9519B1"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Medicine</w:t>
            </w:r>
          </w:p>
        </w:tc>
        <w:tc>
          <w:tcPr>
            <w:tcW w:w="756" w:type="dxa"/>
            <w:vAlign w:val="center"/>
            <w:hideMark/>
          </w:tcPr>
          <w:p w14:paraId="5607645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82.4</w:t>
            </w:r>
          </w:p>
        </w:tc>
        <w:tc>
          <w:tcPr>
            <w:tcW w:w="756" w:type="dxa"/>
            <w:vAlign w:val="center"/>
            <w:hideMark/>
          </w:tcPr>
          <w:p w14:paraId="74A1D4B7" w14:textId="55523689"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w:t>
            </w:r>
            <w:r w:rsidR="00E75A83" w:rsidRPr="0049534D">
              <w:rPr>
                <w:rFonts w:ascii="Calibri" w:hAnsi="Calibri" w:cs="Calibri"/>
                <w:sz w:val="18"/>
              </w:rPr>
              <w:t>.0</w:t>
            </w:r>
          </w:p>
        </w:tc>
        <w:tc>
          <w:tcPr>
            <w:tcW w:w="756" w:type="dxa"/>
            <w:vAlign w:val="center"/>
            <w:hideMark/>
          </w:tcPr>
          <w:p w14:paraId="7F6A72A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86.2</w:t>
            </w:r>
          </w:p>
        </w:tc>
        <w:tc>
          <w:tcPr>
            <w:tcW w:w="756" w:type="dxa"/>
            <w:vAlign w:val="center"/>
            <w:hideMark/>
          </w:tcPr>
          <w:p w14:paraId="31BC77F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64.3</w:t>
            </w:r>
          </w:p>
        </w:tc>
        <w:tc>
          <w:tcPr>
            <w:tcW w:w="756" w:type="dxa"/>
            <w:vAlign w:val="center"/>
            <w:hideMark/>
          </w:tcPr>
          <w:p w14:paraId="2652DA6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76.3</w:t>
            </w:r>
          </w:p>
        </w:tc>
        <w:tc>
          <w:tcPr>
            <w:tcW w:w="756" w:type="dxa"/>
            <w:vAlign w:val="center"/>
            <w:hideMark/>
          </w:tcPr>
          <w:p w14:paraId="5390960D" w14:textId="4070511F"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w:t>
            </w:r>
            <w:r w:rsidR="00E75A83" w:rsidRPr="0049534D">
              <w:rPr>
                <w:rFonts w:ascii="Calibri" w:hAnsi="Calibri" w:cs="Calibri"/>
                <w:sz w:val="18"/>
              </w:rPr>
              <w:t>.0</w:t>
            </w:r>
          </w:p>
        </w:tc>
        <w:tc>
          <w:tcPr>
            <w:tcW w:w="756" w:type="dxa"/>
            <w:vAlign w:val="center"/>
            <w:hideMark/>
          </w:tcPr>
          <w:p w14:paraId="6CD95041" w14:textId="29823AEB"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w:t>
            </w:r>
            <w:r w:rsidR="00E75A83" w:rsidRPr="0049534D">
              <w:rPr>
                <w:rFonts w:ascii="Calibri" w:hAnsi="Calibri" w:cs="Calibri"/>
                <w:sz w:val="18"/>
              </w:rPr>
              <w:t>.0</w:t>
            </w:r>
          </w:p>
        </w:tc>
        <w:tc>
          <w:tcPr>
            <w:tcW w:w="756" w:type="dxa"/>
            <w:vAlign w:val="center"/>
            <w:hideMark/>
          </w:tcPr>
          <w:p w14:paraId="67E8BE2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79.3</w:t>
            </w:r>
          </w:p>
        </w:tc>
        <w:tc>
          <w:tcPr>
            <w:tcW w:w="756" w:type="dxa"/>
            <w:vAlign w:val="center"/>
            <w:hideMark/>
          </w:tcPr>
          <w:p w14:paraId="66D3D7C6" w14:textId="73A63AD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78</w:t>
            </w:r>
            <w:r w:rsidR="00E75A83" w:rsidRPr="0049534D">
              <w:rPr>
                <w:rFonts w:ascii="Calibri" w:hAnsi="Calibri" w:cs="Calibri"/>
                <w:sz w:val="18"/>
              </w:rPr>
              <w:t>.0</w:t>
            </w:r>
          </w:p>
        </w:tc>
        <w:tc>
          <w:tcPr>
            <w:tcW w:w="756" w:type="dxa"/>
            <w:vAlign w:val="center"/>
            <w:hideMark/>
          </w:tcPr>
          <w:p w14:paraId="6809BF9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71.9</w:t>
            </w:r>
          </w:p>
        </w:tc>
        <w:tc>
          <w:tcPr>
            <w:tcW w:w="756" w:type="dxa"/>
            <w:vAlign w:val="center"/>
            <w:hideMark/>
          </w:tcPr>
          <w:p w14:paraId="5906E21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70.4</w:t>
            </w:r>
          </w:p>
        </w:tc>
        <w:tc>
          <w:tcPr>
            <w:tcW w:w="756" w:type="dxa"/>
            <w:vAlign w:val="center"/>
            <w:hideMark/>
          </w:tcPr>
          <w:p w14:paraId="781C399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65.2</w:t>
            </w:r>
          </w:p>
        </w:tc>
        <w:tc>
          <w:tcPr>
            <w:tcW w:w="756" w:type="dxa"/>
            <w:vAlign w:val="center"/>
            <w:hideMark/>
          </w:tcPr>
          <w:p w14:paraId="6DDB0AC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73.9</w:t>
            </w:r>
          </w:p>
        </w:tc>
        <w:tc>
          <w:tcPr>
            <w:tcW w:w="756" w:type="dxa"/>
            <w:vAlign w:val="center"/>
            <w:hideMark/>
          </w:tcPr>
          <w:p w14:paraId="0739974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73.6</w:t>
            </w:r>
          </w:p>
        </w:tc>
        <w:tc>
          <w:tcPr>
            <w:tcW w:w="756" w:type="dxa"/>
            <w:vAlign w:val="center"/>
            <w:hideMark/>
          </w:tcPr>
          <w:p w14:paraId="476CC1E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72.8</w:t>
            </w:r>
          </w:p>
        </w:tc>
        <w:tc>
          <w:tcPr>
            <w:tcW w:w="756" w:type="dxa"/>
            <w:vAlign w:val="center"/>
            <w:hideMark/>
          </w:tcPr>
          <w:p w14:paraId="325694B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72.1</w:t>
            </w:r>
          </w:p>
        </w:tc>
        <w:tc>
          <w:tcPr>
            <w:tcW w:w="756" w:type="dxa"/>
            <w:vAlign w:val="center"/>
            <w:hideMark/>
          </w:tcPr>
          <w:p w14:paraId="3E94820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73.7</w:t>
            </w:r>
          </w:p>
        </w:tc>
        <w:tc>
          <w:tcPr>
            <w:tcW w:w="756" w:type="dxa"/>
            <w:vAlign w:val="center"/>
            <w:hideMark/>
          </w:tcPr>
          <w:p w14:paraId="624E2ECC" w14:textId="765E0370"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w:t>
            </w:r>
            <w:r w:rsidR="00E75A83" w:rsidRPr="0049534D">
              <w:rPr>
                <w:rFonts w:ascii="Calibri" w:hAnsi="Calibri" w:cs="Calibri"/>
                <w:sz w:val="18"/>
              </w:rPr>
              <w:t>.0</w:t>
            </w:r>
          </w:p>
        </w:tc>
      </w:tr>
      <w:tr w:rsidR="00481507" w:rsidRPr="00A65A10" w14:paraId="33FAB17C" w14:textId="77777777" w:rsidTr="00364236">
        <w:trPr>
          <w:trHeight w:val="344"/>
        </w:trPr>
        <w:tc>
          <w:tcPr>
            <w:tcW w:w="1838" w:type="dxa"/>
            <w:vAlign w:val="center"/>
            <w:hideMark/>
          </w:tcPr>
          <w:p w14:paraId="27142339"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Nursing</w:t>
            </w:r>
          </w:p>
        </w:tc>
        <w:tc>
          <w:tcPr>
            <w:tcW w:w="756" w:type="dxa"/>
            <w:vAlign w:val="center"/>
            <w:hideMark/>
          </w:tcPr>
          <w:p w14:paraId="4A98197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85.9</w:t>
            </w:r>
          </w:p>
        </w:tc>
        <w:tc>
          <w:tcPr>
            <w:tcW w:w="756" w:type="dxa"/>
            <w:vAlign w:val="center"/>
            <w:hideMark/>
          </w:tcPr>
          <w:p w14:paraId="48151F2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89.3</w:t>
            </w:r>
          </w:p>
        </w:tc>
        <w:tc>
          <w:tcPr>
            <w:tcW w:w="756" w:type="dxa"/>
            <w:vAlign w:val="center"/>
            <w:hideMark/>
          </w:tcPr>
          <w:p w14:paraId="6D58F4D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89.9</w:t>
            </w:r>
          </w:p>
        </w:tc>
        <w:tc>
          <w:tcPr>
            <w:tcW w:w="756" w:type="dxa"/>
            <w:vAlign w:val="center"/>
            <w:hideMark/>
          </w:tcPr>
          <w:p w14:paraId="08B65FA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63.3</w:t>
            </w:r>
          </w:p>
        </w:tc>
        <w:tc>
          <w:tcPr>
            <w:tcW w:w="756" w:type="dxa"/>
            <w:vAlign w:val="center"/>
            <w:hideMark/>
          </w:tcPr>
          <w:p w14:paraId="578091A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70.5</w:t>
            </w:r>
          </w:p>
        </w:tc>
        <w:tc>
          <w:tcPr>
            <w:tcW w:w="756" w:type="dxa"/>
            <w:vAlign w:val="center"/>
            <w:hideMark/>
          </w:tcPr>
          <w:p w14:paraId="7A60F43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72.6</w:t>
            </w:r>
          </w:p>
        </w:tc>
        <w:tc>
          <w:tcPr>
            <w:tcW w:w="756" w:type="dxa"/>
            <w:vAlign w:val="center"/>
            <w:hideMark/>
          </w:tcPr>
          <w:p w14:paraId="7486749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79.2</w:t>
            </w:r>
          </w:p>
        </w:tc>
        <w:tc>
          <w:tcPr>
            <w:tcW w:w="756" w:type="dxa"/>
            <w:vAlign w:val="center"/>
            <w:hideMark/>
          </w:tcPr>
          <w:p w14:paraId="6533BA1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84.6</w:t>
            </w:r>
          </w:p>
        </w:tc>
        <w:tc>
          <w:tcPr>
            <w:tcW w:w="756" w:type="dxa"/>
            <w:vAlign w:val="center"/>
            <w:hideMark/>
          </w:tcPr>
          <w:p w14:paraId="0C77F51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84.8</w:t>
            </w:r>
          </w:p>
        </w:tc>
        <w:tc>
          <w:tcPr>
            <w:tcW w:w="756" w:type="dxa"/>
            <w:vAlign w:val="center"/>
            <w:hideMark/>
          </w:tcPr>
          <w:p w14:paraId="7101D47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77.4</w:t>
            </w:r>
          </w:p>
        </w:tc>
        <w:tc>
          <w:tcPr>
            <w:tcW w:w="756" w:type="dxa"/>
            <w:vAlign w:val="center"/>
            <w:hideMark/>
          </w:tcPr>
          <w:p w14:paraId="6E41792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83.4</w:t>
            </w:r>
          </w:p>
        </w:tc>
        <w:tc>
          <w:tcPr>
            <w:tcW w:w="756" w:type="dxa"/>
            <w:vAlign w:val="center"/>
            <w:hideMark/>
          </w:tcPr>
          <w:p w14:paraId="60D2B55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84.1</w:t>
            </w:r>
          </w:p>
        </w:tc>
        <w:tc>
          <w:tcPr>
            <w:tcW w:w="756" w:type="dxa"/>
            <w:vAlign w:val="center"/>
            <w:hideMark/>
          </w:tcPr>
          <w:p w14:paraId="0E83F6D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84.8</w:t>
            </w:r>
          </w:p>
        </w:tc>
        <w:tc>
          <w:tcPr>
            <w:tcW w:w="756" w:type="dxa"/>
            <w:vAlign w:val="center"/>
            <w:hideMark/>
          </w:tcPr>
          <w:p w14:paraId="77A26CD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87.8</w:t>
            </w:r>
          </w:p>
        </w:tc>
        <w:tc>
          <w:tcPr>
            <w:tcW w:w="756" w:type="dxa"/>
            <w:vAlign w:val="center"/>
            <w:hideMark/>
          </w:tcPr>
          <w:p w14:paraId="2D35D41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87.3</w:t>
            </w:r>
          </w:p>
        </w:tc>
        <w:tc>
          <w:tcPr>
            <w:tcW w:w="756" w:type="dxa"/>
            <w:vAlign w:val="center"/>
            <w:hideMark/>
          </w:tcPr>
          <w:p w14:paraId="051720F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73.4</w:t>
            </w:r>
          </w:p>
        </w:tc>
        <w:tc>
          <w:tcPr>
            <w:tcW w:w="756" w:type="dxa"/>
            <w:vAlign w:val="center"/>
            <w:hideMark/>
          </w:tcPr>
          <w:p w14:paraId="6357B78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80.9</w:t>
            </w:r>
          </w:p>
        </w:tc>
        <w:tc>
          <w:tcPr>
            <w:tcW w:w="756" w:type="dxa"/>
            <w:vAlign w:val="center"/>
            <w:hideMark/>
          </w:tcPr>
          <w:p w14:paraId="3728D18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80.6</w:t>
            </w:r>
          </w:p>
        </w:tc>
      </w:tr>
      <w:tr w:rsidR="00481507" w:rsidRPr="00A65A10" w14:paraId="72CC3120" w14:textId="77777777" w:rsidTr="00364236">
        <w:trPr>
          <w:trHeight w:val="344"/>
        </w:trPr>
        <w:tc>
          <w:tcPr>
            <w:tcW w:w="1838" w:type="dxa"/>
            <w:vAlign w:val="center"/>
            <w:hideMark/>
          </w:tcPr>
          <w:p w14:paraId="3377B78B"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Pharmacy</w:t>
            </w:r>
          </w:p>
        </w:tc>
        <w:tc>
          <w:tcPr>
            <w:tcW w:w="756" w:type="dxa"/>
            <w:vAlign w:val="center"/>
            <w:hideMark/>
          </w:tcPr>
          <w:p w14:paraId="12C90CA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85.8</w:t>
            </w:r>
          </w:p>
        </w:tc>
        <w:tc>
          <w:tcPr>
            <w:tcW w:w="756" w:type="dxa"/>
            <w:vAlign w:val="center"/>
            <w:hideMark/>
          </w:tcPr>
          <w:p w14:paraId="45F6AB7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87.3</w:t>
            </w:r>
          </w:p>
        </w:tc>
        <w:tc>
          <w:tcPr>
            <w:tcW w:w="756" w:type="dxa"/>
            <w:vAlign w:val="center"/>
            <w:hideMark/>
          </w:tcPr>
          <w:p w14:paraId="231C134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87.4</w:t>
            </w:r>
          </w:p>
        </w:tc>
        <w:tc>
          <w:tcPr>
            <w:tcW w:w="756" w:type="dxa"/>
            <w:vAlign w:val="center"/>
            <w:hideMark/>
          </w:tcPr>
          <w:p w14:paraId="071C3CA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67.1</w:t>
            </w:r>
          </w:p>
        </w:tc>
        <w:tc>
          <w:tcPr>
            <w:tcW w:w="756" w:type="dxa"/>
            <w:vAlign w:val="center"/>
            <w:hideMark/>
          </w:tcPr>
          <w:p w14:paraId="614E719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66.8</w:t>
            </w:r>
          </w:p>
        </w:tc>
        <w:tc>
          <w:tcPr>
            <w:tcW w:w="756" w:type="dxa"/>
            <w:vAlign w:val="center"/>
            <w:hideMark/>
          </w:tcPr>
          <w:p w14:paraId="1968487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70.3</w:t>
            </w:r>
          </w:p>
        </w:tc>
        <w:tc>
          <w:tcPr>
            <w:tcW w:w="756" w:type="dxa"/>
            <w:vAlign w:val="center"/>
            <w:hideMark/>
          </w:tcPr>
          <w:p w14:paraId="50B0767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82.5</w:t>
            </w:r>
          </w:p>
        </w:tc>
        <w:tc>
          <w:tcPr>
            <w:tcW w:w="756" w:type="dxa"/>
            <w:vAlign w:val="center"/>
            <w:hideMark/>
          </w:tcPr>
          <w:p w14:paraId="1CBE65E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80.8</w:t>
            </w:r>
          </w:p>
        </w:tc>
        <w:tc>
          <w:tcPr>
            <w:tcW w:w="756" w:type="dxa"/>
            <w:vAlign w:val="center"/>
            <w:hideMark/>
          </w:tcPr>
          <w:p w14:paraId="4F5886F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82.6</w:t>
            </w:r>
          </w:p>
        </w:tc>
        <w:tc>
          <w:tcPr>
            <w:tcW w:w="756" w:type="dxa"/>
            <w:vAlign w:val="center"/>
            <w:hideMark/>
          </w:tcPr>
          <w:p w14:paraId="123DA99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75.4</w:t>
            </w:r>
          </w:p>
        </w:tc>
        <w:tc>
          <w:tcPr>
            <w:tcW w:w="756" w:type="dxa"/>
            <w:vAlign w:val="center"/>
            <w:hideMark/>
          </w:tcPr>
          <w:p w14:paraId="629FB7C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72.4</w:t>
            </w:r>
          </w:p>
        </w:tc>
        <w:tc>
          <w:tcPr>
            <w:tcW w:w="756" w:type="dxa"/>
            <w:vAlign w:val="center"/>
            <w:hideMark/>
          </w:tcPr>
          <w:p w14:paraId="2459664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74.6</w:t>
            </w:r>
          </w:p>
        </w:tc>
        <w:tc>
          <w:tcPr>
            <w:tcW w:w="756" w:type="dxa"/>
            <w:vAlign w:val="center"/>
            <w:hideMark/>
          </w:tcPr>
          <w:p w14:paraId="14B521E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82.1</w:t>
            </w:r>
          </w:p>
        </w:tc>
        <w:tc>
          <w:tcPr>
            <w:tcW w:w="756" w:type="dxa"/>
            <w:vAlign w:val="center"/>
            <w:hideMark/>
          </w:tcPr>
          <w:p w14:paraId="03E2AE02" w14:textId="357F1B9D"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w:t>
            </w:r>
            <w:r w:rsidR="00E75A83" w:rsidRPr="0049534D">
              <w:rPr>
                <w:rFonts w:ascii="Calibri" w:hAnsi="Calibri" w:cs="Calibri"/>
                <w:sz w:val="18"/>
              </w:rPr>
              <w:t>.0</w:t>
            </w:r>
          </w:p>
        </w:tc>
        <w:tc>
          <w:tcPr>
            <w:tcW w:w="756" w:type="dxa"/>
            <w:vAlign w:val="center"/>
            <w:hideMark/>
          </w:tcPr>
          <w:p w14:paraId="2A3A2558" w14:textId="15D8020A"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w:t>
            </w:r>
            <w:r w:rsidR="00E75A83" w:rsidRPr="0049534D">
              <w:rPr>
                <w:rFonts w:ascii="Calibri" w:hAnsi="Calibri" w:cs="Calibri"/>
                <w:sz w:val="18"/>
              </w:rPr>
              <w:t>.0</w:t>
            </w:r>
          </w:p>
        </w:tc>
        <w:tc>
          <w:tcPr>
            <w:tcW w:w="756" w:type="dxa"/>
            <w:vAlign w:val="center"/>
            <w:hideMark/>
          </w:tcPr>
          <w:p w14:paraId="13B777A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75.7</w:t>
            </w:r>
          </w:p>
        </w:tc>
        <w:tc>
          <w:tcPr>
            <w:tcW w:w="756" w:type="dxa"/>
            <w:vAlign w:val="center"/>
            <w:hideMark/>
          </w:tcPr>
          <w:p w14:paraId="00766E4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74.6</w:t>
            </w:r>
          </w:p>
        </w:tc>
        <w:tc>
          <w:tcPr>
            <w:tcW w:w="756" w:type="dxa"/>
            <w:vAlign w:val="center"/>
            <w:hideMark/>
          </w:tcPr>
          <w:p w14:paraId="5A726CF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75.9</w:t>
            </w:r>
          </w:p>
        </w:tc>
      </w:tr>
      <w:tr w:rsidR="00481507" w:rsidRPr="00A65A10" w14:paraId="34350B6D" w14:textId="77777777" w:rsidTr="00364236">
        <w:trPr>
          <w:trHeight w:val="471"/>
        </w:trPr>
        <w:tc>
          <w:tcPr>
            <w:tcW w:w="1838" w:type="dxa"/>
            <w:vAlign w:val="center"/>
            <w:hideMark/>
          </w:tcPr>
          <w:p w14:paraId="1E8590AA"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Psychology</w:t>
            </w:r>
          </w:p>
        </w:tc>
        <w:tc>
          <w:tcPr>
            <w:tcW w:w="756" w:type="dxa"/>
            <w:vAlign w:val="center"/>
            <w:hideMark/>
          </w:tcPr>
          <w:p w14:paraId="050B7CF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81.8</w:t>
            </w:r>
          </w:p>
        </w:tc>
        <w:tc>
          <w:tcPr>
            <w:tcW w:w="756" w:type="dxa"/>
            <w:vAlign w:val="center"/>
            <w:hideMark/>
          </w:tcPr>
          <w:p w14:paraId="24C4B8F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81.7</w:t>
            </w:r>
          </w:p>
        </w:tc>
        <w:tc>
          <w:tcPr>
            <w:tcW w:w="756" w:type="dxa"/>
            <w:vAlign w:val="center"/>
            <w:hideMark/>
          </w:tcPr>
          <w:p w14:paraId="29F9856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84.3</w:t>
            </w:r>
          </w:p>
        </w:tc>
        <w:tc>
          <w:tcPr>
            <w:tcW w:w="756" w:type="dxa"/>
            <w:vAlign w:val="center"/>
            <w:hideMark/>
          </w:tcPr>
          <w:p w14:paraId="64804CF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54.2</w:t>
            </w:r>
          </w:p>
        </w:tc>
        <w:tc>
          <w:tcPr>
            <w:tcW w:w="756" w:type="dxa"/>
            <w:vAlign w:val="center"/>
            <w:hideMark/>
          </w:tcPr>
          <w:p w14:paraId="2915533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56.3</w:t>
            </w:r>
          </w:p>
        </w:tc>
        <w:tc>
          <w:tcPr>
            <w:tcW w:w="756" w:type="dxa"/>
            <w:vAlign w:val="center"/>
            <w:hideMark/>
          </w:tcPr>
          <w:p w14:paraId="3225E9E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58.2</w:t>
            </w:r>
          </w:p>
        </w:tc>
        <w:tc>
          <w:tcPr>
            <w:tcW w:w="756" w:type="dxa"/>
            <w:vAlign w:val="center"/>
            <w:hideMark/>
          </w:tcPr>
          <w:p w14:paraId="738C027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81.1</w:t>
            </w:r>
          </w:p>
        </w:tc>
        <w:tc>
          <w:tcPr>
            <w:tcW w:w="756" w:type="dxa"/>
            <w:vAlign w:val="center"/>
            <w:hideMark/>
          </w:tcPr>
          <w:p w14:paraId="5D4843A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82.1</w:t>
            </w:r>
          </w:p>
        </w:tc>
        <w:tc>
          <w:tcPr>
            <w:tcW w:w="756" w:type="dxa"/>
            <w:vAlign w:val="center"/>
            <w:hideMark/>
          </w:tcPr>
          <w:p w14:paraId="38578FF8" w14:textId="6B758F20"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w:t>
            </w:r>
            <w:r w:rsidR="00E75A83" w:rsidRPr="0049534D">
              <w:rPr>
                <w:rFonts w:ascii="Calibri" w:hAnsi="Calibri" w:cs="Calibri"/>
                <w:sz w:val="18"/>
              </w:rPr>
              <w:t>.0</w:t>
            </w:r>
          </w:p>
        </w:tc>
        <w:tc>
          <w:tcPr>
            <w:tcW w:w="756" w:type="dxa"/>
            <w:vAlign w:val="center"/>
            <w:hideMark/>
          </w:tcPr>
          <w:p w14:paraId="123AE91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73.5</w:t>
            </w:r>
          </w:p>
        </w:tc>
        <w:tc>
          <w:tcPr>
            <w:tcW w:w="756" w:type="dxa"/>
            <w:vAlign w:val="center"/>
            <w:hideMark/>
          </w:tcPr>
          <w:p w14:paraId="790C386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76.7</w:t>
            </w:r>
          </w:p>
        </w:tc>
        <w:tc>
          <w:tcPr>
            <w:tcW w:w="756" w:type="dxa"/>
            <w:vAlign w:val="center"/>
            <w:hideMark/>
          </w:tcPr>
          <w:p w14:paraId="64DD5BC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80.1</w:t>
            </w:r>
          </w:p>
        </w:tc>
        <w:tc>
          <w:tcPr>
            <w:tcW w:w="756" w:type="dxa"/>
            <w:vAlign w:val="center"/>
            <w:hideMark/>
          </w:tcPr>
          <w:p w14:paraId="1B15D0C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83.4</w:t>
            </w:r>
          </w:p>
        </w:tc>
        <w:tc>
          <w:tcPr>
            <w:tcW w:w="756" w:type="dxa"/>
            <w:vAlign w:val="center"/>
            <w:hideMark/>
          </w:tcPr>
          <w:p w14:paraId="2EF66D8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84.3</w:t>
            </w:r>
          </w:p>
        </w:tc>
        <w:tc>
          <w:tcPr>
            <w:tcW w:w="756" w:type="dxa"/>
            <w:vAlign w:val="center"/>
            <w:hideMark/>
          </w:tcPr>
          <w:p w14:paraId="3ED5BA9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87.3</w:t>
            </w:r>
          </w:p>
        </w:tc>
        <w:tc>
          <w:tcPr>
            <w:tcW w:w="756" w:type="dxa"/>
            <w:vAlign w:val="center"/>
            <w:hideMark/>
          </w:tcPr>
          <w:p w14:paraId="2863790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74.4</w:t>
            </w:r>
          </w:p>
        </w:tc>
        <w:tc>
          <w:tcPr>
            <w:tcW w:w="756" w:type="dxa"/>
            <w:vAlign w:val="center"/>
            <w:hideMark/>
          </w:tcPr>
          <w:p w14:paraId="0B26393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73.7</w:t>
            </w:r>
          </w:p>
        </w:tc>
        <w:tc>
          <w:tcPr>
            <w:tcW w:w="756" w:type="dxa"/>
            <w:vAlign w:val="center"/>
            <w:hideMark/>
          </w:tcPr>
          <w:p w14:paraId="546EA82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77.6</w:t>
            </w:r>
          </w:p>
        </w:tc>
      </w:tr>
      <w:tr w:rsidR="00481507" w:rsidRPr="00A65A10" w14:paraId="525DE61D" w14:textId="77777777" w:rsidTr="00364236">
        <w:trPr>
          <w:trHeight w:val="344"/>
        </w:trPr>
        <w:tc>
          <w:tcPr>
            <w:tcW w:w="1838" w:type="dxa"/>
            <w:vAlign w:val="center"/>
            <w:hideMark/>
          </w:tcPr>
          <w:p w14:paraId="72041DBA"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Rehabilitation</w:t>
            </w:r>
          </w:p>
        </w:tc>
        <w:tc>
          <w:tcPr>
            <w:tcW w:w="756" w:type="dxa"/>
            <w:vAlign w:val="center"/>
            <w:hideMark/>
          </w:tcPr>
          <w:p w14:paraId="22F54D3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83.3</w:t>
            </w:r>
          </w:p>
        </w:tc>
        <w:tc>
          <w:tcPr>
            <w:tcW w:w="756" w:type="dxa"/>
            <w:vAlign w:val="center"/>
            <w:hideMark/>
          </w:tcPr>
          <w:p w14:paraId="379F754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84.5</w:t>
            </w:r>
          </w:p>
        </w:tc>
        <w:tc>
          <w:tcPr>
            <w:tcW w:w="756" w:type="dxa"/>
            <w:vAlign w:val="center"/>
            <w:hideMark/>
          </w:tcPr>
          <w:p w14:paraId="7B62A67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79.4</w:t>
            </w:r>
          </w:p>
        </w:tc>
        <w:tc>
          <w:tcPr>
            <w:tcW w:w="756" w:type="dxa"/>
            <w:vAlign w:val="center"/>
            <w:hideMark/>
          </w:tcPr>
          <w:p w14:paraId="129816B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56.9</w:t>
            </w:r>
          </w:p>
        </w:tc>
        <w:tc>
          <w:tcPr>
            <w:tcW w:w="756" w:type="dxa"/>
            <w:vAlign w:val="center"/>
            <w:hideMark/>
          </w:tcPr>
          <w:p w14:paraId="6FAD3AD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68.4</w:t>
            </w:r>
          </w:p>
        </w:tc>
        <w:tc>
          <w:tcPr>
            <w:tcW w:w="756" w:type="dxa"/>
            <w:vAlign w:val="center"/>
            <w:hideMark/>
          </w:tcPr>
          <w:p w14:paraId="63B6E5F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69.4</w:t>
            </w:r>
          </w:p>
        </w:tc>
        <w:tc>
          <w:tcPr>
            <w:tcW w:w="756" w:type="dxa"/>
            <w:vAlign w:val="center"/>
            <w:hideMark/>
          </w:tcPr>
          <w:p w14:paraId="7AA1978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79.1</w:t>
            </w:r>
          </w:p>
        </w:tc>
        <w:tc>
          <w:tcPr>
            <w:tcW w:w="756" w:type="dxa"/>
            <w:vAlign w:val="center"/>
            <w:hideMark/>
          </w:tcPr>
          <w:p w14:paraId="243F5C4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77.7</w:t>
            </w:r>
          </w:p>
        </w:tc>
        <w:tc>
          <w:tcPr>
            <w:tcW w:w="756" w:type="dxa"/>
            <w:vAlign w:val="center"/>
            <w:hideMark/>
          </w:tcPr>
          <w:p w14:paraId="2DC4E7C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74.3</w:t>
            </w:r>
          </w:p>
        </w:tc>
        <w:tc>
          <w:tcPr>
            <w:tcW w:w="756" w:type="dxa"/>
            <w:vAlign w:val="center"/>
            <w:hideMark/>
          </w:tcPr>
          <w:p w14:paraId="75FD06D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68.6</w:t>
            </w:r>
          </w:p>
        </w:tc>
        <w:tc>
          <w:tcPr>
            <w:tcW w:w="756" w:type="dxa"/>
            <w:vAlign w:val="center"/>
            <w:hideMark/>
          </w:tcPr>
          <w:p w14:paraId="06FCA43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67.7</w:t>
            </w:r>
          </w:p>
        </w:tc>
        <w:tc>
          <w:tcPr>
            <w:tcW w:w="756" w:type="dxa"/>
            <w:vAlign w:val="center"/>
            <w:hideMark/>
          </w:tcPr>
          <w:p w14:paraId="25340BA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70.7</w:t>
            </w:r>
          </w:p>
        </w:tc>
        <w:tc>
          <w:tcPr>
            <w:tcW w:w="756" w:type="dxa"/>
            <w:vAlign w:val="center"/>
            <w:hideMark/>
          </w:tcPr>
          <w:p w14:paraId="58AEBD7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78.7</w:t>
            </w:r>
          </w:p>
        </w:tc>
        <w:tc>
          <w:tcPr>
            <w:tcW w:w="756" w:type="dxa"/>
            <w:vAlign w:val="center"/>
            <w:hideMark/>
          </w:tcPr>
          <w:p w14:paraId="42A7248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79.6</w:t>
            </w:r>
          </w:p>
        </w:tc>
        <w:tc>
          <w:tcPr>
            <w:tcW w:w="756" w:type="dxa"/>
            <w:vAlign w:val="center"/>
            <w:hideMark/>
          </w:tcPr>
          <w:p w14:paraId="2130D53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74.9</w:t>
            </w:r>
          </w:p>
        </w:tc>
        <w:tc>
          <w:tcPr>
            <w:tcW w:w="756" w:type="dxa"/>
            <w:vAlign w:val="center"/>
            <w:hideMark/>
          </w:tcPr>
          <w:p w14:paraId="696F683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72.3</w:t>
            </w:r>
          </w:p>
        </w:tc>
        <w:tc>
          <w:tcPr>
            <w:tcW w:w="756" w:type="dxa"/>
            <w:vAlign w:val="center"/>
            <w:hideMark/>
          </w:tcPr>
          <w:p w14:paraId="71FE7872" w14:textId="20F94FAA"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w:t>
            </w:r>
            <w:r w:rsidR="00E75A83" w:rsidRPr="0049534D">
              <w:rPr>
                <w:rFonts w:ascii="Calibri" w:hAnsi="Calibri" w:cs="Calibri"/>
                <w:sz w:val="18"/>
              </w:rPr>
              <w:t>.0</w:t>
            </w:r>
          </w:p>
        </w:tc>
        <w:tc>
          <w:tcPr>
            <w:tcW w:w="756" w:type="dxa"/>
            <w:vAlign w:val="center"/>
            <w:hideMark/>
          </w:tcPr>
          <w:p w14:paraId="4A5FA58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69.4</w:t>
            </w:r>
          </w:p>
        </w:tc>
      </w:tr>
      <w:tr w:rsidR="00481507" w:rsidRPr="00A65A10" w14:paraId="78E0C5A5" w14:textId="77777777" w:rsidTr="00364236">
        <w:trPr>
          <w:trHeight w:val="344"/>
        </w:trPr>
        <w:tc>
          <w:tcPr>
            <w:tcW w:w="1838" w:type="dxa"/>
            <w:vAlign w:val="center"/>
            <w:hideMark/>
          </w:tcPr>
          <w:p w14:paraId="7751B79B"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Science and mathematics</w:t>
            </w:r>
          </w:p>
        </w:tc>
        <w:tc>
          <w:tcPr>
            <w:tcW w:w="756" w:type="dxa"/>
            <w:vAlign w:val="center"/>
            <w:hideMark/>
          </w:tcPr>
          <w:p w14:paraId="14FDA3A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80.7</w:t>
            </w:r>
          </w:p>
        </w:tc>
        <w:tc>
          <w:tcPr>
            <w:tcW w:w="756" w:type="dxa"/>
            <w:vAlign w:val="center"/>
            <w:hideMark/>
          </w:tcPr>
          <w:p w14:paraId="617D131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80.2</w:t>
            </w:r>
          </w:p>
        </w:tc>
        <w:tc>
          <w:tcPr>
            <w:tcW w:w="756" w:type="dxa"/>
            <w:vAlign w:val="center"/>
            <w:hideMark/>
          </w:tcPr>
          <w:p w14:paraId="165335A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80.6</w:t>
            </w:r>
          </w:p>
        </w:tc>
        <w:tc>
          <w:tcPr>
            <w:tcW w:w="756" w:type="dxa"/>
            <w:vAlign w:val="center"/>
            <w:hideMark/>
          </w:tcPr>
          <w:p w14:paraId="113CF8C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57.3</w:t>
            </w:r>
          </w:p>
        </w:tc>
        <w:tc>
          <w:tcPr>
            <w:tcW w:w="756" w:type="dxa"/>
            <w:vAlign w:val="center"/>
            <w:hideMark/>
          </w:tcPr>
          <w:p w14:paraId="6B214A0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63.5</w:t>
            </w:r>
          </w:p>
        </w:tc>
        <w:tc>
          <w:tcPr>
            <w:tcW w:w="756" w:type="dxa"/>
            <w:vAlign w:val="center"/>
            <w:hideMark/>
          </w:tcPr>
          <w:p w14:paraId="7721D6E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63.2</w:t>
            </w:r>
          </w:p>
        </w:tc>
        <w:tc>
          <w:tcPr>
            <w:tcW w:w="756" w:type="dxa"/>
            <w:vAlign w:val="center"/>
            <w:hideMark/>
          </w:tcPr>
          <w:p w14:paraId="683ED04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80.5</w:t>
            </w:r>
          </w:p>
        </w:tc>
        <w:tc>
          <w:tcPr>
            <w:tcW w:w="756" w:type="dxa"/>
            <w:vAlign w:val="center"/>
            <w:hideMark/>
          </w:tcPr>
          <w:p w14:paraId="4CC85A8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82.1</w:t>
            </w:r>
          </w:p>
        </w:tc>
        <w:tc>
          <w:tcPr>
            <w:tcW w:w="756" w:type="dxa"/>
            <w:vAlign w:val="center"/>
            <w:hideMark/>
          </w:tcPr>
          <w:p w14:paraId="3D46C69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81.2</w:t>
            </w:r>
          </w:p>
        </w:tc>
        <w:tc>
          <w:tcPr>
            <w:tcW w:w="756" w:type="dxa"/>
            <w:vAlign w:val="center"/>
            <w:hideMark/>
          </w:tcPr>
          <w:p w14:paraId="5F3E446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72.4</w:t>
            </w:r>
          </w:p>
        </w:tc>
        <w:tc>
          <w:tcPr>
            <w:tcW w:w="756" w:type="dxa"/>
            <w:vAlign w:val="center"/>
            <w:hideMark/>
          </w:tcPr>
          <w:p w14:paraId="72D24B2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75.8</w:t>
            </w:r>
          </w:p>
        </w:tc>
        <w:tc>
          <w:tcPr>
            <w:tcW w:w="756" w:type="dxa"/>
            <w:vAlign w:val="center"/>
            <w:hideMark/>
          </w:tcPr>
          <w:p w14:paraId="0899F20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74.9</w:t>
            </w:r>
          </w:p>
        </w:tc>
        <w:tc>
          <w:tcPr>
            <w:tcW w:w="756" w:type="dxa"/>
            <w:vAlign w:val="center"/>
            <w:hideMark/>
          </w:tcPr>
          <w:p w14:paraId="14E7E9A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87.8</w:t>
            </w:r>
          </w:p>
        </w:tc>
        <w:tc>
          <w:tcPr>
            <w:tcW w:w="756" w:type="dxa"/>
            <w:vAlign w:val="center"/>
            <w:hideMark/>
          </w:tcPr>
          <w:p w14:paraId="1FFBEBC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89.5</w:t>
            </w:r>
          </w:p>
        </w:tc>
        <w:tc>
          <w:tcPr>
            <w:tcW w:w="756" w:type="dxa"/>
            <w:vAlign w:val="center"/>
            <w:hideMark/>
          </w:tcPr>
          <w:p w14:paraId="1E914D5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88.2</w:t>
            </w:r>
          </w:p>
        </w:tc>
        <w:tc>
          <w:tcPr>
            <w:tcW w:w="756" w:type="dxa"/>
            <w:vAlign w:val="center"/>
            <w:hideMark/>
          </w:tcPr>
          <w:p w14:paraId="4751F6B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73.6</w:t>
            </w:r>
          </w:p>
        </w:tc>
        <w:tc>
          <w:tcPr>
            <w:tcW w:w="756" w:type="dxa"/>
            <w:vAlign w:val="center"/>
            <w:hideMark/>
          </w:tcPr>
          <w:p w14:paraId="2E720BE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74.2</w:t>
            </w:r>
          </w:p>
        </w:tc>
        <w:tc>
          <w:tcPr>
            <w:tcW w:w="756" w:type="dxa"/>
            <w:vAlign w:val="center"/>
            <w:hideMark/>
          </w:tcPr>
          <w:p w14:paraId="683FF68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72.5</w:t>
            </w:r>
          </w:p>
        </w:tc>
      </w:tr>
      <w:tr w:rsidR="00481507" w:rsidRPr="00A65A10" w14:paraId="223708D4" w14:textId="77777777" w:rsidTr="00364236">
        <w:trPr>
          <w:trHeight w:val="344"/>
        </w:trPr>
        <w:tc>
          <w:tcPr>
            <w:tcW w:w="1838" w:type="dxa"/>
            <w:vAlign w:val="center"/>
            <w:hideMark/>
          </w:tcPr>
          <w:p w14:paraId="620B44C6"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lastRenderedPageBreak/>
              <w:t>Social work</w:t>
            </w:r>
          </w:p>
        </w:tc>
        <w:tc>
          <w:tcPr>
            <w:tcW w:w="756" w:type="dxa"/>
            <w:vAlign w:val="center"/>
            <w:hideMark/>
          </w:tcPr>
          <w:p w14:paraId="655A4741" w14:textId="01756732"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90</w:t>
            </w:r>
            <w:r w:rsidR="00E75A83">
              <w:rPr>
                <w:rFonts w:ascii="Calibri" w:hAnsi="Calibri" w:cs="Calibri"/>
                <w:sz w:val="18"/>
              </w:rPr>
              <w:t>.0</w:t>
            </w:r>
          </w:p>
        </w:tc>
        <w:tc>
          <w:tcPr>
            <w:tcW w:w="756" w:type="dxa"/>
            <w:vAlign w:val="center"/>
            <w:hideMark/>
          </w:tcPr>
          <w:p w14:paraId="536C74F5"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90.8</w:t>
            </w:r>
          </w:p>
        </w:tc>
        <w:tc>
          <w:tcPr>
            <w:tcW w:w="756" w:type="dxa"/>
            <w:vAlign w:val="center"/>
            <w:hideMark/>
          </w:tcPr>
          <w:p w14:paraId="02CFCDDF"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88.5</w:t>
            </w:r>
          </w:p>
        </w:tc>
        <w:tc>
          <w:tcPr>
            <w:tcW w:w="756" w:type="dxa"/>
            <w:vAlign w:val="center"/>
            <w:hideMark/>
          </w:tcPr>
          <w:p w14:paraId="7919A8F1"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70.4</w:t>
            </w:r>
          </w:p>
        </w:tc>
        <w:tc>
          <w:tcPr>
            <w:tcW w:w="756" w:type="dxa"/>
            <w:vAlign w:val="center"/>
            <w:hideMark/>
          </w:tcPr>
          <w:p w14:paraId="687329F3" w14:textId="1AE900A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80</w:t>
            </w:r>
            <w:r w:rsidR="00E75A83">
              <w:rPr>
                <w:rFonts w:ascii="Calibri" w:hAnsi="Calibri" w:cs="Calibri"/>
                <w:sz w:val="18"/>
              </w:rPr>
              <w:t>.0</w:t>
            </w:r>
          </w:p>
        </w:tc>
        <w:tc>
          <w:tcPr>
            <w:tcW w:w="756" w:type="dxa"/>
            <w:vAlign w:val="center"/>
            <w:hideMark/>
          </w:tcPr>
          <w:p w14:paraId="251D3E8C"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84.7</w:t>
            </w:r>
          </w:p>
        </w:tc>
        <w:tc>
          <w:tcPr>
            <w:tcW w:w="756" w:type="dxa"/>
            <w:vAlign w:val="center"/>
            <w:hideMark/>
          </w:tcPr>
          <w:p w14:paraId="6DF55095"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85.3</w:t>
            </w:r>
          </w:p>
        </w:tc>
        <w:tc>
          <w:tcPr>
            <w:tcW w:w="756" w:type="dxa"/>
            <w:vAlign w:val="center"/>
            <w:hideMark/>
          </w:tcPr>
          <w:p w14:paraId="77214828" w14:textId="711CF5FE"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87</w:t>
            </w:r>
            <w:r w:rsidR="00E75A83">
              <w:rPr>
                <w:rFonts w:ascii="Calibri" w:hAnsi="Calibri" w:cs="Calibri"/>
                <w:sz w:val="18"/>
              </w:rPr>
              <w:t>.0</w:t>
            </w:r>
          </w:p>
        </w:tc>
        <w:tc>
          <w:tcPr>
            <w:tcW w:w="756" w:type="dxa"/>
            <w:vAlign w:val="center"/>
            <w:hideMark/>
          </w:tcPr>
          <w:p w14:paraId="52DA1340"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82.7</w:t>
            </w:r>
          </w:p>
        </w:tc>
        <w:tc>
          <w:tcPr>
            <w:tcW w:w="756" w:type="dxa"/>
            <w:vAlign w:val="center"/>
            <w:hideMark/>
          </w:tcPr>
          <w:p w14:paraId="13216DAC"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78.9</w:t>
            </w:r>
          </w:p>
        </w:tc>
        <w:tc>
          <w:tcPr>
            <w:tcW w:w="756" w:type="dxa"/>
            <w:vAlign w:val="center"/>
            <w:hideMark/>
          </w:tcPr>
          <w:p w14:paraId="047916C9"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78.7</w:t>
            </w:r>
          </w:p>
        </w:tc>
        <w:tc>
          <w:tcPr>
            <w:tcW w:w="756" w:type="dxa"/>
            <w:vAlign w:val="center"/>
            <w:hideMark/>
          </w:tcPr>
          <w:p w14:paraId="346BD272"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73.2</w:t>
            </w:r>
          </w:p>
        </w:tc>
        <w:tc>
          <w:tcPr>
            <w:tcW w:w="756" w:type="dxa"/>
            <w:vAlign w:val="center"/>
            <w:hideMark/>
          </w:tcPr>
          <w:p w14:paraId="27752673"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76.3</w:t>
            </w:r>
          </w:p>
        </w:tc>
        <w:tc>
          <w:tcPr>
            <w:tcW w:w="756" w:type="dxa"/>
            <w:vAlign w:val="center"/>
            <w:hideMark/>
          </w:tcPr>
          <w:p w14:paraId="5450C4BF"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72.6</w:t>
            </w:r>
          </w:p>
        </w:tc>
        <w:tc>
          <w:tcPr>
            <w:tcW w:w="756" w:type="dxa"/>
            <w:vAlign w:val="center"/>
            <w:hideMark/>
          </w:tcPr>
          <w:p w14:paraId="3998AB5A"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69.4</w:t>
            </w:r>
          </w:p>
        </w:tc>
        <w:tc>
          <w:tcPr>
            <w:tcW w:w="756" w:type="dxa"/>
            <w:vAlign w:val="center"/>
            <w:hideMark/>
          </w:tcPr>
          <w:p w14:paraId="30F27EFA"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77.3</w:t>
            </w:r>
          </w:p>
        </w:tc>
        <w:tc>
          <w:tcPr>
            <w:tcW w:w="756" w:type="dxa"/>
            <w:vAlign w:val="center"/>
            <w:hideMark/>
          </w:tcPr>
          <w:p w14:paraId="61FE0A25"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78.6</w:t>
            </w:r>
          </w:p>
        </w:tc>
        <w:tc>
          <w:tcPr>
            <w:tcW w:w="756" w:type="dxa"/>
            <w:vAlign w:val="center"/>
            <w:hideMark/>
          </w:tcPr>
          <w:p w14:paraId="69D818A9"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75.2</w:t>
            </w:r>
          </w:p>
        </w:tc>
      </w:tr>
      <w:tr w:rsidR="00481507" w:rsidRPr="00A65A10" w14:paraId="2026051B" w14:textId="77777777" w:rsidTr="00364236">
        <w:trPr>
          <w:trHeight w:val="344"/>
        </w:trPr>
        <w:tc>
          <w:tcPr>
            <w:tcW w:w="1838" w:type="dxa"/>
            <w:vAlign w:val="center"/>
            <w:hideMark/>
          </w:tcPr>
          <w:p w14:paraId="345A630A"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Teacher education</w:t>
            </w:r>
          </w:p>
        </w:tc>
        <w:tc>
          <w:tcPr>
            <w:tcW w:w="756" w:type="dxa"/>
            <w:vAlign w:val="center"/>
            <w:hideMark/>
          </w:tcPr>
          <w:p w14:paraId="0A964F0D"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83.6</w:t>
            </w:r>
          </w:p>
        </w:tc>
        <w:tc>
          <w:tcPr>
            <w:tcW w:w="756" w:type="dxa"/>
            <w:vAlign w:val="center"/>
            <w:hideMark/>
          </w:tcPr>
          <w:p w14:paraId="43636616"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88.2</w:t>
            </w:r>
          </w:p>
        </w:tc>
        <w:tc>
          <w:tcPr>
            <w:tcW w:w="756" w:type="dxa"/>
            <w:vAlign w:val="center"/>
            <w:hideMark/>
          </w:tcPr>
          <w:p w14:paraId="575034F4"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89.5</w:t>
            </w:r>
          </w:p>
        </w:tc>
        <w:tc>
          <w:tcPr>
            <w:tcW w:w="756" w:type="dxa"/>
            <w:vAlign w:val="center"/>
            <w:hideMark/>
          </w:tcPr>
          <w:p w14:paraId="3B0C621D"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63.6</w:t>
            </w:r>
          </w:p>
        </w:tc>
        <w:tc>
          <w:tcPr>
            <w:tcW w:w="756" w:type="dxa"/>
            <w:vAlign w:val="center"/>
            <w:hideMark/>
          </w:tcPr>
          <w:p w14:paraId="651CB478"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76.6</w:t>
            </w:r>
          </w:p>
        </w:tc>
        <w:tc>
          <w:tcPr>
            <w:tcW w:w="756" w:type="dxa"/>
            <w:vAlign w:val="center"/>
            <w:hideMark/>
          </w:tcPr>
          <w:p w14:paraId="194459CE"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81.6</w:t>
            </w:r>
          </w:p>
        </w:tc>
        <w:tc>
          <w:tcPr>
            <w:tcW w:w="756" w:type="dxa"/>
            <w:vAlign w:val="center"/>
            <w:hideMark/>
          </w:tcPr>
          <w:p w14:paraId="6E35F120"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78.7</w:t>
            </w:r>
          </w:p>
        </w:tc>
        <w:tc>
          <w:tcPr>
            <w:tcW w:w="756" w:type="dxa"/>
            <w:vAlign w:val="center"/>
            <w:hideMark/>
          </w:tcPr>
          <w:p w14:paraId="267048CB" w14:textId="0FF73CBC"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84</w:t>
            </w:r>
            <w:r w:rsidR="00E75A83">
              <w:rPr>
                <w:rFonts w:ascii="Calibri" w:hAnsi="Calibri" w:cs="Calibri"/>
                <w:sz w:val="18"/>
              </w:rPr>
              <w:t>.0</w:t>
            </w:r>
          </w:p>
        </w:tc>
        <w:tc>
          <w:tcPr>
            <w:tcW w:w="756" w:type="dxa"/>
            <w:vAlign w:val="center"/>
            <w:hideMark/>
          </w:tcPr>
          <w:p w14:paraId="3CA56A70"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85.3</w:t>
            </w:r>
          </w:p>
        </w:tc>
        <w:tc>
          <w:tcPr>
            <w:tcW w:w="756" w:type="dxa"/>
            <w:vAlign w:val="center"/>
            <w:hideMark/>
          </w:tcPr>
          <w:p w14:paraId="30F12A99"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71.6</w:t>
            </w:r>
          </w:p>
        </w:tc>
        <w:tc>
          <w:tcPr>
            <w:tcW w:w="756" w:type="dxa"/>
            <w:vAlign w:val="center"/>
            <w:hideMark/>
          </w:tcPr>
          <w:p w14:paraId="2EFBF63E"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77.2</w:t>
            </w:r>
          </w:p>
        </w:tc>
        <w:tc>
          <w:tcPr>
            <w:tcW w:w="756" w:type="dxa"/>
            <w:vAlign w:val="center"/>
            <w:hideMark/>
          </w:tcPr>
          <w:p w14:paraId="13226704"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79.5</w:t>
            </w:r>
          </w:p>
        </w:tc>
        <w:tc>
          <w:tcPr>
            <w:tcW w:w="756" w:type="dxa"/>
            <w:vAlign w:val="center"/>
            <w:hideMark/>
          </w:tcPr>
          <w:p w14:paraId="29D6CAAA"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73.9</w:t>
            </w:r>
          </w:p>
        </w:tc>
        <w:tc>
          <w:tcPr>
            <w:tcW w:w="756" w:type="dxa"/>
            <w:vAlign w:val="center"/>
            <w:hideMark/>
          </w:tcPr>
          <w:p w14:paraId="302996CD"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74.4</w:t>
            </w:r>
          </w:p>
        </w:tc>
        <w:tc>
          <w:tcPr>
            <w:tcW w:w="756" w:type="dxa"/>
            <w:vAlign w:val="center"/>
            <w:hideMark/>
          </w:tcPr>
          <w:p w14:paraId="468B1568"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76.6</w:t>
            </w:r>
          </w:p>
        </w:tc>
        <w:tc>
          <w:tcPr>
            <w:tcW w:w="756" w:type="dxa"/>
            <w:vAlign w:val="center"/>
            <w:hideMark/>
          </w:tcPr>
          <w:p w14:paraId="60C115F0"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70.8</w:t>
            </w:r>
          </w:p>
        </w:tc>
        <w:tc>
          <w:tcPr>
            <w:tcW w:w="756" w:type="dxa"/>
            <w:vAlign w:val="center"/>
            <w:hideMark/>
          </w:tcPr>
          <w:p w14:paraId="6A738C40"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78.4</w:t>
            </w:r>
          </w:p>
        </w:tc>
        <w:tc>
          <w:tcPr>
            <w:tcW w:w="756" w:type="dxa"/>
            <w:vAlign w:val="center"/>
            <w:hideMark/>
          </w:tcPr>
          <w:p w14:paraId="6DD85AF3" w14:textId="47D50288"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80</w:t>
            </w:r>
            <w:r w:rsidR="00E75A83">
              <w:rPr>
                <w:rFonts w:ascii="Calibri" w:hAnsi="Calibri" w:cs="Calibri"/>
                <w:sz w:val="18"/>
              </w:rPr>
              <w:t>.0</w:t>
            </w:r>
          </w:p>
        </w:tc>
      </w:tr>
      <w:tr w:rsidR="00481507" w:rsidRPr="00A65A10" w14:paraId="29F1671B" w14:textId="77777777" w:rsidTr="00364236">
        <w:trPr>
          <w:trHeight w:val="344"/>
        </w:trPr>
        <w:tc>
          <w:tcPr>
            <w:tcW w:w="1838" w:type="dxa"/>
            <w:vAlign w:val="center"/>
            <w:hideMark/>
          </w:tcPr>
          <w:p w14:paraId="6D9E94C7"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Tourism, hospitality, personal services, sport and recreation</w:t>
            </w:r>
          </w:p>
        </w:tc>
        <w:tc>
          <w:tcPr>
            <w:tcW w:w="756" w:type="dxa"/>
            <w:vAlign w:val="center"/>
            <w:hideMark/>
          </w:tcPr>
          <w:p w14:paraId="77BE8A6E"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74.2</w:t>
            </w:r>
          </w:p>
        </w:tc>
        <w:tc>
          <w:tcPr>
            <w:tcW w:w="756" w:type="dxa"/>
            <w:vAlign w:val="center"/>
            <w:hideMark/>
          </w:tcPr>
          <w:p w14:paraId="63D18CC7"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85.1</w:t>
            </w:r>
          </w:p>
        </w:tc>
        <w:tc>
          <w:tcPr>
            <w:tcW w:w="756" w:type="dxa"/>
            <w:vAlign w:val="center"/>
            <w:hideMark/>
          </w:tcPr>
          <w:p w14:paraId="7912A101"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88.4</w:t>
            </w:r>
          </w:p>
        </w:tc>
        <w:tc>
          <w:tcPr>
            <w:tcW w:w="756" w:type="dxa"/>
            <w:vAlign w:val="center"/>
            <w:hideMark/>
          </w:tcPr>
          <w:p w14:paraId="5AB7A716"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59.2</w:t>
            </w:r>
          </w:p>
        </w:tc>
        <w:tc>
          <w:tcPr>
            <w:tcW w:w="756" w:type="dxa"/>
            <w:vAlign w:val="center"/>
            <w:hideMark/>
          </w:tcPr>
          <w:p w14:paraId="5291DD6B" w14:textId="2EBB5DBA"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75</w:t>
            </w:r>
            <w:r w:rsidR="00E75A83">
              <w:rPr>
                <w:rFonts w:ascii="Calibri" w:hAnsi="Calibri" w:cs="Calibri"/>
                <w:sz w:val="18"/>
              </w:rPr>
              <w:t>.0</w:t>
            </w:r>
          </w:p>
        </w:tc>
        <w:tc>
          <w:tcPr>
            <w:tcW w:w="756" w:type="dxa"/>
            <w:vAlign w:val="center"/>
            <w:hideMark/>
          </w:tcPr>
          <w:p w14:paraId="40E83753"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86.7</w:t>
            </w:r>
          </w:p>
        </w:tc>
        <w:tc>
          <w:tcPr>
            <w:tcW w:w="756" w:type="dxa"/>
            <w:vAlign w:val="center"/>
            <w:hideMark/>
          </w:tcPr>
          <w:p w14:paraId="279F42BF"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77.1</w:t>
            </w:r>
          </w:p>
        </w:tc>
        <w:tc>
          <w:tcPr>
            <w:tcW w:w="756" w:type="dxa"/>
            <w:vAlign w:val="center"/>
            <w:hideMark/>
          </w:tcPr>
          <w:p w14:paraId="23D059D4"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91.8</w:t>
            </w:r>
          </w:p>
        </w:tc>
        <w:tc>
          <w:tcPr>
            <w:tcW w:w="756" w:type="dxa"/>
            <w:vAlign w:val="center"/>
            <w:hideMark/>
          </w:tcPr>
          <w:p w14:paraId="0B12D596"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91.6</w:t>
            </w:r>
          </w:p>
        </w:tc>
        <w:tc>
          <w:tcPr>
            <w:tcW w:w="756" w:type="dxa"/>
            <w:vAlign w:val="center"/>
            <w:hideMark/>
          </w:tcPr>
          <w:p w14:paraId="6C989E7A"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79.6</w:t>
            </w:r>
          </w:p>
        </w:tc>
        <w:tc>
          <w:tcPr>
            <w:tcW w:w="756" w:type="dxa"/>
            <w:vAlign w:val="center"/>
            <w:hideMark/>
          </w:tcPr>
          <w:p w14:paraId="360496FF"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84.7</w:t>
            </w:r>
          </w:p>
        </w:tc>
        <w:tc>
          <w:tcPr>
            <w:tcW w:w="756" w:type="dxa"/>
            <w:vAlign w:val="center"/>
            <w:hideMark/>
          </w:tcPr>
          <w:p w14:paraId="69218508"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83.6</w:t>
            </w:r>
          </w:p>
        </w:tc>
        <w:tc>
          <w:tcPr>
            <w:tcW w:w="756" w:type="dxa"/>
            <w:vAlign w:val="center"/>
            <w:hideMark/>
          </w:tcPr>
          <w:p w14:paraId="45F9804A"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85.9</w:t>
            </w:r>
          </w:p>
        </w:tc>
        <w:tc>
          <w:tcPr>
            <w:tcW w:w="756" w:type="dxa"/>
            <w:vAlign w:val="center"/>
            <w:hideMark/>
          </w:tcPr>
          <w:p w14:paraId="0FBB5E71"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85.8</w:t>
            </w:r>
          </w:p>
        </w:tc>
        <w:tc>
          <w:tcPr>
            <w:tcW w:w="756" w:type="dxa"/>
            <w:vAlign w:val="center"/>
            <w:hideMark/>
          </w:tcPr>
          <w:p w14:paraId="2222DA70"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82.4</w:t>
            </w:r>
          </w:p>
        </w:tc>
        <w:tc>
          <w:tcPr>
            <w:tcW w:w="756" w:type="dxa"/>
            <w:vAlign w:val="center"/>
            <w:hideMark/>
          </w:tcPr>
          <w:p w14:paraId="2E22B5CF"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76.5</w:t>
            </w:r>
          </w:p>
        </w:tc>
        <w:tc>
          <w:tcPr>
            <w:tcW w:w="756" w:type="dxa"/>
            <w:vAlign w:val="center"/>
            <w:hideMark/>
          </w:tcPr>
          <w:p w14:paraId="04A585BE"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85.7</w:t>
            </w:r>
          </w:p>
        </w:tc>
        <w:tc>
          <w:tcPr>
            <w:tcW w:w="756" w:type="dxa"/>
            <w:vAlign w:val="center"/>
            <w:hideMark/>
          </w:tcPr>
          <w:p w14:paraId="5D087EB2"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82.1</w:t>
            </w:r>
          </w:p>
        </w:tc>
      </w:tr>
      <w:tr w:rsidR="00481507" w:rsidRPr="00A65A10" w14:paraId="7EEFC575" w14:textId="77777777" w:rsidTr="00364236">
        <w:trPr>
          <w:trHeight w:val="471"/>
        </w:trPr>
        <w:tc>
          <w:tcPr>
            <w:tcW w:w="1838" w:type="dxa"/>
            <w:vAlign w:val="center"/>
            <w:hideMark/>
          </w:tcPr>
          <w:p w14:paraId="2D0D34A0"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Veterinary science</w:t>
            </w:r>
          </w:p>
        </w:tc>
        <w:tc>
          <w:tcPr>
            <w:tcW w:w="756" w:type="dxa"/>
            <w:vAlign w:val="center"/>
            <w:hideMark/>
          </w:tcPr>
          <w:p w14:paraId="6EA8B258"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84.5</w:t>
            </w:r>
          </w:p>
        </w:tc>
        <w:tc>
          <w:tcPr>
            <w:tcW w:w="756" w:type="dxa"/>
            <w:vAlign w:val="center"/>
            <w:hideMark/>
          </w:tcPr>
          <w:p w14:paraId="58CEBA1A"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86.3</w:t>
            </w:r>
          </w:p>
        </w:tc>
        <w:tc>
          <w:tcPr>
            <w:tcW w:w="756" w:type="dxa"/>
            <w:vAlign w:val="center"/>
            <w:hideMark/>
          </w:tcPr>
          <w:p w14:paraId="0DC65316" w14:textId="3ADAE556"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78</w:t>
            </w:r>
            <w:r w:rsidR="00E75A83">
              <w:rPr>
                <w:rFonts w:ascii="Calibri" w:hAnsi="Calibri" w:cs="Calibri"/>
                <w:sz w:val="18"/>
              </w:rPr>
              <w:t>.0</w:t>
            </w:r>
          </w:p>
        </w:tc>
        <w:tc>
          <w:tcPr>
            <w:tcW w:w="756" w:type="dxa"/>
            <w:vAlign w:val="center"/>
            <w:hideMark/>
          </w:tcPr>
          <w:p w14:paraId="0C6E2C17"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63.2</w:t>
            </w:r>
          </w:p>
        </w:tc>
        <w:tc>
          <w:tcPr>
            <w:tcW w:w="756" w:type="dxa"/>
            <w:vAlign w:val="center"/>
            <w:hideMark/>
          </w:tcPr>
          <w:p w14:paraId="799E3190"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59.4</w:t>
            </w:r>
          </w:p>
        </w:tc>
        <w:tc>
          <w:tcPr>
            <w:tcW w:w="756" w:type="dxa"/>
            <w:vAlign w:val="center"/>
            <w:hideMark/>
          </w:tcPr>
          <w:p w14:paraId="44E05EE4"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58.8</w:t>
            </w:r>
          </w:p>
        </w:tc>
        <w:tc>
          <w:tcPr>
            <w:tcW w:w="756" w:type="dxa"/>
            <w:vAlign w:val="center"/>
            <w:hideMark/>
          </w:tcPr>
          <w:p w14:paraId="6EA53B26"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82.1</w:t>
            </w:r>
          </w:p>
        </w:tc>
        <w:tc>
          <w:tcPr>
            <w:tcW w:w="756" w:type="dxa"/>
            <w:vAlign w:val="center"/>
            <w:hideMark/>
          </w:tcPr>
          <w:p w14:paraId="53DB1757"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84.8</w:t>
            </w:r>
          </w:p>
        </w:tc>
        <w:tc>
          <w:tcPr>
            <w:tcW w:w="756" w:type="dxa"/>
            <w:vAlign w:val="center"/>
            <w:hideMark/>
          </w:tcPr>
          <w:p w14:paraId="171B4C3C"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79.7</w:t>
            </w:r>
          </w:p>
        </w:tc>
        <w:tc>
          <w:tcPr>
            <w:tcW w:w="756" w:type="dxa"/>
            <w:vAlign w:val="center"/>
            <w:hideMark/>
          </w:tcPr>
          <w:p w14:paraId="0D48554B" w14:textId="7DDF280D"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71</w:t>
            </w:r>
            <w:r w:rsidR="00E75A83">
              <w:rPr>
                <w:rFonts w:ascii="Calibri" w:hAnsi="Calibri" w:cs="Calibri"/>
                <w:sz w:val="18"/>
              </w:rPr>
              <w:t>.0</w:t>
            </w:r>
          </w:p>
        </w:tc>
        <w:tc>
          <w:tcPr>
            <w:tcW w:w="756" w:type="dxa"/>
            <w:vAlign w:val="center"/>
            <w:hideMark/>
          </w:tcPr>
          <w:p w14:paraId="2AFCDA44"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70.5</w:t>
            </w:r>
          </w:p>
        </w:tc>
        <w:tc>
          <w:tcPr>
            <w:tcW w:w="756" w:type="dxa"/>
            <w:vAlign w:val="center"/>
            <w:hideMark/>
          </w:tcPr>
          <w:p w14:paraId="414E2923"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64.1</w:t>
            </w:r>
          </w:p>
        </w:tc>
        <w:tc>
          <w:tcPr>
            <w:tcW w:w="756" w:type="dxa"/>
            <w:vAlign w:val="center"/>
            <w:hideMark/>
          </w:tcPr>
          <w:p w14:paraId="6E8CF3A9"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91.1</w:t>
            </w:r>
          </w:p>
        </w:tc>
        <w:tc>
          <w:tcPr>
            <w:tcW w:w="756" w:type="dxa"/>
            <w:vAlign w:val="center"/>
            <w:hideMark/>
          </w:tcPr>
          <w:p w14:paraId="306C9355"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78.1</w:t>
            </w:r>
          </w:p>
        </w:tc>
        <w:tc>
          <w:tcPr>
            <w:tcW w:w="756" w:type="dxa"/>
            <w:vAlign w:val="center"/>
            <w:hideMark/>
          </w:tcPr>
          <w:p w14:paraId="505CDDF3"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80.8</w:t>
            </w:r>
          </w:p>
        </w:tc>
        <w:tc>
          <w:tcPr>
            <w:tcW w:w="756" w:type="dxa"/>
            <w:vAlign w:val="center"/>
            <w:hideMark/>
          </w:tcPr>
          <w:p w14:paraId="15BB845A"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78.6</w:t>
            </w:r>
          </w:p>
        </w:tc>
        <w:tc>
          <w:tcPr>
            <w:tcW w:w="756" w:type="dxa"/>
            <w:vAlign w:val="center"/>
            <w:hideMark/>
          </w:tcPr>
          <w:p w14:paraId="55D138B3" w14:textId="02C861FB"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84</w:t>
            </w:r>
            <w:r w:rsidR="00E75A83">
              <w:rPr>
                <w:rFonts w:ascii="Calibri" w:hAnsi="Calibri" w:cs="Calibri"/>
                <w:sz w:val="18"/>
              </w:rPr>
              <w:t>.0</w:t>
            </w:r>
          </w:p>
        </w:tc>
        <w:tc>
          <w:tcPr>
            <w:tcW w:w="756" w:type="dxa"/>
            <w:vAlign w:val="center"/>
            <w:hideMark/>
          </w:tcPr>
          <w:p w14:paraId="56791A38" w14:textId="23FFC091"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74</w:t>
            </w:r>
            <w:r w:rsidR="00E75A83">
              <w:rPr>
                <w:rFonts w:ascii="Calibri" w:hAnsi="Calibri" w:cs="Calibri"/>
                <w:sz w:val="18"/>
              </w:rPr>
              <w:t>.0</w:t>
            </w:r>
          </w:p>
        </w:tc>
      </w:tr>
      <w:tr w:rsidR="00481507" w:rsidRPr="00A65A10" w14:paraId="0C4A6E86" w14:textId="77777777" w:rsidTr="00364236">
        <w:trPr>
          <w:trHeight w:val="344"/>
        </w:trPr>
        <w:tc>
          <w:tcPr>
            <w:tcW w:w="1838" w:type="dxa"/>
            <w:vAlign w:val="center"/>
            <w:hideMark/>
          </w:tcPr>
          <w:p w14:paraId="4F772804" w14:textId="77777777" w:rsidR="00A63D9C" w:rsidRPr="00ED6C5C" w:rsidRDefault="00A63D9C" w:rsidP="00364236">
            <w:pPr>
              <w:spacing w:before="60" w:after="60"/>
              <w:rPr>
                <w:rFonts w:eastAsia="Times New Roman" w:cs="Arial"/>
                <w:b/>
                <w:bCs/>
                <w:sz w:val="18"/>
                <w:highlight w:val="yellow"/>
                <w:lang w:eastAsia="en-AU"/>
              </w:rPr>
            </w:pPr>
            <w:r w:rsidRPr="00ED6C5C">
              <w:rPr>
                <w:rFonts w:ascii="Calibri" w:hAnsi="Calibri" w:cs="Calibri"/>
                <w:b/>
                <w:bCs/>
                <w:sz w:val="18"/>
              </w:rPr>
              <w:t>Total</w:t>
            </w:r>
          </w:p>
        </w:tc>
        <w:tc>
          <w:tcPr>
            <w:tcW w:w="756" w:type="dxa"/>
            <w:vAlign w:val="center"/>
            <w:hideMark/>
          </w:tcPr>
          <w:p w14:paraId="29470DE0"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81.8</w:t>
            </w:r>
          </w:p>
        </w:tc>
        <w:tc>
          <w:tcPr>
            <w:tcW w:w="756" w:type="dxa"/>
            <w:vAlign w:val="center"/>
            <w:hideMark/>
          </w:tcPr>
          <w:p w14:paraId="25EC1DD9"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83.4</w:t>
            </w:r>
          </w:p>
        </w:tc>
        <w:tc>
          <w:tcPr>
            <w:tcW w:w="756" w:type="dxa"/>
            <w:vAlign w:val="center"/>
            <w:hideMark/>
          </w:tcPr>
          <w:p w14:paraId="6E41CEA4"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83.7</w:t>
            </w:r>
          </w:p>
        </w:tc>
        <w:tc>
          <w:tcPr>
            <w:tcW w:w="756" w:type="dxa"/>
            <w:vAlign w:val="center"/>
            <w:hideMark/>
          </w:tcPr>
          <w:p w14:paraId="6DA16E59" w14:textId="77777777" w:rsidR="00A63D9C" w:rsidRPr="00ED6C5C" w:rsidRDefault="00A63D9C" w:rsidP="00364236">
            <w:pPr>
              <w:ind w:right="113"/>
              <w:jc w:val="right"/>
              <w:rPr>
                <w:rFonts w:eastAsia="Times New Roman" w:cs="Arial"/>
                <w:b/>
                <w:bCs/>
                <w:sz w:val="18"/>
                <w:lang w:eastAsia="en-AU"/>
              </w:rPr>
            </w:pPr>
            <w:r w:rsidRPr="00ED6C5C">
              <w:rPr>
                <w:rFonts w:ascii="Calibri" w:hAnsi="Calibri" w:cs="Calibri"/>
                <w:b/>
                <w:bCs/>
                <w:sz w:val="18"/>
              </w:rPr>
              <w:t>61.5</w:t>
            </w:r>
          </w:p>
        </w:tc>
        <w:tc>
          <w:tcPr>
            <w:tcW w:w="756" w:type="dxa"/>
            <w:vAlign w:val="center"/>
            <w:hideMark/>
          </w:tcPr>
          <w:p w14:paraId="65134770" w14:textId="77777777" w:rsidR="00A63D9C" w:rsidRPr="00ED6C5C" w:rsidRDefault="00A63D9C" w:rsidP="00364236">
            <w:pPr>
              <w:ind w:right="113"/>
              <w:jc w:val="right"/>
              <w:rPr>
                <w:rFonts w:eastAsia="Times New Roman" w:cs="Arial"/>
                <w:b/>
                <w:bCs/>
                <w:sz w:val="18"/>
                <w:lang w:eastAsia="en-AU"/>
              </w:rPr>
            </w:pPr>
            <w:r w:rsidRPr="00ED6C5C">
              <w:rPr>
                <w:rFonts w:ascii="Calibri" w:hAnsi="Calibri" w:cs="Calibri"/>
                <w:b/>
                <w:bCs/>
                <w:sz w:val="18"/>
              </w:rPr>
              <w:t>69.5</w:t>
            </w:r>
          </w:p>
        </w:tc>
        <w:tc>
          <w:tcPr>
            <w:tcW w:w="756" w:type="dxa"/>
            <w:vAlign w:val="center"/>
            <w:hideMark/>
          </w:tcPr>
          <w:p w14:paraId="2FA87E50" w14:textId="77777777" w:rsidR="00A63D9C" w:rsidRPr="00ED6C5C" w:rsidRDefault="00A63D9C" w:rsidP="00364236">
            <w:pPr>
              <w:ind w:right="113"/>
              <w:jc w:val="right"/>
              <w:rPr>
                <w:rFonts w:eastAsia="Times New Roman" w:cs="Arial"/>
                <w:b/>
                <w:bCs/>
                <w:sz w:val="18"/>
                <w:lang w:eastAsia="en-AU"/>
              </w:rPr>
            </w:pPr>
            <w:r w:rsidRPr="00ED6C5C">
              <w:rPr>
                <w:rFonts w:ascii="Calibri" w:hAnsi="Calibri" w:cs="Calibri"/>
                <w:b/>
                <w:bCs/>
                <w:sz w:val="18"/>
              </w:rPr>
              <w:t>72.2</w:t>
            </w:r>
          </w:p>
        </w:tc>
        <w:tc>
          <w:tcPr>
            <w:tcW w:w="756" w:type="dxa"/>
            <w:vAlign w:val="center"/>
            <w:hideMark/>
          </w:tcPr>
          <w:p w14:paraId="6E0288BE"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80.2</w:t>
            </w:r>
          </w:p>
        </w:tc>
        <w:tc>
          <w:tcPr>
            <w:tcW w:w="756" w:type="dxa"/>
            <w:vAlign w:val="center"/>
            <w:hideMark/>
          </w:tcPr>
          <w:p w14:paraId="7244DE60"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82.5</w:t>
            </w:r>
          </w:p>
        </w:tc>
        <w:tc>
          <w:tcPr>
            <w:tcW w:w="756" w:type="dxa"/>
            <w:vAlign w:val="center"/>
            <w:hideMark/>
          </w:tcPr>
          <w:p w14:paraId="571404BB"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81.9</w:t>
            </w:r>
          </w:p>
        </w:tc>
        <w:tc>
          <w:tcPr>
            <w:tcW w:w="756" w:type="dxa"/>
            <w:vAlign w:val="center"/>
            <w:hideMark/>
          </w:tcPr>
          <w:p w14:paraId="36065D84" w14:textId="1342E1AE"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75</w:t>
            </w:r>
            <w:r w:rsidR="00E75A83" w:rsidRPr="00ED6C5C">
              <w:rPr>
                <w:rFonts w:ascii="Calibri" w:hAnsi="Calibri" w:cs="Calibri"/>
                <w:b/>
                <w:bCs/>
                <w:sz w:val="18"/>
              </w:rPr>
              <w:t>.0</w:t>
            </w:r>
          </w:p>
        </w:tc>
        <w:tc>
          <w:tcPr>
            <w:tcW w:w="756" w:type="dxa"/>
            <w:vAlign w:val="center"/>
            <w:hideMark/>
          </w:tcPr>
          <w:p w14:paraId="2D3E53CA"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78.1</w:t>
            </w:r>
          </w:p>
        </w:tc>
        <w:tc>
          <w:tcPr>
            <w:tcW w:w="756" w:type="dxa"/>
            <w:vAlign w:val="center"/>
            <w:hideMark/>
          </w:tcPr>
          <w:p w14:paraId="4B21471F"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77.5</w:t>
            </w:r>
          </w:p>
        </w:tc>
        <w:tc>
          <w:tcPr>
            <w:tcW w:w="756" w:type="dxa"/>
            <w:vAlign w:val="center"/>
            <w:hideMark/>
          </w:tcPr>
          <w:p w14:paraId="56B248D3"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83.8</w:t>
            </w:r>
          </w:p>
        </w:tc>
        <w:tc>
          <w:tcPr>
            <w:tcW w:w="756" w:type="dxa"/>
            <w:vAlign w:val="center"/>
            <w:hideMark/>
          </w:tcPr>
          <w:p w14:paraId="10A0BB52"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84.5</w:t>
            </w:r>
          </w:p>
        </w:tc>
        <w:tc>
          <w:tcPr>
            <w:tcW w:w="756" w:type="dxa"/>
            <w:vAlign w:val="center"/>
            <w:hideMark/>
          </w:tcPr>
          <w:p w14:paraId="013EE527" w14:textId="16D29024"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83</w:t>
            </w:r>
            <w:r w:rsidR="00E75A83" w:rsidRPr="00ED6C5C">
              <w:rPr>
                <w:rFonts w:ascii="Calibri" w:hAnsi="Calibri" w:cs="Calibri"/>
                <w:b/>
                <w:bCs/>
                <w:sz w:val="18"/>
              </w:rPr>
              <w:t>.0</w:t>
            </w:r>
          </w:p>
        </w:tc>
        <w:tc>
          <w:tcPr>
            <w:tcW w:w="756" w:type="dxa"/>
            <w:vAlign w:val="center"/>
            <w:hideMark/>
          </w:tcPr>
          <w:p w14:paraId="64E9AAA9"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74.4</w:t>
            </w:r>
          </w:p>
        </w:tc>
        <w:tc>
          <w:tcPr>
            <w:tcW w:w="756" w:type="dxa"/>
            <w:vAlign w:val="center"/>
            <w:hideMark/>
          </w:tcPr>
          <w:p w14:paraId="7344F6A6"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75.8</w:t>
            </w:r>
          </w:p>
        </w:tc>
        <w:tc>
          <w:tcPr>
            <w:tcW w:w="756" w:type="dxa"/>
            <w:vAlign w:val="center"/>
            <w:hideMark/>
          </w:tcPr>
          <w:p w14:paraId="37B74121"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74.9</w:t>
            </w:r>
          </w:p>
        </w:tc>
      </w:tr>
    </w:tbl>
    <w:p w14:paraId="5D24E6BC" w14:textId="77777777" w:rsidR="00364236" w:rsidRDefault="00364236" w:rsidP="009D61D3">
      <w:pPr>
        <w:pStyle w:val="Caption"/>
        <w:ind w:left="0" w:firstLine="0"/>
      </w:pPr>
      <w:bookmarkStart w:id="167" w:name="_Ref197685716"/>
      <w:bookmarkStart w:id="168" w:name="_Toc206692299"/>
    </w:p>
    <w:p w14:paraId="0E276067" w14:textId="77777777" w:rsidR="00364236" w:rsidRDefault="00364236">
      <w:pPr>
        <w:spacing w:after="160" w:line="259" w:lineRule="auto"/>
        <w:rPr>
          <w:rFonts w:eastAsia="Times New Roman" w:cs="Arial"/>
          <w:b/>
          <w:bCs/>
          <w:color w:val="007A7D" w:themeColor="text2"/>
          <w:sz w:val="21"/>
          <w:szCs w:val="21"/>
          <w:lang w:eastAsia="en-AU"/>
        </w:rPr>
      </w:pPr>
      <w:r>
        <w:br w:type="page"/>
      </w:r>
    </w:p>
    <w:p w14:paraId="0BAF2DFF" w14:textId="4F792536" w:rsidR="007030E3" w:rsidRPr="002A135C" w:rsidRDefault="007030E3" w:rsidP="002A135C">
      <w:pPr>
        <w:pStyle w:val="Caption"/>
        <w:ind w:left="0" w:firstLine="0"/>
        <w:rPr>
          <w:color w:val="000000" w:themeColor="text1"/>
        </w:rPr>
      </w:pPr>
      <w:r w:rsidRPr="00E40220">
        <w:rPr>
          <w:color w:val="000000" w:themeColor="text1"/>
        </w:rPr>
        <w:lastRenderedPageBreak/>
        <w:t xml:space="preserve">Table </w:t>
      </w:r>
      <w:r w:rsidRPr="00E40220">
        <w:rPr>
          <w:color w:val="000000" w:themeColor="text1"/>
        </w:rPr>
        <w:fldChar w:fldCharType="begin"/>
      </w:r>
      <w:r w:rsidRPr="00E40220">
        <w:rPr>
          <w:color w:val="000000" w:themeColor="text1"/>
        </w:rPr>
        <w:instrText xml:space="preserve"> SEQ Table \* ARABIC </w:instrText>
      </w:r>
      <w:r w:rsidRPr="00E40220">
        <w:rPr>
          <w:color w:val="000000" w:themeColor="text1"/>
        </w:rPr>
        <w:fldChar w:fldCharType="separate"/>
      </w:r>
      <w:r w:rsidR="00F96AB4">
        <w:rPr>
          <w:noProof/>
          <w:color w:val="000000" w:themeColor="text1"/>
        </w:rPr>
        <w:t>7</w:t>
      </w:r>
      <w:r w:rsidRPr="00E40220">
        <w:rPr>
          <w:color w:val="000000" w:themeColor="text1"/>
        </w:rPr>
        <w:fldChar w:fldCharType="end"/>
      </w:r>
      <w:bookmarkEnd w:id="167"/>
      <w:r w:rsidR="002C6496" w:rsidRPr="00E40220">
        <w:rPr>
          <w:color w:val="000000" w:themeColor="text1"/>
        </w:rPr>
        <w:t xml:space="preserve"> International postgraduate coursework student rating by </w:t>
      </w:r>
      <w:r w:rsidR="00B81AD7" w:rsidRPr="00E40220">
        <w:rPr>
          <w:color w:val="000000" w:themeColor="text1"/>
        </w:rPr>
        <w:t>f</w:t>
      </w:r>
      <w:r w:rsidR="002C6496" w:rsidRPr="00E40220">
        <w:rPr>
          <w:color w:val="000000" w:themeColor="text1"/>
        </w:rPr>
        <w:t xml:space="preserve">ocus </w:t>
      </w:r>
      <w:r w:rsidR="00B81AD7" w:rsidRPr="00E40220">
        <w:rPr>
          <w:color w:val="000000" w:themeColor="text1"/>
        </w:rPr>
        <w:t>a</w:t>
      </w:r>
      <w:r w:rsidR="002C6496" w:rsidRPr="00E40220">
        <w:rPr>
          <w:color w:val="000000" w:themeColor="text1"/>
        </w:rPr>
        <w:t>rea and study area, 2022-2024 (% positive rating)</w:t>
      </w:r>
      <w:bookmarkEnd w:id="168"/>
    </w:p>
    <w:tbl>
      <w:tblPr>
        <w:tblStyle w:val="TableGrid1"/>
        <w:tblW w:w="15454" w:type="dxa"/>
        <w:tblLayout w:type="fixed"/>
        <w:tblLook w:val="04A0" w:firstRow="1" w:lastRow="0" w:firstColumn="1" w:lastColumn="0" w:noHBand="0" w:noVBand="1"/>
      </w:tblPr>
      <w:tblGrid>
        <w:gridCol w:w="1988"/>
        <w:gridCol w:w="748"/>
        <w:gridCol w:w="748"/>
        <w:gridCol w:w="748"/>
        <w:gridCol w:w="748"/>
        <w:gridCol w:w="748"/>
        <w:gridCol w:w="748"/>
        <w:gridCol w:w="748"/>
        <w:gridCol w:w="748"/>
        <w:gridCol w:w="749"/>
        <w:gridCol w:w="748"/>
        <w:gridCol w:w="748"/>
        <w:gridCol w:w="748"/>
        <w:gridCol w:w="748"/>
        <w:gridCol w:w="748"/>
        <w:gridCol w:w="748"/>
        <w:gridCol w:w="748"/>
        <w:gridCol w:w="748"/>
        <w:gridCol w:w="749"/>
      </w:tblGrid>
      <w:tr w:rsidR="00364236" w:rsidRPr="00E45768" w14:paraId="55EA0656" w14:textId="77777777" w:rsidTr="00A44303">
        <w:trPr>
          <w:trHeight w:val="344"/>
        </w:trPr>
        <w:tc>
          <w:tcPr>
            <w:tcW w:w="1988" w:type="dxa"/>
            <w:vAlign w:val="bottom"/>
          </w:tcPr>
          <w:p w14:paraId="4234EC2D" w14:textId="77777777" w:rsidR="00364236" w:rsidRPr="00ED6C5C" w:rsidRDefault="00364236" w:rsidP="00364236">
            <w:pPr>
              <w:spacing w:before="120" w:after="80"/>
              <w:jc w:val="center"/>
              <w:rPr>
                <w:rFonts w:ascii="Calibri" w:hAnsi="Calibri" w:cs="Calibri"/>
                <w:color w:val="000000" w:themeColor="text1"/>
                <w:sz w:val="18"/>
              </w:rPr>
            </w:pPr>
          </w:p>
        </w:tc>
        <w:tc>
          <w:tcPr>
            <w:tcW w:w="748" w:type="dxa"/>
            <w:vAlign w:val="bottom"/>
          </w:tcPr>
          <w:p w14:paraId="03555457" w14:textId="3F6C38F5"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Skills Development</w:t>
            </w:r>
            <w:r>
              <w:rPr>
                <w:rFonts w:ascii="Calibri" w:hAnsi="Calibri" w:cs="Calibri"/>
                <w:b/>
                <w:bCs/>
                <w:sz w:val="18"/>
              </w:rPr>
              <w:t xml:space="preserve"> 2022</w:t>
            </w:r>
          </w:p>
        </w:tc>
        <w:tc>
          <w:tcPr>
            <w:tcW w:w="748" w:type="dxa"/>
            <w:vAlign w:val="bottom"/>
          </w:tcPr>
          <w:p w14:paraId="7B9146D9" w14:textId="35D1EE9D"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Skills Development</w:t>
            </w:r>
            <w:r>
              <w:rPr>
                <w:rFonts w:ascii="Calibri" w:hAnsi="Calibri" w:cs="Calibri"/>
                <w:b/>
                <w:bCs/>
                <w:sz w:val="18"/>
              </w:rPr>
              <w:t xml:space="preserve"> 2023</w:t>
            </w:r>
          </w:p>
        </w:tc>
        <w:tc>
          <w:tcPr>
            <w:tcW w:w="748" w:type="dxa"/>
            <w:vAlign w:val="bottom"/>
          </w:tcPr>
          <w:p w14:paraId="0F57EA59" w14:textId="51BBCE2F"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Skills Development</w:t>
            </w:r>
            <w:r>
              <w:rPr>
                <w:rFonts w:ascii="Calibri" w:hAnsi="Calibri" w:cs="Calibri"/>
                <w:b/>
                <w:bCs/>
                <w:sz w:val="18"/>
              </w:rPr>
              <w:t xml:space="preserve"> 2024</w:t>
            </w:r>
          </w:p>
        </w:tc>
        <w:tc>
          <w:tcPr>
            <w:tcW w:w="748" w:type="dxa"/>
            <w:vAlign w:val="bottom"/>
          </w:tcPr>
          <w:p w14:paraId="3AC617F2" w14:textId="2CE1B00D"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Peer Engagement</w:t>
            </w:r>
            <w:r>
              <w:rPr>
                <w:rFonts w:ascii="Calibri" w:hAnsi="Calibri" w:cs="Calibri"/>
                <w:b/>
                <w:bCs/>
                <w:sz w:val="18"/>
              </w:rPr>
              <w:t xml:space="preserve"> 2022</w:t>
            </w:r>
          </w:p>
        </w:tc>
        <w:tc>
          <w:tcPr>
            <w:tcW w:w="748" w:type="dxa"/>
            <w:vAlign w:val="bottom"/>
          </w:tcPr>
          <w:p w14:paraId="5C9180EB" w14:textId="692BA76E"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Peer Engagement</w:t>
            </w:r>
            <w:r>
              <w:rPr>
                <w:rFonts w:ascii="Calibri" w:hAnsi="Calibri" w:cs="Calibri"/>
                <w:b/>
                <w:bCs/>
                <w:sz w:val="18"/>
              </w:rPr>
              <w:t xml:space="preserve"> 2023</w:t>
            </w:r>
          </w:p>
        </w:tc>
        <w:tc>
          <w:tcPr>
            <w:tcW w:w="748" w:type="dxa"/>
            <w:vAlign w:val="bottom"/>
          </w:tcPr>
          <w:p w14:paraId="550BA7B0" w14:textId="4AC31674"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Peer Engagement</w:t>
            </w:r>
            <w:r>
              <w:rPr>
                <w:rFonts w:ascii="Calibri" w:hAnsi="Calibri" w:cs="Calibri"/>
                <w:b/>
                <w:bCs/>
                <w:sz w:val="18"/>
              </w:rPr>
              <w:t xml:space="preserve"> 2024</w:t>
            </w:r>
          </w:p>
        </w:tc>
        <w:tc>
          <w:tcPr>
            <w:tcW w:w="748" w:type="dxa"/>
            <w:vAlign w:val="bottom"/>
          </w:tcPr>
          <w:p w14:paraId="3B2CEF7E" w14:textId="394144C5"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Teaching Quality and Engagement</w:t>
            </w:r>
            <w:r>
              <w:rPr>
                <w:rFonts w:ascii="Calibri" w:hAnsi="Calibri" w:cs="Calibri"/>
                <w:b/>
                <w:bCs/>
                <w:sz w:val="18"/>
              </w:rPr>
              <w:t xml:space="preserve"> 2022</w:t>
            </w:r>
          </w:p>
        </w:tc>
        <w:tc>
          <w:tcPr>
            <w:tcW w:w="748" w:type="dxa"/>
            <w:vAlign w:val="bottom"/>
          </w:tcPr>
          <w:p w14:paraId="45EC8579" w14:textId="17F8113C"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Teaching Quality and Engagement</w:t>
            </w:r>
            <w:r>
              <w:rPr>
                <w:rFonts w:ascii="Calibri" w:hAnsi="Calibri" w:cs="Calibri"/>
                <w:b/>
                <w:bCs/>
                <w:sz w:val="18"/>
              </w:rPr>
              <w:t xml:space="preserve"> 2023</w:t>
            </w:r>
          </w:p>
        </w:tc>
        <w:tc>
          <w:tcPr>
            <w:tcW w:w="749" w:type="dxa"/>
            <w:vAlign w:val="bottom"/>
          </w:tcPr>
          <w:p w14:paraId="1DC93E7D" w14:textId="22B9F235"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Teaching Quality and Engagement</w:t>
            </w:r>
            <w:r>
              <w:rPr>
                <w:rFonts w:ascii="Calibri" w:hAnsi="Calibri" w:cs="Calibri"/>
                <w:b/>
                <w:bCs/>
                <w:sz w:val="18"/>
              </w:rPr>
              <w:t xml:space="preserve"> 2024</w:t>
            </w:r>
          </w:p>
        </w:tc>
        <w:tc>
          <w:tcPr>
            <w:tcW w:w="748" w:type="dxa"/>
            <w:vAlign w:val="bottom"/>
          </w:tcPr>
          <w:p w14:paraId="4C6EF87B" w14:textId="528D92B3"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Student Support and Services</w:t>
            </w:r>
            <w:r>
              <w:rPr>
                <w:rFonts w:ascii="Calibri" w:hAnsi="Calibri" w:cs="Calibri"/>
                <w:b/>
                <w:bCs/>
                <w:sz w:val="18"/>
              </w:rPr>
              <w:t xml:space="preserve"> 2022</w:t>
            </w:r>
          </w:p>
        </w:tc>
        <w:tc>
          <w:tcPr>
            <w:tcW w:w="748" w:type="dxa"/>
            <w:vAlign w:val="bottom"/>
          </w:tcPr>
          <w:p w14:paraId="583F73EE" w14:textId="1C41C6C1"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Student Support and Services</w:t>
            </w:r>
            <w:r>
              <w:rPr>
                <w:rFonts w:ascii="Calibri" w:hAnsi="Calibri" w:cs="Calibri"/>
                <w:b/>
                <w:bCs/>
                <w:sz w:val="18"/>
              </w:rPr>
              <w:t xml:space="preserve"> 2023</w:t>
            </w:r>
          </w:p>
        </w:tc>
        <w:tc>
          <w:tcPr>
            <w:tcW w:w="748" w:type="dxa"/>
            <w:vAlign w:val="bottom"/>
          </w:tcPr>
          <w:p w14:paraId="154F44DC" w14:textId="227298E8"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Student Support and Services</w:t>
            </w:r>
            <w:r>
              <w:rPr>
                <w:rFonts w:ascii="Calibri" w:hAnsi="Calibri" w:cs="Calibri"/>
                <w:b/>
                <w:bCs/>
                <w:sz w:val="18"/>
              </w:rPr>
              <w:t xml:space="preserve"> 2024</w:t>
            </w:r>
          </w:p>
        </w:tc>
        <w:tc>
          <w:tcPr>
            <w:tcW w:w="748" w:type="dxa"/>
            <w:vAlign w:val="bottom"/>
          </w:tcPr>
          <w:p w14:paraId="1D1165C5" w14:textId="2160B800"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Learning Resources</w:t>
            </w:r>
            <w:r>
              <w:rPr>
                <w:rFonts w:ascii="Calibri" w:hAnsi="Calibri" w:cs="Calibri"/>
                <w:b/>
                <w:bCs/>
                <w:sz w:val="18"/>
              </w:rPr>
              <w:t xml:space="preserve"> 2022</w:t>
            </w:r>
          </w:p>
        </w:tc>
        <w:tc>
          <w:tcPr>
            <w:tcW w:w="748" w:type="dxa"/>
            <w:vAlign w:val="bottom"/>
          </w:tcPr>
          <w:p w14:paraId="3F79F2BC" w14:textId="167FA8ED"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Learning Resources</w:t>
            </w:r>
            <w:r>
              <w:rPr>
                <w:rFonts w:ascii="Calibri" w:hAnsi="Calibri" w:cs="Calibri"/>
                <w:b/>
                <w:bCs/>
                <w:sz w:val="18"/>
              </w:rPr>
              <w:t xml:space="preserve"> 2023</w:t>
            </w:r>
          </w:p>
        </w:tc>
        <w:tc>
          <w:tcPr>
            <w:tcW w:w="748" w:type="dxa"/>
            <w:vAlign w:val="bottom"/>
          </w:tcPr>
          <w:p w14:paraId="4461EAAB" w14:textId="3A80462B"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Learning Resources</w:t>
            </w:r>
            <w:r>
              <w:rPr>
                <w:rFonts w:ascii="Calibri" w:hAnsi="Calibri" w:cs="Calibri"/>
                <w:b/>
                <w:bCs/>
                <w:sz w:val="18"/>
              </w:rPr>
              <w:t xml:space="preserve"> 2024</w:t>
            </w:r>
          </w:p>
        </w:tc>
        <w:tc>
          <w:tcPr>
            <w:tcW w:w="748" w:type="dxa"/>
            <w:vAlign w:val="bottom"/>
          </w:tcPr>
          <w:p w14:paraId="7B7469D3" w14:textId="6610B0B1" w:rsidR="00364236" w:rsidRPr="00F007B0" w:rsidRDefault="00364236" w:rsidP="00364236">
            <w:pPr>
              <w:spacing w:before="120" w:after="80"/>
              <w:jc w:val="center"/>
              <w:rPr>
                <w:rFonts w:ascii="Calibri" w:hAnsi="Calibri" w:cs="Calibri"/>
                <w:color w:val="000000" w:themeColor="text1"/>
                <w:sz w:val="18"/>
              </w:rPr>
            </w:pPr>
            <w:r>
              <w:rPr>
                <w:rFonts w:ascii="Calibri" w:hAnsi="Calibri" w:cs="Calibri"/>
                <w:b/>
                <w:bCs/>
                <w:sz w:val="18"/>
              </w:rPr>
              <w:t>Overall Educational Experience 2022</w:t>
            </w:r>
          </w:p>
        </w:tc>
        <w:tc>
          <w:tcPr>
            <w:tcW w:w="748" w:type="dxa"/>
            <w:vAlign w:val="bottom"/>
          </w:tcPr>
          <w:p w14:paraId="3C0CBD56" w14:textId="295764AC" w:rsidR="00364236" w:rsidRPr="00F007B0" w:rsidRDefault="00364236" w:rsidP="00364236">
            <w:pPr>
              <w:spacing w:before="120" w:after="80"/>
              <w:jc w:val="center"/>
              <w:rPr>
                <w:rFonts w:ascii="Calibri" w:hAnsi="Calibri" w:cs="Calibri"/>
                <w:color w:val="000000" w:themeColor="text1"/>
                <w:sz w:val="18"/>
              </w:rPr>
            </w:pPr>
            <w:r>
              <w:rPr>
                <w:rFonts w:ascii="Calibri" w:hAnsi="Calibri" w:cs="Calibri"/>
                <w:b/>
                <w:bCs/>
                <w:sz w:val="18"/>
              </w:rPr>
              <w:t>Overall Educational Experience 2023</w:t>
            </w:r>
          </w:p>
        </w:tc>
        <w:tc>
          <w:tcPr>
            <w:tcW w:w="749" w:type="dxa"/>
            <w:vAlign w:val="bottom"/>
          </w:tcPr>
          <w:p w14:paraId="4FC8657B" w14:textId="18BDE351" w:rsidR="00364236" w:rsidRPr="00F007B0" w:rsidRDefault="00364236" w:rsidP="00364236">
            <w:pPr>
              <w:spacing w:before="120" w:after="80"/>
              <w:jc w:val="center"/>
              <w:rPr>
                <w:rFonts w:ascii="Calibri" w:hAnsi="Calibri" w:cs="Calibri"/>
                <w:color w:val="000000" w:themeColor="text1"/>
                <w:sz w:val="18"/>
              </w:rPr>
            </w:pPr>
            <w:r>
              <w:rPr>
                <w:rFonts w:ascii="Calibri" w:hAnsi="Calibri" w:cs="Calibri"/>
                <w:b/>
                <w:bCs/>
                <w:sz w:val="18"/>
              </w:rPr>
              <w:t>Overall Educational Experience 2024</w:t>
            </w:r>
          </w:p>
        </w:tc>
      </w:tr>
      <w:tr w:rsidR="00481507" w:rsidRPr="00E45768" w14:paraId="0CB41C54" w14:textId="77777777" w:rsidTr="00A44303">
        <w:trPr>
          <w:trHeight w:val="344"/>
        </w:trPr>
        <w:tc>
          <w:tcPr>
            <w:tcW w:w="1988" w:type="dxa"/>
            <w:vAlign w:val="center"/>
            <w:hideMark/>
          </w:tcPr>
          <w:p w14:paraId="160553F7" w14:textId="77777777" w:rsidR="007030E3" w:rsidRPr="00ED6C5C" w:rsidRDefault="007030E3" w:rsidP="00A44303">
            <w:pPr>
              <w:spacing w:before="60" w:after="60"/>
              <w:rPr>
                <w:rFonts w:ascii="Calibri" w:eastAsia="Times New Roman" w:hAnsi="Calibri" w:cs="Calibri"/>
                <w:color w:val="000000" w:themeColor="text1"/>
                <w:sz w:val="18"/>
                <w:lang w:eastAsia="en-AU"/>
              </w:rPr>
            </w:pPr>
            <w:r w:rsidRPr="00ED6C5C">
              <w:rPr>
                <w:rFonts w:ascii="Calibri" w:hAnsi="Calibri" w:cs="Calibri"/>
                <w:color w:val="000000" w:themeColor="text1"/>
                <w:sz w:val="18"/>
              </w:rPr>
              <w:t>Agriculture and environmental studies</w:t>
            </w:r>
          </w:p>
        </w:tc>
        <w:tc>
          <w:tcPr>
            <w:tcW w:w="748" w:type="dxa"/>
            <w:vAlign w:val="center"/>
            <w:hideMark/>
          </w:tcPr>
          <w:p w14:paraId="6572DAD5" w14:textId="1173BEE6"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w:t>
            </w:r>
            <w:r w:rsidR="00ED6C5C" w:rsidRPr="00F007B0">
              <w:rPr>
                <w:rFonts w:ascii="Calibri" w:hAnsi="Calibri" w:cs="Calibri"/>
                <w:color w:val="000000" w:themeColor="text1"/>
                <w:sz w:val="18"/>
              </w:rPr>
              <w:t>.0</w:t>
            </w:r>
          </w:p>
        </w:tc>
        <w:tc>
          <w:tcPr>
            <w:tcW w:w="748" w:type="dxa"/>
            <w:vAlign w:val="center"/>
            <w:hideMark/>
          </w:tcPr>
          <w:p w14:paraId="02420EC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89.7</w:t>
            </w:r>
          </w:p>
        </w:tc>
        <w:tc>
          <w:tcPr>
            <w:tcW w:w="748" w:type="dxa"/>
            <w:vAlign w:val="center"/>
            <w:hideMark/>
          </w:tcPr>
          <w:p w14:paraId="3B3C886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87.4</w:t>
            </w:r>
          </w:p>
        </w:tc>
        <w:tc>
          <w:tcPr>
            <w:tcW w:w="748" w:type="dxa"/>
            <w:vAlign w:val="center"/>
            <w:hideMark/>
          </w:tcPr>
          <w:p w14:paraId="1C49E184" w14:textId="3BBDC222"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63</w:t>
            </w:r>
            <w:r w:rsidR="00ED6C5C" w:rsidRPr="00F007B0">
              <w:rPr>
                <w:rFonts w:ascii="Calibri" w:hAnsi="Calibri" w:cs="Calibri"/>
                <w:color w:val="000000" w:themeColor="text1"/>
                <w:sz w:val="18"/>
              </w:rPr>
              <w:t>.0</w:t>
            </w:r>
          </w:p>
        </w:tc>
        <w:tc>
          <w:tcPr>
            <w:tcW w:w="748" w:type="dxa"/>
            <w:vAlign w:val="center"/>
            <w:hideMark/>
          </w:tcPr>
          <w:p w14:paraId="595D465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74.9</w:t>
            </w:r>
          </w:p>
        </w:tc>
        <w:tc>
          <w:tcPr>
            <w:tcW w:w="748" w:type="dxa"/>
            <w:vAlign w:val="center"/>
            <w:hideMark/>
          </w:tcPr>
          <w:p w14:paraId="6A614D9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73.1</w:t>
            </w:r>
          </w:p>
        </w:tc>
        <w:tc>
          <w:tcPr>
            <w:tcW w:w="748" w:type="dxa"/>
            <w:vAlign w:val="center"/>
            <w:hideMark/>
          </w:tcPr>
          <w:p w14:paraId="31EA00E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87.5</w:t>
            </w:r>
          </w:p>
        </w:tc>
        <w:tc>
          <w:tcPr>
            <w:tcW w:w="748" w:type="dxa"/>
            <w:vAlign w:val="center"/>
            <w:hideMark/>
          </w:tcPr>
          <w:p w14:paraId="79318B7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88.1</w:t>
            </w:r>
          </w:p>
        </w:tc>
        <w:tc>
          <w:tcPr>
            <w:tcW w:w="749" w:type="dxa"/>
            <w:vAlign w:val="center"/>
            <w:hideMark/>
          </w:tcPr>
          <w:p w14:paraId="7CC01D2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87.1</w:t>
            </w:r>
          </w:p>
        </w:tc>
        <w:tc>
          <w:tcPr>
            <w:tcW w:w="748" w:type="dxa"/>
            <w:vAlign w:val="center"/>
            <w:hideMark/>
          </w:tcPr>
          <w:p w14:paraId="712A978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80.7</w:t>
            </w:r>
          </w:p>
        </w:tc>
        <w:tc>
          <w:tcPr>
            <w:tcW w:w="748" w:type="dxa"/>
            <w:vAlign w:val="center"/>
            <w:hideMark/>
          </w:tcPr>
          <w:p w14:paraId="0A0367A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84.6</w:t>
            </w:r>
          </w:p>
        </w:tc>
        <w:tc>
          <w:tcPr>
            <w:tcW w:w="748" w:type="dxa"/>
            <w:vAlign w:val="center"/>
            <w:hideMark/>
          </w:tcPr>
          <w:p w14:paraId="3FACADF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83.9</w:t>
            </w:r>
          </w:p>
        </w:tc>
        <w:tc>
          <w:tcPr>
            <w:tcW w:w="748" w:type="dxa"/>
            <w:vAlign w:val="center"/>
            <w:hideMark/>
          </w:tcPr>
          <w:p w14:paraId="5E9AA1F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90.5</w:t>
            </w:r>
          </w:p>
        </w:tc>
        <w:tc>
          <w:tcPr>
            <w:tcW w:w="748" w:type="dxa"/>
            <w:vAlign w:val="center"/>
            <w:hideMark/>
          </w:tcPr>
          <w:p w14:paraId="6D445446"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92.4</w:t>
            </w:r>
          </w:p>
        </w:tc>
        <w:tc>
          <w:tcPr>
            <w:tcW w:w="748" w:type="dxa"/>
            <w:vAlign w:val="center"/>
            <w:hideMark/>
          </w:tcPr>
          <w:p w14:paraId="7161EF92"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92.5</w:t>
            </w:r>
          </w:p>
        </w:tc>
        <w:tc>
          <w:tcPr>
            <w:tcW w:w="748" w:type="dxa"/>
            <w:vAlign w:val="center"/>
            <w:hideMark/>
          </w:tcPr>
          <w:p w14:paraId="5530B4D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80.9</w:t>
            </w:r>
          </w:p>
        </w:tc>
        <w:tc>
          <w:tcPr>
            <w:tcW w:w="748" w:type="dxa"/>
            <w:vAlign w:val="center"/>
            <w:hideMark/>
          </w:tcPr>
          <w:p w14:paraId="48967F3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80.9</w:t>
            </w:r>
          </w:p>
        </w:tc>
        <w:tc>
          <w:tcPr>
            <w:tcW w:w="749" w:type="dxa"/>
            <w:vAlign w:val="center"/>
            <w:hideMark/>
          </w:tcPr>
          <w:p w14:paraId="509C068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77.2</w:t>
            </w:r>
          </w:p>
        </w:tc>
      </w:tr>
      <w:tr w:rsidR="00481507" w:rsidRPr="00711289" w14:paraId="4DC4B3E2" w14:textId="77777777" w:rsidTr="00A44303">
        <w:trPr>
          <w:trHeight w:val="344"/>
        </w:trPr>
        <w:tc>
          <w:tcPr>
            <w:tcW w:w="1988" w:type="dxa"/>
            <w:vAlign w:val="center"/>
            <w:hideMark/>
          </w:tcPr>
          <w:p w14:paraId="74AF7278"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Architecture and built environment</w:t>
            </w:r>
          </w:p>
        </w:tc>
        <w:tc>
          <w:tcPr>
            <w:tcW w:w="748" w:type="dxa"/>
            <w:vAlign w:val="center"/>
            <w:hideMark/>
          </w:tcPr>
          <w:p w14:paraId="09C7490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85.8</w:t>
            </w:r>
          </w:p>
        </w:tc>
        <w:tc>
          <w:tcPr>
            <w:tcW w:w="748" w:type="dxa"/>
            <w:vAlign w:val="center"/>
            <w:hideMark/>
          </w:tcPr>
          <w:p w14:paraId="3D49468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86.1</w:t>
            </w:r>
          </w:p>
        </w:tc>
        <w:tc>
          <w:tcPr>
            <w:tcW w:w="748" w:type="dxa"/>
            <w:vAlign w:val="center"/>
            <w:hideMark/>
          </w:tcPr>
          <w:p w14:paraId="3F231FE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84.8</w:t>
            </w:r>
          </w:p>
        </w:tc>
        <w:tc>
          <w:tcPr>
            <w:tcW w:w="748" w:type="dxa"/>
            <w:vAlign w:val="center"/>
            <w:hideMark/>
          </w:tcPr>
          <w:p w14:paraId="418BB49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66.2</w:t>
            </w:r>
          </w:p>
        </w:tc>
        <w:tc>
          <w:tcPr>
            <w:tcW w:w="748" w:type="dxa"/>
            <w:vAlign w:val="center"/>
            <w:hideMark/>
          </w:tcPr>
          <w:p w14:paraId="279CC0C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77.8</w:t>
            </w:r>
          </w:p>
        </w:tc>
        <w:tc>
          <w:tcPr>
            <w:tcW w:w="748" w:type="dxa"/>
            <w:vAlign w:val="center"/>
            <w:hideMark/>
          </w:tcPr>
          <w:p w14:paraId="439B7E2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76.3</w:t>
            </w:r>
          </w:p>
        </w:tc>
        <w:tc>
          <w:tcPr>
            <w:tcW w:w="748" w:type="dxa"/>
            <w:vAlign w:val="center"/>
            <w:hideMark/>
          </w:tcPr>
          <w:p w14:paraId="3F43C0C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83.6</w:t>
            </w:r>
          </w:p>
        </w:tc>
        <w:tc>
          <w:tcPr>
            <w:tcW w:w="748" w:type="dxa"/>
            <w:vAlign w:val="center"/>
            <w:hideMark/>
          </w:tcPr>
          <w:p w14:paraId="2546D8D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83.4</w:t>
            </w:r>
          </w:p>
        </w:tc>
        <w:tc>
          <w:tcPr>
            <w:tcW w:w="749" w:type="dxa"/>
            <w:vAlign w:val="center"/>
            <w:hideMark/>
          </w:tcPr>
          <w:p w14:paraId="29F8E448" w14:textId="477AA426"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w:t>
            </w:r>
            <w:r w:rsidR="00ED6C5C" w:rsidRPr="00F007B0">
              <w:rPr>
                <w:rFonts w:ascii="Calibri" w:hAnsi="Calibri" w:cs="Calibri"/>
                <w:color w:val="000000" w:themeColor="text1"/>
                <w:sz w:val="18"/>
              </w:rPr>
              <w:t>.0</w:t>
            </w:r>
          </w:p>
        </w:tc>
        <w:tc>
          <w:tcPr>
            <w:tcW w:w="748" w:type="dxa"/>
            <w:vAlign w:val="center"/>
            <w:hideMark/>
          </w:tcPr>
          <w:p w14:paraId="4C5A588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72.4</w:t>
            </w:r>
          </w:p>
        </w:tc>
        <w:tc>
          <w:tcPr>
            <w:tcW w:w="748" w:type="dxa"/>
            <w:vAlign w:val="center"/>
            <w:hideMark/>
          </w:tcPr>
          <w:p w14:paraId="4102F9A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76.5</w:t>
            </w:r>
          </w:p>
        </w:tc>
        <w:tc>
          <w:tcPr>
            <w:tcW w:w="748" w:type="dxa"/>
            <w:vAlign w:val="center"/>
            <w:hideMark/>
          </w:tcPr>
          <w:p w14:paraId="2A2F4D0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75.3</w:t>
            </w:r>
          </w:p>
        </w:tc>
        <w:tc>
          <w:tcPr>
            <w:tcW w:w="748" w:type="dxa"/>
            <w:vAlign w:val="center"/>
            <w:hideMark/>
          </w:tcPr>
          <w:p w14:paraId="73AA366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84.9</w:t>
            </w:r>
          </w:p>
        </w:tc>
        <w:tc>
          <w:tcPr>
            <w:tcW w:w="748" w:type="dxa"/>
            <w:vAlign w:val="center"/>
            <w:hideMark/>
          </w:tcPr>
          <w:p w14:paraId="63F687E7"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84.9</w:t>
            </w:r>
          </w:p>
        </w:tc>
        <w:tc>
          <w:tcPr>
            <w:tcW w:w="748" w:type="dxa"/>
            <w:vAlign w:val="center"/>
            <w:hideMark/>
          </w:tcPr>
          <w:p w14:paraId="03C88B74"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86.3</w:t>
            </w:r>
          </w:p>
        </w:tc>
        <w:tc>
          <w:tcPr>
            <w:tcW w:w="748" w:type="dxa"/>
            <w:vAlign w:val="center"/>
            <w:hideMark/>
          </w:tcPr>
          <w:p w14:paraId="3F9A8F2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77.3</w:t>
            </w:r>
          </w:p>
        </w:tc>
        <w:tc>
          <w:tcPr>
            <w:tcW w:w="748" w:type="dxa"/>
            <w:vAlign w:val="center"/>
            <w:hideMark/>
          </w:tcPr>
          <w:p w14:paraId="27726C8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75.8</w:t>
            </w:r>
          </w:p>
        </w:tc>
        <w:tc>
          <w:tcPr>
            <w:tcW w:w="749" w:type="dxa"/>
            <w:vAlign w:val="center"/>
            <w:hideMark/>
          </w:tcPr>
          <w:p w14:paraId="6BB9B0E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73.1</w:t>
            </w:r>
          </w:p>
        </w:tc>
      </w:tr>
      <w:tr w:rsidR="00481507" w:rsidRPr="00711289" w14:paraId="4FAB836F" w14:textId="77777777" w:rsidTr="00A44303">
        <w:trPr>
          <w:trHeight w:val="344"/>
        </w:trPr>
        <w:tc>
          <w:tcPr>
            <w:tcW w:w="1988" w:type="dxa"/>
            <w:vAlign w:val="center"/>
            <w:hideMark/>
          </w:tcPr>
          <w:p w14:paraId="0E35CBD5"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Business and management</w:t>
            </w:r>
          </w:p>
        </w:tc>
        <w:tc>
          <w:tcPr>
            <w:tcW w:w="748" w:type="dxa"/>
            <w:vAlign w:val="center"/>
            <w:hideMark/>
          </w:tcPr>
          <w:p w14:paraId="40D95EF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85.4</w:t>
            </w:r>
          </w:p>
        </w:tc>
        <w:tc>
          <w:tcPr>
            <w:tcW w:w="748" w:type="dxa"/>
            <w:vAlign w:val="center"/>
            <w:hideMark/>
          </w:tcPr>
          <w:p w14:paraId="6E1D8A4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86.2</w:t>
            </w:r>
          </w:p>
        </w:tc>
        <w:tc>
          <w:tcPr>
            <w:tcW w:w="748" w:type="dxa"/>
            <w:vAlign w:val="center"/>
            <w:hideMark/>
          </w:tcPr>
          <w:p w14:paraId="7E4F212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87.3</w:t>
            </w:r>
          </w:p>
        </w:tc>
        <w:tc>
          <w:tcPr>
            <w:tcW w:w="748" w:type="dxa"/>
            <w:vAlign w:val="center"/>
            <w:hideMark/>
          </w:tcPr>
          <w:p w14:paraId="3CB8DBE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64.6</w:t>
            </w:r>
          </w:p>
        </w:tc>
        <w:tc>
          <w:tcPr>
            <w:tcW w:w="748" w:type="dxa"/>
            <w:vAlign w:val="center"/>
            <w:hideMark/>
          </w:tcPr>
          <w:p w14:paraId="1AD9AA1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77.2</w:t>
            </w:r>
          </w:p>
        </w:tc>
        <w:tc>
          <w:tcPr>
            <w:tcW w:w="748" w:type="dxa"/>
            <w:vAlign w:val="center"/>
            <w:hideMark/>
          </w:tcPr>
          <w:p w14:paraId="2B5F783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81.2</w:t>
            </w:r>
          </w:p>
        </w:tc>
        <w:tc>
          <w:tcPr>
            <w:tcW w:w="748" w:type="dxa"/>
            <w:vAlign w:val="center"/>
            <w:hideMark/>
          </w:tcPr>
          <w:p w14:paraId="0893CED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85.2</w:t>
            </w:r>
          </w:p>
        </w:tc>
        <w:tc>
          <w:tcPr>
            <w:tcW w:w="748" w:type="dxa"/>
            <w:vAlign w:val="center"/>
            <w:hideMark/>
          </w:tcPr>
          <w:p w14:paraId="2972E76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86.1</w:t>
            </w:r>
          </w:p>
        </w:tc>
        <w:tc>
          <w:tcPr>
            <w:tcW w:w="749" w:type="dxa"/>
            <w:vAlign w:val="center"/>
            <w:hideMark/>
          </w:tcPr>
          <w:p w14:paraId="3824E17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86.2</w:t>
            </w:r>
          </w:p>
        </w:tc>
        <w:tc>
          <w:tcPr>
            <w:tcW w:w="748" w:type="dxa"/>
            <w:vAlign w:val="center"/>
            <w:hideMark/>
          </w:tcPr>
          <w:p w14:paraId="79EB6EA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80.8</w:t>
            </w:r>
          </w:p>
        </w:tc>
        <w:tc>
          <w:tcPr>
            <w:tcW w:w="748" w:type="dxa"/>
            <w:vAlign w:val="center"/>
            <w:hideMark/>
          </w:tcPr>
          <w:p w14:paraId="5800A1E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83.2</w:t>
            </w:r>
          </w:p>
        </w:tc>
        <w:tc>
          <w:tcPr>
            <w:tcW w:w="748" w:type="dxa"/>
            <w:vAlign w:val="center"/>
            <w:hideMark/>
          </w:tcPr>
          <w:p w14:paraId="2B5025C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82.7</w:t>
            </w:r>
          </w:p>
        </w:tc>
        <w:tc>
          <w:tcPr>
            <w:tcW w:w="748" w:type="dxa"/>
            <w:vAlign w:val="center"/>
            <w:hideMark/>
          </w:tcPr>
          <w:p w14:paraId="3CC5739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87.4</w:t>
            </w:r>
          </w:p>
        </w:tc>
        <w:tc>
          <w:tcPr>
            <w:tcW w:w="748" w:type="dxa"/>
            <w:vAlign w:val="center"/>
            <w:hideMark/>
          </w:tcPr>
          <w:p w14:paraId="7DEF77AF"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87.7</w:t>
            </w:r>
          </w:p>
        </w:tc>
        <w:tc>
          <w:tcPr>
            <w:tcW w:w="748" w:type="dxa"/>
            <w:vAlign w:val="center"/>
            <w:hideMark/>
          </w:tcPr>
          <w:p w14:paraId="66CF77FF"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87.2</w:t>
            </w:r>
          </w:p>
        </w:tc>
        <w:tc>
          <w:tcPr>
            <w:tcW w:w="748" w:type="dxa"/>
            <w:vAlign w:val="center"/>
            <w:hideMark/>
          </w:tcPr>
          <w:p w14:paraId="403B628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80.9</w:t>
            </w:r>
          </w:p>
        </w:tc>
        <w:tc>
          <w:tcPr>
            <w:tcW w:w="748" w:type="dxa"/>
            <w:vAlign w:val="center"/>
            <w:hideMark/>
          </w:tcPr>
          <w:p w14:paraId="4140B12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79.8</w:t>
            </w:r>
          </w:p>
        </w:tc>
        <w:tc>
          <w:tcPr>
            <w:tcW w:w="749" w:type="dxa"/>
            <w:vAlign w:val="center"/>
            <w:hideMark/>
          </w:tcPr>
          <w:p w14:paraId="69D947F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78.7</w:t>
            </w:r>
          </w:p>
        </w:tc>
      </w:tr>
      <w:tr w:rsidR="00481507" w:rsidRPr="00711289" w14:paraId="113A0FE7" w14:textId="77777777" w:rsidTr="00A44303">
        <w:trPr>
          <w:trHeight w:val="344"/>
        </w:trPr>
        <w:tc>
          <w:tcPr>
            <w:tcW w:w="1988" w:type="dxa"/>
            <w:vAlign w:val="center"/>
            <w:hideMark/>
          </w:tcPr>
          <w:p w14:paraId="01DE20F4"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Communications</w:t>
            </w:r>
          </w:p>
        </w:tc>
        <w:tc>
          <w:tcPr>
            <w:tcW w:w="748" w:type="dxa"/>
            <w:vAlign w:val="center"/>
            <w:hideMark/>
          </w:tcPr>
          <w:p w14:paraId="41A2EC2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88.9</w:t>
            </w:r>
          </w:p>
        </w:tc>
        <w:tc>
          <w:tcPr>
            <w:tcW w:w="748" w:type="dxa"/>
            <w:vAlign w:val="center"/>
            <w:hideMark/>
          </w:tcPr>
          <w:p w14:paraId="2249B6BD" w14:textId="0F86B070"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w:t>
            </w:r>
            <w:r w:rsidR="00ED6C5C" w:rsidRPr="00F007B0">
              <w:rPr>
                <w:rFonts w:ascii="Calibri" w:hAnsi="Calibri" w:cs="Calibri"/>
                <w:color w:val="000000" w:themeColor="text1"/>
                <w:sz w:val="18"/>
              </w:rPr>
              <w:t>.0</w:t>
            </w:r>
          </w:p>
        </w:tc>
        <w:tc>
          <w:tcPr>
            <w:tcW w:w="748" w:type="dxa"/>
            <w:vAlign w:val="center"/>
            <w:hideMark/>
          </w:tcPr>
          <w:p w14:paraId="00F427B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86.4</w:t>
            </w:r>
          </w:p>
        </w:tc>
        <w:tc>
          <w:tcPr>
            <w:tcW w:w="748" w:type="dxa"/>
            <w:vAlign w:val="center"/>
            <w:hideMark/>
          </w:tcPr>
          <w:p w14:paraId="31A51E2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63.5</w:t>
            </w:r>
          </w:p>
        </w:tc>
        <w:tc>
          <w:tcPr>
            <w:tcW w:w="748" w:type="dxa"/>
            <w:vAlign w:val="center"/>
            <w:hideMark/>
          </w:tcPr>
          <w:p w14:paraId="26839E1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74.8</w:t>
            </w:r>
          </w:p>
        </w:tc>
        <w:tc>
          <w:tcPr>
            <w:tcW w:w="748" w:type="dxa"/>
            <w:vAlign w:val="center"/>
            <w:hideMark/>
          </w:tcPr>
          <w:p w14:paraId="22555D8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77.9</w:t>
            </w:r>
          </w:p>
        </w:tc>
        <w:tc>
          <w:tcPr>
            <w:tcW w:w="748" w:type="dxa"/>
            <w:vAlign w:val="center"/>
            <w:hideMark/>
          </w:tcPr>
          <w:p w14:paraId="3FF18222" w14:textId="13BE074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w:t>
            </w:r>
            <w:r w:rsidR="00ED6C5C" w:rsidRPr="00F007B0">
              <w:rPr>
                <w:rFonts w:ascii="Calibri" w:hAnsi="Calibri" w:cs="Calibri"/>
                <w:color w:val="000000" w:themeColor="text1"/>
                <w:sz w:val="18"/>
              </w:rPr>
              <w:t>.0</w:t>
            </w:r>
          </w:p>
        </w:tc>
        <w:tc>
          <w:tcPr>
            <w:tcW w:w="748" w:type="dxa"/>
            <w:vAlign w:val="center"/>
            <w:hideMark/>
          </w:tcPr>
          <w:p w14:paraId="2F1A272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88.3</w:t>
            </w:r>
          </w:p>
        </w:tc>
        <w:tc>
          <w:tcPr>
            <w:tcW w:w="749" w:type="dxa"/>
            <w:vAlign w:val="center"/>
            <w:hideMark/>
          </w:tcPr>
          <w:p w14:paraId="195C1E2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86.2</w:t>
            </w:r>
          </w:p>
        </w:tc>
        <w:tc>
          <w:tcPr>
            <w:tcW w:w="748" w:type="dxa"/>
            <w:vAlign w:val="center"/>
            <w:hideMark/>
          </w:tcPr>
          <w:p w14:paraId="7DFE10C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80.6</w:t>
            </w:r>
          </w:p>
        </w:tc>
        <w:tc>
          <w:tcPr>
            <w:tcW w:w="748" w:type="dxa"/>
            <w:vAlign w:val="center"/>
            <w:hideMark/>
          </w:tcPr>
          <w:p w14:paraId="16D705E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79.8</w:t>
            </w:r>
          </w:p>
        </w:tc>
        <w:tc>
          <w:tcPr>
            <w:tcW w:w="748" w:type="dxa"/>
            <w:vAlign w:val="center"/>
            <w:hideMark/>
          </w:tcPr>
          <w:p w14:paraId="520B285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77.6</w:t>
            </w:r>
          </w:p>
        </w:tc>
        <w:tc>
          <w:tcPr>
            <w:tcW w:w="748" w:type="dxa"/>
            <w:vAlign w:val="center"/>
            <w:hideMark/>
          </w:tcPr>
          <w:p w14:paraId="11178A3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91.7</w:t>
            </w:r>
          </w:p>
        </w:tc>
        <w:tc>
          <w:tcPr>
            <w:tcW w:w="748" w:type="dxa"/>
            <w:vAlign w:val="center"/>
            <w:hideMark/>
          </w:tcPr>
          <w:p w14:paraId="4F1F30EF"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92.5</w:t>
            </w:r>
          </w:p>
        </w:tc>
        <w:tc>
          <w:tcPr>
            <w:tcW w:w="748" w:type="dxa"/>
            <w:vAlign w:val="center"/>
            <w:hideMark/>
          </w:tcPr>
          <w:p w14:paraId="7AA51471"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91.4</w:t>
            </w:r>
          </w:p>
        </w:tc>
        <w:tc>
          <w:tcPr>
            <w:tcW w:w="748" w:type="dxa"/>
            <w:vAlign w:val="center"/>
            <w:hideMark/>
          </w:tcPr>
          <w:p w14:paraId="2A0E282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82.9</w:t>
            </w:r>
          </w:p>
        </w:tc>
        <w:tc>
          <w:tcPr>
            <w:tcW w:w="748" w:type="dxa"/>
            <w:vAlign w:val="center"/>
            <w:hideMark/>
          </w:tcPr>
          <w:p w14:paraId="7C27A97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79.2</w:t>
            </w:r>
          </w:p>
        </w:tc>
        <w:tc>
          <w:tcPr>
            <w:tcW w:w="749" w:type="dxa"/>
            <w:vAlign w:val="center"/>
            <w:hideMark/>
          </w:tcPr>
          <w:p w14:paraId="189E6FF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74.6</w:t>
            </w:r>
          </w:p>
        </w:tc>
      </w:tr>
      <w:tr w:rsidR="00481507" w:rsidRPr="00711289" w14:paraId="488A5495" w14:textId="77777777" w:rsidTr="00A44303">
        <w:trPr>
          <w:trHeight w:val="471"/>
        </w:trPr>
        <w:tc>
          <w:tcPr>
            <w:tcW w:w="1988" w:type="dxa"/>
            <w:vAlign w:val="center"/>
            <w:hideMark/>
          </w:tcPr>
          <w:p w14:paraId="7B80DB18"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Computing and information systems</w:t>
            </w:r>
          </w:p>
        </w:tc>
        <w:tc>
          <w:tcPr>
            <w:tcW w:w="748" w:type="dxa"/>
            <w:vAlign w:val="center"/>
            <w:hideMark/>
          </w:tcPr>
          <w:p w14:paraId="1962212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80.7</w:t>
            </w:r>
          </w:p>
        </w:tc>
        <w:tc>
          <w:tcPr>
            <w:tcW w:w="748" w:type="dxa"/>
            <w:vAlign w:val="center"/>
            <w:hideMark/>
          </w:tcPr>
          <w:p w14:paraId="649FA61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81.6</w:t>
            </w:r>
          </w:p>
        </w:tc>
        <w:tc>
          <w:tcPr>
            <w:tcW w:w="748" w:type="dxa"/>
            <w:vAlign w:val="center"/>
            <w:hideMark/>
          </w:tcPr>
          <w:p w14:paraId="5BB4C6E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82.5</w:t>
            </w:r>
          </w:p>
        </w:tc>
        <w:tc>
          <w:tcPr>
            <w:tcW w:w="748" w:type="dxa"/>
            <w:vAlign w:val="center"/>
            <w:hideMark/>
          </w:tcPr>
          <w:p w14:paraId="413E9AD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60.5</w:t>
            </w:r>
          </w:p>
        </w:tc>
        <w:tc>
          <w:tcPr>
            <w:tcW w:w="748" w:type="dxa"/>
            <w:vAlign w:val="center"/>
            <w:hideMark/>
          </w:tcPr>
          <w:p w14:paraId="19C7735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72.9</w:t>
            </w:r>
          </w:p>
        </w:tc>
        <w:tc>
          <w:tcPr>
            <w:tcW w:w="748" w:type="dxa"/>
            <w:vAlign w:val="center"/>
            <w:hideMark/>
          </w:tcPr>
          <w:p w14:paraId="13A18C4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77.3</w:t>
            </w:r>
          </w:p>
        </w:tc>
        <w:tc>
          <w:tcPr>
            <w:tcW w:w="748" w:type="dxa"/>
            <w:vAlign w:val="center"/>
            <w:hideMark/>
          </w:tcPr>
          <w:p w14:paraId="378F634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77.6</w:t>
            </w:r>
          </w:p>
        </w:tc>
        <w:tc>
          <w:tcPr>
            <w:tcW w:w="748" w:type="dxa"/>
            <w:vAlign w:val="center"/>
            <w:hideMark/>
          </w:tcPr>
          <w:p w14:paraId="12E13CD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79.4</w:t>
            </w:r>
          </w:p>
        </w:tc>
        <w:tc>
          <w:tcPr>
            <w:tcW w:w="749" w:type="dxa"/>
            <w:vAlign w:val="center"/>
            <w:hideMark/>
          </w:tcPr>
          <w:p w14:paraId="65E7E2F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79.8</w:t>
            </w:r>
          </w:p>
        </w:tc>
        <w:tc>
          <w:tcPr>
            <w:tcW w:w="748" w:type="dxa"/>
            <w:vAlign w:val="center"/>
            <w:hideMark/>
          </w:tcPr>
          <w:p w14:paraId="0BFAF5E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75.3</w:t>
            </w:r>
          </w:p>
        </w:tc>
        <w:tc>
          <w:tcPr>
            <w:tcW w:w="748" w:type="dxa"/>
            <w:vAlign w:val="center"/>
            <w:hideMark/>
          </w:tcPr>
          <w:p w14:paraId="35B9308F" w14:textId="754C332A"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w:t>
            </w:r>
            <w:r w:rsidR="00ED6C5C" w:rsidRPr="00F007B0">
              <w:rPr>
                <w:rFonts w:ascii="Calibri" w:hAnsi="Calibri" w:cs="Calibri"/>
                <w:color w:val="000000" w:themeColor="text1"/>
                <w:sz w:val="18"/>
              </w:rPr>
              <w:t>.0</w:t>
            </w:r>
          </w:p>
        </w:tc>
        <w:tc>
          <w:tcPr>
            <w:tcW w:w="748" w:type="dxa"/>
            <w:vAlign w:val="center"/>
            <w:hideMark/>
          </w:tcPr>
          <w:p w14:paraId="1C889EE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79.4</w:t>
            </w:r>
          </w:p>
        </w:tc>
        <w:tc>
          <w:tcPr>
            <w:tcW w:w="748" w:type="dxa"/>
            <w:vAlign w:val="center"/>
            <w:hideMark/>
          </w:tcPr>
          <w:p w14:paraId="40453CF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85.1</w:t>
            </w:r>
          </w:p>
        </w:tc>
        <w:tc>
          <w:tcPr>
            <w:tcW w:w="748" w:type="dxa"/>
            <w:vAlign w:val="center"/>
            <w:hideMark/>
          </w:tcPr>
          <w:p w14:paraId="3B41A8C7"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86.5</w:t>
            </w:r>
          </w:p>
        </w:tc>
        <w:tc>
          <w:tcPr>
            <w:tcW w:w="748" w:type="dxa"/>
            <w:vAlign w:val="center"/>
            <w:hideMark/>
          </w:tcPr>
          <w:p w14:paraId="60F49F3A"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85.5</w:t>
            </w:r>
          </w:p>
        </w:tc>
        <w:tc>
          <w:tcPr>
            <w:tcW w:w="748" w:type="dxa"/>
            <w:vAlign w:val="center"/>
            <w:hideMark/>
          </w:tcPr>
          <w:p w14:paraId="238D521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72.2</w:t>
            </w:r>
          </w:p>
        </w:tc>
        <w:tc>
          <w:tcPr>
            <w:tcW w:w="748" w:type="dxa"/>
            <w:vAlign w:val="center"/>
            <w:hideMark/>
          </w:tcPr>
          <w:p w14:paraId="7F93AE1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71.9</w:t>
            </w:r>
          </w:p>
        </w:tc>
        <w:tc>
          <w:tcPr>
            <w:tcW w:w="749" w:type="dxa"/>
            <w:vAlign w:val="center"/>
            <w:hideMark/>
          </w:tcPr>
          <w:p w14:paraId="5F89E7B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72.4</w:t>
            </w:r>
          </w:p>
        </w:tc>
      </w:tr>
      <w:tr w:rsidR="00481507" w:rsidRPr="00711289" w14:paraId="43C4D1A5" w14:textId="77777777" w:rsidTr="00A44303">
        <w:trPr>
          <w:trHeight w:val="344"/>
        </w:trPr>
        <w:tc>
          <w:tcPr>
            <w:tcW w:w="1988" w:type="dxa"/>
            <w:vAlign w:val="center"/>
            <w:hideMark/>
          </w:tcPr>
          <w:p w14:paraId="7DDBA574"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Creative arts</w:t>
            </w:r>
          </w:p>
        </w:tc>
        <w:tc>
          <w:tcPr>
            <w:tcW w:w="748" w:type="dxa"/>
            <w:vAlign w:val="center"/>
            <w:hideMark/>
          </w:tcPr>
          <w:p w14:paraId="6E673E5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82.2</w:t>
            </w:r>
          </w:p>
        </w:tc>
        <w:tc>
          <w:tcPr>
            <w:tcW w:w="748" w:type="dxa"/>
            <w:vAlign w:val="center"/>
            <w:hideMark/>
          </w:tcPr>
          <w:p w14:paraId="09D04CEE" w14:textId="4538CFD9"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w:t>
            </w:r>
            <w:r w:rsidR="00ED6C5C" w:rsidRPr="00F007B0">
              <w:rPr>
                <w:rFonts w:ascii="Calibri" w:hAnsi="Calibri" w:cs="Calibri"/>
                <w:color w:val="000000" w:themeColor="text1"/>
                <w:sz w:val="18"/>
              </w:rPr>
              <w:t>.0</w:t>
            </w:r>
          </w:p>
        </w:tc>
        <w:tc>
          <w:tcPr>
            <w:tcW w:w="748" w:type="dxa"/>
            <w:vAlign w:val="center"/>
            <w:hideMark/>
          </w:tcPr>
          <w:p w14:paraId="1724038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86.6</w:t>
            </w:r>
          </w:p>
        </w:tc>
        <w:tc>
          <w:tcPr>
            <w:tcW w:w="748" w:type="dxa"/>
            <w:vAlign w:val="center"/>
            <w:hideMark/>
          </w:tcPr>
          <w:p w14:paraId="5BA82D4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56.7</w:t>
            </w:r>
          </w:p>
        </w:tc>
        <w:tc>
          <w:tcPr>
            <w:tcW w:w="748" w:type="dxa"/>
            <w:vAlign w:val="center"/>
            <w:hideMark/>
          </w:tcPr>
          <w:p w14:paraId="5DDEEC5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70.9</w:t>
            </w:r>
          </w:p>
        </w:tc>
        <w:tc>
          <w:tcPr>
            <w:tcW w:w="748" w:type="dxa"/>
            <w:vAlign w:val="center"/>
            <w:hideMark/>
          </w:tcPr>
          <w:p w14:paraId="4C1CB73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76.1</w:t>
            </w:r>
          </w:p>
        </w:tc>
        <w:tc>
          <w:tcPr>
            <w:tcW w:w="748" w:type="dxa"/>
            <w:vAlign w:val="center"/>
            <w:hideMark/>
          </w:tcPr>
          <w:p w14:paraId="04AE9AD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85.9</w:t>
            </w:r>
          </w:p>
        </w:tc>
        <w:tc>
          <w:tcPr>
            <w:tcW w:w="748" w:type="dxa"/>
            <w:vAlign w:val="center"/>
            <w:hideMark/>
          </w:tcPr>
          <w:p w14:paraId="39780C3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83.7</w:t>
            </w:r>
          </w:p>
        </w:tc>
        <w:tc>
          <w:tcPr>
            <w:tcW w:w="749" w:type="dxa"/>
            <w:vAlign w:val="center"/>
            <w:hideMark/>
          </w:tcPr>
          <w:p w14:paraId="4D79847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86.4</w:t>
            </w:r>
          </w:p>
        </w:tc>
        <w:tc>
          <w:tcPr>
            <w:tcW w:w="748" w:type="dxa"/>
            <w:vAlign w:val="center"/>
            <w:hideMark/>
          </w:tcPr>
          <w:p w14:paraId="49DB344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75.4</w:t>
            </w:r>
          </w:p>
        </w:tc>
        <w:tc>
          <w:tcPr>
            <w:tcW w:w="748" w:type="dxa"/>
            <w:vAlign w:val="center"/>
            <w:hideMark/>
          </w:tcPr>
          <w:p w14:paraId="79705A7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72.6</w:t>
            </w:r>
          </w:p>
        </w:tc>
        <w:tc>
          <w:tcPr>
            <w:tcW w:w="748" w:type="dxa"/>
            <w:vAlign w:val="center"/>
            <w:hideMark/>
          </w:tcPr>
          <w:p w14:paraId="664C1BB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72.2</w:t>
            </w:r>
          </w:p>
        </w:tc>
        <w:tc>
          <w:tcPr>
            <w:tcW w:w="748" w:type="dxa"/>
            <w:vAlign w:val="center"/>
            <w:hideMark/>
          </w:tcPr>
          <w:p w14:paraId="10D01F3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87.9</w:t>
            </w:r>
          </w:p>
        </w:tc>
        <w:tc>
          <w:tcPr>
            <w:tcW w:w="748" w:type="dxa"/>
            <w:vAlign w:val="center"/>
            <w:hideMark/>
          </w:tcPr>
          <w:p w14:paraId="1B4A2B64"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87.3</w:t>
            </w:r>
          </w:p>
        </w:tc>
        <w:tc>
          <w:tcPr>
            <w:tcW w:w="748" w:type="dxa"/>
            <w:vAlign w:val="center"/>
            <w:hideMark/>
          </w:tcPr>
          <w:p w14:paraId="076F6DD4"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87.2</w:t>
            </w:r>
          </w:p>
        </w:tc>
        <w:tc>
          <w:tcPr>
            <w:tcW w:w="748" w:type="dxa"/>
            <w:vAlign w:val="center"/>
            <w:hideMark/>
          </w:tcPr>
          <w:p w14:paraId="58D510F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81.8</w:t>
            </w:r>
          </w:p>
        </w:tc>
        <w:tc>
          <w:tcPr>
            <w:tcW w:w="748" w:type="dxa"/>
            <w:vAlign w:val="center"/>
            <w:hideMark/>
          </w:tcPr>
          <w:p w14:paraId="00F8C15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75.8</w:t>
            </w:r>
          </w:p>
        </w:tc>
        <w:tc>
          <w:tcPr>
            <w:tcW w:w="749" w:type="dxa"/>
            <w:vAlign w:val="center"/>
            <w:hideMark/>
          </w:tcPr>
          <w:p w14:paraId="621E699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75.3</w:t>
            </w:r>
          </w:p>
        </w:tc>
      </w:tr>
      <w:tr w:rsidR="00481507" w:rsidRPr="00711289" w14:paraId="037749FD" w14:textId="77777777" w:rsidTr="00A44303">
        <w:trPr>
          <w:trHeight w:val="344"/>
        </w:trPr>
        <w:tc>
          <w:tcPr>
            <w:tcW w:w="1988" w:type="dxa"/>
            <w:vAlign w:val="center"/>
            <w:hideMark/>
          </w:tcPr>
          <w:p w14:paraId="70AB7072"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Dentistry</w:t>
            </w:r>
          </w:p>
        </w:tc>
        <w:tc>
          <w:tcPr>
            <w:tcW w:w="748" w:type="dxa"/>
            <w:vAlign w:val="center"/>
            <w:hideMark/>
          </w:tcPr>
          <w:p w14:paraId="7C05A68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70.8</w:t>
            </w:r>
          </w:p>
        </w:tc>
        <w:tc>
          <w:tcPr>
            <w:tcW w:w="748" w:type="dxa"/>
            <w:vAlign w:val="center"/>
            <w:hideMark/>
          </w:tcPr>
          <w:p w14:paraId="7FD225BD" w14:textId="64B01C4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w:t>
            </w:r>
            <w:r w:rsidR="00ED6C5C" w:rsidRPr="00F007B0">
              <w:rPr>
                <w:rFonts w:ascii="Calibri" w:hAnsi="Calibri" w:cs="Calibri"/>
                <w:color w:val="000000" w:themeColor="text1"/>
                <w:sz w:val="18"/>
              </w:rPr>
              <w:t>.0</w:t>
            </w:r>
          </w:p>
        </w:tc>
        <w:tc>
          <w:tcPr>
            <w:tcW w:w="748" w:type="dxa"/>
            <w:vAlign w:val="center"/>
            <w:hideMark/>
          </w:tcPr>
          <w:p w14:paraId="3BFEB36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80.7</w:t>
            </w:r>
          </w:p>
        </w:tc>
        <w:tc>
          <w:tcPr>
            <w:tcW w:w="748" w:type="dxa"/>
            <w:vAlign w:val="center"/>
            <w:hideMark/>
          </w:tcPr>
          <w:p w14:paraId="3534637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50.6</w:t>
            </w:r>
          </w:p>
        </w:tc>
        <w:tc>
          <w:tcPr>
            <w:tcW w:w="748" w:type="dxa"/>
            <w:vAlign w:val="center"/>
            <w:hideMark/>
          </w:tcPr>
          <w:p w14:paraId="35D95E5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60.5</w:t>
            </w:r>
          </w:p>
        </w:tc>
        <w:tc>
          <w:tcPr>
            <w:tcW w:w="748" w:type="dxa"/>
            <w:vAlign w:val="center"/>
            <w:hideMark/>
          </w:tcPr>
          <w:p w14:paraId="6F04343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70.7</w:t>
            </w:r>
          </w:p>
        </w:tc>
        <w:tc>
          <w:tcPr>
            <w:tcW w:w="748" w:type="dxa"/>
            <w:vAlign w:val="center"/>
            <w:hideMark/>
          </w:tcPr>
          <w:p w14:paraId="0F535C2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46.1</w:t>
            </w:r>
          </w:p>
        </w:tc>
        <w:tc>
          <w:tcPr>
            <w:tcW w:w="748" w:type="dxa"/>
            <w:vAlign w:val="center"/>
            <w:hideMark/>
          </w:tcPr>
          <w:p w14:paraId="0C02EC8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56.3</w:t>
            </w:r>
          </w:p>
        </w:tc>
        <w:tc>
          <w:tcPr>
            <w:tcW w:w="749" w:type="dxa"/>
            <w:vAlign w:val="center"/>
            <w:hideMark/>
          </w:tcPr>
          <w:p w14:paraId="6739D9C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60.3</w:t>
            </w:r>
          </w:p>
        </w:tc>
        <w:tc>
          <w:tcPr>
            <w:tcW w:w="748" w:type="dxa"/>
            <w:vAlign w:val="center"/>
            <w:hideMark/>
          </w:tcPr>
          <w:p w14:paraId="3163969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41.7</w:t>
            </w:r>
          </w:p>
        </w:tc>
        <w:tc>
          <w:tcPr>
            <w:tcW w:w="748" w:type="dxa"/>
            <w:vAlign w:val="center"/>
            <w:hideMark/>
          </w:tcPr>
          <w:p w14:paraId="54959BD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38.9</w:t>
            </w:r>
          </w:p>
        </w:tc>
        <w:tc>
          <w:tcPr>
            <w:tcW w:w="748" w:type="dxa"/>
            <w:vAlign w:val="center"/>
            <w:hideMark/>
          </w:tcPr>
          <w:p w14:paraId="0A875CC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40.9</w:t>
            </w:r>
          </w:p>
        </w:tc>
        <w:tc>
          <w:tcPr>
            <w:tcW w:w="748" w:type="dxa"/>
            <w:vAlign w:val="center"/>
            <w:hideMark/>
          </w:tcPr>
          <w:p w14:paraId="05FFB69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48.8</w:t>
            </w:r>
          </w:p>
        </w:tc>
        <w:tc>
          <w:tcPr>
            <w:tcW w:w="748" w:type="dxa"/>
            <w:vAlign w:val="center"/>
            <w:hideMark/>
          </w:tcPr>
          <w:p w14:paraId="3E0D3080"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52.8</w:t>
            </w:r>
          </w:p>
        </w:tc>
        <w:tc>
          <w:tcPr>
            <w:tcW w:w="748" w:type="dxa"/>
            <w:vAlign w:val="center"/>
            <w:hideMark/>
          </w:tcPr>
          <w:p w14:paraId="1B0A7053"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54.4</w:t>
            </w:r>
          </w:p>
        </w:tc>
        <w:tc>
          <w:tcPr>
            <w:tcW w:w="748" w:type="dxa"/>
            <w:vAlign w:val="center"/>
            <w:hideMark/>
          </w:tcPr>
          <w:p w14:paraId="7A83E11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40.4</w:t>
            </w:r>
          </w:p>
        </w:tc>
        <w:tc>
          <w:tcPr>
            <w:tcW w:w="748" w:type="dxa"/>
            <w:vAlign w:val="center"/>
            <w:hideMark/>
          </w:tcPr>
          <w:p w14:paraId="306001E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50.6</w:t>
            </w:r>
          </w:p>
        </w:tc>
        <w:tc>
          <w:tcPr>
            <w:tcW w:w="749" w:type="dxa"/>
            <w:vAlign w:val="center"/>
            <w:hideMark/>
          </w:tcPr>
          <w:p w14:paraId="6E3507C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56.9</w:t>
            </w:r>
          </w:p>
        </w:tc>
      </w:tr>
      <w:tr w:rsidR="00481507" w:rsidRPr="00711289" w14:paraId="7308A11B" w14:textId="77777777" w:rsidTr="00A44303">
        <w:trPr>
          <w:trHeight w:val="344"/>
        </w:trPr>
        <w:tc>
          <w:tcPr>
            <w:tcW w:w="1988" w:type="dxa"/>
            <w:vAlign w:val="center"/>
            <w:hideMark/>
          </w:tcPr>
          <w:p w14:paraId="125E1E7E"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Engineering</w:t>
            </w:r>
          </w:p>
        </w:tc>
        <w:tc>
          <w:tcPr>
            <w:tcW w:w="748" w:type="dxa"/>
            <w:vAlign w:val="center"/>
            <w:hideMark/>
          </w:tcPr>
          <w:p w14:paraId="3FC4885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84.3</w:t>
            </w:r>
          </w:p>
        </w:tc>
        <w:tc>
          <w:tcPr>
            <w:tcW w:w="748" w:type="dxa"/>
            <w:vAlign w:val="center"/>
            <w:hideMark/>
          </w:tcPr>
          <w:p w14:paraId="71B0214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86.2</w:t>
            </w:r>
          </w:p>
        </w:tc>
        <w:tc>
          <w:tcPr>
            <w:tcW w:w="748" w:type="dxa"/>
            <w:vAlign w:val="center"/>
            <w:hideMark/>
          </w:tcPr>
          <w:p w14:paraId="0CF9F4FE" w14:textId="230C27B9"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w:t>
            </w:r>
            <w:r w:rsidR="00A44303">
              <w:rPr>
                <w:rFonts w:ascii="Calibri" w:hAnsi="Calibri" w:cs="Calibri"/>
                <w:color w:val="000000" w:themeColor="text1"/>
                <w:sz w:val="18"/>
              </w:rPr>
              <w:t>.0</w:t>
            </w:r>
          </w:p>
        </w:tc>
        <w:tc>
          <w:tcPr>
            <w:tcW w:w="748" w:type="dxa"/>
            <w:vAlign w:val="center"/>
            <w:hideMark/>
          </w:tcPr>
          <w:p w14:paraId="6C38775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63.8</w:t>
            </w:r>
          </w:p>
        </w:tc>
        <w:tc>
          <w:tcPr>
            <w:tcW w:w="748" w:type="dxa"/>
            <w:vAlign w:val="center"/>
            <w:hideMark/>
          </w:tcPr>
          <w:p w14:paraId="4D46E78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76.1</w:t>
            </w:r>
          </w:p>
        </w:tc>
        <w:tc>
          <w:tcPr>
            <w:tcW w:w="748" w:type="dxa"/>
            <w:vAlign w:val="center"/>
            <w:hideMark/>
          </w:tcPr>
          <w:p w14:paraId="342CCC0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77.9</w:t>
            </w:r>
          </w:p>
        </w:tc>
        <w:tc>
          <w:tcPr>
            <w:tcW w:w="748" w:type="dxa"/>
            <w:vAlign w:val="center"/>
            <w:hideMark/>
          </w:tcPr>
          <w:p w14:paraId="359C2C4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82.6</w:t>
            </w:r>
          </w:p>
        </w:tc>
        <w:tc>
          <w:tcPr>
            <w:tcW w:w="748" w:type="dxa"/>
            <w:vAlign w:val="center"/>
            <w:hideMark/>
          </w:tcPr>
          <w:p w14:paraId="435B12F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84.5</w:t>
            </w:r>
          </w:p>
        </w:tc>
        <w:tc>
          <w:tcPr>
            <w:tcW w:w="749" w:type="dxa"/>
            <w:vAlign w:val="center"/>
            <w:hideMark/>
          </w:tcPr>
          <w:p w14:paraId="17F3FEB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84.2</w:t>
            </w:r>
          </w:p>
        </w:tc>
        <w:tc>
          <w:tcPr>
            <w:tcW w:w="748" w:type="dxa"/>
            <w:vAlign w:val="center"/>
            <w:hideMark/>
          </w:tcPr>
          <w:p w14:paraId="067EF8D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76.4</w:t>
            </w:r>
          </w:p>
        </w:tc>
        <w:tc>
          <w:tcPr>
            <w:tcW w:w="748" w:type="dxa"/>
            <w:vAlign w:val="center"/>
            <w:hideMark/>
          </w:tcPr>
          <w:p w14:paraId="501DF5F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81.8</w:t>
            </w:r>
          </w:p>
        </w:tc>
        <w:tc>
          <w:tcPr>
            <w:tcW w:w="748" w:type="dxa"/>
            <w:vAlign w:val="center"/>
            <w:hideMark/>
          </w:tcPr>
          <w:p w14:paraId="28723A6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81.8</w:t>
            </w:r>
          </w:p>
        </w:tc>
        <w:tc>
          <w:tcPr>
            <w:tcW w:w="748" w:type="dxa"/>
            <w:vAlign w:val="center"/>
            <w:hideMark/>
          </w:tcPr>
          <w:p w14:paraId="41387A2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89.4</w:t>
            </w:r>
          </w:p>
        </w:tc>
        <w:tc>
          <w:tcPr>
            <w:tcW w:w="748" w:type="dxa"/>
            <w:vAlign w:val="center"/>
            <w:hideMark/>
          </w:tcPr>
          <w:p w14:paraId="2EB33576"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91.4</w:t>
            </w:r>
          </w:p>
        </w:tc>
        <w:tc>
          <w:tcPr>
            <w:tcW w:w="748" w:type="dxa"/>
            <w:vAlign w:val="center"/>
            <w:hideMark/>
          </w:tcPr>
          <w:p w14:paraId="2C16BD0B"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91.2</w:t>
            </w:r>
          </w:p>
        </w:tc>
        <w:tc>
          <w:tcPr>
            <w:tcW w:w="748" w:type="dxa"/>
            <w:vAlign w:val="center"/>
            <w:hideMark/>
          </w:tcPr>
          <w:p w14:paraId="7F5F2C4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78.2</w:t>
            </w:r>
          </w:p>
        </w:tc>
        <w:tc>
          <w:tcPr>
            <w:tcW w:w="748" w:type="dxa"/>
            <w:vAlign w:val="center"/>
            <w:hideMark/>
          </w:tcPr>
          <w:p w14:paraId="0132A57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76.6</w:t>
            </w:r>
          </w:p>
        </w:tc>
        <w:tc>
          <w:tcPr>
            <w:tcW w:w="749" w:type="dxa"/>
            <w:vAlign w:val="center"/>
            <w:hideMark/>
          </w:tcPr>
          <w:p w14:paraId="0F02A1D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75.2</w:t>
            </w:r>
          </w:p>
        </w:tc>
      </w:tr>
      <w:tr w:rsidR="00481507" w:rsidRPr="00711289" w14:paraId="62477EC5" w14:textId="77777777" w:rsidTr="00A44303">
        <w:trPr>
          <w:trHeight w:val="344"/>
        </w:trPr>
        <w:tc>
          <w:tcPr>
            <w:tcW w:w="1988" w:type="dxa"/>
            <w:vAlign w:val="center"/>
            <w:hideMark/>
          </w:tcPr>
          <w:p w14:paraId="2D197DE3"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Health services and support</w:t>
            </w:r>
          </w:p>
        </w:tc>
        <w:tc>
          <w:tcPr>
            <w:tcW w:w="748" w:type="dxa"/>
            <w:vAlign w:val="center"/>
            <w:hideMark/>
          </w:tcPr>
          <w:p w14:paraId="45FF2D1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84.9</w:t>
            </w:r>
          </w:p>
        </w:tc>
        <w:tc>
          <w:tcPr>
            <w:tcW w:w="748" w:type="dxa"/>
            <w:vAlign w:val="center"/>
            <w:hideMark/>
          </w:tcPr>
          <w:p w14:paraId="69713A4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88.4</w:t>
            </w:r>
          </w:p>
        </w:tc>
        <w:tc>
          <w:tcPr>
            <w:tcW w:w="748" w:type="dxa"/>
            <w:vAlign w:val="center"/>
            <w:hideMark/>
          </w:tcPr>
          <w:p w14:paraId="37D5596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90.2</w:t>
            </w:r>
          </w:p>
        </w:tc>
        <w:tc>
          <w:tcPr>
            <w:tcW w:w="748" w:type="dxa"/>
            <w:vAlign w:val="center"/>
            <w:hideMark/>
          </w:tcPr>
          <w:p w14:paraId="0ED2E929" w14:textId="67E4541C"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59</w:t>
            </w:r>
            <w:r w:rsidR="00ED6C5C" w:rsidRPr="00F007B0">
              <w:rPr>
                <w:rFonts w:ascii="Calibri" w:hAnsi="Calibri" w:cs="Calibri"/>
                <w:color w:val="000000" w:themeColor="text1"/>
                <w:sz w:val="18"/>
              </w:rPr>
              <w:t>.0</w:t>
            </w:r>
          </w:p>
        </w:tc>
        <w:tc>
          <w:tcPr>
            <w:tcW w:w="748" w:type="dxa"/>
            <w:vAlign w:val="center"/>
            <w:hideMark/>
          </w:tcPr>
          <w:p w14:paraId="4C47743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71.2</w:t>
            </w:r>
          </w:p>
        </w:tc>
        <w:tc>
          <w:tcPr>
            <w:tcW w:w="748" w:type="dxa"/>
            <w:vAlign w:val="center"/>
            <w:hideMark/>
          </w:tcPr>
          <w:p w14:paraId="6C42C6F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74.6</w:t>
            </w:r>
          </w:p>
        </w:tc>
        <w:tc>
          <w:tcPr>
            <w:tcW w:w="748" w:type="dxa"/>
            <w:vAlign w:val="center"/>
            <w:hideMark/>
          </w:tcPr>
          <w:p w14:paraId="58D7A8C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83.3</w:t>
            </w:r>
          </w:p>
        </w:tc>
        <w:tc>
          <w:tcPr>
            <w:tcW w:w="748" w:type="dxa"/>
            <w:vAlign w:val="center"/>
            <w:hideMark/>
          </w:tcPr>
          <w:p w14:paraId="6473ADC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86.3</w:t>
            </w:r>
          </w:p>
        </w:tc>
        <w:tc>
          <w:tcPr>
            <w:tcW w:w="749" w:type="dxa"/>
            <w:vAlign w:val="center"/>
            <w:hideMark/>
          </w:tcPr>
          <w:p w14:paraId="44DF1F1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88.4</w:t>
            </w:r>
          </w:p>
        </w:tc>
        <w:tc>
          <w:tcPr>
            <w:tcW w:w="748" w:type="dxa"/>
            <w:vAlign w:val="center"/>
            <w:hideMark/>
          </w:tcPr>
          <w:p w14:paraId="3EB9514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77.5</w:t>
            </w:r>
          </w:p>
        </w:tc>
        <w:tc>
          <w:tcPr>
            <w:tcW w:w="748" w:type="dxa"/>
            <w:vAlign w:val="center"/>
            <w:hideMark/>
          </w:tcPr>
          <w:p w14:paraId="666F33E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81.8</w:t>
            </w:r>
          </w:p>
        </w:tc>
        <w:tc>
          <w:tcPr>
            <w:tcW w:w="748" w:type="dxa"/>
            <w:vAlign w:val="center"/>
            <w:hideMark/>
          </w:tcPr>
          <w:p w14:paraId="532635F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83.6</w:t>
            </w:r>
          </w:p>
        </w:tc>
        <w:tc>
          <w:tcPr>
            <w:tcW w:w="748" w:type="dxa"/>
            <w:vAlign w:val="center"/>
            <w:hideMark/>
          </w:tcPr>
          <w:p w14:paraId="7BF084B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86.3</w:t>
            </w:r>
          </w:p>
        </w:tc>
        <w:tc>
          <w:tcPr>
            <w:tcW w:w="748" w:type="dxa"/>
            <w:vAlign w:val="center"/>
            <w:hideMark/>
          </w:tcPr>
          <w:p w14:paraId="55214237"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89.1</w:t>
            </w:r>
          </w:p>
        </w:tc>
        <w:tc>
          <w:tcPr>
            <w:tcW w:w="748" w:type="dxa"/>
            <w:vAlign w:val="center"/>
            <w:hideMark/>
          </w:tcPr>
          <w:p w14:paraId="77F6260C" w14:textId="485AE3A8"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w:t>
            </w:r>
            <w:r w:rsidR="00ED6C5C" w:rsidRPr="00F007B0">
              <w:rPr>
                <w:rFonts w:ascii="Calibri" w:hAnsi="Calibri" w:cs="Calibri"/>
                <w:color w:val="000000" w:themeColor="text1"/>
                <w:sz w:val="18"/>
              </w:rPr>
              <w:t>.0</w:t>
            </w:r>
          </w:p>
        </w:tc>
        <w:tc>
          <w:tcPr>
            <w:tcW w:w="748" w:type="dxa"/>
            <w:vAlign w:val="center"/>
            <w:hideMark/>
          </w:tcPr>
          <w:p w14:paraId="391E940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75.6</w:t>
            </w:r>
          </w:p>
        </w:tc>
        <w:tc>
          <w:tcPr>
            <w:tcW w:w="748" w:type="dxa"/>
            <w:vAlign w:val="center"/>
            <w:hideMark/>
          </w:tcPr>
          <w:p w14:paraId="6522433C" w14:textId="24B663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w:t>
            </w:r>
            <w:r w:rsidR="00ED6C5C" w:rsidRPr="00F007B0">
              <w:rPr>
                <w:rFonts w:ascii="Calibri" w:hAnsi="Calibri" w:cs="Calibri"/>
                <w:color w:val="000000" w:themeColor="text1"/>
                <w:sz w:val="18"/>
              </w:rPr>
              <w:t>.0</w:t>
            </w:r>
          </w:p>
        </w:tc>
        <w:tc>
          <w:tcPr>
            <w:tcW w:w="749" w:type="dxa"/>
            <w:vAlign w:val="center"/>
            <w:hideMark/>
          </w:tcPr>
          <w:p w14:paraId="6E7A3B7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80.1</w:t>
            </w:r>
          </w:p>
        </w:tc>
      </w:tr>
      <w:tr w:rsidR="00481507" w:rsidRPr="00711289" w14:paraId="706716DD" w14:textId="77777777" w:rsidTr="00A44303">
        <w:trPr>
          <w:trHeight w:val="344"/>
        </w:trPr>
        <w:tc>
          <w:tcPr>
            <w:tcW w:w="1988" w:type="dxa"/>
            <w:vAlign w:val="center"/>
            <w:hideMark/>
          </w:tcPr>
          <w:p w14:paraId="6BD73D3B"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Humanities, culture and social sciences</w:t>
            </w:r>
          </w:p>
        </w:tc>
        <w:tc>
          <w:tcPr>
            <w:tcW w:w="748" w:type="dxa"/>
            <w:vAlign w:val="center"/>
            <w:hideMark/>
          </w:tcPr>
          <w:p w14:paraId="3B54EF5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87.6</w:t>
            </w:r>
          </w:p>
        </w:tc>
        <w:tc>
          <w:tcPr>
            <w:tcW w:w="748" w:type="dxa"/>
            <w:vAlign w:val="center"/>
            <w:hideMark/>
          </w:tcPr>
          <w:p w14:paraId="446E3CC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89.6</w:t>
            </w:r>
          </w:p>
        </w:tc>
        <w:tc>
          <w:tcPr>
            <w:tcW w:w="748" w:type="dxa"/>
            <w:vAlign w:val="center"/>
            <w:hideMark/>
          </w:tcPr>
          <w:p w14:paraId="541DD71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89.3</w:t>
            </w:r>
          </w:p>
        </w:tc>
        <w:tc>
          <w:tcPr>
            <w:tcW w:w="748" w:type="dxa"/>
            <w:vAlign w:val="center"/>
            <w:hideMark/>
          </w:tcPr>
          <w:p w14:paraId="17D237F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62.2</w:t>
            </w:r>
          </w:p>
        </w:tc>
        <w:tc>
          <w:tcPr>
            <w:tcW w:w="748" w:type="dxa"/>
            <w:vAlign w:val="center"/>
            <w:hideMark/>
          </w:tcPr>
          <w:p w14:paraId="76B9128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75.9</w:t>
            </w:r>
          </w:p>
        </w:tc>
        <w:tc>
          <w:tcPr>
            <w:tcW w:w="748" w:type="dxa"/>
            <w:vAlign w:val="center"/>
            <w:hideMark/>
          </w:tcPr>
          <w:p w14:paraId="3508E08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77.7</w:t>
            </w:r>
          </w:p>
        </w:tc>
        <w:tc>
          <w:tcPr>
            <w:tcW w:w="748" w:type="dxa"/>
            <w:vAlign w:val="center"/>
            <w:hideMark/>
          </w:tcPr>
          <w:p w14:paraId="309A248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89.5</w:t>
            </w:r>
          </w:p>
        </w:tc>
        <w:tc>
          <w:tcPr>
            <w:tcW w:w="748" w:type="dxa"/>
            <w:vAlign w:val="center"/>
            <w:hideMark/>
          </w:tcPr>
          <w:p w14:paraId="24795E6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90.2</w:t>
            </w:r>
          </w:p>
        </w:tc>
        <w:tc>
          <w:tcPr>
            <w:tcW w:w="749" w:type="dxa"/>
            <w:vAlign w:val="center"/>
            <w:hideMark/>
          </w:tcPr>
          <w:p w14:paraId="5F27C18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90.7</w:t>
            </w:r>
          </w:p>
        </w:tc>
        <w:tc>
          <w:tcPr>
            <w:tcW w:w="748" w:type="dxa"/>
            <w:vAlign w:val="center"/>
            <w:hideMark/>
          </w:tcPr>
          <w:p w14:paraId="13383AA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77.3</w:t>
            </w:r>
          </w:p>
        </w:tc>
        <w:tc>
          <w:tcPr>
            <w:tcW w:w="748" w:type="dxa"/>
            <w:vAlign w:val="center"/>
            <w:hideMark/>
          </w:tcPr>
          <w:p w14:paraId="6F2ECDA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83.6</w:t>
            </w:r>
          </w:p>
        </w:tc>
        <w:tc>
          <w:tcPr>
            <w:tcW w:w="748" w:type="dxa"/>
            <w:vAlign w:val="center"/>
            <w:hideMark/>
          </w:tcPr>
          <w:p w14:paraId="7193F686" w14:textId="29CE6A89"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w:t>
            </w:r>
            <w:r w:rsidR="00ED6C5C" w:rsidRPr="00F007B0">
              <w:rPr>
                <w:rFonts w:ascii="Calibri" w:hAnsi="Calibri" w:cs="Calibri"/>
                <w:color w:val="000000" w:themeColor="text1"/>
                <w:sz w:val="18"/>
              </w:rPr>
              <w:t>.0</w:t>
            </w:r>
          </w:p>
        </w:tc>
        <w:tc>
          <w:tcPr>
            <w:tcW w:w="748" w:type="dxa"/>
            <w:vAlign w:val="center"/>
            <w:hideMark/>
          </w:tcPr>
          <w:p w14:paraId="54656CE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90.5</w:t>
            </w:r>
          </w:p>
        </w:tc>
        <w:tc>
          <w:tcPr>
            <w:tcW w:w="748" w:type="dxa"/>
            <w:vAlign w:val="center"/>
            <w:hideMark/>
          </w:tcPr>
          <w:p w14:paraId="520F2432"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91.5</w:t>
            </w:r>
          </w:p>
        </w:tc>
        <w:tc>
          <w:tcPr>
            <w:tcW w:w="748" w:type="dxa"/>
            <w:vAlign w:val="center"/>
            <w:hideMark/>
          </w:tcPr>
          <w:p w14:paraId="29EC62F0"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92.9</w:t>
            </w:r>
          </w:p>
        </w:tc>
        <w:tc>
          <w:tcPr>
            <w:tcW w:w="748" w:type="dxa"/>
            <w:vAlign w:val="center"/>
            <w:hideMark/>
          </w:tcPr>
          <w:p w14:paraId="6C9C63A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80.9</w:t>
            </w:r>
          </w:p>
        </w:tc>
        <w:tc>
          <w:tcPr>
            <w:tcW w:w="748" w:type="dxa"/>
            <w:vAlign w:val="center"/>
            <w:hideMark/>
          </w:tcPr>
          <w:p w14:paraId="46A909E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83.8</w:t>
            </w:r>
          </w:p>
        </w:tc>
        <w:tc>
          <w:tcPr>
            <w:tcW w:w="749" w:type="dxa"/>
            <w:vAlign w:val="center"/>
            <w:hideMark/>
          </w:tcPr>
          <w:p w14:paraId="5DED371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82.3</w:t>
            </w:r>
          </w:p>
        </w:tc>
      </w:tr>
      <w:tr w:rsidR="00481507" w:rsidRPr="00711289" w14:paraId="29E8B878" w14:textId="77777777" w:rsidTr="00A44303">
        <w:trPr>
          <w:trHeight w:val="344"/>
        </w:trPr>
        <w:tc>
          <w:tcPr>
            <w:tcW w:w="1988" w:type="dxa"/>
            <w:vAlign w:val="center"/>
            <w:hideMark/>
          </w:tcPr>
          <w:p w14:paraId="3DE50E40"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Law and paralegal studies</w:t>
            </w:r>
          </w:p>
        </w:tc>
        <w:tc>
          <w:tcPr>
            <w:tcW w:w="748" w:type="dxa"/>
            <w:vAlign w:val="center"/>
            <w:hideMark/>
          </w:tcPr>
          <w:p w14:paraId="176091B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81.1</w:t>
            </w:r>
          </w:p>
        </w:tc>
        <w:tc>
          <w:tcPr>
            <w:tcW w:w="748" w:type="dxa"/>
            <w:vAlign w:val="center"/>
            <w:hideMark/>
          </w:tcPr>
          <w:p w14:paraId="6EC37CA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81.9</w:t>
            </w:r>
          </w:p>
        </w:tc>
        <w:tc>
          <w:tcPr>
            <w:tcW w:w="748" w:type="dxa"/>
            <w:vAlign w:val="center"/>
            <w:hideMark/>
          </w:tcPr>
          <w:p w14:paraId="5C92556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85.7</w:t>
            </w:r>
          </w:p>
        </w:tc>
        <w:tc>
          <w:tcPr>
            <w:tcW w:w="748" w:type="dxa"/>
            <w:vAlign w:val="center"/>
            <w:hideMark/>
          </w:tcPr>
          <w:p w14:paraId="74E353E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50.7</w:t>
            </w:r>
          </w:p>
        </w:tc>
        <w:tc>
          <w:tcPr>
            <w:tcW w:w="748" w:type="dxa"/>
            <w:vAlign w:val="center"/>
            <w:hideMark/>
          </w:tcPr>
          <w:p w14:paraId="50172FB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57.8</w:t>
            </w:r>
          </w:p>
        </w:tc>
        <w:tc>
          <w:tcPr>
            <w:tcW w:w="748" w:type="dxa"/>
            <w:vAlign w:val="center"/>
            <w:hideMark/>
          </w:tcPr>
          <w:p w14:paraId="248F700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66.2</w:t>
            </w:r>
          </w:p>
        </w:tc>
        <w:tc>
          <w:tcPr>
            <w:tcW w:w="748" w:type="dxa"/>
            <w:vAlign w:val="center"/>
            <w:hideMark/>
          </w:tcPr>
          <w:p w14:paraId="2DCA8F5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79.2</w:t>
            </w:r>
          </w:p>
        </w:tc>
        <w:tc>
          <w:tcPr>
            <w:tcW w:w="748" w:type="dxa"/>
            <w:vAlign w:val="center"/>
            <w:hideMark/>
          </w:tcPr>
          <w:p w14:paraId="4EEAF186" w14:textId="5CFB8532"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w:t>
            </w:r>
            <w:r w:rsidR="00ED6C5C" w:rsidRPr="00F007B0">
              <w:rPr>
                <w:rFonts w:ascii="Calibri" w:hAnsi="Calibri" w:cs="Calibri"/>
                <w:color w:val="000000" w:themeColor="text1"/>
                <w:sz w:val="18"/>
              </w:rPr>
              <w:t>.0</w:t>
            </w:r>
          </w:p>
        </w:tc>
        <w:tc>
          <w:tcPr>
            <w:tcW w:w="749" w:type="dxa"/>
            <w:vAlign w:val="center"/>
            <w:hideMark/>
          </w:tcPr>
          <w:p w14:paraId="26407C7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86.1</w:t>
            </w:r>
          </w:p>
        </w:tc>
        <w:tc>
          <w:tcPr>
            <w:tcW w:w="748" w:type="dxa"/>
            <w:vAlign w:val="center"/>
            <w:hideMark/>
          </w:tcPr>
          <w:p w14:paraId="12F4CD4F" w14:textId="5E8ED1EC"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68</w:t>
            </w:r>
            <w:r w:rsidR="00ED6C5C" w:rsidRPr="00F007B0">
              <w:rPr>
                <w:rFonts w:ascii="Calibri" w:hAnsi="Calibri" w:cs="Calibri"/>
                <w:color w:val="000000" w:themeColor="text1"/>
                <w:sz w:val="18"/>
              </w:rPr>
              <w:t>.0</w:t>
            </w:r>
          </w:p>
        </w:tc>
        <w:tc>
          <w:tcPr>
            <w:tcW w:w="748" w:type="dxa"/>
            <w:vAlign w:val="center"/>
            <w:hideMark/>
          </w:tcPr>
          <w:p w14:paraId="547519E1" w14:textId="283B949D"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w:t>
            </w:r>
            <w:r w:rsidR="00ED6C5C" w:rsidRPr="00F007B0">
              <w:rPr>
                <w:rFonts w:ascii="Calibri" w:hAnsi="Calibri" w:cs="Calibri"/>
                <w:color w:val="000000" w:themeColor="text1"/>
                <w:sz w:val="18"/>
              </w:rPr>
              <w:t>.0</w:t>
            </w:r>
          </w:p>
        </w:tc>
        <w:tc>
          <w:tcPr>
            <w:tcW w:w="748" w:type="dxa"/>
            <w:vAlign w:val="center"/>
            <w:hideMark/>
          </w:tcPr>
          <w:p w14:paraId="2B6E9FD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74.2</w:t>
            </w:r>
          </w:p>
        </w:tc>
        <w:tc>
          <w:tcPr>
            <w:tcW w:w="748" w:type="dxa"/>
            <w:vAlign w:val="center"/>
            <w:hideMark/>
          </w:tcPr>
          <w:p w14:paraId="4DF6991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84.9</w:t>
            </w:r>
          </w:p>
        </w:tc>
        <w:tc>
          <w:tcPr>
            <w:tcW w:w="748" w:type="dxa"/>
            <w:vAlign w:val="center"/>
            <w:hideMark/>
          </w:tcPr>
          <w:p w14:paraId="085B60EC"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86.6</w:t>
            </w:r>
          </w:p>
        </w:tc>
        <w:tc>
          <w:tcPr>
            <w:tcW w:w="748" w:type="dxa"/>
            <w:vAlign w:val="center"/>
            <w:hideMark/>
          </w:tcPr>
          <w:p w14:paraId="34A1EA3E"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87.8</w:t>
            </w:r>
          </w:p>
        </w:tc>
        <w:tc>
          <w:tcPr>
            <w:tcW w:w="748" w:type="dxa"/>
            <w:vAlign w:val="center"/>
            <w:hideMark/>
          </w:tcPr>
          <w:p w14:paraId="42A42251" w14:textId="79438638"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w:t>
            </w:r>
            <w:r w:rsidR="00ED6C5C" w:rsidRPr="00F007B0">
              <w:rPr>
                <w:rFonts w:ascii="Calibri" w:hAnsi="Calibri" w:cs="Calibri"/>
                <w:color w:val="000000" w:themeColor="text1"/>
                <w:sz w:val="18"/>
              </w:rPr>
              <w:t>.0</w:t>
            </w:r>
          </w:p>
        </w:tc>
        <w:tc>
          <w:tcPr>
            <w:tcW w:w="748" w:type="dxa"/>
            <w:vAlign w:val="center"/>
            <w:hideMark/>
          </w:tcPr>
          <w:p w14:paraId="2DC5567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75.6</w:t>
            </w:r>
          </w:p>
        </w:tc>
        <w:tc>
          <w:tcPr>
            <w:tcW w:w="749" w:type="dxa"/>
            <w:vAlign w:val="center"/>
            <w:hideMark/>
          </w:tcPr>
          <w:p w14:paraId="0691FEC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76.7</w:t>
            </w:r>
          </w:p>
        </w:tc>
      </w:tr>
      <w:tr w:rsidR="00481507" w:rsidRPr="00711289" w14:paraId="0D4F8F13" w14:textId="77777777" w:rsidTr="00A44303">
        <w:trPr>
          <w:trHeight w:val="344"/>
        </w:trPr>
        <w:tc>
          <w:tcPr>
            <w:tcW w:w="1988" w:type="dxa"/>
            <w:vAlign w:val="center"/>
            <w:hideMark/>
          </w:tcPr>
          <w:p w14:paraId="5FF99DB2"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Medicine</w:t>
            </w:r>
          </w:p>
        </w:tc>
        <w:tc>
          <w:tcPr>
            <w:tcW w:w="748" w:type="dxa"/>
            <w:vAlign w:val="center"/>
            <w:hideMark/>
          </w:tcPr>
          <w:p w14:paraId="0623A82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82.1</w:t>
            </w:r>
          </w:p>
        </w:tc>
        <w:tc>
          <w:tcPr>
            <w:tcW w:w="748" w:type="dxa"/>
            <w:vAlign w:val="center"/>
            <w:hideMark/>
          </w:tcPr>
          <w:p w14:paraId="20F6CEF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81.1</w:t>
            </w:r>
          </w:p>
        </w:tc>
        <w:tc>
          <w:tcPr>
            <w:tcW w:w="748" w:type="dxa"/>
            <w:vAlign w:val="center"/>
            <w:hideMark/>
          </w:tcPr>
          <w:p w14:paraId="376F8C3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80.6</w:t>
            </w:r>
          </w:p>
        </w:tc>
        <w:tc>
          <w:tcPr>
            <w:tcW w:w="748" w:type="dxa"/>
            <w:vAlign w:val="center"/>
            <w:hideMark/>
          </w:tcPr>
          <w:p w14:paraId="4D61E3D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67.5</w:t>
            </w:r>
          </w:p>
        </w:tc>
        <w:tc>
          <w:tcPr>
            <w:tcW w:w="748" w:type="dxa"/>
            <w:vAlign w:val="center"/>
            <w:hideMark/>
          </w:tcPr>
          <w:p w14:paraId="3F6E266A" w14:textId="10C37B4C"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w:t>
            </w:r>
            <w:r w:rsidR="00ED6C5C" w:rsidRPr="00F007B0">
              <w:rPr>
                <w:rFonts w:ascii="Calibri" w:hAnsi="Calibri" w:cs="Calibri"/>
                <w:color w:val="000000" w:themeColor="text1"/>
                <w:sz w:val="18"/>
              </w:rPr>
              <w:t>.0</w:t>
            </w:r>
          </w:p>
        </w:tc>
        <w:tc>
          <w:tcPr>
            <w:tcW w:w="748" w:type="dxa"/>
            <w:vAlign w:val="center"/>
            <w:hideMark/>
          </w:tcPr>
          <w:p w14:paraId="7FC487A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74.7</w:t>
            </w:r>
          </w:p>
        </w:tc>
        <w:tc>
          <w:tcPr>
            <w:tcW w:w="748" w:type="dxa"/>
            <w:vAlign w:val="center"/>
            <w:hideMark/>
          </w:tcPr>
          <w:p w14:paraId="3194CEA9" w14:textId="76974106"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65</w:t>
            </w:r>
            <w:r w:rsidR="00ED6C5C" w:rsidRPr="00F007B0">
              <w:rPr>
                <w:rFonts w:ascii="Calibri" w:hAnsi="Calibri" w:cs="Calibri"/>
                <w:color w:val="000000" w:themeColor="text1"/>
                <w:sz w:val="18"/>
              </w:rPr>
              <w:t>.0</w:t>
            </w:r>
          </w:p>
        </w:tc>
        <w:tc>
          <w:tcPr>
            <w:tcW w:w="748" w:type="dxa"/>
            <w:vAlign w:val="center"/>
            <w:hideMark/>
          </w:tcPr>
          <w:p w14:paraId="34C8FDD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68.7</w:t>
            </w:r>
          </w:p>
        </w:tc>
        <w:tc>
          <w:tcPr>
            <w:tcW w:w="749" w:type="dxa"/>
            <w:vAlign w:val="center"/>
            <w:hideMark/>
          </w:tcPr>
          <w:p w14:paraId="1DBEEFC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67.1</w:t>
            </w:r>
          </w:p>
        </w:tc>
        <w:tc>
          <w:tcPr>
            <w:tcW w:w="748" w:type="dxa"/>
            <w:vAlign w:val="center"/>
            <w:hideMark/>
          </w:tcPr>
          <w:p w14:paraId="41019AD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59.3</w:t>
            </w:r>
          </w:p>
        </w:tc>
        <w:tc>
          <w:tcPr>
            <w:tcW w:w="748" w:type="dxa"/>
            <w:vAlign w:val="center"/>
            <w:hideMark/>
          </w:tcPr>
          <w:p w14:paraId="759E9D2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61.3</w:t>
            </w:r>
          </w:p>
        </w:tc>
        <w:tc>
          <w:tcPr>
            <w:tcW w:w="748" w:type="dxa"/>
            <w:vAlign w:val="center"/>
            <w:hideMark/>
          </w:tcPr>
          <w:p w14:paraId="6100841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54.4</w:t>
            </w:r>
          </w:p>
        </w:tc>
        <w:tc>
          <w:tcPr>
            <w:tcW w:w="748" w:type="dxa"/>
            <w:vAlign w:val="center"/>
            <w:hideMark/>
          </w:tcPr>
          <w:p w14:paraId="6BD9325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68.3</w:t>
            </w:r>
          </w:p>
        </w:tc>
        <w:tc>
          <w:tcPr>
            <w:tcW w:w="748" w:type="dxa"/>
            <w:vAlign w:val="center"/>
            <w:hideMark/>
          </w:tcPr>
          <w:p w14:paraId="066DEDDC" w14:textId="7226A5FE"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66</w:t>
            </w:r>
            <w:r w:rsidR="00ED6C5C" w:rsidRPr="00F007B0">
              <w:rPr>
                <w:rFonts w:ascii="Calibri" w:hAnsi="Calibri" w:cs="Calibri"/>
                <w:color w:val="000000" w:themeColor="text1"/>
                <w:sz w:val="18"/>
              </w:rPr>
              <w:t>.0</w:t>
            </w:r>
          </w:p>
        </w:tc>
        <w:tc>
          <w:tcPr>
            <w:tcW w:w="748" w:type="dxa"/>
            <w:vAlign w:val="center"/>
            <w:hideMark/>
          </w:tcPr>
          <w:p w14:paraId="424ABCE8"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66.4</w:t>
            </w:r>
          </w:p>
        </w:tc>
        <w:tc>
          <w:tcPr>
            <w:tcW w:w="748" w:type="dxa"/>
            <w:vAlign w:val="center"/>
            <w:hideMark/>
          </w:tcPr>
          <w:p w14:paraId="483DDBA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61.6</w:t>
            </w:r>
          </w:p>
        </w:tc>
        <w:tc>
          <w:tcPr>
            <w:tcW w:w="748" w:type="dxa"/>
            <w:vAlign w:val="center"/>
            <w:hideMark/>
          </w:tcPr>
          <w:p w14:paraId="0820B1E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68.8</w:t>
            </w:r>
          </w:p>
        </w:tc>
        <w:tc>
          <w:tcPr>
            <w:tcW w:w="749" w:type="dxa"/>
            <w:vAlign w:val="center"/>
            <w:hideMark/>
          </w:tcPr>
          <w:p w14:paraId="69556D5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64.7</w:t>
            </w:r>
          </w:p>
        </w:tc>
      </w:tr>
      <w:tr w:rsidR="00481507" w:rsidRPr="00711289" w14:paraId="72650A23" w14:textId="77777777" w:rsidTr="00A44303">
        <w:trPr>
          <w:trHeight w:val="344"/>
        </w:trPr>
        <w:tc>
          <w:tcPr>
            <w:tcW w:w="1988" w:type="dxa"/>
            <w:vAlign w:val="center"/>
            <w:hideMark/>
          </w:tcPr>
          <w:p w14:paraId="40308CCA"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Nursing</w:t>
            </w:r>
          </w:p>
        </w:tc>
        <w:tc>
          <w:tcPr>
            <w:tcW w:w="748" w:type="dxa"/>
            <w:vAlign w:val="center"/>
            <w:hideMark/>
          </w:tcPr>
          <w:p w14:paraId="219606C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84.5</w:t>
            </w:r>
          </w:p>
        </w:tc>
        <w:tc>
          <w:tcPr>
            <w:tcW w:w="748" w:type="dxa"/>
            <w:vAlign w:val="center"/>
            <w:hideMark/>
          </w:tcPr>
          <w:p w14:paraId="138E377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87.5</w:t>
            </w:r>
          </w:p>
        </w:tc>
        <w:tc>
          <w:tcPr>
            <w:tcW w:w="748" w:type="dxa"/>
            <w:vAlign w:val="center"/>
            <w:hideMark/>
          </w:tcPr>
          <w:p w14:paraId="51F294C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88.1</w:t>
            </w:r>
          </w:p>
        </w:tc>
        <w:tc>
          <w:tcPr>
            <w:tcW w:w="748" w:type="dxa"/>
            <w:vAlign w:val="center"/>
            <w:hideMark/>
          </w:tcPr>
          <w:p w14:paraId="6242EAF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61.6</w:t>
            </w:r>
          </w:p>
        </w:tc>
        <w:tc>
          <w:tcPr>
            <w:tcW w:w="748" w:type="dxa"/>
            <w:vAlign w:val="center"/>
            <w:hideMark/>
          </w:tcPr>
          <w:p w14:paraId="3C3BE60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68.4</w:t>
            </w:r>
          </w:p>
        </w:tc>
        <w:tc>
          <w:tcPr>
            <w:tcW w:w="748" w:type="dxa"/>
            <w:vAlign w:val="center"/>
            <w:hideMark/>
          </w:tcPr>
          <w:p w14:paraId="60F5A45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70.3</w:t>
            </w:r>
          </w:p>
        </w:tc>
        <w:tc>
          <w:tcPr>
            <w:tcW w:w="748" w:type="dxa"/>
            <w:vAlign w:val="center"/>
            <w:hideMark/>
          </w:tcPr>
          <w:p w14:paraId="4AAF789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78.1</w:t>
            </w:r>
          </w:p>
        </w:tc>
        <w:tc>
          <w:tcPr>
            <w:tcW w:w="748" w:type="dxa"/>
            <w:vAlign w:val="center"/>
            <w:hideMark/>
          </w:tcPr>
          <w:p w14:paraId="48B2663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81.6</w:t>
            </w:r>
          </w:p>
        </w:tc>
        <w:tc>
          <w:tcPr>
            <w:tcW w:w="749" w:type="dxa"/>
            <w:vAlign w:val="center"/>
            <w:hideMark/>
          </w:tcPr>
          <w:p w14:paraId="7F09182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83.4</w:t>
            </w:r>
          </w:p>
        </w:tc>
        <w:tc>
          <w:tcPr>
            <w:tcW w:w="748" w:type="dxa"/>
            <w:vAlign w:val="center"/>
            <w:hideMark/>
          </w:tcPr>
          <w:p w14:paraId="1AEFD8B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75.8</w:t>
            </w:r>
          </w:p>
        </w:tc>
        <w:tc>
          <w:tcPr>
            <w:tcW w:w="748" w:type="dxa"/>
            <w:vAlign w:val="center"/>
            <w:hideMark/>
          </w:tcPr>
          <w:p w14:paraId="7E59FB2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81.7</w:t>
            </w:r>
          </w:p>
        </w:tc>
        <w:tc>
          <w:tcPr>
            <w:tcW w:w="748" w:type="dxa"/>
            <w:vAlign w:val="center"/>
            <w:hideMark/>
          </w:tcPr>
          <w:p w14:paraId="5D05387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82.9</w:t>
            </w:r>
          </w:p>
        </w:tc>
        <w:tc>
          <w:tcPr>
            <w:tcW w:w="748" w:type="dxa"/>
            <w:vAlign w:val="center"/>
            <w:hideMark/>
          </w:tcPr>
          <w:p w14:paraId="2C5364A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83.7</w:t>
            </w:r>
          </w:p>
        </w:tc>
        <w:tc>
          <w:tcPr>
            <w:tcW w:w="748" w:type="dxa"/>
            <w:vAlign w:val="center"/>
            <w:hideMark/>
          </w:tcPr>
          <w:p w14:paraId="16482798"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85.9</w:t>
            </w:r>
          </w:p>
        </w:tc>
        <w:tc>
          <w:tcPr>
            <w:tcW w:w="748" w:type="dxa"/>
            <w:vAlign w:val="center"/>
            <w:hideMark/>
          </w:tcPr>
          <w:p w14:paraId="6923A10C"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88.8</w:t>
            </w:r>
          </w:p>
        </w:tc>
        <w:tc>
          <w:tcPr>
            <w:tcW w:w="748" w:type="dxa"/>
            <w:vAlign w:val="center"/>
            <w:hideMark/>
          </w:tcPr>
          <w:p w14:paraId="16E6375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72.6</w:t>
            </w:r>
          </w:p>
        </w:tc>
        <w:tc>
          <w:tcPr>
            <w:tcW w:w="748" w:type="dxa"/>
            <w:vAlign w:val="center"/>
            <w:hideMark/>
          </w:tcPr>
          <w:p w14:paraId="18E66A6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75.9</w:t>
            </w:r>
          </w:p>
        </w:tc>
        <w:tc>
          <w:tcPr>
            <w:tcW w:w="749" w:type="dxa"/>
            <w:vAlign w:val="center"/>
            <w:hideMark/>
          </w:tcPr>
          <w:p w14:paraId="5A8D1B8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77.6</w:t>
            </w:r>
          </w:p>
        </w:tc>
      </w:tr>
      <w:tr w:rsidR="00481507" w:rsidRPr="00711289" w14:paraId="029D594B" w14:textId="77777777" w:rsidTr="00A44303">
        <w:trPr>
          <w:trHeight w:val="344"/>
        </w:trPr>
        <w:tc>
          <w:tcPr>
            <w:tcW w:w="1988" w:type="dxa"/>
            <w:vAlign w:val="center"/>
            <w:hideMark/>
          </w:tcPr>
          <w:p w14:paraId="2942DE99"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Pharmacy</w:t>
            </w:r>
          </w:p>
        </w:tc>
        <w:tc>
          <w:tcPr>
            <w:tcW w:w="748" w:type="dxa"/>
            <w:vAlign w:val="center"/>
            <w:hideMark/>
          </w:tcPr>
          <w:p w14:paraId="05624D0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85.1</w:t>
            </w:r>
          </w:p>
        </w:tc>
        <w:tc>
          <w:tcPr>
            <w:tcW w:w="748" w:type="dxa"/>
            <w:vAlign w:val="center"/>
            <w:hideMark/>
          </w:tcPr>
          <w:p w14:paraId="2732D1C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87.4</w:t>
            </w:r>
          </w:p>
        </w:tc>
        <w:tc>
          <w:tcPr>
            <w:tcW w:w="748" w:type="dxa"/>
            <w:vAlign w:val="center"/>
            <w:hideMark/>
          </w:tcPr>
          <w:p w14:paraId="63A681E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89.2</w:t>
            </w:r>
          </w:p>
        </w:tc>
        <w:tc>
          <w:tcPr>
            <w:tcW w:w="748" w:type="dxa"/>
            <w:vAlign w:val="center"/>
            <w:hideMark/>
          </w:tcPr>
          <w:p w14:paraId="05D2671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77.6</w:t>
            </w:r>
          </w:p>
        </w:tc>
        <w:tc>
          <w:tcPr>
            <w:tcW w:w="748" w:type="dxa"/>
            <w:vAlign w:val="center"/>
            <w:hideMark/>
          </w:tcPr>
          <w:p w14:paraId="73CAA87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79.1</w:t>
            </w:r>
          </w:p>
        </w:tc>
        <w:tc>
          <w:tcPr>
            <w:tcW w:w="748" w:type="dxa"/>
            <w:vAlign w:val="center"/>
            <w:hideMark/>
          </w:tcPr>
          <w:p w14:paraId="40ADAA6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81.7</w:t>
            </w:r>
          </w:p>
        </w:tc>
        <w:tc>
          <w:tcPr>
            <w:tcW w:w="748" w:type="dxa"/>
            <w:vAlign w:val="center"/>
            <w:hideMark/>
          </w:tcPr>
          <w:p w14:paraId="616F353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81.6</w:t>
            </w:r>
          </w:p>
        </w:tc>
        <w:tc>
          <w:tcPr>
            <w:tcW w:w="748" w:type="dxa"/>
            <w:vAlign w:val="center"/>
            <w:hideMark/>
          </w:tcPr>
          <w:p w14:paraId="02596C3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80.6</w:t>
            </w:r>
          </w:p>
        </w:tc>
        <w:tc>
          <w:tcPr>
            <w:tcW w:w="749" w:type="dxa"/>
            <w:vAlign w:val="center"/>
            <w:hideMark/>
          </w:tcPr>
          <w:p w14:paraId="3B99C07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83.7</w:t>
            </w:r>
          </w:p>
        </w:tc>
        <w:tc>
          <w:tcPr>
            <w:tcW w:w="748" w:type="dxa"/>
            <w:vAlign w:val="center"/>
            <w:hideMark/>
          </w:tcPr>
          <w:p w14:paraId="1479757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84.4</w:t>
            </w:r>
          </w:p>
        </w:tc>
        <w:tc>
          <w:tcPr>
            <w:tcW w:w="748" w:type="dxa"/>
            <w:vAlign w:val="center"/>
            <w:hideMark/>
          </w:tcPr>
          <w:p w14:paraId="129B433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76.4</w:t>
            </w:r>
          </w:p>
        </w:tc>
        <w:tc>
          <w:tcPr>
            <w:tcW w:w="748" w:type="dxa"/>
            <w:vAlign w:val="center"/>
            <w:hideMark/>
          </w:tcPr>
          <w:p w14:paraId="696EAD0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83.6</w:t>
            </w:r>
          </w:p>
        </w:tc>
        <w:tc>
          <w:tcPr>
            <w:tcW w:w="748" w:type="dxa"/>
            <w:vAlign w:val="center"/>
            <w:hideMark/>
          </w:tcPr>
          <w:p w14:paraId="55F0149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93.5</w:t>
            </w:r>
          </w:p>
        </w:tc>
        <w:tc>
          <w:tcPr>
            <w:tcW w:w="748" w:type="dxa"/>
            <w:vAlign w:val="center"/>
            <w:hideMark/>
          </w:tcPr>
          <w:p w14:paraId="7653EB01"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87.9</w:t>
            </w:r>
          </w:p>
        </w:tc>
        <w:tc>
          <w:tcPr>
            <w:tcW w:w="748" w:type="dxa"/>
            <w:vAlign w:val="center"/>
            <w:hideMark/>
          </w:tcPr>
          <w:p w14:paraId="0C6B7E00" w14:textId="20AB74ED"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w:t>
            </w:r>
            <w:r w:rsidR="00ED6C5C" w:rsidRPr="00F007B0">
              <w:rPr>
                <w:rFonts w:ascii="Calibri" w:hAnsi="Calibri" w:cs="Calibri"/>
                <w:color w:val="000000" w:themeColor="text1"/>
                <w:sz w:val="18"/>
              </w:rPr>
              <w:t>.0</w:t>
            </w:r>
          </w:p>
        </w:tc>
        <w:tc>
          <w:tcPr>
            <w:tcW w:w="748" w:type="dxa"/>
            <w:vAlign w:val="center"/>
            <w:hideMark/>
          </w:tcPr>
          <w:p w14:paraId="12CD8A9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73.5</w:t>
            </w:r>
          </w:p>
        </w:tc>
        <w:tc>
          <w:tcPr>
            <w:tcW w:w="748" w:type="dxa"/>
            <w:vAlign w:val="center"/>
            <w:hideMark/>
          </w:tcPr>
          <w:p w14:paraId="7249718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68.5</w:t>
            </w:r>
          </w:p>
        </w:tc>
        <w:tc>
          <w:tcPr>
            <w:tcW w:w="749" w:type="dxa"/>
            <w:vAlign w:val="center"/>
            <w:hideMark/>
          </w:tcPr>
          <w:p w14:paraId="06944EB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71.9</w:t>
            </w:r>
          </w:p>
        </w:tc>
      </w:tr>
      <w:tr w:rsidR="00481507" w:rsidRPr="00711289" w14:paraId="6D7D4F75" w14:textId="77777777" w:rsidTr="00A44303">
        <w:trPr>
          <w:trHeight w:val="471"/>
        </w:trPr>
        <w:tc>
          <w:tcPr>
            <w:tcW w:w="1988" w:type="dxa"/>
            <w:vAlign w:val="center"/>
            <w:hideMark/>
          </w:tcPr>
          <w:p w14:paraId="6977414D"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Psychology</w:t>
            </w:r>
          </w:p>
        </w:tc>
        <w:tc>
          <w:tcPr>
            <w:tcW w:w="748" w:type="dxa"/>
            <w:vAlign w:val="center"/>
            <w:hideMark/>
          </w:tcPr>
          <w:p w14:paraId="1F11038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90.7</w:t>
            </w:r>
          </w:p>
        </w:tc>
        <w:tc>
          <w:tcPr>
            <w:tcW w:w="748" w:type="dxa"/>
            <w:vAlign w:val="center"/>
            <w:hideMark/>
          </w:tcPr>
          <w:p w14:paraId="6AC08F9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88.8</w:t>
            </w:r>
          </w:p>
        </w:tc>
        <w:tc>
          <w:tcPr>
            <w:tcW w:w="748" w:type="dxa"/>
            <w:vAlign w:val="center"/>
            <w:hideMark/>
          </w:tcPr>
          <w:p w14:paraId="78511C8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88.6</w:t>
            </w:r>
          </w:p>
        </w:tc>
        <w:tc>
          <w:tcPr>
            <w:tcW w:w="748" w:type="dxa"/>
            <w:vAlign w:val="center"/>
            <w:hideMark/>
          </w:tcPr>
          <w:p w14:paraId="5AC1036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62.2</w:t>
            </w:r>
          </w:p>
        </w:tc>
        <w:tc>
          <w:tcPr>
            <w:tcW w:w="748" w:type="dxa"/>
            <w:vAlign w:val="center"/>
            <w:hideMark/>
          </w:tcPr>
          <w:p w14:paraId="39AC201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66.8</w:t>
            </w:r>
          </w:p>
        </w:tc>
        <w:tc>
          <w:tcPr>
            <w:tcW w:w="748" w:type="dxa"/>
            <w:vAlign w:val="center"/>
            <w:hideMark/>
          </w:tcPr>
          <w:p w14:paraId="1B59045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69.9</w:t>
            </w:r>
          </w:p>
        </w:tc>
        <w:tc>
          <w:tcPr>
            <w:tcW w:w="748" w:type="dxa"/>
            <w:vAlign w:val="center"/>
            <w:hideMark/>
          </w:tcPr>
          <w:p w14:paraId="4108C84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86.4</w:t>
            </w:r>
          </w:p>
        </w:tc>
        <w:tc>
          <w:tcPr>
            <w:tcW w:w="748" w:type="dxa"/>
            <w:vAlign w:val="center"/>
            <w:hideMark/>
          </w:tcPr>
          <w:p w14:paraId="08F87F5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87.3</w:t>
            </w:r>
          </w:p>
        </w:tc>
        <w:tc>
          <w:tcPr>
            <w:tcW w:w="749" w:type="dxa"/>
            <w:vAlign w:val="center"/>
            <w:hideMark/>
          </w:tcPr>
          <w:p w14:paraId="40394EB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87.3</w:t>
            </w:r>
          </w:p>
        </w:tc>
        <w:tc>
          <w:tcPr>
            <w:tcW w:w="748" w:type="dxa"/>
            <w:vAlign w:val="center"/>
            <w:hideMark/>
          </w:tcPr>
          <w:p w14:paraId="718DD23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71.1</w:t>
            </w:r>
          </w:p>
        </w:tc>
        <w:tc>
          <w:tcPr>
            <w:tcW w:w="748" w:type="dxa"/>
            <w:vAlign w:val="center"/>
            <w:hideMark/>
          </w:tcPr>
          <w:p w14:paraId="68C58A7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70.9</w:t>
            </w:r>
          </w:p>
        </w:tc>
        <w:tc>
          <w:tcPr>
            <w:tcW w:w="748" w:type="dxa"/>
            <w:vAlign w:val="center"/>
            <w:hideMark/>
          </w:tcPr>
          <w:p w14:paraId="7D5E3AB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73.1</w:t>
            </w:r>
          </w:p>
        </w:tc>
        <w:tc>
          <w:tcPr>
            <w:tcW w:w="748" w:type="dxa"/>
            <w:vAlign w:val="center"/>
            <w:hideMark/>
          </w:tcPr>
          <w:p w14:paraId="22FF7AD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85.1</w:t>
            </w:r>
          </w:p>
        </w:tc>
        <w:tc>
          <w:tcPr>
            <w:tcW w:w="748" w:type="dxa"/>
            <w:vAlign w:val="center"/>
            <w:hideMark/>
          </w:tcPr>
          <w:p w14:paraId="3E1937D8"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83.6</w:t>
            </w:r>
          </w:p>
        </w:tc>
        <w:tc>
          <w:tcPr>
            <w:tcW w:w="748" w:type="dxa"/>
            <w:vAlign w:val="center"/>
            <w:hideMark/>
          </w:tcPr>
          <w:p w14:paraId="68801EDA"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85.7</w:t>
            </w:r>
          </w:p>
        </w:tc>
        <w:tc>
          <w:tcPr>
            <w:tcW w:w="748" w:type="dxa"/>
            <w:vAlign w:val="center"/>
            <w:hideMark/>
          </w:tcPr>
          <w:p w14:paraId="162C72AE" w14:textId="3CE290FF"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w:t>
            </w:r>
            <w:r w:rsidR="00ED6C5C" w:rsidRPr="00F007B0">
              <w:rPr>
                <w:rFonts w:ascii="Calibri" w:hAnsi="Calibri" w:cs="Calibri"/>
                <w:color w:val="000000" w:themeColor="text1"/>
                <w:sz w:val="18"/>
              </w:rPr>
              <w:t>.0</w:t>
            </w:r>
          </w:p>
        </w:tc>
        <w:tc>
          <w:tcPr>
            <w:tcW w:w="748" w:type="dxa"/>
            <w:vAlign w:val="center"/>
            <w:hideMark/>
          </w:tcPr>
          <w:p w14:paraId="42383CC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81.7</w:t>
            </w:r>
          </w:p>
        </w:tc>
        <w:tc>
          <w:tcPr>
            <w:tcW w:w="749" w:type="dxa"/>
            <w:vAlign w:val="center"/>
            <w:hideMark/>
          </w:tcPr>
          <w:p w14:paraId="027F6CCB" w14:textId="2ED3FB8D"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w:t>
            </w:r>
            <w:r w:rsidR="00ED6C5C" w:rsidRPr="00F007B0">
              <w:rPr>
                <w:rFonts w:ascii="Calibri" w:hAnsi="Calibri" w:cs="Calibri"/>
                <w:color w:val="000000" w:themeColor="text1"/>
                <w:sz w:val="18"/>
              </w:rPr>
              <w:t>.0</w:t>
            </w:r>
          </w:p>
        </w:tc>
      </w:tr>
      <w:tr w:rsidR="00481507" w:rsidRPr="00711289" w14:paraId="70E69555" w14:textId="77777777" w:rsidTr="00A44303">
        <w:trPr>
          <w:trHeight w:val="344"/>
        </w:trPr>
        <w:tc>
          <w:tcPr>
            <w:tcW w:w="1988" w:type="dxa"/>
            <w:vAlign w:val="center"/>
            <w:hideMark/>
          </w:tcPr>
          <w:p w14:paraId="7B5E1FAF"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Rehabilitation</w:t>
            </w:r>
          </w:p>
        </w:tc>
        <w:tc>
          <w:tcPr>
            <w:tcW w:w="748" w:type="dxa"/>
            <w:vAlign w:val="center"/>
            <w:hideMark/>
          </w:tcPr>
          <w:p w14:paraId="64F267C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81.7</w:t>
            </w:r>
          </w:p>
        </w:tc>
        <w:tc>
          <w:tcPr>
            <w:tcW w:w="748" w:type="dxa"/>
            <w:vAlign w:val="center"/>
            <w:hideMark/>
          </w:tcPr>
          <w:p w14:paraId="4284D44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83.6</w:t>
            </w:r>
          </w:p>
        </w:tc>
        <w:tc>
          <w:tcPr>
            <w:tcW w:w="748" w:type="dxa"/>
            <w:vAlign w:val="center"/>
            <w:hideMark/>
          </w:tcPr>
          <w:p w14:paraId="7CCF7E9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79.3</w:t>
            </w:r>
          </w:p>
        </w:tc>
        <w:tc>
          <w:tcPr>
            <w:tcW w:w="748" w:type="dxa"/>
            <w:vAlign w:val="center"/>
            <w:hideMark/>
          </w:tcPr>
          <w:p w14:paraId="3F38D49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71.1</w:t>
            </w:r>
          </w:p>
        </w:tc>
        <w:tc>
          <w:tcPr>
            <w:tcW w:w="748" w:type="dxa"/>
            <w:vAlign w:val="center"/>
            <w:hideMark/>
          </w:tcPr>
          <w:p w14:paraId="0240FF20" w14:textId="0DB5BBB6"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71</w:t>
            </w:r>
            <w:r w:rsidR="00ED6C5C" w:rsidRPr="00F007B0">
              <w:rPr>
                <w:rFonts w:ascii="Calibri" w:hAnsi="Calibri" w:cs="Calibri"/>
                <w:color w:val="000000" w:themeColor="text1"/>
                <w:sz w:val="18"/>
              </w:rPr>
              <w:t>.0</w:t>
            </w:r>
          </w:p>
        </w:tc>
        <w:tc>
          <w:tcPr>
            <w:tcW w:w="748" w:type="dxa"/>
            <w:vAlign w:val="center"/>
            <w:hideMark/>
          </w:tcPr>
          <w:p w14:paraId="128826A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72.4</w:t>
            </w:r>
          </w:p>
        </w:tc>
        <w:tc>
          <w:tcPr>
            <w:tcW w:w="748" w:type="dxa"/>
            <w:vAlign w:val="center"/>
            <w:hideMark/>
          </w:tcPr>
          <w:p w14:paraId="0C40693C" w14:textId="36BEC743"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78</w:t>
            </w:r>
            <w:r w:rsidR="00ED6C5C" w:rsidRPr="00F007B0">
              <w:rPr>
                <w:rFonts w:ascii="Calibri" w:hAnsi="Calibri" w:cs="Calibri"/>
                <w:color w:val="000000" w:themeColor="text1"/>
                <w:sz w:val="18"/>
              </w:rPr>
              <w:t>.0</w:t>
            </w:r>
          </w:p>
        </w:tc>
        <w:tc>
          <w:tcPr>
            <w:tcW w:w="748" w:type="dxa"/>
            <w:vAlign w:val="center"/>
            <w:hideMark/>
          </w:tcPr>
          <w:p w14:paraId="1E11D7A0" w14:textId="2A10C36B"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w:t>
            </w:r>
            <w:r w:rsidR="00ED6C5C" w:rsidRPr="00F007B0">
              <w:rPr>
                <w:rFonts w:ascii="Calibri" w:hAnsi="Calibri" w:cs="Calibri"/>
                <w:color w:val="000000" w:themeColor="text1"/>
                <w:sz w:val="18"/>
              </w:rPr>
              <w:t>.0</w:t>
            </w:r>
          </w:p>
        </w:tc>
        <w:tc>
          <w:tcPr>
            <w:tcW w:w="749" w:type="dxa"/>
            <w:vAlign w:val="center"/>
            <w:hideMark/>
          </w:tcPr>
          <w:p w14:paraId="2D89CAC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71.9</w:t>
            </w:r>
          </w:p>
        </w:tc>
        <w:tc>
          <w:tcPr>
            <w:tcW w:w="748" w:type="dxa"/>
            <w:vAlign w:val="center"/>
            <w:hideMark/>
          </w:tcPr>
          <w:p w14:paraId="1A34E9D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70.4</w:t>
            </w:r>
          </w:p>
        </w:tc>
        <w:tc>
          <w:tcPr>
            <w:tcW w:w="748" w:type="dxa"/>
            <w:vAlign w:val="center"/>
            <w:hideMark/>
          </w:tcPr>
          <w:p w14:paraId="7AFCBE9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63.9</w:t>
            </w:r>
          </w:p>
        </w:tc>
        <w:tc>
          <w:tcPr>
            <w:tcW w:w="748" w:type="dxa"/>
            <w:vAlign w:val="center"/>
            <w:hideMark/>
          </w:tcPr>
          <w:p w14:paraId="4D298C7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57.7</w:t>
            </w:r>
          </w:p>
        </w:tc>
        <w:tc>
          <w:tcPr>
            <w:tcW w:w="748" w:type="dxa"/>
            <w:vAlign w:val="center"/>
            <w:hideMark/>
          </w:tcPr>
          <w:p w14:paraId="4DFF703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77.5</w:t>
            </w:r>
          </w:p>
        </w:tc>
        <w:tc>
          <w:tcPr>
            <w:tcW w:w="748" w:type="dxa"/>
            <w:vAlign w:val="center"/>
            <w:hideMark/>
          </w:tcPr>
          <w:p w14:paraId="5B8037BB"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78.5</w:t>
            </w:r>
          </w:p>
        </w:tc>
        <w:tc>
          <w:tcPr>
            <w:tcW w:w="748" w:type="dxa"/>
            <w:vAlign w:val="center"/>
            <w:hideMark/>
          </w:tcPr>
          <w:p w14:paraId="60E6EDA7"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80.1</w:t>
            </w:r>
          </w:p>
        </w:tc>
        <w:tc>
          <w:tcPr>
            <w:tcW w:w="748" w:type="dxa"/>
            <w:vAlign w:val="center"/>
            <w:hideMark/>
          </w:tcPr>
          <w:p w14:paraId="16380F04" w14:textId="38165F00"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w:t>
            </w:r>
            <w:r w:rsidR="00ED6C5C" w:rsidRPr="00F007B0">
              <w:rPr>
                <w:rFonts w:ascii="Calibri" w:hAnsi="Calibri" w:cs="Calibri"/>
                <w:color w:val="000000" w:themeColor="text1"/>
                <w:sz w:val="18"/>
              </w:rPr>
              <w:t>.0</w:t>
            </w:r>
          </w:p>
        </w:tc>
        <w:tc>
          <w:tcPr>
            <w:tcW w:w="748" w:type="dxa"/>
            <w:vAlign w:val="center"/>
            <w:hideMark/>
          </w:tcPr>
          <w:p w14:paraId="7FA4BCC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65.3</w:t>
            </w:r>
          </w:p>
        </w:tc>
        <w:tc>
          <w:tcPr>
            <w:tcW w:w="749" w:type="dxa"/>
            <w:vAlign w:val="center"/>
            <w:hideMark/>
          </w:tcPr>
          <w:p w14:paraId="6DEB249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64.3</w:t>
            </w:r>
          </w:p>
        </w:tc>
      </w:tr>
      <w:tr w:rsidR="00481507" w:rsidRPr="00711289" w14:paraId="451EEB26" w14:textId="77777777" w:rsidTr="00A44303">
        <w:trPr>
          <w:trHeight w:val="344"/>
        </w:trPr>
        <w:tc>
          <w:tcPr>
            <w:tcW w:w="1988" w:type="dxa"/>
            <w:vAlign w:val="center"/>
            <w:hideMark/>
          </w:tcPr>
          <w:p w14:paraId="58FBC2CE"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Science and mathematics</w:t>
            </w:r>
          </w:p>
        </w:tc>
        <w:tc>
          <w:tcPr>
            <w:tcW w:w="748" w:type="dxa"/>
            <w:vAlign w:val="center"/>
            <w:hideMark/>
          </w:tcPr>
          <w:p w14:paraId="4D6D4C7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86.6</w:t>
            </w:r>
          </w:p>
        </w:tc>
        <w:tc>
          <w:tcPr>
            <w:tcW w:w="748" w:type="dxa"/>
            <w:vAlign w:val="center"/>
            <w:hideMark/>
          </w:tcPr>
          <w:p w14:paraId="751ABC0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85.2</w:t>
            </w:r>
          </w:p>
        </w:tc>
        <w:tc>
          <w:tcPr>
            <w:tcW w:w="748" w:type="dxa"/>
            <w:vAlign w:val="center"/>
            <w:hideMark/>
          </w:tcPr>
          <w:p w14:paraId="1DAC5A1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85.8</w:t>
            </w:r>
          </w:p>
        </w:tc>
        <w:tc>
          <w:tcPr>
            <w:tcW w:w="748" w:type="dxa"/>
            <w:vAlign w:val="center"/>
            <w:hideMark/>
          </w:tcPr>
          <w:p w14:paraId="780926C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62.2</w:t>
            </w:r>
          </w:p>
        </w:tc>
        <w:tc>
          <w:tcPr>
            <w:tcW w:w="748" w:type="dxa"/>
            <w:vAlign w:val="center"/>
            <w:hideMark/>
          </w:tcPr>
          <w:p w14:paraId="12228FB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68.8</w:t>
            </w:r>
          </w:p>
        </w:tc>
        <w:tc>
          <w:tcPr>
            <w:tcW w:w="748" w:type="dxa"/>
            <w:vAlign w:val="center"/>
            <w:hideMark/>
          </w:tcPr>
          <w:p w14:paraId="52F13CD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72.9</w:t>
            </w:r>
          </w:p>
        </w:tc>
        <w:tc>
          <w:tcPr>
            <w:tcW w:w="748" w:type="dxa"/>
            <w:vAlign w:val="center"/>
            <w:hideMark/>
          </w:tcPr>
          <w:p w14:paraId="0BB9107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86.4</w:t>
            </w:r>
          </w:p>
        </w:tc>
        <w:tc>
          <w:tcPr>
            <w:tcW w:w="748" w:type="dxa"/>
            <w:vAlign w:val="center"/>
            <w:hideMark/>
          </w:tcPr>
          <w:p w14:paraId="55B9ED83" w14:textId="72501C12"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w:t>
            </w:r>
            <w:r w:rsidR="00ED6C5C" w:rsidRPr="00F007B0">
              <w:rPr>
                <w:rFonts w:ascii="Calibri" w:hAnsi="Calibri" w:cs="Calibri"/>
                <w:color w:val="000000" w:themeColor="text1"/>
                <w:sz w:val="18"/>
              </w:rPr>
              <w:t>.0</w:t>
            </w:r>
          </w:p>
        </w:tc>
        <w:tc>
          <w:tcPr>
            <w:tcW w:w="749" w:type="dxa"/>
            <w:vAlign w:val="center"/>
            <w:hideMark/>
          </w:tcPr>
          <w:p w14:paraId="58D9A89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85.4</w:t>
            </w:r>
          </w:p>
        </w:tc>
        <w:tc>
          <w:tcPr>
            <w:tcW w:w="748" w:type="dxa"/>
            <w:vAlign w:val="center"/>
            <w:hideMark/>
          </w:tcPr>
          <w:p w14:paraId="31254ED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79.6</w:t>
            </w:r>
          </w:p>
        </w:tc>
        <w:tc>
          <w:tcPr>
            <w:tcW w:w="748" w:type="dxa"/>
            <w:vAlign w:val="center"/>
            <w:hideMark/>
          </w:tcPr>
          <w:p w14:paraId="7F4E91D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79.5</w:t>
            </w:r>
          </w:p>
        </w:tc>
        <w:tc>
          <w:tcPr>
            <w:tcW w:w="748" w:type="dxa"/>
            <w:vAlign w:val="center"/>
            <w:hideMark/>
          </w:tcPr>
          <w:p w14:paraId="043D584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80.5</w:t>
            </w:r>
          </w:p>
        </w:tc>
        <w:tc>
          <w:tcPr>
            <w:tcW w:w="748" w:type="dxa"/>
            <w:vAlign w:val="center"/>
            <w:hideMark/>
          </w:tcPr>
          <w:p w14:paraId="40710CD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91.4</w:t>
            </w:r>
          </w:p>
        </w:tc>
        <w:tc>
          <w:tcPr>
            <w:tcW w:w="748" w:type="dxa"/>
            <w:vAlign w:val="center"/>
            <w:hideMark/>
          </w:tcPr>
          <w:p w14:paraId="4C06548B" w14:textId="09C9AB05"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91</w:t>
            </w:r>
            <w:r w:rsidR="00ED6C5C" w:rsidRPr="00F007B0">
              <w:rPr>
                <w:rFonts w:ascii="Calibri" w:hAnsi="Calibri" w:cs="Calibri"/>
                <w:color w:val="000000" w:themeColor="text1"/>
                <w:sz w:val="18"/>
              </w:rPr>
              <w:t>.0</w:t>
            </w:r>
          </w:p>
        </w:tc>
        <w:tc>
          <w:tcPr>
            <w:tcW w:w="748" w:type="dxa"/>
            <w:vAlign w:val="center"/>
            <w:hideMark/>
          </w:tcPr>
          <w:p w14:paraId="29E63A6E"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90.8</w:t>
            </w:r>
          </w:p>
        </w:tc>
        <w:tc>
          <w:tcPr>
            <w:tcW w:w="748" w:type="dxa"/>
            <w:vAlign w:val="center"/>
            <w:hideMark/>
          </w:tcPr>
          <w:p w14:paraId="005C50F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80.7</w:t>
            </w:r>
          </w:p>
        </w:tc>
        <w:tc>
          <w:tcPr>
            <w:tcW w:w="748" w:type="dxa"/>
            <w:vAlign w:val="center"/>
            <w:hideMark/>
          </w:tcPr>
          <w:p w14:paraId="709A3C9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77.3</w:t>
            </w:r>
          </w:p>
        </w:tc>
        <w:tc>
          <w:tcPr>
            <w:tcW w:w="749" w:type="dxa"/>
            <w:vAlign w:val="center"/>
            <w:hideMark/>
          </w:tcPr>
          <w:p w14:paraId="68133D2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77.6</w:t>
            </w:r>
          </w:p>
        </w:tc>
      </w:tr>
      <w:tr w:rsidR="00481507" w:rsidRPr="00711289" w14:paraId="2497F2D6" w14:textId="77777777" w:rsidTr="00A44303">
        <w:trPr>
          <w:trHeight w:val="344"/>
        </w:trPr>
        <w:tc>
          <w:tcPr>
            <w:tcW w:w="1988" w:type="dxa"/>
            <w:vAlign w:val="center"/>
            <w:hideMark/>
          </w:tcPr>
          <w:p w14:paraId="4E2FD7B0"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Social work</w:t>
            </w:r>
          </w:p>
        </w:tc>
        <w:tc>
          <w:tcPr>
            <w:tcW w:w="748" w:type="dxa"/>
            <w:vAlign w:val="center"/>
            <w:hideMark/>
          </w:tcPr>
          <w:p w14:paraId="1C724E5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82.3</w:t>
            </w:r>
          </w:p>
        </w:tc>
        <w:tc>
          <w:tcPr>
            <w:tcW w:w="748" w:type="dxa"/>
            <w:vAlign w:val="center"/>
            <w:hideMark/>
          </w:tcPr>
          <w:p w14:paraId="6833F31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87.3</w:t>
            </w:r>
          </w:p>
        </w:tc>
        <w:tc>
          <w:tcPr>
            <w:tcW w:w="748" w:type="dxa"/>
            <w:vAlign w:val="center"/>
            <w:hideMark/>
          </w:tcPr>
          <w:p w14:paraId="2C01758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87.4</w:t>
            </w:r>
          </w:p>
        </w:tc>
        <w:tc>
          <w:tcPr>
            <w:tcW w:w="748" w:type="dxa"/>
            <w:vAlign w:val="center"/>
            <w:hideMark/>
          </w:tcPr>
          <w:p w14:paraId="4F066A0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60.2</w:t>
            </w:r>
          </w:p>
        </w:tc>
        <w:tc>
          <w:tcPr>
            <w:tcW w:w="748" w:type="dxa"/>
            <w:vAlign w:val="center"/>
            <w:hideMark/>
          </w:tcPr>
          <w:p w14:paraId="441F3C6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76.5</w:t>
            </w:r>
          </w:p>
        </w:tc>
        <w:tc>
          <w:tcPr>
            <w:tcW w:w="748" w:type="dxa"/>
            <w:vAlign w:val="center"/>
            <w:hideMark/>
          </w:tcPr>
          <w:p w14:paraId="7D5E1B47" w14:textId="7B50FC85"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w:t>
            </w:r>
            <w:r w:rsidR="00ED6C5C" w:rsidRPr="00F007B0">
              <w:rPr>
                <w:rFonts w:ascii="Calibri" w:hAnsi="Calibri" w:cs="Calibri"/>
                <w:color w:val="000000" w:themeColor="text1"/>
                <w:sz w:val="18"/>
              </w:rPr>
              <w:t>.0</w:t>
            </w:r>
          </w:p>
        </w:tc>
        <w:tc>
          <w:tcPr>
            <w:tcW w:w="748" w:type="dxa"/>
            <w:vAlign w:val="center"/>
            <w:hideMark/>
          </w:tcPr>
          <w:p w14:paraId="1E49726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78.6</w:t>
            </w:r>
          </w:p>
        </w:tc>
        <w:tc>
          <w:tcPr>
            <w:tcW w:w="748" w:type="dxa"/>
            <w:vAlign w:val="center"/>
            <w:hideMark/>
          </w:tcPr>
          <w:p w14:paraId="02B6736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83.9</w:t>
            </w:r>
          </w:p>
        </w:tc>
        <w:tc>
          <w:tcPr>
            <w:tcW w:w="749" w:type="dxa"/>
            <w:vAlign w:val="center"/>
            <w:hideMark/>
          </w:tcPr>
          <w:p w14:paraId="2C76AAD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81.7</w:t>
            </w:r>
          </w:p>
        </w:tc>
        <w:tc>
          <w:tcPr>
            <w:tcW w:w="748" w:type="dxa"/>
            <w:vAlign w:val="center"/>
            <w:hideMark/>
          </w:tcPr>
          <w:p w14:paraId="5F849AD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69.4</w:t>
            </w:r>
          </w:p>
        </w:tc>
        <w:tc>
          <w:tcPr>
            <w:tcW w:w="748" w:type="dxa"/>
            <w:vAlign w:val="center"/>
            <w:hideMark/>
          </w:tcPr>
          <w:p w14:paraId="7D35762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77.5</w:t>
            </w:r>
          </w:p>
        </w:tc>
        <w:tc>
          <w:tcPr>
            <w:tcW w:w="748" w:type="dxa"/>
            <w:vAlign w:val="center"/>
            <w:hideMark/>
          </w:tcPr>
          <w:p w14:paraId="0701E77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76.7</w:t>
            </w:r>
          </w:p>
        </w:tc>
        <w:tc>
          <w:tcPr>
            <w:tcW w:w="748" w:type="dxa"/>
            <w:vAlign w:val="center"/>
            <w:hideMark/>
          </w:tcPr>
          <w:p w14:paraId="6F1AB16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78.7</w:t>
            </w:r>
          </w:p>
        </w:tc>
        <w:tc>
          <w:tcPr>
            <w:tcW w:w="748" w:type="dxa"/>
            <w:vAlign w:val="center"/>
            <w:hideMark/>
          </w:tcPr>
          <w:p w14:paraId="6E149415"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86.1</w:t>
            </w:r>
          </w:p>
        </w:tc>
        <w:tc>
          <w:tcPr>
            <w:tcW w:w="748" w:type="dxa"/>
            <w:vAlign w:val="center"/>
            <w:hideMark/>
          </w:tcPr>
          <w:p w14:paraId="2681D78D"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82.5</w:t>
            </w:r>
          </w:p>
        </w:tc>
        <w:tc>
          <w:tcPr>
            <w:tcW w:w="748" w:type="dxa"/>
            <w:vAlign w:val="center"/>
            <w:hideMark/>
          </w:tcPr>
          <w:p w14:paraId="5E3701A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67.2</w:t>
            </w:r>
          </w:p>
        </w:tc>
        <w:tc>
          <w:tcPr>
            <w:tcW w:w="748" w:type="dxa"/>
            <w:vAlign w:val="center"/>
            <w:hideMark/>
          </w:tcPr>
          <w:p w14:paraId="7F4858A8" w14:textId="224844EA"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w:t>
            </w:r>
            <w:r w:rsidR="00ED6C5C" w:rsidRPr="00F007B0">
              <w:rPr>
                <w:rFonts w:ascii="Calibri" w:hAnsi="Calibri" w:cs="Calibri"/>
                <w:color w:val="000000" w:themeColor="text1"/>
                <w:sz w:val="18"/>
              </w:rPr>
              <w:t>.0</w:t>
            </w:r>
          </w:p>
        </w:tc>
        <w:tc>
          <w:tcPr>
            <w:tcW w:w="749" w:type="dxa"/>
            <w:vAlign w:val="center"/>
            <w:hideMark/>
          </w:tcPr>
          <w:p w14:paraId="157E2D2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73.2</w:t>
            </w:r>
          </w:p>
        </w:tc>
      </w:tr>
      <w:tr w:rsidR="00481507" w:rsidRPr="00711289" w14:paraId="3E5FF5FB" w14:textId="77777777" w:rsidTr="00A44303">
        <w:trPr>
          <w:trHeight w:val="344"/>
        </w:trPr>
        <w:tc>
          <w:tcPr>
            <w:tcW w:w="1988" w:type="dxa"/>
            <w:vAlign w:val="center"/>
            <w:hideMark/>
          </w:tcPr>
          <w:p w14:paraId="744BCD43"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lastRenderedPageBreak/>
              <w:t>Teacher education</w:t>
            </w:r>
          </w:p>
        </w:tc>
        <w:tc>
          <w:tcPr>
            <w:tcW w:w="748" w:type="dxa"/>
            <w:vAlign w:val="center"/>
            <w:hideMark/>
          </w:tcPr>
          <w:p w14:paraId="1B0E752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82.7</w:t>
            </w:r>
          </w:p>
        </w:tc>
        <w:tc>
          <w:tcPr>
            <w:tcW w:w="748" w:type="dxa"/>
            <w:vAlign w:val="center"/>
            <w:hideMark/>
          </w:tcPr>
          <w:p w14:paraId="14B1561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86.6</w:t>
            </w:r>
          </w:p>
        </w:tc>
        <w:tc>
          <w:tcPr>
            <w:tcW w:w="748" w:type="dxa"/>
            <w:vAlign w:val="center"/>
            <w:hideMark/>
          </w:tcPr>
          <w:p w14:paraId="723FE8D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84.6</w:t>
            </w:r>
          </w:p>
        </w:tc>
        <w:tc>
          <w:tcPr>
            <w:tcW w:w="748" w:type="dxa"/>
            <w:vAlign w:val="center"/>
            <w:hideMark/>
          </w:tcPr>
          <w:p w14:paraId="18D5A847" w14:textId="14164DFE"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56</w:t>
            </w:r>
            <w:r w:rsidR="00A44303">
              <w:rPr>
                <w:rFonts w:ascii="Calibri" w:hAnsi="Calibri" w:cs="Calibri"/>
                <w:color w:val="000000" w:themeColor="text1"/>
                <w:sz w:val="18"/>
              </w:rPr>
              <w:t>.0</w:t>
            </w:r>
          </w:p>
        </w:tc>
        <w:tc>
          <w:tcPr>
            <w:tcW w:w="748" w:type="dxa"/>
            <w:vAlign w:val="center"/>
            <w:hideMark/>
          </w:tcPr>
          <w:p w14:paraId="57A5699C" w14:textId="1767EAF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71</w:t>
            </w:r>
            <w:r w:rsidR="00ED6C5C" w:rsidRPr="00F007B0">
              <w:rPr>
                <w:rFonts w:ascii="Calibri" w:hAnsi="Calibri" w:cs="Calibri"/>
                <w:color w:val="000000" w:themeColor="text1"/>
                <w:sz w:val="18"/>
              </w:rPr>
              <w:t>.0</w:t>
            </w:r>
          </w:p>
        </w:tc>
        <w:tc>
          <w:tcPr>
            <w:tcW w:w="748" w:type="dxa"/>
            <w:vAlign w:val="center"/>
            <w:hideMark/>
          </w:tcPr>
          <w:p w14:paraId="7FD159E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72.5</w:t>
            </w:r>
          </w:p>
        </w:tc>
        <w:tc>
          <w:tcPr>
            <w:tcW w:w="748" w:type="dxa"/>
            <w:vAlign w:val="center"/>
            <w:hideMark/>
          </w:tcPr>
          <w:p w14:paraId="1D725FF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81.4</w:t>
            </w:r>
          </w:p>
        </w:tc>
        <w:tc>
          <w:tcPr>
            <w:tcW w:w="748" w:type="dxa"/>
            <w:vAlign w:val="center"/>
            <w:hideMark/>
          </w:tcPr>
          <w:p w14:paraId="47D83C01" w14:textId="78FC6A02"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w:t>
            </w:r>
            <w:r w:rsidR="00ED6C5C" w:rsidRPr="00F007B0">
              <w:rPr>
                <w:rFonts w:ascii="Calibri" w:hAnsi="Calibri" w:cs="Calibri"/>
                <w:color w:val="000000" w:themeColor="text1"/>
                <w:sz w:val="18"/>
              </w:rPr>
              <w:t>.0</w:t>
            </w:r>
          </w:p>
        </w:tc>
        <w:tc>
          <w:tcPr>
            <w:tcW w:w="749" w:type="dxa"/>
            <w:vAlign w:val="center"/>
            <w:hideMark/>
          </w:tcPr>
          <w:p w14:paraId="4D82D1D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81.9</w:t>
            </w:r>
          </w:p>
        </w:tc>
        <w:tc>
          <w:tcPr>
            <w:tcW w:w="748" w:type="dxa"/>
            <w:vAlign w:val="center"/>
            <w:hideMark/>
          </w:tcPr>
          <w:p w14:paraId="2EB84ED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73.7</w:t>
            </w:r>
          </w:p>
        </w:tc>
        <w:tc>
          <w:tcPr>
            <w:tcW w:w="748" w:type="dxa"/>
            <w:vAlign w:val="center"/>
            <w:hideMark/>
          </w:tcPr>
          <w:p w14:paraId="6FB64B8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77.4</w:t>
            </w:r>
          </w:p>
        </w:tc>
        <w:tc>
          <w:tcPr>
            <w:tcW w:w="748" w:type="dxa"/>
            <w:vAlign w:val="center"/>
            <w:hideMark/>
          </w:tcPr>
          <w:p w14:paraId="3F7B57D3" w14:textId="07F22CB8"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w:t>
            </w:r>
            <w:r w:rsidR="00ED6C5C" w:rsidRPr="00F007B0">
              <w:rPr>
                <w:rFonts w:ascii="Calibri" w:hAnsi="Calibri" w:cs="Calibri"/>
                <w:color w:val="000000" w:themeColor="text1"/>
                <w:sz w:val="18"/>
              </w:rPr>
              <w:t>.0</w:t>
            </w:r>
          </w:p>
        </w:tc>
        <w:tc>
          <w:tcPr>
            <w:tcW w:w="748" w:type="dxa"/>
            <w:vAlign w:val="center"/>
            <w:hideMark/>
          </w:tcPr>
          <w:p w14:paraId="79E509E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86.2</w:t>
            </w:r>
          </w:p>
        </w:tc>
        <w:tc>
          <w:tcPr>
            <w:tcW w:w="748" w:type="dxa"/>
            <w:vAlign w:val="center"/>
            <w:hideMark/>
          </w:tcPr>
          <w:p w14:paraId="62B9AAFF"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84.9</w:t>
            </w:r>
          </w:p>
        </w:tc>
        <w:tc>
          <w:tcPr>
            <w:tcW w:w="748" w:type="dxa"/>
            <w:vAlign w:val="center"/>
            <w:hideMark/>
          </w:tcPr>
          <w:p w14:paraId="07E1EEF4"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85.1</w:t>
            </w:r>
          </w:p>
        </w:tc>
        <w:tc>
          <w:tcPr>
            <w:tcW w:w="748" w:type="dxa"/>
            <w:vAlign w:val="center"/>
            <w:hideMark/>
          </w:tcPr>
          <w:p w14:paraId="0198B2D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73.2</w:t>
            </w:r>
          </w:p>
        </w:tc>
        <w:tc>
          <w:tcPr>
            <w:tcW w:w="748" w:type="dxa"/>
            <w:vAlign w:val="center"/>
            <w:hideMark/>
          </w:tcPr>
          <w:p w14:paraId="5A120F1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74.6</w:t>
            </w:r>
          </w:p>
        </w:tc>
        <w:tc>
          <w:tcPr>
            <w:tcW w:w="749" w:type="dxa"/>
            <w:vAlign w:val="center"/>
            <w:hideMark/>
          </w:tcPr>
          <w:p w14:paraId="01DAB50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75.5</w:t>
            </w:r>
          </w:p>
        </w:tc>
      </w:tr>
      <w:tr w:rsidR="00481507" w:rsidRPr="00711289" w14:paraId="586B2D25" w14:textId="77777777" w:rsidTr="00A44303">
        <w:trPr>
          <w:trHeight w:val="344"/>
        </w:trPr>
        <w:tc>
          <w:tcPr>
            <w:tcW w:w="1988" w:type="dxa"/>
            <w:vAlign w:val="center"/>
            <w:hideMark/>
          </w:tcPr>
          <w:p w14:paraId="026C849E"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Tourism, hospitality, personal services, sport and recreation</w:t>
            </w:r>
          </w:p>
        </w:tc>
        <w:tc>
          <w:tcPr>
            <w:tcW w:w="748" w:type="dxa"/>
            <w:vAlign w:val="center"/>
            <w:hideMark/>
          </w:tcPr>
          <w:p w14:paraId="1828512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76.6</w:t>
            </w:r>
          </w:p>
        </w:tc>
        <w:tc>
          <w:tcPr>
            <w:tcW w:w="748" w:type="dxa"/>
            <w:vAlign w:val="center"/>
            <w:hideMark/>
          </w:tcPr>
          <w:p w14:paraId="5DBD2D8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85.9</w:t>
            </w:r>
          </w:p>
        </w:tc>
        <w:tc>
          <w:tcPr>
            <w:tcW w:w="748" w:type="dxa"/>
            <w:vAlign w:val="center"/>
            <w:hideMark/>
          </w:tcPr>
          <w:p w14:paraId="3D87F93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87.3</w:t>
            </w:r>
          </w:p>
        </w:tc>
        <w:tc>
          <w:tcPr>
            <w:tcW w:w="748" w:type="dxa"/>
            <w:vAlign w:val="center"/>
            <w:hideMark/>
          </w:tcPr>
          <w:p w14:paraId="2470B22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67.2</w:t>
            </w:r>
          </w:p>
        </w:tc>
        <w:tc>
          <w:tcPr>
            <w:tcW w:w="748" w:type="dxa"/>
            <w:vAlign w:val="center"/>
            <w:hideMark/>
          </w:tcPr>
          <w:p w14:paraId="126EA58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80.3</w:t>
            </w:r>
          </w:p>
        </w:tc>
        <w:tc>
          <w:tcPr>
            <w:tcW w:w="748" w:type="dxa"/>
            <w:vAlign w:val="center"/>
            <w:hideMark/>
          </w:tcPr>
          <w:p w14:paraId="39D2254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83.8</w:t>
            </w:r>
          </w:p>
        </w:tc>
        <w:tc>
          <w:tcPr>
            <w:tcW w:w="748" w:type="dxa"/>
            <w:vAlign w:val="center"/>
            <w:hideMark/>
          </w:tcPr>
          <w:p w14:paraId="4DEE10A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81.3</w:t>
            </w:r>
          </w:p>
        </w:tc>
        <w:tc>
          <w:tcPr>
            <w:tcW w:w="748" w:type="dxa"/>
            <w:vAlign w:val="center"/>
            <w:hideMark/>
          </w:tcPr>
          <w:p w14:paraId="4102B9E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85.9</w:t>
            </w:r>
          </w:p>
        </w:tc>
        <w:tc>
          <w:tcPr>
            <w:tcW w:w="749" w:type="dxa"/>
            <w:vAlign w:val="center"/>
            <w:hideMark/>
          </w:tcPr>
          <w:p w14:paraId="20A2B2D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87.5</w:t>
            </w:r>
          </w:p>
        </w:tc>
        <w:tc>
          <w:tcPr>
            <w:tcW w:w="748" w:type="dxa"/>
            <w:vAlign w:val="center"/>
            <w:hideMark/>
          </w:tcPr>
          <w:p w14:paraId="1CB335A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70.5</w:t>
            </w:r>
          </w:p>
        </w:tc>
        <w:tc>
          <w:tcPr>
            <w:tcW w:w="748" w:type="dxa"/>
            <w:vAlign w:val="center"/>
            <w:hideMark/>
          </w:tcPr>
          <w:p w14:paraId="221EEC5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86.4</w:t>
            </w:r>
          </w:p>
        </w:tc>
        <w:tc>
          <w:tcPr>
            <w:tcW w:w="748" w:type="dxa"/>
            <w:vAlign w:val="center"/>
            <w:hideMark/>
          </w:tcPr>
          <w:p w14:paraId="175D8BD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85.7</w:t>
            </w:r>
          </w:p>
        </w:tc>
        <w:tc>
          <w:tcPr>
            <w:tcW w:w="748" w:type="dxa"/>
            <w:vAlign w:val="center"/>
            <w:hideMark/>
          </w:tcPr>
          <w:p w14:paraId="7AC98BF7" w14:textId="59ADCDD1"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w:t>
            </w:r>
            <w:r w:rsidR="00ED6C5C" w:rsidRPr="00F007B0">
              <w:rPr>
                <w:rFonts w:ascii="Calibri" w:hAnsi="Calibri" w:cs="Calibri"/>
                <w:color w:val="000000" w:themeColor="text1"/>
                <w:sz w:val="18"/>
              </w:rPr>
              <w:t>.0</w:t>
            </w:r>
          </w:p>
        </w:tc>
        <w:tc>
          <w:tcPr>
            <w:tcW w:w="748" w:type="dxa"/>
            <w:vAlign w:val="center"/>
            <w:hideMark/>
          </w:tcPr>
          <w:p w14:paraId="210B8808"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88.6</w:t>
            </w:r>
          </w:p>
        </w:tc>
        <w:tc>
          <w:tcPr>
            <w:tcW w:w="748" w:type="dxa"/>
            <w:vAlign w:val="center"/>
            <w:hideMark/>
          </w:tcPr>
          <w:p w14:paraId="526E53C7" w14:textId="30565B5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95</w:t>
            </w:r>
            <w:r w:rsidR="00ED6C5C" w:rsidRPr="00F007B0">
              <w:rPr>
                <w:rFonts w:ascii="Calibri" w:hAnsi="Calibri" w:cs="Calibri"/>
                <w:color w:val="000000" w:themeColor="text1"/>
                <w:sz w:val="18"/>
              </w:rPr>
              <w:t>.0</w:t>
            </w:r>
          </w:p>
        </w:tc>
        <w:tc>
          <w:tcPr>
            <w:tcW w:w="748" w:type="dxa"/>
            <w:vAlign w:val="center"/>
            <w:hideMark/>
          </w:tcPr>
          <w:p w14:paraId="6D90CDF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78.1</w:t>
            </w:r>
          </w:p>
        </w:tc>
        <w:tc>
          <w:tcPr>
            <w:tcW w:w="748" w:type="dxa"/>
            <w:vAlign w:val="center"/>
            <w:hideMark/>
          </w:tcPr>
          <w:p w14:paraId="673A39F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83.1</w:t>
            </w:r>
          </w:p>
        </w:tc>
        <w:tc>
          <w:tcPr>
            <w:tcW w:w="749" w:type="dxa"/>
            <w:vAlign w:val="center"/>
            <w:hideMark/>
          </w:tcPr>
          <w:p w14:paraId="3FCDE23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73.8</w:t>
            </w:r>
          </w:p>
        </w:tc>
      </w:tr>
      <w:tr w:rsidR="00481507" w:rsidRPr="00711289" w14:paraId="640B966D" w14:textId="77777777" w:rsidTr="00A44303">
        <w:trPr>
          <w:trHeight w:val="471"/>
        </w:trPr>
        <w:tc>
          <w:tcPr>
            <w:tcW w:w="1988" w:type="dxa"/>
            <w:vAlign w:val="center"/>
            <w:hideMark/>
          </w:tcPr>
          <w:p w14:paraId="22AFB8E3"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Veterinary science</w:t>
            </w:r>
          </w:p>
        </w:tc>
        <w:tc>
          <w:tcPr>
            <w:tcW w:w="748" w:type="dxa"/>
            <w:vAlign w:val="center"/>
            <w:hideMark/>
          </w:tcPr>
          <w:p w14:paraId="4A54AB2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88.2</w:t>
            </w:r>
          </w:p>
        </w:tc>
        <w:tc>
          <w:tcPr>
            <w:tcW w:w="748" w:type="dxa"/>
            <w:vAlign w:val="center"/>
            <w:hideMark/>
          </w:tcPr>
          <w:p w14:paraId="2D36534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82.7</w:t>
            </w:r>
          </w:p>
        </w:tc>
        <w:tc>
          <w:tcPr>
            <w:tcW w:w="748" w:type="dxa"/>
            <w:vAlign w:val="center"/>
            <w:hideMark/>
          </w:tcPr>
          <w:p w14:paraId="1825A46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91.9</w:t>
            </w:r>
          </w:p>
        </w:tc>
        <w:tc>
          <w:tcPr>
            <w:tcW w:w="748" w:type="dxa"/>
            <w:vAlign w:val="center"/>
            <w:hideMark/>
          </w:tcPr>
          <w:p w14:paraId="77210CE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64.5</w:t>
            </w:r>
          </w:p>
        </w:tc>
        <w:tc>
          <w:tcPr>
            <w:tcW w:w="748" w:type="dxa"/>
            <w:vAlign w:val="center"/>
            <w:hideMark/>
          </w:tcPr>
          <w:p w14:paraId="49F92C6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63.3</w:t>
            </w:r>
          </w:p>
        </w:tc>
        <w:tc>
          <w:tcPr>
            <w:tcW w:w="748" w:type="dxa"/>
            <w:vAlign w:val="center"/>
            <w:hideMark/>
          </w:tcPr>
          <w:p w14:paraId="7729124D" w14:textId="096F6FFA"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w:t>
            </w:r>
            <w:r w:rsidR="00ED6C5C" w:rsidRPr="00F007B0">
              <w:rPr>
                <w:rFonts w:ascii="Calibri" w:hAnsi="Calibri" w:cs="Calibri"/>
                <w:color w:val="000000" w:themeColor="text1"/>
                <w:sz w:val="18"/>
              </w:rPr>
              <w:t>.0</w:t>
            </w:r>
          </w:p>
        </w:tc>
        <w:tc>
          <w:tcPr>
            <w:tcW w:w="748" w:type="dxa"/>
            <w:vAlign w:val="center"/>
            <w:hideMark/>
          </w:tcPr>
          <w:p w14:paraId="7DB01E9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80.3</w:t>
            </w:r>
          </w:p>
        </w:tc>
        <w:tc>
          <w:tcPr>
            <w:tcW w:w="748" w:type="dxa"/>
            <w:vAlign w:val="center"/>
            <w:hideMark/>
          </w:tcPr>
          <w:p w14:paraId="6892623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68.4</w:t>
            </w:r>
          </w:p>
        </w:tc>
        <w:tc>
          <w:tcPr>
            <w:tcW w:w="749" w:type="dxa"/>
            <w:vAlign w:val="center"/>
            <w:hideMark/>
          </w:tcPr>
          <w:p w14:paraId="52CDDBD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79.7</w:t>
            </w:r>
          </w:p>
        </w:tc>
        <w:tc>
          <w:tcPr>
            <w:tcW w:w="748" w:type="dxa"/>
            <w:vAlign w:val="center"/>
            <w:hideMark/>
          </w:tcPr>
          <w:p w14:paraId="3E770851" w14:textId="4DD6A84F"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50</w:t>
            </w:r>
            <w:r w:rsidR="00ED6C5C" w:rsidRPr="00F007B0">
              <w:rPr>
                <w:rFonts w:ascii="Calibri" w:hAnsi="Calibri" w:cs="Calibri"/>
                <w:color w:val="000000" w:themeColor="text1"/>
                <w:sz w:val="18"/>
              </w:rPr>
              <w:t>.0</w:t>
            </w:r>
          </w:p>
        </w:tc>
        <w:tc>
          <w:tcPr>
            <w:tcW w:w="748" w:type="dxa"/>
            <w:vAlign w:val="center"/>
            <w:hideMark/>
          </w:tcPr>
          <w:p w14:paraId="7786DD0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44.4</w:t>
            </w:r>
          </w:p>
        </w:tc>
        <w:tc>
          <w:tcPr>
            <w:tcW w:w="748" w:type="dxa"/>
            <w:vAlign w:val="center"/>
            <w:hideMark/>
          </w:tcPr>
          <w:p w14:paraId="0BDA019B" w14:textId="0C5E0498"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56</w:t>
            </w:r>
            <w:r w:rsidR="00ED6C5C" w:rsidRPr="00F007B0">
              <w:rPr>
                <w:rFonts w:ascii="Calibri" w:hAnsi="Calibri" w:cs="Calibri"/>
                <w:color w:val="000000" w:themeColor="text1"/>
                <w:sz w:val="18"/>
              </w:rPr>
              <w:t>.0</w:t>
            </w:r>
          </w:p>
        </w:tc>
        <w:tc>
          <w:tcPr>
            <w:tcW w:w="748" w:type="dxa"/>
            <w:vAlign w:val="center"/>
            <w:hideMark/>
          </w:tcPr>
          <w:p w14:paraId="457C434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79.5</w:t>
            </w:r>
          </w:p>
        </w:tc>
        <w:tc>
          <w:tcPr>
            <w:tcW w:w="748" w:type="dxa"/>
            <w:vAlign w:val="center"/>
            <w:hideMark/>
          </w:tcPr>
          <w:p w14:paraId="4B2E5FA0"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79.4</w:t>
            </w:r>
          </w:p>
        </w:tc>
        <w:tc>
          <w:tcPr>
            <w:tcW w:w="748" w:type="dxa"/>
            <w:vAlign w:val="center"/>
            <w:hideMark/>
          </w:tcPr>
          <w:p w14:paraId="4D174CA0"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77.5</w:t>
            </w:r>
          </w:p>
        </w:tc>
        <w:tc>
          <w:tcPr>
            <w:tcW w:w="748" w:type="dxa"/>
            <w:vAlign w:val="center"/>
            <w:hideMark/>
          </w:tcPr>
          <w:p w14:paraId="11E3654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60.5</w:t>
            </w:r>
          </w:p>
        </w:tc>
        <w:tc>
          <w:tcPr>
            <w:tcW w:w="748" w:type="dxa"/>
            <w:vAlign w:val="center"/>
            <w:hideMark/>
          </w:tcPr>
          <w:p w14:paraId="5BB01AE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55.1</w:t>
            </w:r>
          </w:p>
        </w:tc>
        <w:tc>
          <w:tcPr>
            <w:tcW w:w="749" w:type="dxa"/>
            <w:vAlign w:val="center"/>
            <w:hideMark/>
          </w:tcPr>
          <w:p w14:paraId="0E04AA7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66.2</w:t>
            </w:r>
          </w:p>
        </w:tc>
      </w:tr>
      <w:tr w:rsidR="00481507" w:rsidRPr="00A65A10" w14:paraId="53853800" w14:textId="77777777" w:rsidTr="00A44303">
        <w:trPr>
          <w:trHeight w:val="344"/>
        </w:trPr>
        <w:tc>
          <w:tcPr>
            <w:tcW w:w="1988" w:type="dxa"/>
            <w:vAlign w:val="center"/>
            <w:hideMark/>
          </w:tcPr>
          <w:p w14:paraId="2B96CA96" w14:textId="77777777" w:rsidR="007030E3" w:rsidRPr="00973B32" w:rsidRDefault="007030E3" w:rsidP="00A44303">
            <w:pPr>
              <w:spacing w:before="60" w:after="60"/>
              <w:rPr>
                <w:rFonts w:ascii="Calibri" w:eastAsia="Times New Roman" w:hAnsi="Calibri" w:cs="Calibri"/>
                <w:b/>
                <w:bCs/>
                <w:color w:val="000000" w:themeColor="text1"/>
                <w:sz w:val="18"/>
                <w:highlight w:val="yellow"/>
                <w:lang w:eastAsia="en-AU"/>
              </w:rPr>
            </w:pPr>
            <w:r w:rsidRPr="00973B32">
              <w:rPr>
                <w:rFonts w:ascii="Calibri" w:hAnsi="Calibri" w:cs="Calibri"/>
                <w:b/>
                <w:bCs/>
                <w:color w:val="000000" w:themeColor="text1"/>
                <w:sz w:val="18"/>
              </w:rPr>
              <w:t>Total</w:t>
            </w:r>
          </w:p>
        </w:tc>
        <w:tc>
          <w:tcPr>
            <w:tcW w:w="748" w:type="dxa"/>
            <w:vAlign w:val="center"/>
            <w:hideMark/>
          </w:tcPr>
          <w:p w14:paraId="52E6A10D"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84.1</w:t>
            </w:r>
          </w:p>
        </w:tc>
        <w:tc>
          <w:tcPr>
            <w:tcW w:w="748" w:type="dxa"/>
            <w:vAlign w:val="center"/>
            <w:hideMark/>
          </w:tcPr>
          <w:p w14:paraId="74BD5147"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85.5</w:t>
            </w:r>
          </w:p>
        </w:tc>
        <w:tc>
          <w:tcPr>
            <w:tcW w:w="748" w:type="dxa"/>
            <w:vAlign w:val="center"/>
            <w:hideMark/>
          </w:tcPr>
          <w:p w14:paraId="1DE3FDAB" w14:textId="36A522FB"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86</w:t>
            </w:r>
            <w:r w:rsidR="00ED6C5C" w:rsidRPr="00F007B0">
              <w:rPr>
                <w:rFonts w:ascii="Calibri" w:hAnsi="Calibri" w:cs="Calibri"/>
                <w:b/>
                <w:bCs/>
                <w:color w:val="000000" w:themeColor="text1"/>
                <w:sz w:val="18"/>
              </w:rPr>
              <w:t>.0</w:t>
            </w:r>
          </w:p>
        </w:tc>
        <w:tc>
          <w:tcPr>
            <w:tcW w:w="748" w:type="dxa"/>
            <w:vAlign w:val="center"/>
            <w:hideMark/>
          </w:tcPr>
          <w:p w14:paraId="4E8739C0"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62.2</w:t>
            </w:r>
          </w:p>
        </w:tc>
        <w:tc>
          <w:tcPr>
            <w:tcW w:w="748" w:type="dxa"/>
            <w:vAlign w:val="center"/>
            <w:hideMark/>
          </w:tcPr>
          <w:p w14:paraId="34BF502B"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74.3</w:t>
            </w:r>
          </w:p>
        </w:tc>
        <w:tc>
          <w:tcPr>
            <w:tcW w:w="748" w:type="dxa"/>
            <w:vAlign w:val="center"/>
            <w:hideMark/>
          </w:tcPr>
          <w:p w14:paraId="2A735E29"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77.7</w:t>
            </w:r>
          </w:p>
        </w:tc>
        <w:tc>
          <w:tcPr>
            <w:tcW w:w="748" w:type="dxa"/>
            <w:vAlign w:val="center"/>
            <w:hideMark/>
          </w:tcPr>
          <w:p w14:paraId="26F00AE3"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82.6</w:t>
            </w:r>
          </w:p>
        </w:tc>
        <w:tc>
          <w:tcPr>
            <w:tcW w:w="748" w:type="dxa"/>
            <w:vAlign w:val="center"/>
            <w:hideMark/>
          </w:tcPr>
          <w:p w14:paraId="61DE5E96"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84.1</w:t>
            </w:r>
          </w:p>
        </w:tc>
        <w:tc>
          <w:tcPr>
            <w:tcW w:w="749" w:type="dxa"/>
            <w:vAlign w:val="center"/>
            <w:hideMark/>
          </w:tcPr>
          <w:p w14:paraId="2ADF7C35"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84.1</w:t>
            </w:r>
          </w:p>
        </w:tc>
        <w:tc>
          <w:tcPr>
            <w:tcW w:w="748" w:type="dxa"/>
            <w:vAlign w:val="center"/>
            <w:hideMark/>
          </w:tcPr>
          <w:p w14:paraId="5AACBD51"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76.9</w:t>
            </w:r>
          </w:p>
        </w:tc>
        <w:tc>
          <w:tcPr>
            <w:tcW w:w="748" w:type="dxa"/>
            <w:vAlign w:val="center"/>
            <w:hideMark/>
          </w:tcPr>
          <w:p w14:paraId="2FE7B1E1"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80.4</w:t>
            </w:r>
          </w:p>
        </w:tc>
        <w:tc>
          <w:tcPr>
            <w:tcW w:w="748" w:type="dxa"/>
            <w:vAlign w:val="center"/>
            <w:hideMark/>
          </w:tcPr>
          <w:p w14:paraId="669FDC54"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80.3</w:t>
            </w:r>
          </w:p>
        </w:tc>
        <w:tc>
          <w:tcPr>
            <w:tcW w:w="748" w:type="dxa"/>
            <w:vAlign w:val="center"/>
            <w:hideMark/>
          </w:tcPr>
          <w:p w14:paraId="1DD46952"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86.4</w:t>
            </w:r>
          </w:p>
        </w:tc>
        <w:tc>
          <w:tcPr>
            <w:tcW w:w="748" w:type="dxa"/>
            <w:vAlign w:val="center"/>
            <w:hideMark/>
          </w:tcPr>
          <w:p w14:paraId="78D92A5B" w14:textId="77777777" w:rsidR="007030E3" w:rsidRPr="00F007B0" w:rsidRDefault="007030E3" w:rsidP="00A44303">
            <w:pPr>
              <w:ind w:right="85"/>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87.7</w:t>
            </w:r>
          </w:p>
        </w:tc>
        <w:tc>
          <w:tcPr>
            <w:tcW w:w="748" w:type="dxa"/>
            <w:vAlign w:val="center"/>
            <w:hideMark/>
          </w:tcPr>
          <w:p w14:paraId="3E3ACE69" w14:textId="77777777" w:rsidR="007030E3" w:rsidRPr="00F007B0" w:rsidRDefault="007030E3" w:rsidP="00A44303">
            <w:pPr>
              <w:ind w:right="102"/>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87.3</w:t>
            </w:r>
          </w:p>
        </w:tc>
        <w:tc>
          <w:tcPr>
            <w:tcW w:w="748" w:type="dxa"/>
            <w:vAlign w:val="center"/>
            <w:hideMark/>
          </w:tcPr>
          <w:p w14:paraId="710D549A"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76.9</w:t>
            </w:r>
          </w:p>
        </w:tc>
        <w:tc>
          <w:tcPr>
            <w:tcW w:w="748" w:type="dxa"/>
            <w:vAlign w:val="center"/>
            <w:hideMark/>
          </w:tcPr>
          <w:p w14:paraId="27739C92" w14:textId="705FBB4C"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77</w:t>
            </w:r>
            <w:r w:rsidR="00ED6C5C" w:rsidRPr="00F007B0">
              <w:rPr>
                <w:rFonts w:ascii="Calibri" w:hAnsi="Calibri" w:cs="Calibri"/>
                <w:b/>
                <w:bCs/>
                <w:color w:val="000000" w:themeColor="text1"/>
                <w:sz w:val="18"/>
              </w:rPr>
              <w:t>.0</w:t>
            </w:r>
          </w:p>
        </w:tc>
        <w:tc>
          <w:tcPr>
            <w:tcW w:w="749" w:type="dxa"/>
            <w:vAlign w:val="center"/>
            <w:hideMark/>
          </w:tcPr>
          <w:p w14:paraId="194A5400"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76.3</w:t>
            </w:r>
          </w:p>
        </w:tc>
      </w:tr>
      <w:bookmarkEnd w:id="162"/>
      <w:bookmarkEnd w:id="163"/>
    </w:tbl>
    <w:p w14:paraId="3CE8E56B" w14:textId="27D65F0D" w:rsidR="003D0646" w:rsidRDefault="003D0646" w:rsidP="001B41A2">
      <w:pPr>
        <w:pStyle w:val="Noteupdate"/>
        <w:rPr>
          <w:rFonts w:eastAsiaTheme="majorEastAsia" w:cstheme="majorBidi"/>
          <w:b/>
          <w:bCs/>
          <w:sz w:val="40"/>
          <w:szCs w:val="32"/>
          <w:highlight w:val="yellow"/>
        </w:rPr>
      </w:pPr>
    </w:p>
    <w:p w14:paraId="53A8E6E9" w14:textId="0FAE93BE" w:rsidR="003D0646" w:rsidRPr="003D0646" w:rsidRDefault="003D0646" w:rsidP="003D0646">
      <w:pPr>
        <w:spacing w:after="160" w:line="259" w:lineRule="auto"/>
        <w:rPr>
          <w:rFonts w:eastAsiaTheme="majorEastAsia" w:cstheme="majorBidi"/>
          <w:b/>
          <w:bCs/>
          <w:color w:val="000000"/>
          <w:spacing w:val="1"/>
          <w:sz w:val="40"/>
          <w:szCs w:val="32"/>
          <w:highlight w:val="yellow"/>
          <w:lang w:val="en-GB"/>
        </w:rPr>
      </w:pPr>
    </w:p>
    <w:p w14:paraId="11AF5AE1" w14:textId="77777777" w:rsidR="003D0646" w:rsidRPr="0066499D" w:rsidRDefault="003D0646" w:rsidP="003D0646">
      <w:pPr>
        <w:pStyle w:val="Noteupdate"/>
        <w:rPr>
          <w:color w:val="auto"/>
        </w:rPr>
      </w:pPr>
    </w:p>
    <w:p w14:paraId="599AEF2C" w14:textId="7BFFF666" w:rsidR="003D0646" w:rsidRDefault="003D0646" w:rsidP="001B41A2">
      <w:pPr>
        <w:pStyle w:val="Noteupdate"/>
        <w:rPr>
          <w:rFonts w:eastAsiaTheme="majorEastAsia" w:cstheme="majorBidi"/>
          <w:b/>
          <w:bCs/>
          <w:sz w:val="40"/>
          <w:szCs w:val="32"/>
          <w:highlight w:val="yellow"/>
        </w:rPr>
      </w:pPr>
    </w:p>
    <w:p w14:paraId="259CA131" w14:textId="77777777" w:rsidR="003D0646" w:rsidRDefault="003D0646">
      <w:pPr>
        <w:spacing w:after="160" w:line="259" w:lineRule="auto"/>
        <w:rPr>
          <w:rFonts w:eastAsiaTheme="majorEastAsia" w:cstheme="majorBidi"/>
          <w:b/>
          <w:bCs/>
          <w:color w:val="000000"/>
          <w:spacing w:val="1"/>
          <w:sz w:val="40"/>
          <w:szCs w:val="32"/>
          <w:highlight w:val="yellow"/>
          <w:lang w:val="en-GB"/>
        </w:rPr>
      </w:pPr>
      <w:r>
        <w:rPr>
          <w:rFonts w:eastAsiaTheme="majorEastAsia" w:cstheme="majorBidi"/>
          <w:b/>
          <w:bCs/>
          <w:sz w:val="40"/>
          <w:szCs w:val="32"/>
          <w:highlight w:val="yellow"/>
        </w:rPr>
        <w:br w:type="page"/>
      </w:r>
    </w:p>
    <w:p w14:paraId="5D28AF77" w14:textId="42B819AF" w:rsidR="003D0646" w:rsidRPr="003D0646" w:rsidRDefault="003D0646" w:rsidP="003D0646">
      <w:pPr>
        <w:spacing w:after="160" w:line="259" w:lineRule="auto"/>
        <w:rPr>
          <w:rFonts w:eastAsiaTheme="majorEastAsia" w:cstheme="majorBidi"/>
          <w:b/>
          <w:bCs/>
          <w:color w:val="000000"/>
          <w:spacing w:val="1"/>
          <w:sz w:val="40"/>
          <w:szCs w:val="32"/>
          <w:highlight w:val="yellow"/>
          <w:lang w:val="en-GB"/>
        </w:rPr>
        <w:sectPr w:rsidR="003D0646" w:rsidRPr="003D0646" w:rsidSect="00496DDF">
          <w:footerReference w:type="even" r:id="rId65"/>
          <w:pgSz w:w="16840" w:h="11900" w:orient="landscape"/>
          <w:pgMar w:top="720" w:right="720" w:bottom="720" w:left="720" w:header="397" w:footer="170" w:gutter="0"/>
          <w:cols w:space="708"/>
          <w:docGrid w:linePitch="360"/>
        </w:sectPr>
      </w:pPr>
    </w:p>
    <w:p w14:paraId="65261905" w14:textId="36C9043C" w:rsidR="00272348" w:rsidRPr="00272348" w:rsidRDefault="00272348" w:rsidP="00E73D9A">
      <w:pPr>
        <w:spacing w:before="11760"/>
        <w:rPr>
          <w:rFonts w:cs="Arial"/>
          <w:sz w:val="16"/>
          <w:szCs w:val="16"/>
        </w:rPr>
      </w:pPr>
      <w:r w:rsidRPr="00E8656C">
        <w:rPr>
          <w:rFonts w:cs="Arial"/>
          <w:sz w:val="16"/>
          <w:szCs w:val="16"/>
        </w:rPr>
        <w:lastRenderedPageBreak/>
        <w:t>The Social Research Centre Pty Ltd</w:t>
      </w:r>
      <w:r w:rsidRPr="00E8656C">
        <w:rPr>
          <w:rFonts w:cs="Arial"/>
          <w:sz w:val="16"/>
          <w:szCs w:val="16"/>
        </w:rPr>
        <w:br/>
        <w:t>Level 5, 350 Queen Street, Melbourne VIC 3000</w:t>
      </w:r>
      <w:r w:rsidRPr="00E8656C">
        <w:rPr>
          <w:rFonts w:cs="Arial"/>
          <w:sz w:val="16"/>
          <w:szCs w:val="16"/>
        </w:rPr>
        <w:br/>
        <w:t>PO Box 13328, Law Courts VIC 8010</w:t>
      </w:r>
    </w:p>
    <w:p w14:paraId="019AC750" w14:textId="77777777" w:rsidR="00272348" w:rsidRPr="00E8656C" w:rsidRDefault="00272348" w:rsidP="006D016D">
      <w:pPr>
        <w:rPr>
          <w:rFonts w:cs="Arial"/>
          <w:sz w:val="16"/>
          <w:szCs w:val="16"/>
        </w:rPr>
      </w:pPr>
      <w:r w:rsidRPr="00E8656C">
        <w:rPr>
          <w:rFonts w:cs="Arial"/>
          <w:sz w:val="16"/>
          <w:szCs w:val="16"/>
        </w:rPr>
        <w:t xml:space="preserve">03 9236 8500 | </w:t>
      </w:r>
      <w:hyperlink r:id="rId66" w:history="1">
        <w:r w:rsidRPr="00E8656C">
          <w:rPr>
            <w:rStyle w:val="Hyperlink"/>
            <w:rFonts w:cs="Arial"/>
            <w:color w:val="auto"/>
            <w:sz w:val="16"/>
            <w:szCs w:val="16"/>
          </w:rPr>
          <w:t>info@srcentre.com.au</w:t>
        </w:r>
      </w:hyperlink>
    </w:p>
    <w:p w14:paraId="29DCEA28" w14:textId="77777777" w:rsidR="00272348" w:rsidRPr="00E8656C" w:rsidRDefault="00272348" w:rsidP="006D016D">
      <w:pPr>
        <w:rPr>
          <w:rFonts w:cs="Arial"/>
          <w:sz w:val="16"/>
          <w:szCs w:val="16"/>
        </w:rPr>
      </w:pPr>
      <w:hyperlink r:id="rId67" w:history="1">
        <w:r w:rsidRPr="00E8656C">
          <w:rPr>
            <w:rStyle w:val="Hyperlink"/>
            <w:rFonts w:cs="Arial"/>
            <w:b/>
            <w:bCs/>
            <w:color w:val="auto"/>
            <w:sz w:val="16"/>
            <w:szCs w:val="16"/>
          </w:rPr>
          <w:t>srcentre.com.au</w:t>
        </w:r>
      </w:hyperlink>
    </w:p>
    <w:p w14:paraId="1B0FCCD0" w14:textId="77777777" w:rsidR="00272348" w:rsidRPr="00E8656C" w:rsidRDefault="00272348" w:rsidP="006D016D">
      <w:pPr>
        <w:spacing w:before="120"/>
        <w:rPr>
          <w:rFonts w:asciiTheme="minorBidi" w:hAnsiTheme="minorBidi"/>
          <w:sz w:val="12"/>
          <w:szCs w:val="12"/>
        </w:rPr>
      </w:pPr>
      <w:r w:rsidRPr="00E8656C">
        <w:rPr>
          <w:rFonts w:cs="Arial"/>
          <w:sz w:val="12"/>
          <w:szCs w:val="12"/>
        </w:rPr>
        <w:br/>
        <w:t xml:space="preserve">The version of this publication is aimed to assist those with various </w:t>
      </w:r>
      <w:r w:rsidRPr="00E8656C">
        <w:rPr>
          <w:rFonts w:cs="Arial"/>
          <w:sz w:val="12"/>
          <w:szCs w:val="12"/>
        </w:rPr>
        <w:br/>
        <w:t xml:space="preserve">vision impairments; however, The Social Research Centre and its </w:t>
      </w:r>
      <w:r w:rsidRPr="00E8656C">
        <w:rPr>
          <w:rFonts w:cs="Arial"/>
          <w:sz w:val="12"/>
          <w:szCs w:val="12"/>
        </w:rPr>
        <w:br/>
        <w:t xml:space="preserve">employees do not guarantee that the publication meets all broad </w:t>
      </w:r>
      <w:r w:rsidRPr="00E8656C">
        <w:rPr>
          <w:rFonts w:cs="Arial"/>
          <w:sz w:val="12"/>
          <w:szCs w:val="12"/>
        </w:rPr>
        <w:br/>
        <w:t xml:space="preserve">accessibility standards and therefore disclaim all liability for any </w:t>
      </w:r>
      <w:r w:rsidRPr="00E8656C">
        <w:rPr>
          <w:rFonts w:cs="Arial"/>
          <w:sz w:val="12"/>
          <w:szCs w:val="12"/>
        </w:rPr>
        <w:br/>
        <w:t xml:space="preserve">inconvenience or other consequence that may arise from readers </w:t>
      </w:r>
      <w:r w:rsidRPr="00E8656C">
        <w:rPr>
          <w:rFonts w:cs="Arial"/>
          <w:sz w:val="12"/>
          <w:szCs w:val="12"/>
        </w:rPr>
        <w:br/>
        <w:t xml:space="preserve">relying on this publication. Please contact The Social Research </w:t>
      </w:r>
      <w:r w:rsidRPr="00E8656C">
        <w:rPr>
          <w:rFonts w:cs="Arial"/>
          <w:sz w:val="12"/>
          <w:szCs w:val="12"/>
        </w:rPr>
        <w:br/>
        <w:t>Centre if you require further assistance.</w:t>
      </w:r>
      <w:r w:rsidRPr="00E8656C">
        <w:rPr>
          <w:rFonts w:asciiTheme="minorBidi" w:hAnsiTheme="minorBidi"/>
          <w:sz w:val="12"/>
          <w:szCs w:val="12"/>
        </w:rPr>
        <w:br/>
      </w:r>
      <w:r w:rsidRPr="00E8656C">
        <w:rPr>
          <w:rFonts w:asciiTheme="minorBidi" w:hAnsiTheme="minorBidi"/>
          <w:sz w:val="12"/>
          <w:szCs w:val="12"/>
        </w:rPr>
        <w:br/>
      </w:r>
      <w:r w:rsidRPr="00E8656C">
        <w:rPr>
          <w:rFonts w:asciiTheme="minorBidi" w:hAnsiTheme="minorBidi"/>
          <w:sz w:val="12"/>
          <w:szCs w:val="12"/>
        </w:rPr>
        <w:br/>
      </w:r>
    </w:p>
    <w:p w14:paraId="48310318" w14:textId="77777777" w:rsidR="00272348" w:rsidRPr="00182A31" w:rsidRDefault="00272348" w:rsidP="006D016D">
      <w:pPr>
        <w:pStyle w:val="Noteupdate"/>
        <w:rPr>
          <w:color w:val="auto"/>
          <w:sz w:val="18"/>
          <w:szCs w:val="18"/>
        </w:rPr>
      </w:pPr>
      <w:r w:rsidRPr="00E8656C">
        <w:rPr>
          <w:rFonts w:asciiTheme="minorBidi" w:hAnsiTheme="minorBidi"/>
          <w:noProof/>
          <w:color w:val="auto"/>
        </w:rPr>
        <w:drawing>
          <wp:inline distT="0" distB="0" distL="0" distR="0" wp14:anchorId="1B508268" wp14:editId="7AA78102">
            <wp:extent cx="1806799" cy="609033"/>
            <wp:effectExtent l="0" t="0" r="3175" b="635"/>
            <wp:docPr id="4" name="Picture 4" descr="The 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Social Research Centre logo"/>
                    <pic:cNvPicPr/>
                  </pic:nvPicPr>
                  <pic:blipFill>
                    <a:blip r:embed="rId68">
                      <a:extLst>
                        <a:ext uri="{96DAC541-7B7A-43D3-8B79-37D633B846F1}">
                          <asvg:svgBlip xmlns:asvg="http://schemas.microsoft.com/office/drawing/2016/SVG/main" r:embed="rId69"/>
                        </a:ext>
                      </a:extLst>
                    </a:blip>
                    <a:stretch>
                      <a:fillRect/>
                    </a:stretch>
                  </pic:blipFill>
                  <pic:spPr>
                    <a:xfrm>
                      <a:off x="0" y="0"/>
                      <a:ext cx="1806799" cy="609033"/>
                    </a:xfrm>
                    <a:prstGeom prst="rect">
                      <a:avLst/>
                    </a:prstGeom>
                  </pic:spPr>
                </pic:pic>
              </a:graphicData>
            </a:graphic>
          </wp:inline>
        </w:drawing>
      </w:r>
    </w:p>
    <w:sectPr w:rsidR="00272348" w:rsidRPr="00182A31" w:rsidSect="003D0646">
      <w:footerReference w:type="default" r:id="rId70"/>
      <w:pgSz w:w="11906" w:h="16838" w:code="9"/>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CC0F4" w14:textId="77777777" w:rsidR="00BA27C3" w:rsidRDefault="00BA27C3" w:rsidP="00BE7643">
      <w:r>
        <w:separator/>
      </w:r>
    </w:p>
  </w:endnote>
  <w:endnote w:type="continuationSeparator" w:id="0">
    <w:p w14:paraId="40B28FEB" w14:textId="77777777" w:rsidR="00BA27C3" w:rsidRDefault="00BA27C3" w:rsidP="00BE7643">
      <w:r>
        <w:continuationSeparator/>
      </w:r>
    </w:p>
  </w:endnote>
  <w:endnote w:type="continuationNotice" w:id="1">
    <w:p w14:paraId="6F605714" w14:textId="77777777" w:rsidR="00BA27C3" w:rsidRDefault="00BA2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Quicksand Light">
    <w:altName w:val="Cambria"/>
    <w:panose1 w:val="00000000000000000000"/>
    <w:charset w:val="00"/>
    <w:family w:val="auto"/>
    <w:pitch w:val="variable"/>
    <w:sig w:usb0="A00000FF" w:usb1="4000205B" w:usb2="00000000" w:usb3="00000000" w:csb0="00000193"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Quicksand Medium">
    <w:altName w:val="Cambria"/>
    <w:panose1 w:val="00000000000000000000"/>
    <w:charset w:val="00"/>
    <w:family w:val="auto"/>
    <w:pitch w:val="variable"/>
    <w:sig w:usb0="A00000FF" w:usb1="4000205B" w:usb2="00000000" w:usb3="00000000" w:csb0="00000193" w:csb1="00000000"/>
  </w:font>
  <w:font w:name="Arial Nova">
    <w:charset w:val="00"/>
    <w:family w:val="swiss"/>
    <w:pitch w:val="variable"/>
    <w:sig w:usb0="0000028F" w:usb1="00000002"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DINOT-Light">
    <w:altName w:val="Calibri"/>
    <w:charset w:val="00"/>
    <w:family w:val="auto"/>
    <w:pitch w:val="variable"/>
    <w:sig w:usb0="800000AF" w:usb1="4000207B" w:usb2="00000000" w:usb3="00000000" w:csb0="00000001" w:csb1="00000000"/>
  </w:font>
  <w:font w:name="DINOT-Medium">
    <w:altName w:val="Calibri"/>
    <w:charset w:val="00"/>
    <w:family w:val="auto"/>
    <w:pitch w:val="variable"/>
    <w:sig w:usb0="800000AF" w:usb1="4000207B"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otham-Light">
    <w:altName w:val="Calibri"/>
    <w:charset w:val="00"/>
    <w:family w:val="auto"/>
    <w:pitch w:val="variable"/>
    <w:sig w:usb0="A100007F" w:usb1="4000005B" w:usb2="00000000" w:usb3="00000000" w:csb0="0000009B" w:csb1="00000000"/>
  </w:font>
  <w:font w:name="CaeciliaLTStd-Heavy">
    <w:altName w:val="Calibri"/>
    <w:charset w:val="00"/>
    <w:family w:val="auto"/>
    <w:pitch w:val="variable"/>
    <w:sig w:usb0="800000AF" w:usb1="5000204A" w:usb2="00000000" w:usb3="00000000" w:csb0="00000001" w:csb1="00000000"/>
  </w:font>
  <w:font w:name="Gotham-Medium">
    <w:altName w:val="Calibri"/>
    <w:charset w:val="00"/>
    <w:family w:val="auto"/>
    <w:pitch w:val="variable"/>
    <w:sig w:usb0="A100007F" w:usb1="4000005B" w:usb2="00000000" w:usb3="00000000" w:csb0="0000009B" w:csb1="00000000"/>
  </w:font>
  <w:font w:name="Gotham-Book">
    <w:altName w:val="Calibri"/>
    <w:charset w:val="00"/>
    <w:family w:val="auto"/>
    <w:pitch w:val="variable"/>
    <w:sig w:usb0="A100007F" w:usb1="4000005B" w:usb2="00000000" w:usb3="00000000" w:csb0="0000009B" w:csb1="00000000"/>
  </w:font>
  <w:font w:name="VIC-Regular">
    <w:altName w:val="Calibri"/>
    <w:charset w:val="00"/>
    <w:family w:val="auto"/>
    <w:pitch w:val="variable"/>
    <w:sig w:usb0="00000007" w:usb1="00000000" w:usb2="00000000" w:usb3="00000000" w:csb0="00000093" w:csb1="00000000"/>
  </w:font>
  <w:font w:name="Arial-Black">
    <w:altName w:val="Arial Black"/>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swiss"/>
    <w:pitch w:val="variable"/>
    <w:sig w:usb0="E1000AEF" w:usb1="5000A1FF" w:usb2="00000000" w:usb3="00000000" w:csb0="000001BF" w:csb1="00000000"/>
  </w:font>
  <w:font w:name="Klavika Regular">
    <w:altName w:val="Calibri"/>
    <w:panose1 w:val="00000000000000000000"/>
    <w:charset w:val="00"/>
    <w:family w:val="swiss"/>
    <w:notTrueType/>
    <w:pitch w:val="variable"/>
    <w:sig w:usb0="A00000AF" w:usb1="5000204A" w:usb2="00000000" w:usb3="00000000" w:csb0="0000009F" w:csb1="00000000"/>
  </w:font>
  <w:font w:name="Atletico">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Bold">
    <w:altName w:val="Calibri"/>
    <w:charset w:val="4D"/>
    <w:family w:val="auto"/>
    <w:pitch w:val="default"/>
    <w:sig w:usb0="00000003" w:usb1="00000000" w:usb2="00000000" w:usb3="00000000" w:csb0="00000001" w:csb1="00000000"/>
  </w:font>
  <w:font w:name="Calibri-Light">
    <w:altName w:val="Calibri"/>
    <w:charset w:val="4D"/>
    <w:family w:val="auto"/>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Quicksand SemiBold">
    <w:panose1 w:val="00000000000000000000"/>
    <w:charset w:val="4D"/>
    <w:family w:val="auto"/>
    <w:pitch w:val="variable"/>
    <w:sig w:usb0="A00000FF" w:usb1="4000205B" w:usb2="00000000" w:usb3="00000000" w:csb0="00000193" w:csb1="00000000"/>
  </w:font>
  <w:font w:name="Quicksand">
    <w:panose1 w:val="00000000000000000000"/>
    <w:charset w:val="00"/>
    <w:family w:val="auto"/>
    <w:pitch w:val="variable"/>
    <w:sig w:usb0="A00000FF" w:usb1="4000205B" w:usb2="00000000" w:usb3="00000000" w:csb0="00000193" w:csb1="00000000"/>
  </w:font>
  <w:font w:name="Public Sans Medium">
    <w:altName w:val="Calibri"/>
    <w:panose1 w:val="00000000000000000000"/>
    <w:charset w:val="4D"/>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89DE0" w14:textId="079D9796" w:rsidR="00576A87" w:rsidRPr="00421F8C" w:rsidRDefault="00576A87" w:rsidP="00421F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6FF0" w14:textId="0A6DC92F" w:rsidR="004F5DBB" w:rsidRPr="004F5DBB" w:rsidRDefault="004F5DBB" w:rsidP="004F5D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78B3D" w14:textId="77777777" w:rsidR="003D0646" w:rsidRPr="00AC1207" w:rsidRDefault="003D0646" w:rsidP="00AC1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6CF26" w14:textId="77777777" w:rsidR="00BA27C3" w:rsidRDefault="00BA27C3" w:rsidP="00BE7643">
      <w:r>
        <w:separator/>
      </w:r>
    </w:p>
  </w:footnote>
  <w:footnote w:type="continuationSeparator" w:id="0">
    <w:p w14:paraId="217F2BF1" w14:textId="77777777" w:rsidR="00BA27C3" w:rsidRDefault="00BA27C3" w:rsidP="00BE7643">
      <w:r>
        <w:continuationSeparator/>
      </w:r>
    </w:p>
  </w:footnote>
  <w:footnote w:type="continuationNotice" w:id="1">
    <w:p w14:paraId="01E89161" w14:textId="77777777" w:rsidR="00BA27C3" w:rsidRDefault="00BA27C3"/>
  </w:footnote>
  <w:footnote w:id="2">
    <w:p w14:paraId="4D0F68DE" w14:textId="130654FA" w:rsidR="00D105CE" w:rsidRDefault="00D105CE" w:rsidP="00D105CE">
      <w:pPr>
        <w:pStyle w:val="FootnoteText"/>
      </w:pPr>
      <w:r>
        <w:rPr>
          <w:rStyle w:val="FootnoteReference"/>
        </w:rPr>
        <w:footnoteRef/>
      </w:r>
      <w:r>
        <w:t xml:space="preserve"> Based on survey item</w:t>
      </w:r>
    </w:p>
  </w:footnote>
  <w:footnote w:id="3">
    <w:p w14:paraId="59236C1C" w14:textId="097AAD1B" w:rsidR="00B0496D" w:rsidRPr="00B0496D" w:rsidRDefault="003E55C9" w:rsidP="00B0496D">
      <w:pPr>
        <w:pStyle w:val="FootnoteText"/>
        <w:rPr>
          <w:lang w:val="en-AU"/>
        </w:rPr>
      </w:pPr>
      <w:r>
        <w:rPr>
          <w:rStyle w:val="FootnoteReference"/>
        </w:rPr>
        <w:footnoteRef/>
      </w:r>
      <w:r>
        <w:t xml:space="preserve"> </w:t>
      </w:r>
      <w:r w:rsidR="00B0496D" w:rsidRPr="00987CD6">
        <w:rPr>
          <w:lang w:val="en-AU"/>
        </w:rPr>
        <w:t>This report discusses the characteristics of international students who responded to the survey. Demographic and course characteristics of the responding international population closely matched the total international population of students eligible to take part in the 2024 SES. However, international students from China had a lower propensity to respond to the survey at both the undergraduate and postgraduate coursework level than students from other source countries.</w:t>
      </w:r>
      <w:r w:rsidR="009A702B" w:rsidRPr="00987CD6">
        <w:rPr>
          <w:lang w:val="en-AU"/>
        </w:rPr>
        <w:t xml:space="preserve"> </w:t>
      </w:r>
      <w:r w:rsidR="00B0496D" w:rsidRPr="00987CD6">
        <w:rPr>
          <w:lang w:val="en-AU"/>
        </w:rPr>
        <w:t>Detailed analysis of students’ propensity to respond to the 2024 SES are discussed in the SES Methodological Report available from the QILT website.</w:t>
      </w:r>
      <w:r w:rsidR="00B0496D" w:rsidRPr="00B0496D">
        <w:rPr>
          <w:lang w:val="en-AU"/>
        </w:rPr>
        <w:t> </w:t>
      </w:r>
    </w:p>
    <w:p w14:paraId="3BF44E76" w14:textId="3EF76575" w:rsidR="003E55C9" w:rsidRDefault="003E55C9">
      <w:pPr>
        <w:pStyle w:val="FootnoteText"/>
      </w:pPr>
    </w:p>
  </w:footnote>
  <w:footnote w:id="4">
    <w:p w14:paraId="7BCA99AC" w14:textId="3360E06B" w:rsidR="00620E06" w:rsidRDefault="00620E06">
      <w:pPr>
        <w:pStyle w:val="FootnoteText"/>
      </w:pPr>
      <w:r>
        <w:rPr>
          <w:rStyle w:val="FootnoteReference"/>
        </w:rPr>
        <w:footnoteRef/>
      </w:r>
      <w:r>
        <w:t xml:space="preserve"> </w:t>
      </w:r>
      <w:r w:rsidR="00DE52B8">
        <w:t xml:space="preserve">International students are identified </w:t>
      </w:r>
      <w:r w:rsidR="00DC27D8">
        <w:t>by</w:t>
      </w:r>
      <w:r w:rsidR="00DE52B8">
        <w:t xml:space="preserve"> </w:t>
      </w:r>
      <w:r w:rsidR="00DC27D8">
        <w:t>the Tertiary Collection of Student Information (</w:t>
      </w:r>
      <w:r w:rsidR="00DE52B8">
        <w:t>TCSI</w:t>
      </w:r>
      <w:r w:rsidR="00DC27D8">
        <w:t>)</w:t>
      </w:r>
      <w:r w:rsidR="00DE52B8">
        <w:t xml:space="preserve"> derived </w:t>
      </w:r>
      <w:r w:rsidR="00DC27D8">
        <w:t xml:space="preserve">data </w:t>
      </w:r>
      <w:r w:rsidR="00DE52B8">
        <w:t>element Citizenship indicator</w:t>
      </w:r>
      <w:r w:rsidR="0032115A">
        <w:t xml:space="preserve"> </w:t>
      </w:r>
      <w:r w:rsidR="00DC27D8">
        <w:t>(E942)</w:t>
      </w:r>
      <w:r w:rsidR="00084E4D">
        <w:t xml:space="preserve">, </w:t>
      </w:r>
      <w:r w:rsidR="0032115A">
        <w:t xml:space="preserve">with a value of 1 – </w:t>
      </w:r>
      <w:r w:rsidR="002951A3">
        <w:t>‘</w:t>
      </w:r>
      <w:r w:rsidR="0032115A">
        <w:t>Overseas</w:t>
      </w:r>
      <w:r w:rsidR="002951A3">
        <w:t>’</w:t>
      </w:r>
      <w:r w:rsidR="0032115A">
        <w:t>.</w:t>
      </w:r>
    </w:p>
  </w:footnote>
  <w:footnote w:id="5">
    <w:p w14:paraId="660F8798" w14:textId="44C97751" w:rsidR="00487E80" w:rsidRDefault="00487E80">
      <w:pPr>
        <w:pStyle w:val="FootnoteText"/>
      </w:pPr>
      <w:r>
        <w:rPr>
          <w:rStyle w:val="FootnoteReference"/>
        </w:rPr>
        <w:footnoteRef/>
      </w:r>
      <w:r>
        <w:t xml:space="preserve"> </w:t>
      </w:r>
      <w:r w:rsidR="00F86A83" w:rsidRPr="00F86A83">
        <w:rPr>
          <w:lang w:val="en-AU"/>
        </w:rPr>
        <w:t>The</w:t>
      </w:r>
      <w:r w:rsidR="00D961B4" w:rsidRPr="00F86A83">
        <w:rPr>
          <w:lang w:val="en-AU"/>
        </w:rPr>
        <w:t xml:space="preserve"> proportions of students from </w:t>
      </w:r>
      <w:r w:rsidR="00F86A83" w:rsidRPr="00F86A83">
        <w:rPr>
          <w:lang w:val="en-AU"/>
        </w:rPr>
        <w:t xml:space="preserve">different </w:t>
      </w:r>
      <w:r w:rsidR="00F86A83">
        <w:rPr>
          <w:lang w:val="en-AU"/>
        </w:rPr>
        <w:t>source</w:t>
      </w:r>
      <w:r w:rsidR="00D961B4" w:rsidRPr="00F86A83">
        <w:rPr>
          <w:lang w:val="en-AU"/>
        </w:rPr>
        <w:t xml:space="preserve"> countries </w:t>
      </w:r>
      <w:r w:rsidR="0094223F">
        <w:rPr>
          <w:lang w:val="en-AU"/>
        </w:rPr>
        <w:t xml:space="preserve">in this section </w:t>
      </w:r>
      <w:r w:rsidR="00D961B4" w:rsidRPr="00F86A83">
        <w:rPr>
          <w:lang w:val="en-AU"/>
        </w:rPr>
        <w:t xml:space="preserve">are based on </w:t>
      </w:r>
      <w:r w:rsidR="00B0792D">
        <w:rPr>
          <w:lang w:val="en-AU"/>
        </w:rPr>
        <w:t>responses to the 2024 SES</w:t>
      </w:r>
      <w:r w:rsidR="00D961B4" w:rsidRPr="00F86A83">
        <w:rPr>
          <w:lang w:val="en-AU"/>
        </w:rPr>
        <w:t xml:space="preserve">, </w:t>
      </w:r>
      <w:r w:rsidR="00F86A83" w:rsidRPr="00F86A83">
        <w:rPr>
          <w:lang w:val="en-AU"/>
        </w:rPr>
        <w:t xml:space="preserve">not the total international student </w:t>
      </w:r>
      <w:r w:rsidR="00E23795" w:rsidRPr="00F86A83">
        <w:rPr>
          <w:lang w:val="en-AU"/>
        </w:rPr>
        <w:t xml:space="preserve">population. For example, </w:t>
      </w:r>
      <w:r w:rsidR="00F86A83" w:rsidRPr="00F86A83">
        <w:rPr>
          <w:lang w:val="en-AU"/>
        </w:rPr>
        <w:t xml:space="preserve">students from </w:t>
      </w:r>
      <w:r w:rsidR="00E23795" w:rsidRPr="00F86A83">
        <w:rPr>
          <w:lang w:val="en-AU"/>
        </w:rPr>
        <w:t>China (</w:t>
      </w:r>
      <w:r w:rsidR="00F86A83" w:rsidRPr="00F86A83">
        <w:rPr>
          <w:lang w:val="en-AU"/>
        </w:rPr>
        <w:t>excluding</w:t>
      </w:r>
      <w:r w:rsidR="00E23795" w:rsidRPr="00F86A83">
        <w:rPr>
          <w:lang w:val="en-AU"/>
        </w:rPr>
        <w:t xml:space="preserve"> SARs and Taiwan) </w:t>
      </w:r>
      <w:r w:rsidR="00F86A83" w:rsidRPr="00F86A83">
        <w:rPr>
          <w:lang w:val="en-AU"/>
        </w:rPr>
        <w:t>represent</w:t>
      </w:r>
      <w:r w:rsidR="00E23795" w:rsidRPr="00F86A83">
        <w:rPr>
          <w:lang w:val="en-AU"/>
        </w:rPr>
        <w:t xml:space="preserve"> a larger </w:t>
      </w:r>
      <w:r w:rsidR="00F86A83" w:rsidRPr="00F86A83">
        <w:rPr>
          <w:lang w:val="en-AU"/>
        </w:rPr>
        <w:t>share</w:t>
      </w:r>
      <w:r w:rsidR="00E23795" w:rsidRPr="00F86A83">
        <w:rPr>
          <w:lang w:val="en-AU"/>
        </w:rPr>
        <w:t xml:space="preserve"> of the </w:t>
      </w:r>
      <w:r w:rsidR="00F86A83" w:rsidRPr="00F86A83">
        <w:rPr>
          <w:lang w:val="en-AU"/>
        </w:rPr>
        <w:t xml:space="preserve">overall </w:t>
      </w:r>
      <w:r w:rsidR="0063317F" w:rsidRPr="00F86A83">
        <w:rPr>
          <w:lang w:val="en-AU"/>
        </w:rPr>
        <w:t xml:space="preserve">undergraduate international student </w:t>
      </w:r>
      <w:r w:rsidR="00273231">
        <w:rPr>
          <w:lang w:val="en-AU"/>
        </w:rPr>
        <w:t>population</w:t>
      </w:r>
      <w:r w:rsidR="00BB4D1B" w:rsidRPr="00F86A83">
        <w:rPr>
          <w:lang w:val="en-AU"/>
        </w:rPr>
        <w:t xml:space="preserve"> but</w:t>
      </w:r>
      <w:r w:rsidR="0063317F" w:rsidRPr="00F86A83">
        <w:rPr>
          <w:lang w:val="en-AU"/>
        </w:rPr>
        <w:t xml:space="preserve"> </w:t>
      </w:r>
      <w:r w:rsidR="00F86A83" w:rsidRPr="00F86A83">
        <w:rPr>
          <w:lang w:val="en-AU"/>
        </w:rPr>
        <w:t>tend</w:t>
      </w:r>
      <w:r w:rsidR="0063317F" w:rsidRPr="00F86A83">
        <w:rPr>
          <w:lang w:val="en-AU"/>
        </w:rPr>
        <w:t xml:space="preserve"> to respond</w:t>
      </w:r>
      <w:r w:rsidR="00F86A83" w:rsidRPr="00F86A83">
        <w:rPr>
          <w:lang w:val="en-AU"/>
        </w:rPr>
        <w:t xml:space="preserve"> to the survey at lower rates.</w:t>
      </w:r>
      <w:r w:rsidR="0063317F">
        <w:t xml:space="preserve"> See </w:t>
      </w:r>
      <w:r w:rsidR="00EA2406">
        <w:t xml:space="preserve">the 2024 SES Methodological Report, available on the QILT website for further </w:t>
      </w:r>
      <w:r w:rsidR="00BB4D1B">
        <w:t>information.</w:t>
      </w:r>
    </w:p>
  </w:footnote>
  <w:footnote w:id="6">
    <w:p w14:paraId="4F522498" w14:textId="48F0D94F" w:rsidR="00BC3121" w:rsidRPr="00D946A5" w:rsidRDefault="00BC3121">
      <w:pPr>
        <w:pStyle w:val="FootnoteText"/>
      </w:pPr>
      <w:r>
        <w:rPr>
          <w:rStyle w:val="FootnoteReference"/>
        </w:rPr>
        <w:footnoteRef/>
      </w:r>
      <w:r>
        <w:t xml:space="preserve"> </w:t>
      </w:r>
      <w:r w:rsidR="00F10A7A" w:rsidRPr="00F10A7A">
        <w:rPr>
          <w:i/>
          <w:iCs/>
          <w:lang w:val="en-AU"/>
        </w:rPr>
        <w:t xml:space="preserve">The Support for Students Policy </w:t>
      </w:r>
      <w:r w:rsidR="00F10A7A" w:rsidRPr="00987CD6">
        <w:rPr>
          <w:lang w:val="en-AU"/>
        </w:rPr>
        <w:t>is an Australian Government requirement for higher education providers to ensure students have access to academic and non-academic support services. It aims to help students progress in and complete their studies. Providers must publish and annually review their support policies, and report on their implementation. For more information, see the Australian Government Department of Education’s Support for Students Policy:</w:t>
      </w:r>
      <w:r w:rsidR="002927E2" w:rsidRPr="00987CD6">
        <w:rPr>
          <w:lang w:val="en-AU"/>
        </w:rPr>
        <w:t xml:space="preserve"> </w:t>
      </w:r>
      <w:r w:rsidR="00F10A7A" w:rsidRPr="00987CD6">
        <w:rPr>
          <w:lang w:val="en-AU"/>
        </w:rPr>
        <w:t>https://www.education.gov.au/support-students-policy</w:t>
      </w:r>
    </w:p>
  </w:footnote>
  <w:footnote w:id="7">
    <w:p w14:paraId="4B3B4523" w14:textId="5E5114A5" w:rsidR="000132D6" w:rsidRDefault="000132D6">
      <w:pPr>
        <w:pStyle w:val="FootnoteText"/>
      </w:pPr>
      <w:r>
        <w:rPr>
          <w:rStyle w:val="FootnoteReference"/>
        </w:rPr>
        <w:footnoteRef/>
      </w:r>
      <w:r>
        <w:t xml:space="preserve"> </w:t>
      </w:r>
      <w:r w:rsidRPr="00D214F2">
        <w:rPr>
          <w:szCs w:val="16"/>
        </w:rPr>
        <w:t xml:space="preserve">The Australian University of Theology was awarded university status in December 2024. Prior to this, the institution was known as the Australian College of Theology and was classified as a non-university higher education institution (NUHEI). Data for the 2024 </w:t>
      </w:r>
      <w:r>
        <w:rPr>
          <w:szCs w:val="16"/>
        </w:rPr>
        <w:t>SES</w:t>
      </w:r>
      <w:r w:rsidRPr="00D214F2">
        <w:rPr>
          <w:szCs w:val="16"/>
        </w:rPr>
        <w:t xml:space="preserve"> was collected when the institution was a NUHEI.</w:t>
      </w:r>
    </w:p>
  </w:footnote>
  <w:footnote w:id="8">
    <w:p w14:paraId="612B4FE0" w14:textId="77777777" w:rsidR="00D072BC" w:rsidRPr="00544E66" w:rsidRDefault="00D072BC" w:rsidP="00D072BC">
      <w:pPr>
        <w:pStyle w:val="FootnoteText"/>
        <w:rPr>
          <w:rFonts w:cs="Arial"/>
          <w:szCs w:val="16"/>
          <w:lang w:val="en-AU"/>
        </w:rPr>
      </w:pPr>
      <w:r w:rsidRPr="00544E66">
        <w:rPr>
          <w:rStyle w:val="FootnoteReference"/>
          <w:rFonts w:cs="Arial"/>
        </w:rPr>
        <w:footnoteRef/>
      </w:r>
      <w:r w:rsidRPr="00544E66">
        <w:rPr>
          <w:rFonts w:cs="Arial"/>
        </w:rPr>
        <w:t xml:space="preserve"> </w:t>
      </w:r>
      <w:r w:rsidRPr="00544E66">
        <w:rPr>
          <w:rFonts w:cs="Arial"/>
          <w:color w:val="333333"/>
          <w:szCs w:val="16"/>
          <w:shd w:val="clear" w:color="auto" w:fill="FFFFFF"/>
        </w:rPr>
        <w:t>Allen, K. A., Kern, M. L., Rozek, C. S., McInerney, D. M., &amp; Slavich, G. M. (2021). Belonging: a review of conceptual issues, an integrative framework, and directions for future research. </w:t>
      </w:r>
      <w:r w:rsidRPr="00544E66">
        <w:rPr>
          <w:rFonts w:cs="Arial"/>
          <w:i/>
          <w:iCs/>
          <w:color w:val="333333"/>
          <w:szCs w:val="16"/>
          <w:shd w:val="clear" w:color="auto" w:fill="FFFFFF"/>
        </w:rPr>
        <w:t>Australian Journal of Psychology</w:t>
      </w:r>
      <w:r w:rsidRPr="00544E66">
        <w:rPr>
          <w:rFonts w:cs="Arial"/>
          <w:color w:val="333333"/>
          <w:szCs w:val="16"/>
          <w:shd w:val="clear" w:color="auto" w:fill="FFFFFF"/>
        </w:rPr>
        <w:t>, </w:t>
      </w:r>
      <w:r w:rsidRPr="00544E66">
        <w:rPr>
          <w:rFonts w:cs="Arial"/>
          <w:i/>
          <w:iCs/>
          <w:color w:val="333333"/>
          <w:szCs w:val="16"/>
          <w:shd w:val="clear" w:color="auto" w:fill="FFFFFF"/>
        </w:rPr>
        <w:t>73</w:t>
      </w:r>
      <w:r w:rsidRPr="00544E66">
        <w:rPr>
          <w:rFonts w:cs="Arial"/>
          <w:color w:val="333333"/>
          <w:szCs w:val="16"/>
          <w:shd w:val="clear" w:color="auto" w:fill="FFFFFF"/>
        </w:rPr>
        <w:t>(1), 87–102. https://doi.org/10.1080/00049530.2021.1883409</w:t>
      </w:r>
    </w:p>
  </w:footnote>
  <w:footnote w:id="9">
    <w:p w14:paraId="3BFF7307" w14:textId="77777777" w:rsidR="00916E53" w:rsidRPr="00EB4AD4" w:rsidRDefault="00916E53" w:rsidP="00916E53">
      <w:pPr>
        <w:pStyle w:val="FootnoteText"/>
        <w:rPr>
          <w:lang w:val="en-AU"/>
        </w:rPr>
      </w:pPr>
      <w:r w:rsidRPr="00544E66">
        <w:rPr>
          <w:rStyle w:val="FootnoteReference"/>
          <w:rFonts w:cs="Arial"/>
        </w:rPr>
        <w:footnoteRef/>
      </w:r>
      <w:r w:rsidRPr="00544E66">
        <w:rPr>
          <w:rFonts w:cs="Arial"/>
        </w:rPr>
        <w:t xml:space="preserve"> </w:t>
      </w:r>
      <w:r w:rsidRPr="00544E66">
        <w:rPr>
          <w:rFonts w:cs="Arial"/>
          <w:color w:val="333333"/>
          <w:shd w:val="clear" w:color="auto" w:fill="FFFFFF"/>
        </w:rPr>
        <w:t>Crawford, J., Allen, K. A., Sanders, T., Baumeister, R., Parker, P., Saunders, C., &amp; Tice, D. (2024). Sense of belonging in higher education students: an Australian longitudinal study from 2013 to 2019. </w:t>
      </w:r>
      <w:r w:rsidRPr="00544E66">
        <w:rPr>
          <w:rFonts w:cs="Arial"/>
          <w:i/>
          <w:iCs/>
          <w:color w:val="333333"/>
          <w:shd w:val="clear" w:color="auto" w:fill="FFFFFF"/>
        </w:rPr>
        <w:t>Studies in Higher Education</w:t>
      </w:r>
      <w:r w:rsidRPr="00544E66">
        <w:rPr>
          <w:rFonts w:cs="Arial"/>
          <w:color w:val="333333"/>
          <w:shd w:val="clear" w:color="auto" w:fill="FFFFFF"/>
        </w:rPr>
        <w:t>, </w:t>
      </w:r>
      <w:r w:rsidRPr="00544E66">
        <w:rPr>
          <w:rFonts w:cs="Arial"/>
          <w:i/>
          <w:iCs/>
          <w:color w:val="333333"/>
          <w:shd w:val="clear" w:color="auto" w:fill="FFFFFF"/>
        </w:rPr>
        <w:t>49</w:t>
      </w:r>
      <w:r w:rsidRPr="00544E66">
        <w:rPr>
          <w:rFonts w:cs="Arial"/>
          <w:color w:val="333333"/>
          <w:shd w:val="clear" w:color="auto" w:fill="FFFFFF"/>
        </w:rPr>
        <w:t>(3), 395–409. https://doi.org/10.1080/03075079.2023.2238006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61A1"/>
    <w:multiLevelType w:val="multilevel"/>
    <w:tmpl w:val="653E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8652CE"/>
    <w:multiLevelType w:val="multilevel"/>
    <w:tmpl w:val="CBBEE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0518D7"/>
    <w:multiLevelType w:val="multilevel"/>
    <w:tmpl w:val="69EA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D9614C"/>
    <w:multiLevelType w:val="multilevel"/>
    <w:tmpl w:val="E064F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814575"/>
    <w:multiLevelType w:val="hybridMultilevel"/>
    <w:tmpl w:val="5FA484BC"/>
    <w:lvl w:ilvl="0" w:tplc="E51AA842">
      <w:start w:val="1"/>
      <w:numFmt w:val="decimal"/>
      <w:pStyle w:val="Appendix2"/>
      <w:lvlText w:val="A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7" w15:restartNumberingAfterBreak="0">
    <w:nsid w:val="1E210A19"/>
    <w:multiLevelType w:val="multilevel"/>
    <w:tmpl w:val="0CF0C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950498"/>
    <w:multiLevelType w:val="hybridMultilevel"/>
    <w:tmpl w:val="DB1EBB96"/>
    <w:lvl w:ilvl="0" w:tplc="EF5090D2">
      <w:start w:val="1"/>
      <w:numFmt w:val="lowerLetter"/>
      <w:pStyle w:val="TableAPPXbulletALPHA"/>
      <w:lvlText w:val="%1)"/>
      <w:lvlJc w:val="left"/>
      <w:pPr>
        <w:ind w:left="720" w:hanging="493"/>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AE5898"/>
    <w:multiLevelType w:val="multilevel"/>
    <w:tmpl w:val="FAE6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1BB7D69"/>
    <w:multiLevelType w:val="multilevel"/>
    <w:tmpl w:val="E83E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B11A58"/>
    <w:multiLevelType w:val="multilevel"/>
    <w:tmpl w:val="C8BA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761B38"/>
    <w:multiLevelType w:val="hybridMultilevel"/>
    <w:tmpl w:val="BF9424CE"/>
    <w:lvl w:ilvl="0" w:tplc="FFFFFFFF">
      <w:start w:val="1"/>
      <w:numFmt w:val="decimal"/>
      <w:lvlText w:val="Appendix %1"/>
      <w:lvlJc w:val="left"/>
      <w:pPr>
        <w:ind w:left="360" w:hanging="360"/>
      </w:pPr>
      <w:rPr>
        <w:rFonts w:hint="default"/>
      </w:rPr>
    </w:lvl>
    <w:lvl w:ilvl="1" w:tplc="FFFFFFFF">
      <w:start w:val="1"/>
      <w:numFmt w:val="decimal"/>
      <w:lvlText w:val="A1.%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9D14A63"/>
    <w:multiLevelType w:val="multilevel"/>
    <w:tmpl w:val="1610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67656C"/>
    <w:multiLevelType w:val="multilevel"/>
    <w:tmpl w:val="B9C2F4BE"/>
    <w:lvl w:ilvl="0">
      <w:start w:val="1"/>
      <w:numFmt w:val="decimal"/>
      <w:pStyle w:val="Appendix1"/>
      <w:lvlText w:val="Appendix %1"/>
      <w:lvlJc w:val="left"/>
      <w:pPr>
        <w:ind w:left="360" w:hanging="360"/>
      </w:pPr>
      <w:rPr>
        <w:rFonts w:hint="default"/>
      </w:rPr>
    </w:lvl>
    <w:lvl w:ilvl="1">
      <w:start w:val="1"/>
      <w:numFmt w:val="decimal"/>
      <w:lvlText w:val="A%1.%2"/>
      <w:lvlJc w:val="left"/>
      <w:pPr>
        <w:ind w:left="1134" w:hanging="1134"/>
      </w:pPr>
      <w:rPr>
        <w:rFonts w:hint="default"/>
      </w:rPr>
    </w:lvl>
    <w:lvl w:ilvl="2">
      <w:start w:val="1"/>
      <w:numFmt w:val="decimal"/>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D8841FF"/>
    <w:multiLevelType w:val="multilevel"/>
    <w:tmpl w:val="251C30E8"/>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FDB7B0C"/>
    <w:multiLevelType w:val="multilevel"/>
    <w:tmpl w:val="93C6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5A05C5"/>
    <w:multiLevelType w:val="multilevel"/>
    <w:tmpl w:val="F2E8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D73B3B"/>
    <w:multiLevelType w:val="multilevel"/>
    <w:tmpl w:val="31E0A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0C19BF"/>
    <w:multiLevelType w:val="multilevel"/>
    <w:tmpl w:val="B3A0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260BEE"/>
    <w:multiLevelType w:val="multilevel"/>
    <w:tmpl w:val="99F8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99A69E4"/>
    <w:multiLevelType w:val="multilevel"/>
    <w:tmpl w:val="2A4C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BE456C"/>
    <w:multiLevelType w:val="multilevel"/>
    <w:tmpl w:val="F386F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845030"/>
    <w:multiLevelType w:val="hybridMultilevel"/>
    <w:tmpl w:val="146E115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6" w15:restartNumberingAfterBreak="0">
    <w:nsid w:val="5057547C"/>
    <w:multiLevelType w:val="multilevel"/>
    <w:tmpl w:val="AA02A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DE288D"/>
    <w:multiLevelType w:val="multilevel"/>
    <w:tmpl w:val="A6E2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702557"/>
    <w:multiLevelType w:val="multilevel"/>
    <w:tmpl w:val="56BE2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004299"/>
    <w:multiLevelType w:val="multilevel"/>
    <w:tmpl w:val="509C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E75769"/>
    <w:multiLevelType w:val="multilevel"/>
    <w:tmpl w:val="30B87568"/>
    <w:lvl w:ilvl="0">
      <w:start w:val="1"/>
      <w:numFmt w:val="decimal"/>
      <w:pStyle w:val="Heading1"/>
      <w:lvlText w:val="%1."/>
      <w:lvlJc w:val="left"/>
      <w:pPr>
        <w:ind w:left="1135" w:hanging="851"/>
      </w:pPr>
      <w:rPr>
        <w:rFonts w:hint="default"/>
        <w:b w:val="0"/>
        <w:bCs w:val="0"/>
      </w:rPr>
    </w:lvl>
    <w:lvl w:ilvl="1">
      <w:start w:val="1"/>
      <w:numFmt w:val="decimal"/>
      <w:pStyle w:val="Heading2"/>
      <w:lvlText w:val="%1.%2."/>
      <w:lvlJc w:val="left"/>
      <w:pPr>
        <w:ind w:left="1135" w:hanging="851"/>
      </w:pPr>
      <w:rPr>
        <w:rFonts w:hint="default"/>
        <w:b w:val="0"/>
        <w:bCs w:val="0"/>
      </w:rPr>
    </w:lvl>
    <w:lvl w:ilvl="2">
      <w:start w:val="1"/>
      <w:numFmt w:val="decimal"/>
      <w:pStyle w:val="Heading3"/>
      <w:lvlText w:val="%1.%2.%3"/>
      <w:lvlJc w:val="left"/>
      <w:pPr>
        <w:ind w:left="85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942843"/>
    <w:multiLevelType w:val="hybridMultilevel"/>
    <w:tmpl w:val="BBC60A7E"/>
    <w:lvl w:ilvl="0" w:tplc="E5EE87F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DD7845"/>
    <w:multiLevelType w:val="multilevel"/>
    <w:tmpl w:val="669C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CC41AD"/>
    <w:multiLevelType w:val="hybridMultilevel"/>
    <w:tmpl w:val="7A8CD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757BB9"/>
    <w:multiLevelType w:val="multilevel"/>
    <w:tmpl w:val="8B6C0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872308"/>
    <w:multiLevelType w:val="multilevel"/>
    <w:tmpl w:val="5596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8C6D5F"/>
    <w:multiLevelType w:val="hybridMultilevel"/>
    <w:tmpl w:val="886046C2"/>
    <w:lvl w:ilvl="0" w:tplc="A624395C">
      <w:start w:val="1"/>
      <w:numFmt w:val="decimal"/>
      <w:pStyle w:val="Appendix3"/>
      <w:lvlText w:val="A6.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6631400"/>
    <w:multiLevelType w:val="multilevel"/>
    <w:tmpl w:val="DFA8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C322E3"/>
    <w:multiLevelType w:val="multilevel"/>
    <w:tmpl w:val="4750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A8351DD"/>
    <w:multiLevelType w:val="hybridMultilevel"/>
    <w:tmpl w:val="B2E480AE"/>
    <w:lvl w:ilvl="0" w:tplc="57BE6B04">
      <w:start w:val="1"/>
      <w:numFmt w:val="decimal"/>
      <w:pStyle w:val="AppendixHeading"/>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CA05E2D"/>
    <w:multiLevelType w:val="multilevel"/>
    <w:tmpl w:val="6460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FEC6022"/>
    <w:multiLevelType w:val="multilevel"/>
    <w:tmpl w:val="9A08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5772204">
    <w:abstractNumId w:val="15"/>
  </w:num>
  <w:num w:numId="2" w16cid:durableId="858852492">
    <w:abstractNumId w:val="22"/>
  </w:num>
  <w:num w:numId="3" w16cid:durableId="703870629">
    <w:abstractNumId w:val="16"/>
  </w:num>
  <w:num w:numId="4" w16cid:durableId="788595793">
    <w:abstractNumId w:val="30"/>
  </w:num>
  <w:num w:numId="5" w16cid:durableId="934358896">
    <w:abstractNumId w:val="6"/>
  </w:num>
  <w:num w:numId="6" w16cid:durableId="600995162">
    <w:abstractNumId w:val="10"/>
  </w:num>
  <w:num w:numId="7" w16cid:durableId="1277980723">
    <w:abstractNumId w:val="5"/>
  </w:num>
  <w:num w:numId="8" w16cid:durableId="1483934344">
    <w:abstractNumId w:val="8"/>
  </w:num>
  <w:num w:numId="9" w16cid:durableId="1171794906">
    <w:abstractNumId w:val="4"/>
  </w:num>
  <w:num w:numId="10" w16cid:durableId="2069109771">
    <w:abstractNumId w:val="39"/>
  </w:num>
  <w:num w:numId="11" w16cid:durableId="868300249">
    <w:abstractNumId w:val="36"/>
  </w:num>
  <w:num w:numId="12" w16cid:durableId="1956672830">
    <w:abstractNumId w:val="13"/>
  </w:num>
  <w:num w:numId="13" w16cid:durableId="134835072">
    <w:abstractNumId w:val="25"/>
  </w:num>
  <w:num w:numId="14" w16cid:durableId="999313295">
    <w:abstractNumId w:val="33"/>
  </w:num>
  <w:num w:numId="15" w16cid:durableId="1192374701">
    <w:abstractNumId w:val="31"/>
  </w:num>
  <w:num w:numId="16" w16cid:durableId="510263684">
    <w:abstractNumId w:val="9"/>
  </w:num>
  <w:num w:numId="17" w16cid:durableId="1689793110">
    <w:abstractNumId w:val="37"/>
  </w:num>
  <w:num w:numId="18" w16cid:durableId="1596284139">
    <w:abstractNumId w:val="20"/>
  </w:num>
  <w:num w:numId="19" w16cid:durableId="1775638467">
    <w:abstractNumId w:val="34"/>
  </w:num>
  <w:num w:numId="20" w16cid:durableId="1488865250">
    <w:abstractNumId w:val="26"/>
  </w:num>
  <w:num w:numId="21" w16cid:durableId="1108816674">
    <w:abstractNumId w:val="35"/>
  </w:num>
  <w:num w:numId="22" w16cid:durableId="1822228657">
    <w:abstractNumId w:val="29"/>
  </w:num>
  <w:num w:numId="23" w16cid:durableId="522015643">
    <w:abstractNumId w:val="11"/>
  </w:num>
  <w:num w:numId="24" w16cid:durableId="1446002650">
    <w:abstractNumId w:val="14"/>
  </w:num>
  <w:num w:numId="25" w16cid:durableId="1126198128">
    <w:abstractNumId w:val="32"/>
  </w:num>
  <w:num w:numId="26" w16cid:durableId="1268655546">
    <w:abstractNumId w:val="3"/>
  </w:num>
  <w:num w:numId="27" w16cid:durableId="8486774">
    <w:abstractNumId w:val="28"/>
  </w:num>
  <w:num w:numId="28" w16cid:durableId="1866744441">
    <w:abstractNumId w:val="12"/>
  </w:num>
  <w:num w:numId="29" w16cid:durableId="239800450">
    <w:abstractNumId w:val="17"/>
  </w:num>
  <w:num w:numId="30" w16cid:durableId="1447388990">
    <w:abstractNumId w:val="40"/>
  </w:num>
  <w:num w:numId="31" w16cid:durableId="182937612">
    <w:abstractNumId w:val="38"/>
  </w:num>
  <w:num w:numId="32" w16cid:durableId="634486006">
    <w:abstractNumId w:val="7"/>
  </w:num>
  <w:num w:numId="33" w16cid:durableId="1967079396">
    <w:abstractNumId w:val="24"/>
  </w:num>
  <w:num w:numId="34" w16cid:durableId="1368679173">
    <w:abstractNumId w:val="21"/>
  </w:num>
  <w:num w:numId="35" w16cid:durableId="1102652784">
    <w:abstractNumId w:val="2"/>
  </w:num>
  <w:num w:numId="36" w16cid:durableId="1890265390">
    <w:abstractNumId w:val="0"/>
  </w:num>
  <w:num w:numId="37" w16cid:durableId="1074856200">
    <w:abstractNumId w:val="1"/>
  </w:num>
  <w:num w:numId="38" w16cid:durableId="1652711495">
    <w:abstractNumId w:val="27"/>
  </w:num>
  <w:num w:numId="39" w16cid:durableId="304436622">
    <w:abstractNumId w:val="18"/>
  </w:num>
  <w:num w:numId="40" w16cid:durableId="2121794958">
    <w:abstractNumId w:val="41"/>
  </w:num>
  <w:num w:numId="41" w16cid:durableId="1701324005">
    <w:abstractNumId w:val="19"/>
  </w:num>
  <w:num w:numId="42" w16cid:durableId="463548806">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958"/>
    <w:rsid w:val="0000002A"/>
    <w:rsid w:val="00000332"/>
    <w:rsid w:val="00000346"/>
    <w:rsid w:val="000003CE"/>
    <w:rsid w:val="00000786"/>
    <w:rsid w:val="00000B55"/>
    <w:rsid w:val="00000CBA"/>
    <w:rsid w:val="00000D4C"/>
    <w:rsid w:val="00000F0C"/>
    <w:rsid w:val="00001048"/>
    <w:rsid w:val="000011C2"/>
    <w:rsid w:val="0000129C"/>
    <w:rsid w:val="0000139F"/>
    <w:rsid w:val="000015D5"/>
    <w:rsid w:val="00001722"/>
    <w:rsid w:val="00001A5C"/>
    <w:rsid w:val="00001AD2"/>
    <w:rsid w:val="00001D62"/>
    <w:rsid w:val="00001E63"/>
    <w:rsid w:val="00001FE7"/>
    <w:rsid w:val="00002113"/>
    <w:rsid w:val="000023C8"/>
    <w:rsid w:val="00002D15"/>
    <w:rsid w:val="00002E37"/>
    <w:rsid w:val="00003001"/>
    <w:rsid w:val="000030E7"/>
    <w:rsid w:val="000030FB"/>
    <w:rsid w:val="00003145"/>
    <w:rsid w:val="0000315F"/>
    <w:rsid w:val="000035AD"/>
    <w:rsid w:val="00003AFF"/>
    <w:rsid w:val="00003DCD"/>
    <w:rsid w:val="0000437D"/>
    <w:rsid w:val="00004527"/>
    <w:rsid w:val="00004F15"/>
    <w:rsid w:val="000053F8"/>
    <w:rsid w:val="000055FB"/>
    <w:rsid w:val="00005A88"/>
    <w:rsid w:val="00005BED"/>
    <w:rsid w:val="00005D45"/>
    <w:rsid w:val="00006038"/>
    <w:rsid w:val="00006217"/>
    <w:rsid w:val="00006567"/>
    <w:rsid w:val="000069F1"/>
    <w:rsid w:val="00006A23"/>
    <w:rsid w:val="00006C22"/>
    <w:rsid w:val="00006C85"/>
    <w:rsid w:val="00006DD2"/>
    <w:rsid w:val="000075E2"/>
    <w:rsid w:val="00007ABC"/>
    <w:rsid w:val="00007B14"/>
    <w:rsid w:val="00007BEE"/>
    <w:rsid w:val="00007D68"/>
    <w:rsid w:val="000101AE"/>
    <w:rsid w:val="000102E4"/>
    <w:rsid w:val="0001049C"/>
    <w:rsid w:val="00010BF4"/>
    <w:rsid w:val="00011058"/>
    <w:rsid w:val="000110F4"/>
    <w:rsid w:val="000117ED"/>
    <w:rsid w:val="00011D1E"/>
    <w:rsid w:val="00012010"/>
    <w:rsid w:val="00012068"/>
    <w:rsid w:val="000120F6"/>
    <w:rsid w:val="00012B09"/>
    <w:rsid w:val="00012FB0"/>
    <w:rsid w:val="000132D6"/>
    <w:rsid w:val="00013892"/>
    <w:rsid w:val="000147DB"/>
    <w:rsid w:val="0001498C"/>
    <w:rsid w:val="00014B93"/>
    <w:rsid w:val="000150DA"/>
    <w:rsid w:val="00015334"/>
    <w:rsid w:val="000158EB"/>
    <w:rsid w:val="00015A04"/>
    <w:rsid w:val="00015AC1"/>
    <w:rsid w:val="00015B8A"/>
    <w:rsid w:val="00015E1E"/>
    <w:rsid w:val="0001603A"/>
    <w:rsid w:val="0001605B"/>
    <w:rsid w:val="000164AA"/>
    <w:rsid w:val="00016680"/>
    <w:rsid w:val="00016C8B"/>
    <w:rsid w:val="00016D54"/>
    <w:rsid w:val="00017153"/>
    <w:rsid w:val="000171AF"/>
    <w:rsid w:val="00017542"/>
    <w:rsid w:val="00017C01"/>
    <w:rsid w:val="00017DBA"/>
    <w:rsid w:val="00020170"/>
    <w:rsid w:val="000204C1"/>
    <w:rsid w:val="00020D2E"/>
    <w:rsid w:val="0002127D"/>
    <w:rsid w:val="000217EE"/>
    <w:rsid w:val="000218D4"/>
    <w:rsid w:val="000218D9"/>
    <w:rsid w:val="00021D51"/>
    <w:rsid w:val="00021D66"/>
    <w:rsid w:val="0002219C"/>
    <w:rsid w:val="0002245A"/>
    <w:rsid w:val="0002268A"/>
    <w:rsid w:val="000226CE"/>
    <w:rsid w:val="000228C0"/>
    <w:rsid w:val="00022B70"/>
    <w:rsid w:val="00022C3C"/>
    <w:rsid w:val="00022E04"/>
    <w:rsid w:val="000231C1"/>
    <w:rsid w:val="0002327F"/>
    <w:rsid w:val="00023793"/>
    <w:rsid w:val="000237AC"/>
    <w:rsid w:val="000237EA"/>
    <w:rsid w:val="000238B1"/>
    <w:rsid w:val="00023D50"/>
    <w:rsid w:val="00024142"/>
    <w:rsid w:val="00024646"/>
    <w:rsid w:val="0002488B"/>
    <w:rsid w:val="00024947"/>
    <w:rsid w:val="00024D66"/>
    <w:rsid w:val="00024F3F"/>
    <w:rsid w:val="0002543F"/>
    <w:rsid w:val="0002552C"/>
    <w:rsid w:val="0002560E"/>
    <w:rsid w:val="00025676"/>
    <w:rsid w:val="000256C8"/>
    <w:rsid w:val="000259B4"/>
    <w:rsid w:val="00025A06"/>
    <w:rsid w:val="00025ABA"/>
    <w:rsid w:val="00025AFB"/>
    <w:rsid w:val="0002658B"/>
    <w:rsid w:val="000265AE"/>
    <w:rsid w:val="00026692"/>
    <w:rsid w:val="000267BD"/>
    <w:rsid w:val="00026B59"/>
    <w:rsid w:val="00026BFB"/>
    <w:rsid w:val="00026F50"/>
    <w:rsid w:val="00027770"/>
    <w:rsid w:val="00027A8A"/>
    <w:rsid w:val="00027C0C"/>
    <w:rsid w:val="00027E49"/>
    <w:rsid w:val="00027F64"/>
    <w:rsid w:val="000300F1"/>
    <w:rsid w:val="000303C1"/>
    <w:rsid w:val="00030450"/>
    <w:rsid w:val="000304C6"/>
    <w:rsid w:val="00030E20"/>
    <w:rsid w:val="00030E23"/>
    <w:rsid w:val="00031042"/>
    <w:rsid w:val="00031370"/>
    <w:rsid w:val="00031527"/>
    <w:rsid w:val="000315D6"/>
    <w:rsid w:val="000316BB"/>
    <w:rsid w:val="000319B3"/>
    <w:rsid w:val="00031F2B"/>
    <w:rsid w:val="0003207C"/>
    <w:rsid w:val="000324CE"/>
    <w:rsid w:val="00032814"/>
    <w:rsid w:val="00032854"/>
    <w:rsid w:val="000329FF"/>
    <w:rsid w:val="00032DAB"/>
    <w:rsid w:val="000331FB"/>
    <w:rsid w:val="00033845"/>
    <w:rsid w:val="0003392F"/>
    <w:rsid w:val="00033AE5"/>
    <w:rsid w:val="00033D20"/>
    <w:rsid w:val="00033EA7"/>
    <w:rsid w:val="00033EDF"/>
    <w:rsid w:val="00034001"/>
    <w:rsid w:val="000341AC"/>
    <w:rsid w:val="00034459"/>
    <w:rsid w:val="000349E2"/>
    <w:rsid w:val="00034C4A"/>
    <w:rsid w:val="00034CF2"/>
    <w:rsid w:val="00034DBD"/>
    <w:rsid w:val="00035313"/>
    <w:rsid w:val="000363DF"/>
    <w:rsid w:val="00036972"/>
    <w:rsid w:val="00036AA7"/>
    <w:rsid w:val="00036C5F"/>
    <w:rsid w:val="000370EA"/>
    <w:rsid w:val="000371B3"/>
    <w:rsid w:val="0003765D"/>
    <w:rsid w:val="00037903"/>
    <w:rsid w:val="00037917"/>
    <w:rsid w:val="00037C0F"/>
    <w:rsid w:val="000407F2"/>
    <w:rsid w:val="00040AED"/>
    <w:rsid w:val="00040CBB"/>
    <w:rsid w:val="00040D65"/>
    <w:rsid w:val="00041217"/>
    <w:rsid w:val="00041521"/>
    <w:rsid w:val="0004161C"/>
    <w:rsid w:val="00041A37"/>
    <w:rsid w:val="00041C71"/>
    <w:rsid w:val="0004205F"/>
    <w:rsid w:val="00042063"/>
    <w:rsid w:val="00042207"/>
    <w:rsid w:val="00042771"/>
    <w:rsid w:val="00042E23"/>
    <w:rsid w:val="000432DF"/>
    <w:rsid w:val="000438F3"/>
    <w:rsid w:val="00043AF8"/>
    <w:rsid w:val="00043CBF"/>
    <w:rsid w:val="00043E78"/>
    <w:rsid w:val="0004408A"/>
    <w:rsid w:val="00044096"/>
    <w:rsid w:val="0004427B"/>
    <w:rsid w:val="0004427C"/>
    <w:rsid w:val="000443FC"/>
    <w:rsid w:val="00044550"/>
    <w:rsid w:val="0004460C"/>
    <w:rsid w:val="00044CE1"/>
    <w:rsid w:val="00044F13"/>
    <w:rsid w:val="00045116"/>
    <w:rsid w:val="000452A6"/>
    <w:rsid w:val="000454D5"/>
    <w:rsid w:val="0004553E"/>
    <w:rsid w:val="00045734"/>
    <w:rsid w:val="00045739"/>
    <w:rsid w:val="000462EC"/>
    <w:rsid w:val="00046426"/>
    <w:rsid w:val="000464A5"/>
    <w:rsid w:val="0004679E"/>
    <w:rsid w:val="000467AA"/>
    <w:rsid w:val="00046805"/>
    <w:rsid w:val="000468CC"/>
    <w:rsid w:val="0004691B"/>
    <w:rsid w:val="00046F60"/>
    <w:rsid w:val="00047158"/>
    <w:rsid w:val="00047393"/>
    <w:rsid w:val="0004739E"/>
    <w:rsid w:val="000475B0"/>
    <w:rsid w:val="0004793B"/>
    <w:rsid w:val="00047AF1"/>
    <w:rsid w:val="0005016D"/>
    <w:rsid w:val="0005023D"/>
    <w:rsid w:val="00050511"/>
    <w:rsid w:val="0005054D"/>
    <w:rsid w:val="00050682"/>
    <w:rsid w:val="0005099D"/>
    <w:rsid w:val="00050C08"/>
    <w:rsid w:val="00050F6C"/>
    <w:rsid w:val="0005135D"/>
    <w:rsid w:val="00051784"/>
    <w:rsid w:val="000517EF"/>
    <w:rsid w:val="00051CC0"/>
    <w:rsid w:val="00051F55"/>
    <w:rsid w:val="000524AE"/>
    <w:rsid w:val="000525C1"/>
    <w:rsid w:val="00052D6E"/>
    <w:rsid w:val="00052DC9"/>
    <w:rsid w:val="0005306B"/>
    <w:rsid w:val="0005335C"/>
    <w:rsid w:val="000533A1"/>
    <w:rsid w:val="000534B1"/>
    <w:rsid w:val="000534C9"/>
    <w:rsid w:val="00053665"/>
    <w:rsid w:val="000539EE"/>
    <w:rsid w:val="00053AEF"/>
    <w:rsid w:val="0005464E"/>
    <w:rsid w:val="00054761"/>
    <w:rsid w:val="0005477D"/>
    <w:rsid w:val="000549B8"/>
    <w:rsid w:val="00054A30"/>
    <w:rsid w:val="00054E0E"/>
    <w:rsid w:val="0005522D"/>
    <w:rsid w:val="0005534C"/>
    <w:rsid w:val="00055606"/>
    <w:rsid w:val="00055727"/>
    <w:rsid w:val="00055B94"/>
    <w:rsid w:val="00056420"/>
    <w:rsid w:val="0005650B"/>
    <w:rsid w:val="0005651B"/>
    <w:rsid w:val="0005658B"/>
    <w:rsid w:val="00056BD2"/>
    <w:rsid w:val="00056CA0"/>
    <w:rsid w:val="00056E17"/>
    <w:rsid w:val="000570EA"/>
    <w:rsid w:val="000574B5"/>
    <w:rsid w:val="000576C8"/>
    <w:rsid w:val="0005780F"/>
    <w:rsid w:val="00057BFD"/>
    <w:rsid w:val="00060441"/>
    <w:rsid w:val="000604DE"/>
    <w:rsid w:val="000605D4"/>
    <w:rsid w:val="000607F2"/>
    <w:rsid w:val="00060876"/>
    <w:rsid w:val="0006087B"/>
    <w:rsid w:val="00060F59"/>
    <w:rsid w:val="00061204"/>
    <w:rsid w:val="000612C0"/>
    <w:rsid w:val="000612EE"/>
    <w:rsid w:val="00061861"/>
    <w:rsid w:val="0006189A"/>
    <w:rsid w:val="00061D18"/>
    <w:rsid w:val="00062170"/>
    <w:rsid w:val="0006253D"/>
    <w:rsid w:val="000628B3"/>
    <w:rsid w:val="0006294F"/>
    <w:rsid w:val="00063026"/>
    <w:rsid w:val="000630F0"/>
    <w:rsid w:val="00063188"/>
    <w:rsid w:val="000631AD"/>
    <w:rsid w:val="00063385"/>
    <w:rsid w:val="0006346B"/>
    <w:rsid w:val="000635C9"/>
    <w:rsid w:val="0006369C"/>
    <w:rsid w:val="000638C8"/>
    <w:rsid w:val="00063AD3"/>
    <w:rsid w:val="00063C9A"/>
    <w:rsid w:val="00063D3C"/>
    <w:rsid w:val="00063D84"/>
    <w:rsid w:val="00063DC1"/>
    <w:rsid w:val="00063DFC"/>
    <w:rsid w:val="000640A3"/>
    <w:rsid w:val="00064C63"/>
    <w:rsid w:val="00064F9B"/>
    <w:rsid w:val="000654CA"/>
    <w:rsid w:val="000656F1"/>
    <w:rsid w:val="00065796"/>
    <w:rsid w:val="000657C0"/>
    <w:rsid w:val="00065874"/>
    <w:rsid w:val="00065E52"/>
    <w:rsid w:val="00065F4B"/>
    <w:rsid w:val="00066341"/>
    <w:rsid w:val="00066D3C"/>
    <w:rsid w:val="00066F55"/>
    <w:rsid w:val="00067120"/>
    <w:rsid w:val="00067138"/>
    <w:rsid w:val="00067282"/>
    <w:rsid w:val="000673FC"/>
    <w:rsid w:val="00067BB3"/>
    <w:rsid w:val="000701FC"/>
    <w:rsid w:val="00070340"/>
    <w:rsid w:val="000704FD"/>
    <w:rsid w:val="00070650"/>
    <w:rsid w:val="00070705"/>
    <w:rsid w:val="0007071A"/>
    <w:rsid w:val="000707BB"/>
    <w:rsid w:val="0007086B"/>
    <w:rsid w:val="000708DA"/>
    <w:rsid w:val="00070B15"/>
    <w:rsid w:val="00071B05"/>
    <w:rsid w:val="00071D5B"/>
    <w:rsid w:val="000721A6"/>
    <w:rsid w:val="00072836"/>
    <w:rsid w:val="00072B54"/>
    <w:rsid w:val="00072FA0"/>
    <w:rsid w:val="00073009"/>
    <w:rsid w:val="000730BF"/>
    <w:rsid w:val="000732DD"/>
    <w:rsid w:val="000735FF"/>
    <w:rsid w:val="000736BB"/>
    <w:rsid w:val="00073718"/>
    <w:rsid w:val="00073D99"/>
    <w:rsid w:val="00073E97"/>
    <w:rsid w:val="000740B0"/>
    <w:rsid w:val="00074418"/>
    <w:rsid w:val="000747EF"/>
    <w:rsid w:val="000748F8"/>
    <w:rsid w:val="000749C7"/>
    <w:rsid w:val="00074ACB"/>
    <w:rsid w:val="00074BDE"/>
    <w:rsid w:val="00074C53"/>
    <w:rsid w:val="00074CE0"/>
    <w:rsid w:val="00074E48"/>
    <w:rsid w:val="00074F71"/>
    <w:rsid w:val="00075166"/>
    <w:rsid w:val="00075230"/>
    <w:rsid w:val="000755AC"/>
    <w:rsid w:val="00075D9A"/>
    <w:rsid w:val="00075DF1"/>
    <w:rsid w:val="00075E61"/>
    <w:rsid w:val="0007685A"/>
    <w:rsid w:val="00076891"/>
    <w:rsid w:val="00076DFF"/>
    <w:rsid w:val="00076E2E"/>
    <w:rsid w:val="0007724E"/>
    <w:rsid w:val="00077560"/>
    <w:rsid w:val="00077A15"/>
    <w:rsid w:val="00077D65"/>
    <w:rsid w:val="00077DC3"/>
    <w:rsid w:val="00077EEE"/>
    <w:rsid w:val="00080137"/>
    <w:rsid w:val="00080293"/>
    <w:rsid w:val="00080439"/>
    <w:rsid w:val="000809E2"/>
    <w:rsid w:val="00080D31"/>
    <w:rsid w:val="00080E9A"/>
    <w:rsid w:val="00081311"/>
    <w:rsid w:val="000815CE"/>
    <w:rsid w:val="000818B4"/>
    <w:rsid w:val="00081B49"/>
    <w:rsid w:val="00082391"/>
    <w:rsid w:val="000824B1"/>
    <w:rsid w:val="00082554"/>
    <w:rsid w:val="0008256B"/>
    <w:rsid w:val="0008281B"/>
    <w:rsid w:val="0008283E"/>
    <w:rsid w:val="00082CFE"/>
    <w:rsid w:val="000830B5"/>
    <w:rsid w:val="000837BC"/>
    <w:rsid w:val="00083806"/>
    <w:rsid w:val="000839A5"/>
    <w:rsid w:val="00083BD1"/>
    <w:rsid w:val="00083C03"/>
    <w:rsid w:val="000843CE"/>
    <w:rsid w:val="000845DE"/>
    <w:rsid w:val="000847C3"/>
    <w:rsid w:val="00084D65"/>
    <w:rsid w:val="00084E4D"/>
    <w:rsid w:val="0008507A"/>
    <w:rsid w:val="00085158"/>
    <w:rsid w:val="000854A6"/>
    <w:rsid w:val="00085D59"/>
    <w:rsid w:val="00085F76"/>
    <w:rsid w:val="00085FDA"/>
    <w:rsid w:val="0008633C"/>
    <w:rsid w:val="0008664A"/>
    <w:rsid w:val="000866B9"/>
    <w:rsid w:val="00086BBF"/>
    <w:rsid w:val="000873DE"/>
    <w:rsid w:val="00087A5E"/>
    <w:rsid w:val="00087AC9"/>
    <w:rsid w:val="00087C87"/>
    <w:rsid w:val="0009045F"/>
    <w:rsid w:val="00090990"/>
    <w:rsid w:val="000909DF"/>
    <w:rsid w:val="00091989"/>
    <w:rsid w:val="000919F8"/>
    <w:rsid w:val="00091CA1"/>
    <w:rsid w:val="00091F9A"/>
    <w:rsid w:val="000920DA"/>
    <w:rsid w:val="00092389"/>
    <w:rsid w:val="0009246A"/>
    <w:rsid w:val="00092B77"/>
    <w:rsid w:val="00092F60"/>
    <w:rsid w:val="00092F6B"/>
    <w:rsid w:val="00093935"/>
    <w:rsid w:val="00093EDF"/>
    <w:rsid w:val="00094B2B"/>
    <w:rsid w:val="00094D91"/>
    <w:rsid w:val="00094E33"/>
    <w:rsid w:val="00094E84"/>
    <w:rsid w:val="00094E8D"/>
    <w:rsid w:val="0009514C"/>
    <w:rsid w:val="000951AC"/>
    <w:rsid w:val="00095616"/>
    <w:rsid w:val="00095A8A"/>
    <w:rsid w:val="00096010"/>
    <w:rsid w:val="000960EC"/>
    <w:rsid w:val="00096546"/>
    <w:rsid w:val="0009697D"/>
    <w:rsid w:val="00096E3A"/>
    <w:rsid w:val="00096EC0"/>
    <w:rsid w:val="00096F37"/>
    <w:rsid w:val="000972FF"/>
    <w:rsid w:val="00097345"/>
    <w:rsid w:val="0009739A"/>
    <w:rsid w:val="0009741E"/>
    <w:rsid w:val="000978DA"/>
    <w:rsid w:val="00097AD8"/>
    <w:rsid w:val="00097C67"/>
    <w:rsid w:val="00097DD0"/>
    <w:rsid w:val="000A0162"/>
    <w:rsid w:val="000A02AD"/>
    <w:rsid w:val="000A02BC"/>
    <w:rsid w:val="000A02D2"/>
    <w:rsid w:val="000A04C5"/>
    <w:rsid w:val="000A0506"/>
    <w:rsid w:val="000A0CB4"/>
    <w:rsid w:val="000A0CC1"/>
    <w:rsid w:val="000A0F1F"/>
    <w:rsid w:val="000A1078"/>
    <w:rsid w:val="000A1561"/>
    <w:rsid w:val="000A17B9"/>
    <w:rsid w:val="000A19EB"/>
    <w:rsid w:val="000A1C8A"/>
    <w:rsid w:val="000A23AF"/>
    <w:rsid w:val="000A248B"/>
    <w:rsid w:val="000A2A56"/>
    <w:rsid w:val="000A2C07"/>
    <w:rsid w:val="000A2EB7"/>
    <w:rsid w:val="000A2F3C"/>
    <w:rsid w:val="000A3476"/>
    <w:rsid w:val="000A378C"/>
    <w:rsid w:val="000A3D38"/>
    <w:rsid w:val="000A4017"/>
    <w:rsid w:val="000A424A"/>
    <w:rsid w:val="000A42C7"/>
    <w:rsid w:val="000A4B2B"/>
    <w:rsid w:val="000A4C7B"/>
    <w:rsid w:val="000A50F4"/>
    <w:rsid w:val="000A5599"/>
    <w:rsid w:val="000A57E2"/>
    <w:rsid w:val="000A5AB5"/>
    <w:rsid w:val="000A5B17"/>
    <w:rsid w:val="000A5C9D"/>
    <w:rsid w:val="000A5EC7"/>
    <w:rsid w:val="000A6100"/>
    <w:rsid w:val="000A6173"/>
    <w:rsid w:val="000A6623"/>
    <w:rsid w:val="000A69F8"/>
    <w:rsid w:val="000A6BC3"/>
    <w:rsid w:val="000A6BE9"/>
    <w:rsid w:val="000A715B"/>
    <w:rsid w:val="000A73A9"/>
    <w:rsid w:val="000A786E"/>
    <w:rsid w:val="000A78D3"/>
    <w:rsid w:val="000A7CF0"/>
    <w:rsid w:val="000B006E"/>
    <w:rsid w:val="000B04E9"/>
    <w:rsid w:val="000B0A14"/>
    <w:rsid w:val="000B0A2C"/>
    <w:rsid w:val="000B0B9F"/>
    <w:rsid w:val="000B0BB3"/>
    <w:rsid w:val="000B11B6"/>
    <w:rsid w:val="000B158C"/>
    <w:rsid w:val="000B182E"/>
    <w:rsid w:val="000B1862"/>
    <w:rsid w:val="000B1907"/>
    <w:rsid w:val="000B1B95"/>
    <w:rsid w:val="000B1B9A"/>
    <w:rsid w:val="000B1DEC"/>
    <w:rsid w:val="000B22DD"/>
    <w:rsid w:val="000B277C"/>
    <w:rsid w:val="000B2BD1"/>
    <w:rsid w:val="000B2C3C"/>
    <w:rsid w:val="000B2C64"/>
    <w:rsid w:val="000B30B4"/>
    <w:rsid w:val="000B37FB"/>
    <w:rsid w:val="000B3E18"/>
    <w:rsid w:val="000B4029"/>
    <w:rsid w:val="000B4052"/>
    <w:rsid w:val="000B406B"/>
    <w:rsid w:val="000B427C"/>
    <w:rsid w:val="000B445E"/>
    <w:rsid w:val="000B44C6"/>
    <w:rsid w:val="000B468C"/>
    <w:rsid w:val="000B49B6"/>
    <w:rsid w:val="000B4AF2"/>
    <w:rsid w:val="000B4C26"/>
    <w:rsid w:val="000B4D46"/>
    <w:rsid w:val="000B4DEC"/>
    <w:rsid w:val="000B59C0"/>
    <w:rsid w:val="000B5D46"/>
    <w:rsid w:val="000B5E9F"/>
    <w:rsid w:val="000B6BAA"/>
    <w:rsid w:val="000B7362"/>
    <w:rsid w:val="000B7551"/>
    <w:rsid w:val="000B75B8"/>
    <w:rsid w:val="000B7602"/>
    <w:rsid w:val="000B7720"/>
    <w:rsid w:val="000B7A52"/>
    <w:rsid w:val="000B7C7F"/>
    <w:rsid w:val="000B7CDF"/>
    <w:rsid w:val="000C0830"/>
    <w:rsid w:val="000C0B7B"/>
    <w:rsid w:val="000C0ED5"/>
    <w:rsid w:val="000C11D0"/>
    <w:rsid w:val="000C1680"/>
    <w:rsid w:val="000C16CA"/>
    <w:rsid w:val="000C16F0"/>
    <w:rsid w:val="000C18BB"/>
    <w:rsid w:val="000C195D"/>
    <w:rsid w:val="000C1B94"/>
    <w:rsid w:val="000C1F2D"/>
    <w:rsid w:val="000C220C"/>
    <w:rsid w:val="000C25FF"/>
    <w:rsid w:val="000C2F8A"/>
    <w:rsid w:val="000C3428"/>
    <w:rsid w:val="000C35E5"/>
    <w:rsid w:val="000C395C"/>
    <w:rsid w:val="000C3B65"/>
    <w:rsid w:val="000C3E37"/>
    <w:rsid w:val="000C3EDD"/>
    <w:rsid w:val="000C3F48"/>
    <w:rsid w:val="000C3F68"/>
    <w:rsid w:val="000C47E6"/>
    <w:rsid w:val="000C48B7"/>
    <w:rsid w:val="000C494B"/>
    <w:rsid w:val="000C4A34"/>
    <w:rsid w:val="000C5020"/>
    <w:rsid w:val="000C518D"/>
    <w:rsid w:val="000C54C3"/>
    <w:rsid w:val="000C5A7F"/>
    <w:rsid w:val="000C5DAC"/>
    <w:rsid w:val="000C5E4D"/>
    <w:rsid w:val="000C5F98"/>
    <w:rsid w:val="000C61A2"/>
    <w:rsid w:val="000C68CD"/>
    <w:rsid w:val="000C6959"/>
    <w:rsid w:val="000C697F"/>
    <w:rsid w:val="000C6AD8"/>
    <w:rsid w:val="000C71B6"/>
    <w:rsid w:val="000C7222"/>
    <w:rsid w:val="000C737F"/>
    <w:rsid w:val="000C75B2"/>
    <w:rsid w:val="000C76F0"/>
    <w:rsid w:val="000C7FF5"/>
    <w:rsid w:val="000D0090"/>
    <w:rsid w:val="000D00CE"/>
    <w:rsid w:val="000D0257"/>
    <w:rsid w:val="000D0669"/>
    <w:rsid w:val="000D066A"/>
    <w:rsid w:val="000D0A5E"/>
    <w:rsid w:val="000D13D2"/>
    <w:rsid w:val="000D153F"/>
    <w:rsid w:val="000D1619"/>
    <w:rsid w:val="000D166E"/>
    <w:rsid w:val="000D1819"/>
    <w:rsid w:val="000D199E"/>
    <w:rsid w:val="000D1AB7"/>
    <w:rsid w:val="000D1BF2"/>
    <w:rsid w:val="000D1CB6"/>
    <w:rsid w:val="000D1CD5"/>
    <w:rsid w:val="000D2050"/>
    <w:rsid w:val="000D25FA"/>
    <w:rsid w:val="000D274D"/>
    <w:rsid w:val="000D2921"/>
    <w:rsid w:val="000D29F6"/>
    <w:rsid w:val="000D2AC5"/>
    <w:rsid w:val="000D2C8D"/>
    <w:rsid w:val="000D2DC4"/>
    <w:rsid w:val="000D3035"/>
    <w:rsid w:val="000D33F4"/>
    <w:rsid w:val="000D39B5"/>
    <w:rsid w:val="000D3E5D"/>
    <w:rsid w:val="000D4100"/>
    <w:rsid w:val="000D4287"/>
    <w:rsid w:val="000D4807"/>
    <w:rsid w:val="000D4AA4"/>
    <w:rsid w:val="000D4BA4"/>
    <w:rsid w:val="000D53E2"/>
    <w:rsid w:val="000D553F"/>
    <w:rsid w:val="000D5B0C"/>
    <w:rsid w:val="000D5BFA"/>
    <w:rsid w:val="000D5E85"/>
    <w:rsid w:val="000D5EA1"/>
    <w:rsid w:val="000D60A3"/>
    <w:rsid w:val="000D6176"/>
    <w:rsid w:val="000D62B5"/>
    <w:rsid w:val="000D6305"/>
    <w:rsid w:val="000D65B4"/>
    <w:rsid w:val="000D682D"/>
    <w:rsid w:val="000D6DBA"/>
    <w:rsid w:val="000D7133"/>
    <w:rsid w:val="000D7482"/>
    <w:rsid w:val="000D7550"/>
    <w:rsid w:val="000D75A6"/>
    <w:rsid w:val="000D797F"/>
    <w:rsid w:val="000D7BE1"/>
    <w:rsid w:val="000E00C0"/>
    <w:rsid w:val="000E02F5"/>
    <w:rsid w:val="000E05A6"/>
    <w:rsid w:val="000E07C1"/>
    <w:rsid w:val="000E1036"/>
    <w:rsid w:val="000E131D"/>
    <w:rsid w:val="000E16ED"/>
    <w:rsid w:val="000E1A65"/>
    <w:rsid w:val="000E1F48"/>
    <w:rsid w:val="000E2128"/>
    <w:rsid w:val="000E23C6"/>
    <w:rsid w:val="000E246B"/>
    <w:rsid w:val="000E24A1"/>
    <w:rsid w:val="000E26E3"/>
    <w:rsid w:val="000E2AA7"/>
    <w:rsid w:val="000E2CF9"/>
    <w:rsid w:val="000E2FF5"/>
    <w:rsid w:val="000E2FF8"/>
    <w:rsid w:val="000E3415"/>
    <w:rsid w:val="000E38E8"/>
    <w:rsid w:val="000E3B06"/>
    <w:rsid w:val="000E3D76"/>
    <w:rsid w:val="000E3FD9"/>
    <w:rsid w:val="000E4297"/>
    <w:rsid w:val="000E42D4"/>
    <w:rsid w:val="000E4907"/>
    <w:rsid w:val="000E497D"/>
    <w:rsid w:val="000E4BC3"/>
    <w:rsid w:val="000E5036"/>
    <w:rsid w:val="000E52D0"/>
    <w:rsid w:val="000E55AC"/>
    <w:rsid w:val="000E5765"/>
    <w:rsid w:val="000E5A99"/>
    <w:rsid w:val="000E5B60"/>
    <w:rsid w:val="000E5BA4"/>
    <w:rsid w:val="000E5D0D"/>
    <w:rsid w:val="000E5E8B"/>
    <w:rsid w:val="000E5EC1"/>
    <w:rsid w:val="000E6230"/>
    <w:rsid w:val="000E6309"/>
    <w:rsid w:val="000E663D"/>
    <w:rsid w:val="000E68B8"/>
    <w:rsid w:val="000E6BD9"/>
    <w:rsid w:val="000E774D"/>
    <w:rsid w:val="000E78D0"/>
    <w:rsid w:val="000E7A01"/>
    <w:rsid w:val="000F00AE"/>
    <w:rsid w:val="000F0377"/>
    <w:rsid w:val="000F0378"/>
    <w:rsid w:val="000F0895"/>
    <w:rsid w:val="000F0C8D"/>
    <w:rsid w:val="000F0D0B"/>
    <w:rsid w:val="000F100F"/>
    <w:rsid w:val="000F1A16"/>
    <w:rsid w:val="000F1BDF"/>
    <w:rsid w:val="000F1C51"/>
    <w:rsid w:val="000F1D78"/>
    <w:rsid w:val="000F1F5F"/>
    <w:rsid w:val="000F1FC6"/>
    <w:rsid w:val="000F2511"/>
    <w:rsid w:val="000F2A7A"/>
    <w:rsid w:val="000F2B2F"/>
    <w:rsid w:val="000F2BE6"/>
    <w:rsid w:val="000F3163"/>
    <w:rsid w:val="000F31BA"/>
    <w:rsid w:val="000F36FF"/>
    <w:rsid w:val="000F3EA3"/>
    <w:rsid w:val="000F3F70"/>
    <w:rsid w:val="000F404C"/>
    <w:rsid w:val="000F414A"/>
    <w:rsid w:val="000F4411"/>
    <w:rsid w:val="000F4690"/>
    <w:rsid w:val="000F4843"/>
    <w:rsid w:val="000F48D9"/>
    <w:rsid w:val="000F4B32"/>
    <w:rsid w:val="000F4D17"/>
    <w:rsid w:val="000F533D"/>
    <w:rsid w:val="000F5908"/>
    <w:rsid w:val="000F5925"/>
    <w:rsid w:val="000F5B13"/>
    <w:rsid w:val="000F5CF3"/>
    <w:rsid w:val="000F5DFA"/>
    <w:rsid w:val="000F5E6B"/>
    <w:rsid w:val="000F632E"/>
    <w:rsid w:val="000F6866"/>
    <w:rsid w:val="000F696C"/>
    <w:rsid w:val="000F699A"/>
    <w:rsid w:val="000F6AB6"/>
    <w:rsid w:val="000F6F67"/>
    <w:rsid w:val="000F70C1"/>
    <w:rsid w:val="000F71EA"/>
    <w:rsid w:val="000F747E"/>
    <w:rsid w:val="000F7A8D"/>
    <w:rsid w:val="001002C0"/>
    <w:rsid w:val="00100429"/>
    <w:rsid w:val="001006C5"/>
    <w:rsid w:val="00100DFE"/>
    <w:rsid w:val="00100F96"/>
    <w:rsid w:val="00100FD2"/>
    <w:rsid w:val="00101241"/>
    <w:rsid w:val="001015B1"/>
    <w:rsid w:val="00101902"/>
    <w:rsid w:val="00102653"/>
    <w:rsid w:val="00102904"/>
    <w:rsid w:val="00102907"/>
    <w:rsid w:val="001030E1"/>
    <w:rsid w:val="0010335B"/>
    <w:rsid w:val="001035EC"/>
    <w:rsid w:val="00103735"/>
    <w:rsid w:val="001038D2"/>
    <w:rsid w:val="00103955"/>
    <w:rsid w:val="00103B54"/>
    <w:rsid w:val="001041A3"/>
    <w:rsid w:val="00104475"/>
    <w:rsid w:val="00104925"/>
    <w:rsid w:val="00104E03"/>
    <w:rsid w:val="00105680"/>
    <w:rsid w:val="001056BF"/>
    <w:rsid w:val="001056C6"/>
    <w:rsid w:val="00105879"/>
    <w:rsid w:val="00105D54"/>
    <w:rsid w:val="00105D78"/>
    <w:rsid w:val="0010647A"/>
    <w:rsid w:val="00106548"/>
    <w:rsid w:val="0010659D"/>
    <w:rsid w:val="00106643"/>
    <w:rsid w:val="00106A83"/>
    <w:rsid w:val="00106CEF"/>
    <w:rsid w:val="00106D4A"/>
    <w:rsid w:val="00106E3D"/>
    <w:rsid w:val="00106F30"/>
    <w:rsid w:val="001072F4"/>
    <w:rsid w:val="00107315"/>
    <w:rsid w:val="00107878"/>
    <w:rsid w:val="00107F26"/>
    <w:rsid w:val="001108A6"/>
    <w:rsid w:val="0011093C"/>
    <w:rsid w:val="00110B19"/>
    <w:rsid w:val="00110E13"/>
    <w:rsid w:val="00111039"/>
    <w:rsid w:val="0011127D"/>
    <w:rsid w:val="001112A7"/>
    <w:rsid w:val="001112CF"/>
    <w:rsid w:val="00111AE0"/>
    <w:rsid w:val="00111C50"/>
    <w:rsid w:val="00111CAC"/>
    <w:rsid w:val="00111D1C"/>
    <w:rsid w:val="00112176"/>
    <w:rsid w:val="0011217F"/>
    <w:rsid w:val="0011235D"/>
    <w:rsid w:val="001123D8"/>
    <w:rsid w:val="001124AF"/>
    <w:rsid w:val="00112E3E"/>
    <w:rsid w:val="00112FC8"/>
    <w:rsid w:val="0011303B"/>
    <w:rsid w:val="00113267"/>
    <w:rsid w:val="00113535"/>
    <w:rsid w:val="00113912"/>
    <w:rsid w:val="00113921"/>
    <w:rsid w:val="00114244"/>
    <w:rsid w:val="00114489"/>
    <w:rsid w:val="00114D6C"/>
    <w:rsid w:val="00114FA7"/>
    <w:rsid w:val="001151D0"/>
    <w:rsid w:val="001155AC"/>
    <w:rsid w:val="00115B85"/>
    <w:rsid w:val="00115F3F"/>
    <w:rsid w:val="0011677E"/>
    <w:rsid w:val="00116C40"/>
    <w:rsid w:val="00116CEA"/>
    <w:rsid w:val="00116F3C"/>
    <w:rsid w:val="00116F83"/>
    <w:rsid w:val="00116FAC"/>
    <w:rsid w:val="001170C5"/>
    <w:rsid w:val="00117236"/>
    <w:rsid w:val="0011743F"/>
    <w:rsid w:val="00117726"/>
    <w:rsid w:val="00117918"/>
    <w:rsid w:val="00117D9D"/>
    <w:rsid w:val="0012009D"/>
    <w:rsid w:val="0012018B"/>
    <w:rsid w:val="001203CF"/>
    <w:rsid w:val="00120498"/>
    <w:rsid w:val="00120819"/>
    <w:rsid w:val="00120B3C"/>
    <w:rsid w:val="00120C43"/>
    <w:rsid w:val="00120E8C"/>
    <w:rsid w:val="00120EFF"/>
    <w:rsid w:val="00121139"/>
    <w:rsid w:val="0012169E"/>
    <w:rsid w:val="00121835"/>
    <w:rsid w:val="00121D05"/>
    <w:rsid w:val="00121F0B"/>
    <w:rsid w:val="00121FC8"/>
    <w:rsid w:val="001220F7"/>
    <w:rsid w:val="001221BA"/>
    <w:rsid w:val="0012228D"/>
    <w:rsid w:val="00122460"/>
    <w:rsid w:val="001224A0"/>
    <w:rsid w:val="00122728"/>
    <w:rsid w:val="00122AFA"/>
    <w:rsid w:val="00122BDF"/>
    <w:rsid w:val="00122D50"/>
    <w:rsid w:val="0012328D"/>
    <w:rsid w:val="00123293"/>
    <w:rsid w:val="00123710"/>
    <w:rsid w:val="00123B97"/>
    <w:rsid w:val="00123C5C"/>
    <w:rsid w:val="00123CF1"/>
    <w:rsid w:val="00123E34"/>
    <w:rsid w:val="00123FD0"/>
    <w:rsid w:val="0012467D"/>
    <w:rsid w:val="001249EA"/>
    <w:rsid w:val="00124FDB"/>
    <w:rsid w:val="00125005"/>
    <w:rsid w:val="0012541E"/>
    <w:rsid w:val="00125604"/>
    <w:rsid w:val="00125742"/>
    <w:rsid w:val="001259C7"/>
    <w:rsid w:val="00125AB5"/>
    <w:rsid w:val="00125C85"/>
    <w:rsid w:val="00125DED"/>
    <w:rsid w:val="00126EED"/>
    <w:rsid w:val="00127048"/>
    <w:rsid w:val="001271B6"/>
    <w:rsid w:val="00127427"/>
    <w:rsid w:val="00127900"/>
    <w:rsid w:val="00127CA9"/>
    <w:rsid w:val="00127CEF"/>
    <w:rsid w:val="0013035B"/>
    <w:rsid w:val="00130395"/>
    <w:rsid w:val="00130435"/>
    <w:rsid w:val="001308C5"/>
    <w:rsid w:val="00130D99"/>
    <w:rsid w:val="00131425"/>
    <w:rsid w:val="00131709"/>
    <w:rsid w:val="00131816"/>
    <w:rsid w:val="00131C50"/>
    <w:rsid w:val="00131CCF"/>
    <w:rsid w:val="00131EAD"/>
    <w:rsid w:val="00131F2A"/>
    <w:rsid w:val="00131FD0"/>
    <w:rsid w:val="0013233A"/>
    <w:rsid w:val="00132408"/>
    <w:rsid w:val="00132538"/>
    <w:rsid w:val="0013267A"/>
    <w:rsid w:val="001328C3"/>
    <w:rsid w:val="00132B8D"/>
    <w:rsid w:val="00132DFE"/>
    <w:rsid w:val="00132F92"/>
    <w:rsid w:val="00133023"/>
    <w:rsid w:val="0013326C"/>
    <w:rsid w:val="00133FB5"/>
    <w:rsid w:val="001341F3"/>
    <w:rsid w:val="001344D5"/>
    <w:rsid w:val="00134669"/>
    <w:rsid w:val="001346B2"/>
    <w:rsid w:val="001353BE"/>
    <w:rsid w:val="001356FB"/>
    <w:rsid w:val="00135880"/>
    <w:rsid w:val="001358F3"/>
    <w:rsid w:val="00135BAB"/>
    <w:rsid w:val="00135DBC"/>
    <w:rsid w:val="001360CF"/>
    <w:rsid w:val="001363F4"/>
    <w:rsid w:val="00136816"/>
    <w:rsid w:val="00136C1D"/>
    <w:rsid w:val="00136EA9"/>
    <w:rsid w:val="001371BB"/>
    <w:rsid w:val="0013746D"/>
    <w:rsid w:val="00137579"/>
    <w:rsid w:val="0013779D"/>
    <w:rsid w:val="00137C43"/>
    <w:rsid w:val="00137E77"/>
    <w:rsid w:val="00137F4D"/>
    <w:rsid w:val="0014008C"/>
    <w:rsid w:val="00140768"/>
    <w:rsid w:val="001408D7"/>
    <w:rsid w:val="00140C14"/>
    <w:rsid w:val="00140C8C"/>
    <w:rsid w:val="00140FC0"/>
    <w:rsid w:val="00141B13"/>
    <w:rsid w:val="001421B4"/>
    <w:rsid w:val="00142637"/>
    <w:rsid w:val="00142714"/>
    <w:rsid w:val="00142ABE"/>
    <w:rsid w:val="00142BBF"/>
    <w:rsid w:val="00142BE8"/>
    <w:rsid w:val="00142CE9"/>
    <w:rsid w:val="00142E48"/>
    <w:rsid w:val="00142F8F"/>
    <w:rsid w:val="001430FD"/>
    <w:rsid w:val="00143171"/>
    <w:rsid w:val="001433A6"/>
    <w:rsid w:val="00143647"/>
    <w:rsid w:val="00143763"/>
    <w:rsid w:val="001438AD"/>
    <w:rsid w:val="00143A68"/>
    <w:rsid w:val="00143CA1"/>
    <w:rsid w:val="00143CE0"/>
    <w:rsid w:val="0014404A"/>
    <w:rsid w:val="00144235"/>
    <w:rsid w:val="001442B9"/>
    <w:rsid w:val="00144B03"/>
    <w:rsid w:val="00144E53"/>
    <w:rsid w:val="00144E67"/>
    <w:rsid w:val="0014510A"/>
    <w:rsid w:val="001455F4"/>
    <w:rsid w:val="00145B7B"/>
    <w:rsid w:val="00145CA6"/>
    <w:rsid w:val="00145D49"/>
    <w:rsid w:val="001462BF"/>
    <w:rsid w:val="0014633B"/>
    <w:rsid w:val="001465EF"/>
    <w:rsid w:val="0014684F"/>
    <w:rsid w:val="0014693C"/>
    <w:rsid w:val="0014699E"/>
    <w:rsid w:val="001469AA"/>
    <w:rsid w:val="0014720C"/>
    <w:rsid w:val="0014737B"/>
    <w:rsid w:val="0014751C"/>
    <w:rsid w:val="0014770A"/>
    <w:rsid w:val="001479FC"/>
    <w:rsid w:val="00147AE8"/>
    <w:rsid w:val="00147B2C"/>
    <w:rsid w:val="00147B64"/>
    <w:rsid w:val="00147E52"/>
    <w:rsid w:val="00147F49"/>
    <w:rsid w:val="0015064B"/>
    <w:rsid w:val="00150A4C"/>
    <w:rsid w:val="00150C24"/>
    <w:rsid w:val="00150EAD"/>
    <w:rsid w:val="001511F9"/>
    <w:rsid w:val="0015165E"/>
    <w:rsid w:val="001516FE"/>
    <w:rsid w:val="0015172E"/>
    <w:rsid w:val="001519A9"/>
    <w:rsid w:val="00151A21"/>
    <w:rsid w:val="00151D7A"/>
    <w:rsid w:val="00151E90"/>
    <w:rsid w:val="0015205E"/>
    <w:rsid w:val="001522F2"/>
    <w:rsid w:val="001523B1"/>
    <w:rsid w:val="0015241C"/>
    <w:rsid w:val="00152526"/>
    <w:rsid w:val="00152B19"/>
    <w:rsid w:val="00153039"/>
    <w:rsid w:val="00153071"/>
    <w:rsid w:val="001531DF"/>
    <w:rsid w:val="00153291"/>
    <w:rsid w:val="0015339C"/>
    <w:rsid w:val="001534E8"/>
    <w:rsid w:val="001534F2"/>
    <w:rsid w:val="00153598"/>
    <w:rsid w:val="00153823"/>
    <w:rsid w:val="0015385A"/>
    <w:rsid w:val="001538BD"/>
    <w:rsid w:val="00153B14"/>
    <w:rsid w:val="00153C91"/>
    <w:rsid w:val="00153CC0"/>
    <w:rsid w:val="00154077"/>
    <w:rsid w:val="0015457F"/>
    <w:rsid w:val="00154932"/>
    <w:rsid w:val="00154B2D"/>
    <w:rsid w:val="00154EA0"/>
    <w:rsid w:val="00155109"/>
    <w:rsid w:val="0015512C"/>
    <w:rsid w:val="0015523A"/>
    <w:rsid w:val="00155378"/>
    <w:rsid w:val="001553B4"/>
    <w:rsid w:val="00155731"/>
    <w:rsid w:val="00155B11"/>
    <w:rsid w:val="00155D8D"/>
    <w:rsid w:val="00155ED4"/>
    <w:rsid w:val="00156198"/>
    <w:rsid w:val="00156356"/>
    <w:rsid w:val="0015698D"/>
    <w:rsid w:val="00156BD4"/>
    <w:rsid w:val="00156FD7"/>
    <w:rsid w:val="001571E5"/>
    <w:rsid w:val="00157614"/>
    <w:rsid w:val="00157ED3"/>
    <w:rsid w:val="00157F6C"/>
    <w:rsid w:val="00157F84"/>
    <w:rsid w:val="001601E2"/>
    <w:rsid w:val="001604FC"/>
    <w:rsid w:val="00160859"/>
    <w:rsid w:val="00160DFA"/>
    <w:rsid w:val="001612E3"/>
    <w:rsid w:val="001617FE"/>
    <w:rsid w:val="00161812"/>
    <w:rsid w:val="001618B0"/>
    <w:rsid w:val="00161956"/>
    <w:rsid w:val="00161ADA"/>
    <w:rsid w:val="00161BCB"/>
    <w:rsid w:val="00161F06"/>
    <w:rsid w:val="00162126"/>
    <w:rsid w:val="0016235D"/>
    <w:rsid w:val="00162465"/>
    <w:rsid w:val="0016265F"/>
    <w:rsid w:val="00162A2C"/>
    <w:rsid w:val="00162ABE"/>
    <w:rsid w:val="00162D7D"/>
    <w:rsid w:val="00162EDB"/>
    <w:rsid w:val="00163121"/>
    <w:rsid w:val="00163159"/>
    <w:rsid w:val="001634CB"/>
    <w:rsid w:val="00163710"/>
    <w:rsid w:val="00163772"/>
    <w:rsid w:val="001638D2"/>
    <w:rsid w:val="00163BC6"/>
    <w:rsid w:val="00163DAF"/>
    <w:rsid w:val="00163E17"/>
    <w:rsid w:val="0016407F"/>
    <w:rsid w:val="0016422D"/>
    <w:rsid w:val="00164423"/>
    <w:rsid w:val="00164493"/>
    <w:rsid w:val="00164A59"/>
    <w:rsid w:val="00165283"/>
    <w:rsid w:val="00165AFA"/>
    <w:rsid w:val="00165C05"/>
    <w:rsid w:val="00165F13"/>
    <w:rsid w:val="001661E3"/>
    <w:rsid w:val="00166641"/>
    <w:rsid w:val="00166919"/>
    <w:rsid w:val="00166A8E"/>
    <w:rsid w:val="00166BE2"/>
    <w:rsid w:val="00166E31"/>
    <w:rsid w:val="0016700C"/>
    <w:rsid w:val="0016752E"/>
    <w:rsid w:val="001676D2"/>
    <w:rsid w:val="00167782"/>
    <w:rsid w:val="00167F21"/>
    <w:rsid w:val="00170156"/>
    <w:rsid w:val="001702C8"/>
    <w:rsid w:val="001703BA"/>
    <w:rsid w:val="00170A73"/>
    <w:rsid w:val="00170E60"/>
    <w:rsid w:val="00171181"/>
    <w:rsid w:val="001712E2"/>
    <w:rsid w:val="0017138A"/>
    <w:rsid w:val="001716F8"/>
    <w:rsid w:val="001719EA"/>
    <w:rsid w:val="00171B5A"/>
    <w:rsid w:val="00171BC9"/>
    <w:rsid w:val="00171DBC"/>
    <w:rsid w:val="0017201D"/>
    <w:rsid w:val="0017259A"/>
    <w:rsid w:val="0017274B"/>
    <w:rsid w:val="001727E2"/>
    <w:rsid w:val="00172807"/>
    <w:rsid w:val="00172A71"/>
    <w:rsid w:val="00172D08"/>
    <w:rsid w:val="001731DF"/>
    <w:rsid w:val="0017349C"/>
    <w:rsid w:val="00173792"/>
    <w:rsid w:val="001737D5"/>
    <w:rsid w:val="00173D25"/>
    <w:rsid w:val="00173EF1"/>
    <w:rsid w:val="00174544"/>
    <w:rsid w:val="0017465E"/>
    <w:rsid w:val="00174A0D"/>
    <w:rsid w:val="00174AF5"/>
    <w:rsid w:val="00174C46"/>
    <w:rsid w:val="00174C79"/>
    <w:rsid w:val="00174F51"/>
    <w:rsid w:val="00175134"/>
    <w:rsid w:val="00175692"/>
    <w:rsid w:val="001757DF"/>
    <w:rsid w:val="00175BBB"/>
    <w:rsid w:val="00175D9A"/>
    <w:rsid w:val="00175E67"/>
    <w:rsid w:val="00176167"/>
    <w:rsid w:val="0017622C"/>
    <w:rsid w:val="00176311"/>
    <w:rsid w:val="00176611"/>
    <w:rsid w:val="001766EF"/>
    <w:rsid w:val="0017673F"/>
    <w:rsid w:val="00176BA2"/>
    <w:rsid w:val="00176FB8"/>
    <w:rsid w:val="00177607"/>
    <w:rsid w:val="00177AF9"/>
    <w:rsid w:val="00177F5D"/>
    <w:rsid w:val="001800F4"/>
    <w:rsid w:val="0018048C"/>
    <w:rsid w:val="001808B2"/>
    <w:rsid w:val="001808EA"/>
    <w:rsid w:val="00180973"/>
    <w:rsid w:val="00180C4F"/>
    <w:rsid w:val="00180E9A"/>
    <w:rsid w:val="0018100F"/>
    <w:rsid w:val="00181112"/>
    <w:rsid w:val="001815E8"/>
    <w:rsid w:val="00181748"/>
    <w:rsid w:val="00181986"/>
    <w:rsid w:val="00181A02"/>
    <w:rsid w:val="00181AA0"/>
    <w:rsid w:val="00181B3C"/>
    <w:rsid w:val="00181DB1"/>
    <w:rsid w:val="00181DD4"/>
    <w:rsid w:val="001820B5"/>
    <w:rsid w:val="00182233"/>
    <w:rsid w:val="0018224A"/>
    <w:rsid w:val="00182574"/>
    <w:rsid w:val="00182619"/>
    <w:rsid w:val="001826F6"/>
    <w:rsid w:val="0018294A"/>
    <w:rsid w:val="00182BE7"/>
    <w:rsid w:val="001833BD"/>
    <w:rsid w:val="001834F7"/>
    <w:rsid w:val="00183972"/>
    <w:rsid w:val="00183BC4"/>
    <w:rsid w:val="00183C7B"/>
    <w:rsid w:val="00183CA7"/>
    <w:rsid w:val="00183ED7"/>
    <w:rsid w:val="00183EE6"/>
    <w:rsid w:val="001843D4"/>
    <w:rsid w:val="001844F6"/>
    <w:rsid w:val="00184E2C"/>
    <w:rsid w:val="00184F55"/>
    <w:rsid w:val="001853B6"/>
    <w:rsid w:val="0018574D"/>
    <w:rsid w:val="00185B16"/>
    <w:rsid w:val="00185D89"/>
    <w:rsid w:val="0018622E"/>
    <w:rsid w:val="00186294"/>
    <w:rsid w:val="00186766"/>
    <w:rsid w:val="00186CB0"/>
    <w:rsid w:val="0018702B"/>
    <w:rsid w:val="00187121"/>
    <w:rsid w:val="001873C0"/>
    <w:rsid w:val="00187499"/>
    <w:rsid w:val="001875FF"/>
    <w:rsid w:val="00187894"/>
    <w:rsid w:val="00187BA4"/>
    <w:rsid w:val="00187C88"/>
    <w:rsid w:val="00187D3C"/>
    <w:rsid w:val="00187F39"/>
    <w:rsid w:val="0019011B"/>
    <w:rsid w:val="001908F1"/>
    <w:rsid w:val="001909CD"/>
    <w:rsid w:val="00190FB2"/>
    <w:rsid w:val="00191380"/>
    <w:rsid w:val="00191560"/>
    <w:rsid w:val="00191C74"/>
    <w:rsid w:val="001926F8"/>
    <w:rsid w:val="00192A97"/>
    <w:rsid w:val="00192E99"/>
    <w:rsid w:val="00192FE8"/>
    <w:rsid w:val="0019308D"/>
    <w:rsid w:val="00193162"/>
    <w:rsid w:val="00193238"/>
    <w:rsid w:val="001935CD"/>
    <w:rsid w:val="0019360B"/>
    <w:rsid w:val="00193726"/>
    <w:rsid w:val="0019384C"/>
    <w:rsid w:val="00193E34"/>
    <w:rsid w:val="0019405D"/>
    <w:rsid w:val="0019436E"/>
    <w:rsid w:val="0019494A"/>
    <w:rsid w:val="0019495C"/>
    <w:rsid w:val="00194E85"/>
    <w:rsid w:val="00194EC3"/>
    <w:rsid w:val="001958D3"/>
    <w:rsid w:val="00195A7D"/>
    <w:rsid w:val="00195FCC"/>
    <w:rsid w:val="001964A2"/>
    <w:rsid w:val="00196553"/>
    <w:rsid w:val="001968FE"/>
    <w:rsid w:val="00196DAB"/>
    <w:rsid w:val="00196E93"/>
    <w:rsid w:val="00196EF8"/>
    <w:rsid w:val="001975A2"/>
    <w:rsid w:val="001975BE"/>
    <w:rsid w:val="001976F1"/>
    <w:rsid w:val="00197FB2"/>
    <w:rsid w:val="001A026B"/>
    <w:rsid w:val="001A0613"/>
    <w:rsid w:val="001A0AD0"/>
    <w:rsid w:val="001A0C19"/>
    <w:rsid w:val="001A126D"/>
    <w:rsid w:val="001A1450"/>
    <w:rsid w:val="001A181E"/>
    <w:rsid w:val="001A19C7"/>
    <w:rsid w:val="001A1A12"/>
    <w:rsid w:val="001A1A79"/>
    <w:rsid w:val="001A1AA3"/>
    <w:rsid w:val="001A1D4A"/>
    <w:rsid w:val="001A21D3"/>
    <w:rsid w:val="001A262B"/>
    <w:rsid w:val="001A2968"/>
    <w:rsid w:val="001A29CF"/>
    <w:rsid w:val="001A2A0C"/>
    <w:rsid w:val="001A2D81"/>
    <w:rsid w:val="001A3105"/>
    <w:rsid w:val="001A3239"/>
    <w:rsid w:val="001A3AE3"/>
    <w:rsid w:val="001A3BC4"/>
    <w:rsid w:val="001A4042"/>
    <w:rsid w:val="001A43DE"/>
    <w:rsid w:val="001A4935"/>
    <w:rsid w:val="001A4E58"/>
    <w:rsid w:val="001A5401"/>
    <w:rsid w:val="001A5512"/>
    <w:rsid w:val="001A5988"/>
    <w:rsid w:val="001A5B6D"/>
    <w:rsid w:val="001A6508"/>
    <w:rsid w:val="001A66D3"/>
    <w:rsid w:val="001A6B0E"/>
    <w:rsid w:val="001A6C13"/>
    <w:rsid w:val="001A6E2B"/>
    <w:rsid w:val="001A6E6C"/>
    <w:rsid w:val="001A70BD"/>
    <w:rsid w:val="001A71B0"/>
    <w:rsid w:val="001A7274"/>
    <w:rsid w:val="001A72F4"/>
    <w:rsid w:val="001A7722"/>
    <w:rsid w:val="001A7751"/>
    <w:rsid w:val="001A7BD5"/>
    <w:rsid w:val="001A7BEB"/>
    <w:rsid w:val="001A7C53"/>
    <w:rsid w:val="001A7C67"/>
    <w:rsid w:val="001A7CD7"/>
    <w:rsid w:val="001B0144"/>
    <w:rsid w:val="001B03C8"/>
    <w:rsid w:val="001B0B25"/>
    <w:rsid w:val="001B0BEF"/>
    <w:rsid w:val="001B0D21"/>
    <w:rsid w:val="001B0F01"/>
    <w:rsid w:val="001B107A"/>
    <w:rsid w:val="001B1828"/>
    <w:rsid w:val="001B196B"/>
    <w:rsid w:val="001B1FEE"/>
    <w:rsid w:val="001B21BC"/>
    <w:rsid w:val="001B225D"/>
    <w:rsid w:val="001B258A"/>
    <w:rsid w:val="001B26F9"/>
    <w:rsid w:val="001B2B6D"/>
    <w:rsid w:val="001B2C4C"/>
    <w:rsid w:val="001B2EA4"/>
    <w:rsid w:val="001B2F8F"/>
    <w:rsid w:val="001B31F9"/>
    <w:rsid w:val="001B3245"/>
    <w:rsid w:val="001B35B8"/>
    <w:rsid w:val="001B36BB"/>
    <w:rsid w:val="001B3813"/>
    <w:rsid w:val="001B3856"/>
    <w:rsid w:val="001B3AEC"/>
    <w:rsid w:val="001B3C37"/>
    <w:rsid w:val="001B403F"/>
    <w:rsid w:val="001B405F"/>
    <w:rsid w:val="001B41A2"/>
    <w:rsid w:val="001B425D"/>
    <w:rsid w:val="001B467D"/>
    <w:rsid w:val="001B4DCE"/>
    <w:rsid w:val="001B4F34"/>
    <w:rsid w:val="001B53C0"/>
    <w:rsid w:val="001B574C"/>
    <w:rsid w:val="001B5757"/>
    <w:rsid w:val="001B5839"/>
    <w:rsid w:val="001B58CC"/>
    <w:rsid w:val="001B5B79"/>
    <w:rsid w:val="001B60A6"/>
    <w:rsid w:val="001B60B5"/>
    <w:rsid w:val="001B63FB"/>
    <w:rsid w:val="001B65BD"/>
    <w:rsid w:val="001B6CBF"/>
    <w:rsid w:val="001B7161"/>
    <w:rsid w:val="001B71D1"/>
    <w:rsid w:val="001B7869"/>
    <w:rsid w:val="001B787D"/>
    <w:rsid w:val="001B7B0D"/>
    <w:rsid w:val="001B7D35"/>
    <w:rsid w:val="001C0604"/>
    <w:rsid w:val="001C0614"/>
    <w:rsid w:val="001C0699"/>
    <w:rsid w:val="001C0B0D"/>
    <w:rsid w:val="001C0E93"/>
    <w:rsid w:val="001C0F94"/>
    <w:rsid w:val="001C14B1"/>
    <w:rsid w:val="001C150A"/>
    <w:rsid w:val="001C1ABF"/>
    <w:rsid w:val="001C24AF"/>
    <w:rsid w:val="001C2589"/>
    <w:rsid w:val="001C2981"/>
    <w:rsid w:val="001C2EFA"/>
    <w:rsid w:val="001C2F2C"/>
    <w:rsid w:val="001C2F55"/>
    <w:rsid w:val="001C3437"/>
    <w:rsid w:val="001C3E95"/>
    <w:rsid w:val="001C3F3C"/>
    <w:rsid w:val="001C4034"/>
    <w:rsid w:val="001C405A"/>
    <w:rsid w:val="001C4079"/>
    <w:rsid w:val="001C5083"/>
    <w:rsid w:val="001C5750"/>
    <w:rsid w:val="001C5995"/>
    <w:rsid w:val="001C5DEE"/>
    <w:rsid w:val="001C6173"/>
    <w:rsid w:val="001C684F"/>
    <w:rsid w:val="001C6A99"/>
    <w:rsid w:val="001C6D2C"/>
    <w:rsid w:val="001C7032"/>
    <w:rsid w:val="001C708E"/>
    <w:rsid w:val="001C7206"/>
    <w:rsid w:val="001C75ED"/>
    <w:rsid w:val="001C79A7"/>
    <w:rsid w:val="001C79AD"/>
    <w:rsid w:val="001C7D3B"/>
    <w:rsid w:val="001C7D87"/>
    <w:rsid w:val="001C7EA8"/>
    <w:rsid w:val="001C7EF9"/>
    <w:rsid w:val="001D007B"/>
    <w:rsid w:val="001D008D"/>
    <w:rsid w:val="001D0091"/>
    <w:rsid w:val="001D03BF"/>
    <w:rsid w:val="001D08FC"/>
    <w:rsid w:val="001D0DA7"/>
    <w:rsid w:val="001D1271"/>
    <w:rsid w:val="001D1384"/>
    <w:rsid w:val="001D16C1"/>
    <w:rsid w:val="001D1716"/>
    <w:rsid w:val="001D1D29"/>
    <w:rsid w:val="001D24F7"/>
    <w:rsid w:val="001D2A66"/>
    <w:rsid w:val="001D2BDA"/>
    <w:rsid w:val="001D2F0E"/>
    <w:rsid w:val="001D39E2"/>
    <w:rsid w:val="001D3C90"/>
    <w:rsid w:val="001D3DD4"/>
    <w:rsid w:val="001D4293"/>
    <w:rsid w:val="001D44B6"/>
    <w:rsid w:val="001D49A8"/>
    <w:rsid w:val="001D4A11"/>
    <w:rsid w:val="001D55F9"/>
    <w:rsid w:val="001D5B5C"/>
    <w:rsid w:val="001D60DC"/>
    <w:rsid w:val="001D61B7"/>
    <w:rsid w:val="001D6836"/>
    <w:rsid w:val="001D687E"/>
    <w:rsid w:val="001D6AEC"/>
    <w:rsid w:val="001D6B35"/>
    <w:rsid w:val="001D6E16"/>
    <w:rsid w:val="001D6F62"/>
    <w:rsid w:val="001D701E"/>
    <w:rsid w:val="001D7096"/>
    <w:rsid w:val="001D7516"/>
    <w:rsid w:val="001D757F"/>
    <w:rsid w:val="001D75FD"/>
    <w:rsid w:val="001D7906"/>
    <w:rsid w:val="001D7D43"/>
    <w:rsid w:val="001D7F79"/>
    <w:rsid w:val="001E000E"/>
    <w:rsid w:val="001E00B7"/>
    <w:rsid w:val="001E0257"/>
    <w:rsid w:val="001E02AE"/>
    <w:rsid w:val="001E0C39"/>
    <w:rsid w:val="001E1351"/>
    <w:rsid w:val="001E1738"/>
    <w:rsid w:val="001E17E9"/>
    <w:rsid w:val="001E1FEB"/>
    <w:rsid w:val="001E216A"/>
    <w:rsid w:val="001E21C6"/>
    <w:rsid w:val="001E2657"/>
    <w:rsid w:val="001E2848"/>
    <w:rsid w:val="001E2A43"/>
    <w:rsid w:val="001E312C"/>
    <w:rsid w:val="001E36FB"/>
    <w:rsid w:val="001E39DE"/>
    <w:rsid w:val="001E3B4B"/>
    <w:rsid w:val="001E3D6C"/>
    <w:rsid w:val="001E4498"/>
    <w:rsid w:val="001E4544"/>
    <w:rsid w:val="001E4851"/>
    <w:rsid w:val="001E4979"/>
    <w:rsid w:val="001E4BB7"/>
    <w:rsid w:val="001E4EAA"/>
    <w:rsid w:val="001E4EC6"/>
    <w:rsid w:val="001E4F3E"/>
    <w:rsid w:val="001E538E"/>
    <w:rsid w:val="001E53E7"/>
    <w:rsid w:val="001E5DF7"/>
    <w:rsid w:val="001E5EF8"/>
    <w:rsid w:val="001E659B"/>
    <w:rsid w:val="001E6850"/>
    <w:rsid w:val="001E6A59"/>
    <w:rsid w:val="001E6A7F"/>
    <w:rsid w:val="001E6BFB"/>
    <w:rsid w:val="001E6DCF"/>
    <w:rsid w:val="001E6DE3"/>
    <w:rsid w:val="001E7225"/>
    <w:rsid w:val="001E72EF"/>
    <w:rsid w:val="001E751C"/>
    <w:rsid w:val="001E7C40"/>
    <w:rsid w:val="001F001D"/>
    <w:rsid w:val="001F016D"/>
    <w:rsid w:val="001F03F9"/>
    <w:rsid w:val="001F04D2"/>
    <w:rsid w:val="001F07D1"/>
    <w:rsid w:val="001F0B35"/>
    <w:rsid w:val="001F0B72"/>
    <w:rsid w:val="001F0C44"/>
    <w:rsid w:val="001F1119"/>
    <w:rsid w:val="001F1358"/>
    <w:rsid w:val="001F15B8"/>
    <w:rsid w:val="001F1B0B"/>
    <w:rsid w:val="001F1B5D"/>
    <w:rsid w:val="001F1BA9"/>
    <w:rsid w:val="001F1FCD"/>
    <w:rsid w:val="001F200A"/>
    <w:rsid w:val="001F2128"/>
    <w:rsid w:val="001F2508"/>
    <w:rsid w:val="001F2524"/>
    <w:rsid w:val="001F27F7"/>
    <w:rsid w:val="001F29BB"/>
    <w:rsid w:val="001F2E94"/>
    <w:rsid w:val="001F2F38"/>
    <w:rsid w:val="001F32D0"/>
    <w:rsid w:val="001F34C8"/>
    <w:rsid w:val="001F359E"/>
    <w:rsid w:val="001F35FE"/>
    <w:rsid w:val="001F39DD"/>
    <w:rsid w:val="001F3C08"/>
    <w:rsid w:val="001F3EC6"/>
    <w:rsid w:val="001F4356"/>
    <w:rsid w:val="001F4A99"/>
    <w:rsid w:val="001F5516"/>
    <w:rsid w:val="001F55E5"/>
    <w:rsid w:val="001F566B"/>
    <w:rsid w:val="001F569B"/>
    <w:rsid w:val="001F5A9F"/>
    <w:rsid w:val="001F5BB9"/>
    <w:rsid w:val="001F5E77"/>
    <w:rsid w:val="001F659C"/>
    <w:rsid w:val="001F6895"/>
    <w:rsid w:val="001F6957"/>
    <w:rsid w:val="001F69B3"/>
    <w:rsid w:val="001F6CDB"/>
    <w:rsid w:val="001F6EC9"/>
    <w:rsid w:val="001F7416"/>
    <w:rsid w:val="001F7689"/>
    <w:rsid w:val="001F7F45"/>
    <w:rsid w:val="00200432"/>
    <w:rsid w:val="00200C20"/>
    <w:rsid w:val="00200C6E"/>
    <w:rsid w:val="00200CA2"/>
    <w:rsid w:val="002011F4"/>
    <w:rsid w:val="00201568"/>
    <w:rsid w:val="002022AC"/>
    <w:rsid w:val="002023E9"/>
    <w:rsid w:val="0020271F"/>
    <w:rsid w:val="00202FB3"/>
    <w:rsid w:val="0020327F"/>
    <w:rsid w:val="00203647"/>
    <w:rsid w:val="002038DE"/>
    <w:rsid w:val="0020398B"/>
    <w:rsid w:val="00203C39"/>
    <w:rsid w:val="00203F7E"/>
    <w:rsid w:val="00204115"/>
    <w:rsid w:val="00204265"/>
    <w:rsid w:val="002042F5"/>
    <w:rsid w:val="00204318"/>
    <w:rsid w:val="0020451E"/>
    <w:rsid w:val="00204602"/>
    <w:rsid w:val="00204851"/>
    <w:rsid w:val="002048A1"/>
    <w:rsid w:val="002048EF"/>
    <w:rsid w:val="00204C25"/>
    <w:rsid w:val="00204C97"/>
    <w:rsid w:val="00204DCB"/>
    <w:rsid w:val="00204E37"/>
    <w:rsid w:val="00205213"/>
    <w:rsid w:val="00205385"/>
    <w:rsid w:val="00205687"/>
    <w:rsid w:val="00205F4A"/>
    <w:rsid w:val="0020602F"/>
    <w:rsid w:val="002068FD"/>
    <w:rsid w:val="00206937"/>
    <w:rsid w:val="00206CE3"/>
    <w:rsid w:val="00206E90"/>
    <w:rsid w:val="0020779F"/>
    <w:rsid w:val="00207924"/>
    <w:rsid w:val="0020797D"/>
    <w:rsid w:val="00207B7B"/>
    <w:rsid w:val="00207CA3"/>
    <w:rsid w:val="00207CBC"/>
    <w:rsid w:val="00207EA5"/>
    <w:rsid w:val="00207F45"/>
    <w:rsid w:val="002103B4"/>
    <w:rsid w:val="00210442"/>
    <w:rsid w:val="00210FA5"/>
    <w:rsid w:val="0021108C"/>
    <w:rsid w:val="00211333"/>
    <w:rsid w:val="00211363"/>
    <w:rsid w:val="00211581"/>
    <w:rsid w:val="0021232A"/>
    <w:rsid w:val="002124AD"/>
    <w:rsid w:val="0021268D"/>
    <w:rsid w:val="00212BF8"/>
    <w:rsid w:val="00212DBD"/>
    <w:rsid w:val="00213234"/>
    <w:rsid w:val="002132ED"/>
    <w:rsid w:val="002136AB"/>
    <w:rsid w:val="00213988"/>
    <w:rsid w:val="00213B50"/>
    <w:rsid w:val="00213FE0"/>
    <w:rsid w:val="002143FD"/>
    <w:rsid w:val="0021463E"/>
    <w:rsid w:val="0021473B"/>
    <w:rsid w:val="0021480E"/>
    <w:rsid w:val="002149F5"/>
    <w:rsid w:val="00214C55"/>
    <w:rsid w:val="00215298"/>
    <w:rsid w:val="00215764"/>
    <w:rsid w:val="00215B76"/>
    <w:rsid w:val="002163DE"/>
    <w:rsid w:val="002166EB"/>
    <w:rsid w:val="002168D8"/>
    <w:rsid w:val="00216B53"/>
    <w:rsid w:val="00216B7C"/>
    <w:rsid w:val="0021701E"/>
    <w:rsid w:val="0021743B"/>
    <w:rsid w:val="00217885"/>
    <w:rsid w:val="00217909"/>
    <w:rsid w:val="00217DD9"/>
    <w:rsid w:val="00217EF6"/>
    <w:rsid w:val="00220022"/>
    <w:rsid w:val="00220025"/>
    <w:rsid w:val="002201A2"/>
    <w:rsid w:val="002204CC"/>
    <w:rsid w:val="002205B6"/>
    <w:rsid w:val="002206AA"/>
    <w:rsid w:val="002208D4"/>
    <w:rsid w:val="00220CD0"/>
    <w:rsid w:val="00220D90"/>
    <w:rsid w:val="00220E1C"/>
    <w:rsid w:val="0022105A"/>
    <w:rsid w:val="002219C7"/>
    <w:rsid w:val="00221B6F"/>
    <w:rsid w:val="00221CBB"/>
    <w:rsid w:val="00221DB6"/>
    <w:rsid w:val="00221EA4"/>
    <w:rsid w:val="0022220B"/>
    <w:rsid w:val="002225A6"/>
    <w:rsid w:val="00222A28"/>
    <w:rsid w:val="00222B2C"/>
    <w:rsid w:val="00222BBE"/>
    <w:rsid w:val="00222CE0"/>
    <w:rsid w:val="00222F4B"/>
    <w:rsid w:val="00222F7B"/>
    <w:rsid w:val="002230BB"/>
    <w:rsid w:val="0022353C"/>
    <w:rsid w:val="00223590"/>
    <w:rsid w:val="00223637"/>
    <w:rsid w:val="0022390C"/>
    <w:rsid w:val="0022392D"/>
    <w:rsid w:val="00223980"/>
    <w:rsid w:val="00223B49"/>
    <w:rsid w:val="00223CAD"/>
    <w:rsid w:val="00223E25"/>
    <w:rsid w:val="00223EC1"/>
    <w:rsid w:val="00224154"/>
    <w:rsid w:val="00224177"/>
    <w:rsid w:val="0022437B"/>
    <w:rsid w:val="002243F6"/>
    <w:rsid w:val="0022470F"/>
    <w:rsid w:val="00224A0B"/>
    <w:rsid w:val="00224A90"/>
    <w:rsid w:val="00224E82"/>
    <w:rsid w:val="00225330"/>
    <w:rsid w:val="00225409"/>
    <w:rsid w:val="00225B62"/>
    <w:rsid w:val="00225CBC"/>
    <w:rsid w:val="00225DC6"/>
    <w:rsid w:val="00226004"/>
    <w:rsid w:val="00226255"/>
    <w:rsid w:val="002264AC"/>
    <w:rsid w:val="002265D3"/>
    <w:rsid w:val="00226812"/>
    <w:rsid w:val="00226FD7"/>
    <w:rsid w:val="00227046"/>
    <w:rsid w:val="00227053"/>
    <w:rsid w:val="0022764D"/>
    <w:rsid w:val="002276CC"/>
    <w:rsid w:val="00227883"/>
    <w:rsid w:val="00227E60"/>
    <w:rsid w:val="00230DF0"/>
    <w:rsid w:val="00231020"/>
    <w:rsid w:val="0023108E"/>
    <w:rsid w:val="00231AE1"/>
    <w:rsid w:val="00231B89"/>
    <w:rsid w:val="00232640"/>
    <w:rsid w:val="00232793"/>
    <w:rsid w:val="002328B2"/>
    <w:rsid w:val="00232ED5"/>
    <w:rsid w:val="00232F83"/>
    <w:rsid w:val="00232FA3"/>
    <w:rsid w:val="00233003"/>
    <w:rsid w:val="00233270"/>
    <w:rsid w:val="00233355"/>
    <w:rsid w:val="0023355E"/>
    <w:rsid w:val="00233ADA"/>
    <w:rsid w:val="00233D09"/>
    <w:rsid w:val="002343FE"/>
    <w:rsid w:val="00234807"/>
    <w:rsid w:val="00234975"/>
    <w:rsid w:val="00234A5C"/>
    <w:rsid w:val="00234EC5"/>
    <w:rsid w:val="002351E7"/>
    <w:rsid w:val="002352E2"/>
    <w:rsid w:val="00235498"/>
    <w:rsid w:val="00235866"/>
    <w:rsid w:val="002359D0"/>
    <w:rsid w:val="00235BFC"/>
    <w:rsid w:val="00235EEE"/>
    <w:rsid w:val="00235EF6"/>
    <w:rsid w:val="00235F76"/>
    <w:rsid w:val="002361AA"/>
    <w:rsid w:val="002361EC"/>
    <w:rsid w:val="00236456"/>
    <w:rsid w:val="00236B74"/>
    <w:rsid w:val="00236F3D"/>
    <w:rsid w:val="0023716E"/>
    <w:rsid w:val="00237775"/>
    <w:rsid w:val="002377C4"/>
    <w:rsid w:val="00237FD6"/>
    <w:rsid w:val="002404C4"/>
    <w:rsid w:val="0024052B"/>
    <w:rsid w:val="00240767"/>
    <w:rsid w:val="00240775"/>
    <w:rsid w:val="0024077E"/>
    <w:rsid w:val="0024082B"/>
    <w:rsid w:val="0024090B"/>
    <w:rsid w:val="00240C3D"/>
    <w:rsid w:val="00240D1B"/>
    <w:rsid w:val="0024100A"/>
    <w:rsid w:val="00241725"/>
    <w:rsid w:val="00241CAE"/>
    <w:rsid w:val="00241F17"/>
    <w:rsid w:val="00242450"/>
    <w:rsid w:val="00242935"/>
    <w:rsid w:val="00242A8D"/>
    <w:rsid w:val="00242F30"/>
    <w:rsid w:val="002433E9"/>
    <w:rsid w:val="00243647"/>
    <w:rsid w:val="0024384B"/>
    <w:rsid w:val="00243E72"/>
    <w:rsid w:val="00244065"/>
    <w:rsid w:val="00244682"/>
    <w:rsid w:val="002447CE"/>
    <w:rsid w:val="002448B5"/>
    <w:rsid w:val="00244E90"/>
    <w:rsid w:val="002451D0"/>
    <w:rsid w:val="002454AB"/>
    <w:rsid w:val="00245AC0"/>
    <w:rsid w:val="002462F0"/>
    <w:rsid w:val="002464D1"/>
    <w:rsid w:val="00246612"/>
    <w:rsid w:val="0024674F"/>
    <w:rsid w:val="002467B4"/>
    <w:rsid w:val="002468A2"/>
    <w:rsid w:val="0024692F"/>
    <w:rsid w:val="00246A8B"/>
    <w:rsid w:val="00246D33"/>
    <w:rsid w:val="00246E4C"/>
    <w:rsid w:val="00246FC7"/>
    <w:rsid w:val="0024724F"/>
    <w:rsid w:val="0024732E"/>
    <w:rsid w:val="0024754F"/>
    <w:rsid w:val="0024780F"/>
    <w:rsid w:val="00247A1C"/>
    <w:rsid w:val="00247A86"/>
    <w:rsid w:val="00247E2D"/>
    <w:rsid w:val="00247E32"/>
    <w:rsid w:val="00247E86"/>
    <w:rsid w:val="00250224"/>
    <w:rsid w:val="002502B0"/>
    <w:rsid w:val="002504F4"/>
    <w:rsid w:val="0025084C"/>
    <w:rsid w:val="00250889"/>
    <w:rsid w:val="0025091C"/>
    <w:rsid w:val="00250B32"/>
    <w:rsid w:val="00250DA1"/>
    <w:rsid w:val="0025115A"/>
    <w:rsid w:val="002514F1"/>
    <w:rsid w:val="00251DAC"/>
    <w:rsid w:val="00252027"/>
    <w:rsid w:val="00252036"/>
    <w:rsid w:val="002520BB"/>
    <w:rsid w:val="00252195"/>
    <w:rsid w:val="00252510"/>
    <w:rsid w:val="00252520"/>
    <w:rsid w:val="00252907"/>
    <w:rsid w:val="00252D28"/>
    <w:rsid w:val="00252DA3"/>
    <w:rsid w:val="002532AA"/>
    <w:rsid w:val="00253A93"/>
    <w:rsid w:val="00253D5D"/>
    <w:rsid w:val="00253D8E"/>
    <w:rsid w:val="00253D9F"/>
    <w:rsid w:val="00254692"/>
    <w:rsid w:val="00254739"/>
    <w:rsid w:val="00254A47"/>
    <w:rsid w:val="00254CD5"/>
    <w:rsid w:val="00254D0F"/>
    <w:rsid w:val="00254E69"/>
    <w:rsid w:val="00254FD0"/>
    <w:rsid w:val="00255120"/>
    <w:rsid w:val="00255E10"/>
    <w:rsid w:val="0025630E"/>
    <w:rsid w:val="0025634E"/>
    <w:rsid w:val="002563C2"/>
    <w:rsid w:val="002568B5"/>
    <w:rsid w:val="00256960"/>
    <w:rsid w:val="00256F8B"/>
    <w:rsid w:val="00256FDC"/>
    <w:rsid w:val="002571C5"/>
    <w:rsid w:val="002573A4"/>
    <w:rsid w:val="00257400"/>
    <w:rsid w:val="002574BA"/>
    <w:rsid w:val="002575E7"/>
    <w:rsid w:val="002577F7"/>
    <w:rsid w:val="00257864"/>
    <w:rsid w:val="00257872"/>
    <w:rsid w:val="00257AFB"/>
    <w:rsid w:val="00257B10"/>
    <w:rsid w:val="00257FB9"/>
    <w:rsid w:val="0026013E"/>
    <w:rsid w:val="0026031E"/>
    <w:rsid w:val="00260346"/>
    <w:rsid w:val="0026061E"/>
    <w:rsid w:val="00260704"/>
    <w:rsid w:val="00260708"/>
    <w:rsid w:val="00260777"/>
    <w:rsid w:val="00260C5E"/>
    <w:rsid w:val="00260E26"/>
    <w:rsid w:val="00260EDC"/>
    <w:rsid w:val="00260F1B"/>
    <w:rsid w:val="002611FF"/>
    <w:rsid w:val="0026180A"/>
    <w:rsid w:val="002618DA"/>
    <w:rsid w:val="00261FDD"/>
    <w:rsid w:val="00261FFB"/>
    <w:rsid w:val="00262008"/>
    <w:rsid w:val="00262125"/>
    <w:rsid w:val="0026234D"/>
    <w:rsid w:val="002624AF"/>
    <w:rsid w:val="00262E71"/>
    <w:rsid w:val="00262FF6"/>
    <w:rsid w:val="002632C6"/>
    <w:rsid w:val="002634BC"/>
    <w:rsid w:val="0026363B"/>
    <w:rsid w:val="00263881"/>
    <w:rsid w:val="00263E0E"/>
    <w:rsid w:val="00263EEB"/>
    <w:rsid w:val="00263F01"/>
    <w:rsid w:val="00263F65"/>
    <w:rsid w:val="002640A4"/>
    <w:rsid w:val="0026425A"/>
    <w:rsid w:val="00264671"/>
    <w:rsid w:val="00264A01"/>
    <w:rsid w:val="00264A8F"/>
    <w:rsid w:val="00264A92"/>
    <w:rsid w:val="00264B04"/>
    <w:rsid w:val="00264D5C"/>
    <w:rsid w:val="00264F27"/>
    <w:rsid w:val="00265207"/>
    <w:rsid w:val="00265466"/>
    <w:rsid w:val="0026555C"/>
    <w:rsid w:val="0026597B"/>
    <w:rsid w:val="00265C7D"/>
    <w:rsid w:val="00265F18"/>
    <w:rsid w:val="002661E2"/>
    <w:rsid w:val="00266CFC"/>
    <w:rsid w:val="00267048"/>
    <w:rsid w:val="002670CF"/>
    <w:rsid w:val="0026764E"/>
    <w:rsid w:val="00267864"/>
    <w:rsid w:val="00267A44"/>
    <w:rsid w:val="00267A8A"/>
    <w:rsid w:val="00267D63"/>
    <w:rsid w:val="002704AB"/>
    <w:rsid w:val="00270A70"/>
    <w:rsid w:val="00270C07"/>
    <w:rsid w:val="0027112F"/>
    <w:rsid w:val="002711EF"/>
    <w:rsid w:val="0027176C"/>
    <w:rsid w:val="00271BF3"/>
    <w:rsid w:val="00272239"/>
    <w:rsid w:val="00272348"/>
    <w:rsid w:val="002723C0"/>
    <w:rsid w:val="00272481"/>
    <w:rsid w:val="0027283B"/>
    <w:rsid w:val="00272B2C"/>
    <w:rsid w:val="00272D37"/>
    <w:rsid w:val="00272F05"/>
    <w:rsid w:val="00272F45"/>
    <w:rsid w:val="00273231"/>
    <w:rsid w:val="002732D6"/>
    <w:rsid w:val="002734A9"/>
    <w:rsid w:val="00273633"/>
    <w:rsid w:val="0027369A"/>
    <w:rsid w:val="00273E0D"/>
    <w:rsid w:val="0027403B"/>
    <w:rsid w:val="0027452C"/>
    <w:rsid w:val="00274592"/>
    <w:rsid w:val="002748C3"/>
    <w:rsid w:val="00274C33"/>
    <w:rsid w:val="00274DD8"/>
    <w:rsid w:val="0027542F"/>
    <w:rsid w:val="00275B97"/>
    <w:rsid w:val="00275CDD"/>
    <w:rsid w:val="00275CE6"/>
    <w:rsid w:val="00275D8E"/>
    <w:rsid w:val="0027604C"/>
    <w:rsid w:val="002760EB"/>
    <w:rsid w:val="00276439"/>
    <w:rsid w:val="002764C6"/>
    <w:rsid w:val="00276904"/>
    <w:rsid w:val="0027691E"/>
    <w:rsid w:val="00276963"/>
    <w:rsid w:val="00276A5A"/>
    <w:rsid w:val="00277085"/>
    <w:rsid w:val="00277582"/>
    <w:rsid w:val="0027783D"/>
    <w:rsid w:val="002802D2"/>
    <w:rsid w:val="00280609"/>
    <w:rsid w:val="00280965"/>
    <w:rsid w:val="002809E5"/>
    <w:rsid w:val="00280D35"/>
    <w:rsid w:val="00281310"/>
    <w:rsid w:val="00281565"/>
    <w:rsid w:val="0028169A"/>
    <w:rsid w:val="002816A5"/>
    <w:rsid w:val="0028196D"/>
    <w:rsid w:val="00281EBB"/>
    <w:rsid w:val="00281F6D"/>
    <w:rsid w:val="0028256B"/>
    <w:rsid w:val="00282681"/>
    <w:rsid w:val="002827A9"/>
    <w:rsid w:val="002835BD"/>
    <w:rsid w:val="00283B1F"/>
    <w:rsid w:val="00283DFA"/>
    <w:rsid w:val="00283FAC"/>
    <w:rsid w:val="002842F0"/>
    <w:rsid w:val="00284666"/>
    <w:rsid w:val="00284B9A"/>
    <w:rsid w:val="00284D3B"/>
    <w:rsid w:val="00284E87"/>
    <w:rsid w:val="00284FE1"/>
    <w:rsid w:val="00285275"/>
    <w:rsid w:val="002853C1"/>
    <w:rsid w:val="002854AC"/>
    <w:rsid w:val="00285963"/>
    <w:rsid w:val="002863E2"/>
    <w:rsid w:val="00286430"/>
    <w:rsid w:val="00286562"/>
    <w:rsid w:val="002867E0"/>
    <w:rsid w:val="00286CDE"/>
    <w:rsid w:val="00286E8B"/>
    <w:rsid w:val="002879E5"/>
    <w:rsid w:val="00287A8A"/>
    <w:rsid w:val="00287B38"/>
    <w:rsid w:val="00290168"/>
    <w:rsid w:val="00290474"/>
    <w:rsid w:val="0029061F"/>
    <w:rsid w:val="0029064D"/>
    <w:rsid w:val="0029082E"/>
    <w:rsid w:val="002908C7"/>
    <w:rsid w:val="00290960"/>
    <w:rsid w:val="00290A2B"/>
    <w:rsid w:val="00290AAF"/>
    <w:rsid w:val="00290E6E"/>
    <w:rsid w:val="00290F00"/>
    <w:rsid w:val="00291240"/>
    <w:rsid w:val="002913A7"/>
    <w:rsid w:val="0029194D"/>
    <w:rsid w:val="00291C3F"/>
    <w:rsid w:val="00292072"/>
    <w:rsid w:val="00292098"/>
    <w:rsid w:val="002922E7"/>
    <w:rsid w:val="00292413"/>
    <w:rsid w:val="002925EA"/>
    <w:rsid w:val="002927E2"/>
    <w:rsid w:val="002928E0"/>
    <w:rsid w:val="00292942"/>
    <w:rsid w:val="00292AB8"/>
    <w:rsid w:val="00292DD3"/>
    <w:rsid w:val="00292EC0"/>
    <w:rsid w:val="002931B9"/>
    <w:rsid w:val="002935C1"/>
    <w:rsid w:val="002936F0"/>
    <w:rsid w:val="00293FD1"/>
    <w:rsid w:val="002942E7"/>
    <w:rsid w:val="002942F3"/>
    <w:rsid w:val="00294332"/>
    <w:rsid w:val="00294370"/>
    <w:rsid w:val="002944B4"/>
    <w:rsid w:val="002949AC"/>
    <w:rsid w:val="00294C39"/>
    <w:rsid w:val="002951A3"/>
    <w:rsid w:val="002954DE"/>
    <w:rsid w:val="00295943"/>
    <w:rsid w:val="00295979"/>
    <w:rsid w:val="002961A3"/>
    <w:rsid w:val="002964BB"/>
    <w:rsid w:val="002964F1"/>
    <w:rsid w:val="00296605"/>
    <w:rsid w:val="00296E71"/>
    <w:rsid w:val="002973F2"/>
    <w:rsid w:val="00297ABC"/>
    <w:rsid w:val="00297AF0"/>
    <w:rsid w:val="00297EAC"/>
    <w:rsid w:val="002A0012"/>
    <w:rsid w:val="002A0401"/>
    <w:rsid w:val="002A046E"/>
    <w:rsid w:val="002A06BC"/>
    <w:rsid w:val="002A0731"/>
    <w:rsid w:val="002A0B42"/>
    <w:rsid w:val="002A0E0D"/>
    <w:rsid w:val="002A135C"/>
    <w:rsid w:val="002A19AF"/>
    <w:rsid w:val="002A1A52"/>
    <w:rsid w:val="002A1AFD"/>
    <w:rsid w:val="002A1B2F"/>
    <w:rsid w:val="002A1C97"/>
    <w:rsid w:val="002A1F6A"/>
    <w:rsid w:val="002A1FD9"/>
    <w:rsid w:val="002A21E5"/>
    <w:rsid w:val="002A2211"/>
    <w:rsid w:val="002A2299"/>
    <w:rsid w:val="002A25B0"/>
    <w:rsid w:val="002A2B81"/>
    <w:rsid w:val="002A3000"/>
    <w:rsid w:val="002A3198"/>
    <w:rsid w:val="002A3257"/>
    <w:rsid w:val="002A3389"/>
    <w:rsid w:val="002A3390"/>
    <w:rsid w:val="002A342E"/>
    <w:rsid w:val="002A36C2"/>
    <w:rsid w:val="002A37D2"/>
    <w:rsid w:val="002A381B"/>
    <w:rsid w:val="002A3B3C"/>
    <w:rsid w:val="002A3CEB"/>
    <w:rsid w:val="002A42BB"/>
    <w:rsid w:val="002A42E2"/>
    <w:rsid w:val="002A4FE5"/>
    <w:rsid w:val="002A5038"/>
    <w:rsid w:val="002A516D"/>
    <w:rsid w:val="002A57F4"/>
    <w:rsid w:val="002A5B0F"/>
    <w:rsid w:val="002A5BF7"/>
    <w:rsid w:val="002A6254"/>
    <w:rsid w:val="002A6446"/>
    <w:rsid w:val="002A6707"/>
    <w:rsid w:val="002A68EC"/>
    <w:rsid w:val="002A6D81"/>
    <w:rsid w:val="002A745A"/>
    <w:rsid w:val="002A75B4"/>
    <w:rsid w:val="002A7715"/>
    <w:rsid w:val="002A77B9"/>
    <w:rsid w:val="002A7801"/>
    <w:rsid w:val="002A780E"/>
    <w:rsid w:val="002B04B0"/>
    <w:rsid w:val="002B0A95"/>
    <w:rsid w:val="002B0F06"/>
    <w:rsid w:val="002B0F99"/>
    <w:rsid w:val="002B109F"/>
    <w:rsid w:val="002B1477"/>
    <w:rsid w:val="002B159E"/>
    <w:rsid w:val="002B168C"/>
    <w:rsid w:val="002B19D9"/>
    <w:rsid w:val="002B1A20"/>
    <w:rsid w:val="002B1C85"/>
    <w:rsid w:val="002B1E29"/>
    <w:rsid w:val="002B1EC4"/>
    <w:rsid w:val="002B214F"/>
    <w:rsid w:val="002B2BF2"/>
    <w:rsid w:val="002B2CAF"/>
    <w:rsid w:val="002B2ED0"/>
    <w:rsid w:val="002B37E0"/>
    <w:rsid w:val="002B42CE"/>
    <w:rsid w:val="002B43CA"/>
    <w:rsid w:val="002B4905"/>
    <w:rsid w:val="002B4AF0"/>
    <w:rsid w:val="002B4B9C"/>
    <w:rsid w:val="002B50AC"/>
    <w:rsid w:val="002B5934"/>
    <w:rsid w:val="002B5BAD"/>
    <w:rsid w:val="002B5DE6"/>
    <w:rsid w:val="002B6470"/>
    <w:rsid w:val="002B64BF"/>
    <w:rsid w:val="002B6A6B"/>
    <w:rsid w:val="002B6AC8"/>
    <w:rsid w:val="002B705D"/>
    <w:rsid w:val="002B730E"/>
    <w:rsid w:val="002B7456"/>
    <w:rsid w:val="002B75A2"/>
    <w:rsid w:val="002B75EA"/>
    <w:rsid w:val="002B75F4"/>
    <w:rsid w:val="002B765F"/>
    <w:rsid w:val="002B7959"/>
    <w:rsid w:val="002B7ECD"/>
    <w:rsid w:val="002C02E7"/>
    <w:rsid w:val="002C05C7"/>
    <w:rsid w:val="002C0842"/>
    <w:rsid w:val="002C0B55"/>
    <w:rsid w:val="002C0C0C"/>
    <w:rsid w:val="002C133A"/>
    <w:rsid w:val="002C1543"/>
    <w:rsid w:val="002C16C6"/>
    <w:rsid w:val="002C1B7E"/>
    <w:rsid w:val="002C1D59"/>
    <w:rsid w:val="002C28C6"/>
    <w:rsid w:val="002C2D70"/>
    <w:rsid w:val="002C30CC"/>
    <w:rsid w:val="002C31AA"/>
    <w:rsid w:val="002C3778"/>
    <w:rsid w:val="002C38CB"/>
    <w:rsid w:val="002C3A2C"/>
    <w:rsid w:val="002C3AA3"/>
    <w:rsid w:val="002C3B67"/>
    <w:rsid w:val="002C3C96"/>
    <w:rsid w:val="002C3D73"/>
    <w:rsid w:val="002C3E03"/>
    <w:rsid w:val="002C4155"/>
    <w:rsid w:val="002C431A"/>
    <w:rsid w:val="002C4542"/>
    <w:rsid w:val="002C4A15"/>
    <w:rsid w:val="002C4D7E"/>
    <w:rsid w:val="002C4D94"/>
    <w:rsid w:val="002C5933"/>
    <w:rsid w:val="002C5C8C"/>
    <w:rsid w:val="002C5F3F"/>
    <w:rsid w:val="002C60F5"/>
    <w:rsid w:val="002C6189"/>
    <w:rsid w:val="002C63DE"/>
    <w:rsid w:val="002C6496"/>
    <w:rsid w:val="002C7411"/>
    <w:rsid w:val="002C7885"/>
    <w:rsid w:val="002D03AE"/>
    <w:rsid w:val="002D0652"/>
    <w:rsid w:val="002D0893"/>
    <w:rsid w:val="002D0982"/>
    <w:rsid w:val="002D0AA9"/>
    <w:rsid w:val="002D0EA3"/>
    <w:rsid w:val="002D1011"/>
    <w:rsid w:val="002D1051"/>
    <w:rsid w:val="002D188F"/>
    <w:rsid w:val="002D254F"/>
    <w:rsid w:val="002D25E2"/>
    <w:rsid w:val="002D2AE8"/>
    <w:rsid w:val="002D33C9"/>
    <w:rsid w:val="002D36BB"/>
    <w:rsid w:val="002D3B83"/>
    <w:rsid w:val="002D428C"/>
    <w:rsid w:val="002D4798"/>
    <w:rsid w:val="002D47D7"/>
    <w:rsid w:val="002D4972"/>
    <w:rsid w:val="002D4AB6"/>
    <w:rsid w:val="002D4DCB"/>
    <w:rsid w:val="002D514D"/>
    <w:rsid w:val="002D5232"/>
    <w:rsid w:val="002D530F"/>
    <w:rsid w:val="002D5515"/>
    <w:rsid w:val="002D5868"/>
    <w:rsid w:val="002D5A0E"/>
    <w:rsid w:val="002D6314"/>
    <w:rsid w:val="002D70D1"/>
    <w:rsid w:val="002D7578"/>
    <w:rsid w:val="002D7648"/>
    <w:rsid w:val="002D7902"/>
    <w:rsid w:val="002D795F"/>
    <w:rsid w:val="002E0652"/>
    <w:rsid w:val="002E0E15"/>
    <w:rsid w:val="002E0F01"/>
    <w:rsid w:val="002E1591"/>
    <w:rsid w:val="002E1865"/>
    <w:rsid w:val="002E1902"/>
    <w:rsid w:val="002E1B36"/>
    <w:rsid w:val="002E1C59"/>
    <w:rsid w:val="002E1FD6"/>
    <w:rsid w:val="002E217C"/>
    <w:rsid w:val="002E2963"/>
    <w:rsid w:val="002E2DC8"/>
    <w:rsid w:val="002E2F33"/>
    <w:rsid w:val="002E331A"/>
    <w:rsid w:val="002E343B"/>
    <w:rsid w:val="002E3489"/>
    <w:rsid w:val="002E35AB"/>
    <w:rsid w:val="002E3725"/>
    <w:rsid w:val="002E38A5"/>
    <w:rsid w:val="002E38D9"/>
    <w:rsid w:val="002E3CC8"/>
    <w:rsid w:val="002E404D"/>
    <w:rsid w:val="002E43D4"/>
    <w:rsid w:val="002E4401"/>
    <w:rsid w:val="002E46ED"/>
    <w:rsid w:val="002E47EC"/>
    <w:rsid w:val="002E4DBF"/>
    <w:rsid w:val="002E4E1C"/>
    <w:rsid w:val="002E4EED"/>
    <w:rsid w:val="002E4F1B"/>
    <w:rsid w:val="002E5086"/>
    <w:rsid w:val="002E50EB"/>
    <w:rsid w:val="002E5126"/>
    <w:rsid w:val="002E516B"/>
    <w:rsid w:val="002E559F"/>
    <w:rsid w:val="002E5772"/>
    <w:rsid w:val="002E59F4"/>
    <w:rsid w:val="002E5AD5"/>
    <w:rsid w:val="002E5B9B"/>
    <w:rsid w:val="002E5CD1"/>
    <w:rsid w:val="002E5E86"/>
    <w:rsid w:val="002E5F71"/>
    <w:rsid w:val="002E6058"/>
    <w:rsid w:val="002E60EF"/>
    <w:rsid w:val="002E637C"/>
    <w:rsid w:val="002E6453"/>
    <w:rsid w:val="002E67E4"/>
    <w:rsid w:val="002E693C"/>
    <w:rsid w:val="002E6BAD"/>
    <w:rsid w:val="002E6BCB"/>
    <w:rsid w:val="002E6E12"/>
    <w:rsid w:val="002E7293"/>
    <w:rsid w:val="002E774B"/>
    <w:rsid w:val="002F02DC"/>
    <w:rsid w:val="002F0387"/>
    <w:rsid w:val="002F063D"/>
    <w:rsid w:val="002F08C4"/>
    <w:rsid w:val="002F0CB8"/>
    <w:rsid w:val="002F0CCE"/>
    <w:rsid w:val="002F0FC6"/>
    <w:rsid w:val="002F124A"/>
    <w:rsid w:val="002F1732"/>
    <w:rsid w:val="002F1772"/>
    <w:rsid w:val="002F18C5"/>
    <w:rsid w:val="002F1A36"/>
    <w:rsid w:val="002F1CA4"/>
    <w:rsid w:val="002F1CB1"/>
    <w:rsid w:val="002F1E7A"/>
    <w:rsid w:val="002F20D4"/>
    <w:rsid w:val="002F212B"/>
    <w:rsid w:val="002F21E7"/>
    <w:rsid w:val="002F22A8"/>
    <w:rsid w:val="002F22B1"/>
    <w:rsid w:val="002F2A2A"/>
    <w:rsid w:val="002F2A80"/>
    <w:rsid w:val="002F2E9C"/>
    <w:rsid w:val="002F3411"/>
    <w:rsid w:val="002F34BA"/>
    <w:rsid w:val="002F361D"/>
    <w:rsid w:val="002F36AF"/>
    <w:rsid w:val="002F3763"/>
    <w:rsid w:val="002F3AF3"/>
    <w:rsid w:val="002F3C48"/>
    <w:rsid w:val="002F3FBC"/>
    <w:rsid w:val="002F4181"/>
    <w:rsid w:val="002F4807"/>
    <w:rsid w:val="002F4B9F"/>
    <w:rsid w:val="002F4BBD"/>
    <w:rsid w:val="002F4FE4"/>
    <w:rsid w:val="002F51C5"/>
    <w:rsid w:val="002F61AB"/>
    <w:rsid w:val="002F6219"/>
    <w:rsid w:val="002F6347"/>
    <w:rsid w:val="002F637D"/>
    <w:rsid w:val="002F65D8"/>
    <w:rsid w:val="002F669F"/>
    <w:rsid w:val="002F6ACC"/>
    <w:rsid w:val="002F6C86"/>
    <w:rsid w:val="002F6CB3"/>
    <w:rsid w:val="002F6FA0"/>
    <w:rsid w:val="002F7058"/>
    <w:rsid w:val="002F7267"/>
    <w:rsid w:val="002F72A0"/>
    <w:rsid w:val="002F75E1"/>
    <w:rsid w:val="002F7B24"/>
    <w:rsid w:val="002F7BB1"/>
    <w:rsid w:val="0030047F"/>
    <w:rsid w:val="00300603"/>
    <w:rsid w:val="003008B2"/>
    <w:rsid w:val="00300AAF"/>
    <w:rsid w:val="00300C42"/>
    <w:rsid w:val="00300D53"/>
    <w:rsid w:val="00300E3A"/>
    <w:rsid w:val="00301043"/>
    <w:rsid w:val="00301447"/>
    <w:rsid w:val="003016BE"/>
    <w:rsid w:val="00301AEE"/>
    <w:rsid w:val="00301BA7"/>
    <w:rsid w:val="00301C1D"/>
    <w:rsid w:val="0030205D"/>
    <w:rsid w:val="0030209A"/>
    <w:rsid w:val="003027C1"/>
    <w:rsid w:val="00302A8B"/>
    <w:rsid w:val="00302B93"/>
    <w:rsid w:val="00302F84"/>
    <w:rsid w:val="00302FFB"/>
    <w:rsid w:val="003030E1"/>
    <w:rsid w:val="0030319B"/>
    <w:rsid w:val="003037FB"/>
    <w:rsid w:val="00303849"/>
    <w:rsid w:val="00303A99"/>
    <w:rsid w:val="00303D1F"/>
    <w:rsid w:val="00303E21"/>
    <w:rsid w:val="00304CD2"/>
    <w:rsid w:val="00305347"/>
    <w:rsid w:val="00305415"/>
    <w:rsid w:val="00305632"/>
    <w:rsid w:val="003057B0"/>
    <w:rsid w:val="00305815"/>
    <w:rsid w:val="00305861"/>
    <w:rsid w:val="003058E4"/>
    <w:rsid w:val="00305945"/>
    <w:rsid w:val="00305A23"/>
    <w:rsid w:val="00305C4F"/>
    <w:rsid w:val="00306192"/>
    <w:rsid w:val="0030664F"/>
    <w:rsid w:val="003067E1"/>
    <w:rsid w:val="00306ACB"/>
    <w:rsid w:val="00306BCA"/>
    <w:rsid w:val="00306DFC"/>
    <w:rsid w:val="00306E3B"/>
    <w:rsid w:val="00306EB4"/>
    <w:rsid w:val="00306F9F"/>
    <w:rsid w:val="0030714D"/>
    <w:rsid w:val="00307462"/>
    <w:rsid w:val="00307989"/>
    <w:rsid w:val="00307B00"/>
    <w:rsid w:val="00310330"/>
    <w:rsid w:val="0031034B"/>
    <w:rsid w:val="003103FC"/>
    <w:rsid w:val="00310407"/>
    <w:rsid w:val="00310485"/>
    <w:rsid w:val="00310B91"/>
    <w:rsid w:val="00310D5E"/>
    <w:rsid w:val="0031125F"/>
    <w:rsid w:val="00311336"/>
    <w:rsid w:val="003114F1"/>
    <w:rsid w:val="00311A8C"/>
    <w:rsid w:val="00312530"/>
    <w:rsid w:val="003126D4"/>
    <w:rsid w:val="0031275F"/>
    <w:rsid w:val="003127BE"/>
    <w:rsid w:val="003128EB"/>
    <w:rsid w:val="003129DA"/>
    <w:rsid w:val="00312AA3"/>
    <w:rsid w:val="00312CEF"/>
    <w:rsid w:val="00312FA6"/>
    <w:rsid w:val="003131BF"/>
    <w:rsid w:val="00313376"/>
    <w:rsid w:val="003137A6"/>
    <w:rsid w:val="00313B6C"/>
    <w:rsid w:val="00313D9E"/>
    <w:rsid w:val="00313E72"/>
    <w:rsid w:val="00313F09"/>
    <w:rsid w:val="00313F3B"/>
    <w:rsid w:val="0031400C"/>
    <w:rsid w:val="00314054"/>
    <w:rsid w:val="003140CF"/>
    <w:rsid w:val="003145EE"/>
    <w:rsid w:val="0031498B"/>
    <w:rsid w:val="00314A98"/>
    <w:rsid w:val="00314BC0"/>
    <w:rsid w:val="00315145"/>
    <w:rsid w:val="00315A17"/>
    <w:rsid w:val="00315B72"/>
    <w:rsid w:val="00315BBA"/>
    <w:rsid w:val="00315C9B"/>
    <w:rsid w:val="0031601A"/>
    <w:rsid w:val="003163F9"/>
    <w:rsid w:val="003164B7"/>
    <w:rsid w:val="003165D9"/>
    <w:rsid w:val="00316C66"/>
    <w:rsid w:val="00316E54"/>
    <w:rsid w:val="00316E7E"/>
    <w:rsid w:val="00316F66"/>
    <w:rsid w:val="003175D0"/>
    <w:rsid w:val="00317711"/>
    <w:rsid w:val="003178E6"/>
    <w:rsid w:val="00317914"/>
    <w:rsid w:val="00317F8E"/>
    <w:rsid w:val="0032010F"/>
    <w:rsid w:val="003205E3"/>
    <w:rsid w:val="0032072D"/>
    <w:rsid w:val="00320B51"/>
    <w:rsid w:val="00320E01"/>
    <w:rsid w:val="00320F9D"/>
    <w:rsid w:val="00321152"/>
    <w:rsid w:val="0032115A"/>
    <w:rsid w:val="00321456"/>
    <w:rsid w:val="0032183B"/>
    <w:rsid w:val="00321CCC"/>
    <w:rsid w:val="00321E30"/>
    <w:rsid w:val="003220C9"/>
    <w:rsid w:val="003230C1"/>
    <w:rsid w:val="0032335D"/>
    <w:rsid w:val="00323B3C"/>
    <w:rsid w:val="00324105"/>
    <w:rsid w:val="003242FF"/>
    <w:rsid w:val="00324903"/>
    <w:rsid w:val="00324C9C"/>
    <w:rsid w:val="00324F1A"/>
    <w:rsid w:val="0032597D"/>
    <w:rsid w:val="00325B13"/>
    <w:rsid w:val="00325B53"/>
    <w:rsid w:val="003263E4"/>
    <w:rsid w:val="0032646C"/>
    <w:rsid w:val="00326495"/>
    <w:rsid w:val="0032674D"/>
    <w:rsid w:val="00326941"/>
    <w:rsid w:val="0032697D"/>
    <w:rsid w:val="00326B6F"/>
    <w:rsid w:val="003270C5"/>
    <w:rsid w:val="00327260"/>
    <w:rsid w:val="003272E7"/>
    <w:rsid w:val="00327470"/>
    <w:rsid w:val="00327654"/>
    <w:rsid w:val="003277A3"/>
    <w:rsid w:val="00327E35"/>
    <w:rsid w:val="0033024C"/>
    <w:rsid w:val="00330349"/>
    <w:rsid w:val="00330453"/>
    <w:rsid w:val="0033099B"/>
    <w:rsid w:val="00330AED"/>
    <w:rsid w:val="00330B74"/>
    <w:rsid w:val="00331077"/>
    <w:rsid w:val="00331333"/>
    <w:rsid w:val="00331353"/>
    <w:rsid w:val="003313DA"/>
    <w:rsid w:val="00331ADD"/>
    <w:rsid w:val="00331FE2"/>
    <w:rsid w:val="00332258"/>
    <w:rsid w:val="00332A4C"/>
    <w:rsid w:val="00332AA0"/>
    <w:rsid w:val="00332AC8"/>
    <w:rsid w:val="00332B33"/>
    <w:rsid w:val="00332B43"/>
    <w:rsid w:val="00332DB6"/>
    <w:rsid w:val="003341B9"/>
    <w:rsid w:val="00334414"/>
    <w:rsid w:val="003346AA"/>
    <w:rsid w:val="00334A53"/>
    <w:rsid w:val="00334B13"/>
    <w:rsid w:val="00334E8F"/>
    <w:rsid w:val="003354F9"/>
    <w:rsid w:val="00335BAE"/>
    <w:rsid w:val="00335D26"/>
    <w:rsid w:val="00335D56"/>
    <w:rsid w:val="00336184"/>
    <w:rsid w:val="003364F8"/>
    <w:rsid w:val="003366DF"/>
    <w:rsid w:val="0033700C"/>
    <w:rsid w:val="00337612"/>
    <w:rsid w:val="003376C0"/>
    <w:rsid w:val="003376F5"/>
    <w:rsid w:val="00337832"/>
    <w:rsid w:val="00337E2B"/>
    <w:rsid w:val="00337FC5"/>
    <w:rsid w:val="0034007F"/>
    <w:rsid w:val="00340970"/>
    <w:rsid w:val="00340A35"/>
    <w:rsid w:val="00340C94"/>
    <w:rsid w:val="00340EB1"/>
    <w:rsid w:val="003410B6"/>
    <w:rsid w:val="003412D0"/>
    <w:rsid w:val="00341482"/>
    <w:rsid w:val="003417A8"/>
    <w:rsid w:val="00341CAC"/>
    <w:rsid w:val="00341CF3"/>
    <w:rsid w:val="00341DE4"/>
    <w:rsid w:val="0034222C"/>
    <w:rsid w:val="00342411"/>
    <w:rsid w:val="003429CD"/>
    <w:rsid w:val="00342B7D"/>
    <w:rsid w:val="00342C1A"/>
    <w:rsid w:val="00342D03"/>
    <w:rsid w:val="00342DA5"/>
    <w:rsid w:val="0034337C"/>
    <w:rsid w:val="003433B8"/>
    <w:rsid w:val="00343507"/>
    <w:rsid w:val="003438C3"/>
    <w:rsid w:val="00343A73"/>
    <w:rsid w:val="00343A79"/>
    <w:rsid w:val="00343DED"/>
    <w:rsid w:val="00343DFA"/>
    <w:rsid w:val="0034427F"/>
    <w:rsid w:val="00344794"/>
    <w:rsid w:val="003449D0"/>
    <w:rsid w:val="00344CAE"/>
    <w:rsid w:val="00344D1C"/>
    <w:rsid w:val="00344EF6"/>
    <w:rsid w:val="00344FA0"/>
    <w:rsid w:val="003450EA"/>
    <w:rsid w:val="00345A78"/>
    <w:rsid w:val="00345A82"/>
    <w:rsid w:val="00345ED9"/>
    <w:rsid w:val="0034602C"/>
    <w:rsid w:val="00346568"/>
    <w:rsid w:val="003466DA"/>
    <w:rsid w:val="00346779"/>
    <w:rsid w:val="00346F51"/>
    <w:rsid w:val="003473D5"/>
    <w:rsid w:val="0034780E"/>
    <w:rsid w:val="00347A7F"/>
    <w:rsid w:val="00347ED6"/>
    <w:rsid w:val="0035025E"/>
    <w:rsid w:val="003502C1"/>
    <w:rsid w:val="00350661"/>
    <w:rsid w:val="003506CD"/>
    <w:rsid w:val="0035086E"/>
    <w:rsid w:val="003508C0"/>
    <w:rsid w:val="00350D21"/>
    <w:rsid w:val="00350DEF"/>
    <w:rsid w:val="00350E3F"/>
    <w:rsid w:val="00350EF8"/>
    <w:rsid w:val="003510B3"/>
    <w:rsid w:val="00351763"/>
    <w:rsid w:val="00351B3B"/>
    <w:rsid w:val="00351DEE"/>
    <w:rsid w:val="00351F0E"/>
    <w:rsid w:val="0035265D"/>
    <w:rsid w:val="00352AE8"/>
    <w:rsid w:val="00352D64"/>
    <w:rsid w:val="00352FAD"/>
    <w:rsid w:val="003534D4"/>
    <w:rsid w:val="00353621"/>
    <w:rsid w:val="00353717"/>
    <w:rsid w:val="00353FAB"/>
    <w:rsid w:val="0035405D"/>
    <w:rsid w:val="00354155"/>
    <w:rsid w:val="0035428E"/>
    <w:rsid w:val="0035458F"/>
    <w:rsid w:val="003547A9"/>
    <w:rsid w:val="00354E45"/>
    <w:rsid w:val="00355220"/>
    <w:rsid w:val="003552EE"/>
    <w:rsid w:val="00355472"/>
    <w:rsid w:val="0035551C"/>
    <w:rsid w:val="00355E3C"/>
    <w:rsid w:val="00356056"/>
    <w:rsid w:val="00356142"/>
    <w:rsid w:val="003563CC"/>
    <w:rsid w:val="00356614"/>
    <w:rsid w:val="00356C6C"/>
    <w:rsid w:val="00356D0F"/>
    <w:rsid w:val="00356E7F"/>
    <w:rsid w:val="00356F8E"/>
    <w:rsid w:val="003571D6"/>
    <w:rsid w:val="00357267"/>
    <w:rsid w:val="003572BA"/>
    <w:rsid w:val="0035731C"/>
    <w:rsid w:val="003575AB"/>
    <w:rsid w:val="00361173"/>
    <w:rsid w:val="0036133C"/>
    <w:rsid w:val="00361DF5"/>
    <w:rsid w:val="00362163"/>
    <w:rsid w:val="003623A6"/>
    <w:rsid w:val="00362654"/>
    <w:rsid w:val="00362C97"/>
    <w:rsid w:val="00362CBC"/>
    <w:rsid w:val="00363035"/>
    <w:rsid w:val="00363301"/>
    <w:rsid w:val="003635B2"/>
    <w:rsid w:val="00363661"/>
    <w:rsid w:val="00363A10"/>
    <w:rsid w:val="0036414C"/>
    <w:rsid w:val="00364236"/>
    <w:rsid w:val="00364247"/>
    <w:rsid w:val="003646D1"/>
    <w:rsid w:val="00364988"/>
    <w:rsid w:val="00364BDB"/>
    <w:rsid w:val="0036517F"/>
    <w:rsid w:val="003653D4"/>
    <w:rsid w:val="003653FD"/>
    <w:rsid w:val="003654FE"/>
    <w:rsid w:val="003657CB"/>
    <w:rsid w:val="00365AAC"/>
    <w:rsid w:val="00365BF0"/>
    <w:rsid w:val="00365C79"/>
    <w:rsid w:val="00365E1D"/>
    <w:rsid w:val="00366140"/>
    <w:rsid w:val="003664F8"/>
    <w:rsid w:val="00366519"/>
    <w:rsid w:val="003667D6"/>
    <w:rsid w:val="003668EF"/>
    <w:rsid w:val="00366C0A"/>
    <w:rsid w:val="00367075"/>
    <w:rsid w:val="00367305"/>
    <w:rsid w:val="00367797"/>
    <w:rsid w:val="003678A6"/>
    <w:rsid w:val="00367D78"/>
    <w:rsid w:val="00367FB7"/>
    <w:rsid w:val="00370055"/>
    <w:rsid w:val="003707F3"/>
    <w:rsid w:val="003709F1"/>
    <w:rsid w:val="00370A93"/>
    <w:rsid w:val="003710F8"/>
    <w:rsid w:val="003711AD"/>
    <w:rsid w:val="003711BD"/>
    <w:rsid w:val="003714E7"/>
    <w:rsid w:val="0037168E"/>
    <w:rsid w:val="00371877"/>
    <w:rsid w:val="00371956"/>
    <w:rsid w:val="00371B2A"/>
    <w:rsid w:val="00371E2F"/>
    <w:rsid w:val="003720A7"/>
    <w:rsid w:val="00372483"/>
    <w:rsid w:val="003725C2"/>
    <w:rsid w:val="003727A5"/>
    <w:rsid w:val="003728E8"/>
    <w:rsid w:val="00372986"/>
    <w:rsid w:val="003729A5"/>
    <w:rsid w:val="00372A57"/>
    <w:rsid w:val="00372BB5"/>
    <w:rsid w:val="00372C94"/>
    <w:rsid w:val="00373018"/>
    <w:rsid w:val="00373092"/>
    <w:rsid w:val="003736C5"/>
    <w:rsid w:val="00373704"/>
    <w:rsid w:val="003737FD"/>
    <w:rsid w:val="00373BAE"/>
    <w:rsid w:val="00373C0F"/>
    <w:rsid w:val="00373DAC"/>
    <w:rsid w:val="003746E3"/>
    <w:rsid w:val="00374A9F"/>
    <w:rsid w:val="00374B50"/>
    <w:rsid w:val="00374D44"/>
    <w:rsid w:val="003751E0"/>
    <w:rsid w:val="0037523E"/>
    <w:rsid w:val="00375A1D"/>
    <w:rsid w:val="00375B06"/>
    <w:rsid w:val="00375D06"/>
    <w:rsid w:val="00375F52"/>
    <w:rsid w:val="00376015"/>
    <w:rsid w:val="003760B3"/>
    <w:rsid w:val="00376146"/>
    <w:rsid w:val="0037614E"/>
    <w:rsid w:val="0037662E"/>
    <w:rsid w:val="00376751"/>
    <w:rsid w:val="0037676E"/>
    <w:rsid w:val="003768FC"/>
    <w:rsid w:val="00376B38"/>
    <w:rsid w:val="00376C26"/>
    <w:rsid w:val="00376D0F"/>
    <w:rsid w:val="00376F1D"/>
    <w:rsid w:val="003773FB"/>
    <w:rsid w:val="00377BCB"/>
    <w:rsid w:val="0038025D"/>
    <w:rsid w:val="0038056D"/>
    <w:rsid w:val="003805B5"/>
    <w:rsid w:val="00380921"/>
    <w:rsid w:val="00380B4E"/>
    <w:rsid w:val="00380E5A"/>
    <w:rsid w:val="00380E5B"/>
    <w:rsid w:val="00381729"/>
    <w:rsid w:val="00381AB3"/>
    <w:rsid w:val="0038202C"/>
    <w:rsid w:val="003820D9"/>
    <w:rsid w:val="00382711"/>
    <w:rsid w:val="003829C6"/>
    <w:rsid w:val="003829FA"/>
    <w:rsid w:val="00382B37"/>
    <w:rsid w:val="00382DE3"/>
    <w:rsid w:val="003832F9"/>
    <w:rsid w:val="00383AB9"/>
    <w:rsid w:val="00383ABD"/>
    <w:rsid w:val="00383B4C"/>
    <w:rsid w:val="00384110"/>
    <w:rsid w:val="003843DA"/>
    <w:rsid w:val="003843F9"/>
    <w:rsid w:val="003847F8"/>
    <w:rsid w:val="0038493B"/>
    <w:rsid w:val="00384A08"/>
    <w:rsid w:val="00384C76"/>
    <w:rsid w:val="00384F46"/>
    <w:rsid w:val="003853E5"/>
    <w:rsid w:val="00385B78"/>
    <w:rsid w:val="00385F92"/>
    <w:rsid w:val="00386131"/>
    <w:rsid w:val="00386453"/>
    <w:rsid w:val="003865D7"/>
    <w:rsid w:val="003867B6"/>
    <w:rsid w:val="0038703F"/>
    <w:rsid w:val="0038764B"/>
    <w:rsid w:val="00387ABF"/>
    <w:rsid w:val="00387AE1"/>
    <w:rsid w:val="00387D13"/>
    <w:rsid w:val="0039082A"/>
    <w:rsid w:val="00390D37"/>
    <w:rsid w:val="0039120F"/>
    <w:rsid w:val="0039176A"/>
    <w:rsid w:val="003918E5"/>
    <w:rsid w:val="003918F7"/>
    <w:rsid w:val="00391941"/>
    <w:rsid w:val="00391B39"/>
    <w:rsid w:val="00391BBB"/>
    <w:rsid w:val="00391EE6"/>
    <w:rsid w:val="00391F46"/>
    <w:rsid w:val="00392012"/>
    <w:rsid w:val="00392742"/>
    <w:rsid w:val="00392838"/>
    <w:rsid w:val="00392996"/>
    <w:rsid w:val="00392F81"/>
    <w:rsid w:val="0039337A"/>
    <w:rsid w:val="0039365B"/>
    <w:rsid w:val="0039376B"/>
    <w:rsid w:val="003939D5"/>
    <w:rsid w:val="00393BA3"/>
    <w:rsid w:val="00393C0D"/>
    <w:rsid w:val="00393C69"/>
    <w:rsid w:val="00393FED"/>
    <w:rsid w:val="00394071"/>
    <w:rsid w:val="003942AA"/>
    <w:rsid w:val="0039435A"/>
    <w:rsid w:val="00394414"/>
    <w:rsid w:val="00394578"/>
    <w:rsid w:val="003949DE"/>
    <w:rsid w:val="00394BE4"/>
    <w:rsid w:val="00394C17"/>
    <w:rsid w:val="00394CEE"/>
    <w:rsid w:val="00395154"/>
    <w:rsid w:val="003952B8"/>
    <w:rsid w:val="00395925"/>
    <w:rsid w:val="00395C1C"/>
    <w:rsid w:val="00395C31"/>
    <w:rsid w:val="00395F28"/>
    <w:rsid w:val="003966DC"/>
    <w:rsid w:val="00396703"/>
    <w:rsid w:val="00396AFA"/>
    <w:rsid w:val="0039720B"/>
    <w:rsid w:val="00397564"/>
    <w:rsid w:val="00397A55"/>
    <w:rsid w:val="003A00A7"/>
    <w:rsid w:val="003A00CD"/>
    <w:rsid w:val="003A013F"/>
    <w:rsid w:val="003A07F7"/>
    <w:rsid w:val="003A10A4"/>
    <w:rsid w:val="003A1E15"/>
    <w:rsid w:val="003A20F8"/>
    <w:rsid w:val="003A21B5"/>
    <w:rsid w:val="003A25A7"/>
    <w:rsid w:val="003A25B2"/>
    <w:rsid w:val="003A2B8F"/>
    <w:rsid w:val="003A2DE5"/>
    <w:rsid w:val="003A3260"/>
    <w:rsid w:val="003A33CA"/>
    <w:rsid w:val="003A345E"/>
    <w:rsid w:val="003A35AB"/>
    <w:rsid w:val="003A385C"/>
    <w:rsid w:val="003A3CA7"/>
    <w:rsid w:val="003A41D1"/>
    <w:rsid w:val="003A432B"/>
    <w:rsid w:val="003A4331"/>
    <w:rsid w:val="003A4795"/>
    <w:rsid w:val="003A496B"/>
    <w:rsid w:val="003A4A0B"/>
    <w:rsid w:val="003A4CC7"/>
    <w:rsid w:val="003A55ED"/>
    <w:rsid w:val="003A576C"/>
    <w:rsid w:val="003A5784"/>
    <w:rsid w:val="003A5803"/>
    <w:rsid w:val="003A597A"/>
    <w:rsid w:val="003A5A43"/>
    <w:rsid w:val="003A5FCE"/>
    <w:rsid w:val="003A609F"/>
    <w:rsid w:val="003A60C1"/>
    <w:rsid w:val="003A621F"/>
    <w:rsid w:val="003A6243"/>
    <w:rsid w:val="003A63B4"/>
    <w:rsid w:val="003A6A6E"/>
    <w:rsid w:val="003A6F11"/>
    <w:rsid w:val="003A6F9D"/>
    <w:rsid w:val="003A7244"/>
    <w:rsid w:val="003A7343"/>
    <w:rsid w:val="003A74DB"/>
    <w:rsid w:val="003A75F4"/>
    <w:rsid w:val="003A7746"/>
    <w:rsid w:val="003A77A1"/>
    <w:rsid w:val="003A7AA9"/>
    <w:rsid w:val="003A7C5F"/>
    <w:rsid w:val="003A7F79"/>
    <w:rsid w:val="003A7FDB"/>
    <w:rsid w:val="003B0198"/>
    <w:rsid w:val="003B02D0"/>
    <w:rsid w:val="003B066A"/>
    <w:rsid w:val="003B0C13"/>
    <w:rsid w:val="003B1192"/>
    <w:rsid w:val="003B162B"/>
    <w:rsid w:val="003B1AF9"/>
    <w:rsid w:val="003B1B75"/>
    <w:rsid w:val="003B1DB9"/>
    <w:rsid w:val="003B1FAA"/>
    <w:rsid w:val="003B228E"/>
    <w:rsid w:val="003B25DD"/>
    <w:rsid w:val="003B26F5"/>
    <w:rsid w:val="003B2B9A"/>
    <w:rsid w:val="003B3436"/>
    <w:rsid w:val="003B3458"/>
    <w:rsid w:val="003B388E"/>
    <w:rsid w:val="003B3B42"/>
    <w:rsid w:val="003B3FA6"/>
    <w:rsid w:val="003B4309"/>
    <w:rsid w:val="003B4891"/>
    <w:rsid w:val="003B4AB8"/>
    <w:rsid w:val="003B50C1"/>
    <w:rsid w:val="003B50C7"/>
    <w:rsid w:val="003B516A"/>
    <w:rsid w:val="003B547D"/>
    <w:rsid w:val="003B5BFD"/>
    <w:rsid w:val="003B6004"/>
    <w:rsid w:val="003B6108"/>
    <w:rsid w:val="003B64C1"/>
    <w:rsid w:val="003B6741"/>
    <w:rsid w:val="003B6869"/>
    <w:rsid w:val="003B68A5"/>
    <w:rsid w:val="003B6910"/>
    <w:rsid w:val="003B6A14"/>
    <w:rsid w:val="003B6F1A"/>
    <w:rsid w:val="003B737E"/>
    <w:rsid w:val="003B7450"/>
    <w:rsid w:val="003B77E8"/>
    <w:rsid w:val="003B77F7"/>
    <w:rsid w:val="003B7843"/>
    <w:rsid w:val="003B7959"/>
    <w:rsid w:val="003B79D1"/>
    <w:rsid w:val="003B7ADD"/>
    <w:rsid w:val="003B7B87"/>
    <w:rsid w:val="003B7E1B"/>
    <w:rsid w:val="003B7EB0"/>
    <w:rsid w:val="003B7F4E"/>
    <w:rsid w:val="003C0765"/>
    <w:rsid w:val="003C0884"/>
    <w:rsid w:val="003C0C5F"/>
    <w:rsid w:val="003C0D2D"/>
    <w:rsid w:val="003C1156"/>
    <w:rsid w:val="003C13AA"/>
    <w:rsid w:val="003C157A"/>
    <w:rsid w:val="003C1955"/>
    <w:rsid w:val="003C1A20"/>
    <w:rsid w:val="003C1E59"/>
    <w:rsid w:val="003C1F53"/>
    <w:rsid w:val="003C20D4"/>
    <w:rsid w:val="003C2140"/>
    <w:rsid w:val="003C2148"/>
    <w:rsid w:val="003C22B2"/>
    <w:rsid w:val="003C243C"/>
    <w:rsid w:val="003C2486"/>
    <w:rsid w:val="003C24E6"/>
    <w:rsid w:val="003C2594"/>
    <w:rsid w:val="003C269B"/>
    <w:rsid w:val="003C2836"/>
    <w:rsid w:val="003C28A5"/>
    <w:rsid w:val="003C28AB"/>
    <w:rsid w:val="003C2B21"/>
    <w:rsid w:val="003C2BB2"/>
    <w:rsid w:val="003C2CE4"/>
    <w:rsid w:val="003C2F15"/>
    <w:rsid w:val="003C37E5"/>
    <w:rsid w:val="003C3842"/>
    <w:rsid w:val="003C3901"/>
    <w:rsid w:val="003C39C0"/>
    <w:rsid w:val="003C3C39"/>
    <w:rsid w:val="003C417E"/>
    <w:rsid w:val="003C455E"/>
    <w:rsid w:val="003C4856"/>
    <w:rsid w:val="003C4B75"/>
    <w:rsid w:val="003C4E9B"/>
    <w:rsid w:val="003C4FF1"/>
    <w:rsid w:val="003C592F"/>
    <w:rsid w:val="003C595B"/>
    <w:rsid w:val="003C5B57"/>
    <w:rsid w:val="003C5D41"/>
    <w:rsid w:val="003C61ED"/>
    <w:rsid w:val="003C6200"/>
    <w:rsid w:val="003C6403"/>
    <w:rsid w:val="003C6609"/>
    <w:rsid w:val="003C67AA"/>
    <w:rsid w:val="003C691B"/>
    <w:rsid w:val="003C6937"/>
    <w:rsid w:val="003C71FF"/>
    <w:rsid w:val="003C7536"/>
    <w:rsid w:val="003C7672"/>
    <w:rsid w:val="003C7A67"/>
    <w:rsid w:val="003C7F28"/>
    <w:rsid w:val="003D019B"/>
    <w:rsid w:val="003D01E7"/>
    <w:rsid w:val="003D062C"/>
    <w:rsid w:val="003D0646"/>
    <w:rsid w:val="003D0692"/>
    <w:rsid w:val="003D0918"/>
    <w:rsid w:val="003D0A43"/>
    <w:rsid w:val="003D0AEE"/>
    <w:rsid w:val="003D0B09"/>
    <w:rsid w:val="003D0B66"/>
    <w:rsid w:val="003D0D4E"/>
    <w:rsid w:val="003D0E62"/>
    <w:rsid w:val="003D10C2"/>
    <w:rsid w:val="003D1161"/>
    <w:rsid w:val="003D1553"/>
    <w:rsid w:val="003D158E"/>
    <w:rsid w:val="003D15F0"/>
    <w:rsid w:val="003D1CDC"/>
    <w:rsid w:val="003D1CF3"/>
    <w:rsid w:val="003D1E7C"/>
    <w:rsid w:val="003D23FA"/>
    <w:rsid w:val="003D25DA"/>
    <w:rsid w:val="003D2A35"/>
    <w:rsid w:val="003D2CF0"/>
    <w:rsid w:val="003D2DEA"/>
    <w:rsid w:val="003D2F0E"/>
    <w:rsid w:val="003D31D4"/>
    <w:rsid w:val="003D3595"/>
    <w:rsid w:val="003D3AF7"/>
    <w:rsid w:val="003D3BE0"/>
    <w:rsid w:val="003D3E79"/>
    <w:rsid w:val="003D4158"/>
    <w:rsid w:val="003D42EF"/>
    <w:rsid w:val="003D4321"/>
    <w:rsid w:val="003D45E6"/>
    <w:rsid w:val="003D47B0"/>
    <w:rsid w:val="003D4806"/>
    <w:rsid w:val="003D4F09"/>
    <w:rsid w:val="003D51EF"/>
    <w:rsid w:val="003D523C"/>
    <w:rsid w:val="003D551F"/>
    <w:rsid w:val="003D576F"/>
    <w:rsid w:val="003D5887"/>
    <w:rsid w:val="003D609F"/>
    <w:rsid w:val="003D6222"/>
    <w:rsid w:val="003D64B1"/>
    <w:rsid w:val="003D65C1"/>
    <w:rsid w:val="003D6F1E"/>
    <w:rsid w:val="003D706F"/>
    <w:rsid w:val="003D7550"/>
    <w:rsid w:val="003D75F0"/>
    <w:rsid w:val="003D788D"/>
    <w:rsid w:val="003D7A77"/>
    <w:rsid w:val="003D7BF2"/>
    <w:rsid w:val="003D7C6C"/>
    <w:rsid w:val="003D7E19"/>
    <w:rsid w:val="003E0370"/>
    <w:rsid w:val="003E0C11"/>
    <w:rsid w:val="003E1215"/>
    <w:rsid w:val="003E1808"/>
    <w:rsid w:val="003E1FCE"/>
    <w:rsid w:val="003E20C0"/>
    <w:rsid w:val="003E274D"/>
    <w:rsid w:val="003E2C44"/>
    <w:rsid w:val="003E2D26"/>
    <w:rsid w:val="003E2F7A"/>
    <w:rsid w:val="003E31BA"/>
    <w:rsid w:val="003E32D3"/>
    <w:rsid w:val="003E3757"/>
    <w:rsid w:val="003E3DE9"/>
    <w:rsid w:val="003E41EF"/>
    <w:rsid w:val="003E42D8"/>
    <w:rsid w:val="003E4310"/>
    <w:rsid w:val="003E4532"/>
    <w:rsid w:val="003E469F"/>
    <w:rsid w:val="003E4739"/>
    <w:rsid w:val="003E47CD"/>
    <w:rsid w:val="003E4C27"/>
    <w:rsid w:val="003E50D2"/>
    <w:rsid w:val="003E52B5"/>
    <w:rsid w:val="003E5569"/>
    <w:rsid w:val="003E55C9"/>
    <w:rsid w:val="003E55E6"/>
    <w:rsid w:val="003E5EB3"/>
    <w:rsid w:val="003E5F51"/>
    <w:rsid w:val="003E6112"/>
    <w:rsid w:val="003E65D0"/>
    <w:rsid w:val="003E6900"/>
    <w:rsid w:val="003E694C"/>
    <w:rsid w:val="003E6BB7"/>
    <w:rsid w:val="003E6C8D"/>
    <w:rsid w:val="003E6D58"/>
    <w:rsid w:val="003E6D6A"/>
    <w:rsid w:val="003E6E15"/>
    <w:rsid w:val="003E6E28"/>
    <w:rsid w:val="003E71D8"/>
    <w:rsid w:val="003E750F"/>
    <w:rsid w:val="003E75B9"/>
    <w:rsid w:val="003E7648"/>
    <w:rsid w:val="003E76F9"/>
    <w:rsid w:val="003E78E1"/>
    <w:rsid w:val="003E7939"/>
    <w:rsid w:val="003E7964"/>
    <w:rsid w:val="003E7BB2"/>
    <w:rsid w:val="003E7BD1"/>
    <w:rsid w:val="003F0627"/>
    <w:rsid w:val="003F086A"/>
    <w:rsid w:val="003F0B8F"/>
    <w:rsid w:val="003F0FDF"/>
    <w:rsid w:val="003F110B"/>
    <w:rsid w:val="003F11D1"/>
    <w:rsid w:val="003F120E"/>
    <w:rsid w:val="003F1223"/>
    <w:rsid w:val="003F1253"/>
    <w:rsid w:val="003F15D7"/>
    <w:rsid w:val="003F1601"/>
    <w:rsid w:val="003F1ADD"/>
    <w:rsid w:val="003F1B65"/>
    <w:rsid w:val="003F1CCE"/>
    <w:rsid w:val="003F1D90"/>
    <w:rsid w:val="003F22CF"/>
    <w:rsid w:val="003F2483"/>
    <w:rsid w:val="003F25BF"/>
    <w:rsid w:val="003F2659"/>
    <w:rsid w:val="003F26E3"/>
    <w:rsid w:val="003F3190"/>
    <w:rsid w:val="003F32A5"/>
    <w:rsid w:val="003F32BA"/>
    <w:rsid w:val="003F3502"/>
    <w:rsid w:val="003F3575"/>
    <w:rsid w:val="003F3672"/>
    <w:rsid w:val="003F380C"/>
    <w:rsid w:val="003F38DB"/>
    <w:rsid w:val="003F3CC1"/>
    <w:rsid w:val="003F4120"/>
    <w:rsid w:val="003F46C1"/>
    <w:rsid w:val="003F5229"/>
    <w:rsid w:val="003F54DD"/>
    <w:rsid w:val="003F59E7"/>
    <w:rsid w:val="003F5A56"/>
    <w:rsid w:val="003F6F6C"/>
    <w:rsid w:val="003F76C4"/>
    <w:rsid w:val="003F7909"/>
    <w:rsid w:val="003F7A95"/>
    <w:rsid w:val="003F7FAA"/>
    <w:rsid w:val="004000D8"/>
    <w:rsid w:val="00400302"/>
    <w:rsid w:val="00400625"/>
    <w:rsid w:val="004006F7"/>
    <w:rsid w:val="004007E2"/>
    <w:rsid w:val="004008C9"/>
    <w:rsid w:val="00400BDF"/>
    <w:rsid w:val="004010EB"/>
    <w:rsid w:val="0040137F"/>
    <w:rsid w:val="00401491"/>
    <w:rsid w:val="0040164B"/>
    <w:rsid w:val="00401BA7"/>
    <w:rsid w:val="0040255C"/>
    <w:rsid w:val="004025EF"/>
    <w:rsid w:val="00402E59"/>
    <w:rsid w:val="0040309C"/>
    <w:rsid w:val="0040363D"/>
    <w:rsid w:val="00403972"/>
    <w:rsid w:val="00403E23"/>
    <w:rsid w:val="0040420C"/>
    <w:rsid w:val="004042B0"/>
    <w:rsid w:val="004042EB"/>
    <w:rsid w:val="00404648"/>
    <w:rsid w:val="0040487C"/>
    <w:rsid w:val="00404881"/>
    <w:rsid w:val="0040490D"/>
    <w:rsid w:val="00404E3E"/>
    <w:rsid w:val="00404F2D"/>
    <w:rsid w:val="00405004"/>
    <w:rsid w:val="0040518C"/>
    <w:rsid w:val="00405360"/>
    <w:rsid w:val="0040548C"/>
    <w:rsid w:val="004055BE"/>
    <w:rsid w:val="00405767"/>
    <w:rsid w:val="00405A0F"/>
    <w:rsid w:val="00405B8D"/>
    <w:rsid w:val="00405E9F"/>
    <w:rsid w:val="004062E8"/>
    <w:rsid w:val="00406372"/>
    <w:rsid w:val="004065C1"/>
    <w:rsid w:val="00406676"/>
    <w:rsid w:val="00406BED"/>
    <w:rsid w:val="00406DD0"/>
    <w:rsid w:val="0040700D"/>
    <w:rsid w:val="00407473"/>
    <w:rsid w:val="00407741"/>
    <w:rsid w:val="0040781A"/>
    <w:rsid w:val="004104F4"/>
    <w:rsid w:val="0041073F"/>
    <w:rsid w:val="004107AB"/>
    <w:rsid w:val="00410AD2"/>
    <w:rsid w:val="00410DAF"/>
    <w:rsid w:val="00411558"/>
    <w:rsid w:val="00411584"/>
    <w:rsid w:val="0041161E"/>
    <w:rsid w:val="00411EF6"/>
    <w:rsid w:val="004120DA"/>
    <w:rsid w:val="00412324"/>
    <w:rsid w:val="00412555"/>
    <w:rsid w:val="00412642"/>
    <w:rsid w:val="004126F7"/>
    <w:rsid w:val="00412777"/>
    <w:rsid w:val="00412F37"/>
    <w:rsid w:val="004130A2"/>
    <w:rsid w:val="004133E4"/>
    <w:rsid w:val="004136A8"/>
    <w:rsid w:val="004139E8"/>
    <w:rsid w:val="0041431E"/>
    <w:rsid w:val="00414706"/>
    <w:rsid w:val="00414D72"/>
    <w:rsid w:val="00414DEC"/>
    <w:rsid w:val="00415029"/>
    <w:rsid w:val="00415036"/>
    <w:rsid w:val="00415728"/>
    <w:rsid w:val="00415B6C"/>
    <w:rsid w:val="004165D4"/>
    <w:rsid w:val="0041675A"/>
    <w:rsid w:val="004167D3"/>
    <w:rsid w:val="00416937"/>
    <w:rsid w:val="00416F18"/>
    <w:rsid w:val="00417027"/>
    <w:rsid w:val="004171D4"/>
    <w:rsid w:val="0041736B"/>
    <w:rsid w:val="00417787"/>
    <w:rsid w:val="00417A75"/>
    <w:rsid w:val="00417BB5"/>
    <w:rsid w:val="00417CE4"/>
    <w:rsid w:val="00417D92"/>
    <w:rsid w:val="00417D96"/>
    <w:rsid w:val="00417DC1"/>
    <w:rsid w:val="00420347"/>
    <w:rsid w:val="00420497"/>
    <w:rsid w:val="004204DB"/>
    <w:rsid w:val="00420850"/>
    <w:rsid w:val="00420918"/>
    <w:rsid w:val="00420A1E"/>
    <w:rsid w:val="00420C23"/>
    <w:rsid w:val="00420C2A"/>
    <w:rsid w:val="00420C2B"/>
    <w:rsid w:val="00420C97"/>
    <w:rsid w:val="004210B1"/>
    <w:rsid w:val="0042149A"/>
    <w:rsid w:val="00421621"/>
    <w:rsid w:val="004218E2"/>
    <w:rsid w:val="00421A06"/>
    <w:rsid w:val="00421B02"/>
    <w:rsid w:val="00421F8C"/>
    <w:rsid w:val="0042200F"/>
    <w:rsid w:val="004221BF"/>
    <w:rsid w:val="00422245"/>
    <w:rsid w:val="004225BA"/>
    <w:rsid w:val="0042266D"/>
    <w:rsid w:val="00422A8B"/>
    <w:rsid w:val="00422F49"/>
    <w:rsid w:val="0042313E"/>
    <w:rsid w:val="004231EF"/>
    <w:rsid w:val="004232CD"/>
    <w:rsid w:val="00423342"/>
    <w:rsid w:val="00423413"/>
    <w:rsid w:val="004236A8"/>
    <w:rsid w:val="00423718"/>
    <w:rsid w:val="004237A8"/>
    <w:rsid w:val="00423A7B"/>
    <w:rsid w:val="00423C9C"/>
    <w:rsid w:val="00424235"/>
    <w:rsid w:val="004249BA"/>
    <w:rsid w:val="00424E7E"/>
    <w:rsid w:val="004256FE"/>
    <w:rsid w:val="004258CE"/>
    <w:rsid w:val="0042595B"/>
    <w:rsid w:val="00425B23"/>
    <w:rsid w:val="004261DD"/>
    <w:rsid w:val="00426595"/>
    <w:rsid w:val="004265A9"/>
    <w:rsid w:val="00426B96"/>
    <w:rsid w:val="00426CE6"/>
    <w:rsid w:val="00426FD6"/>
    <w:rsid w:val="004276BC"/>
    <w:rsid w:val="004276DF"/>
    <w:rsid w:val="00427955"/>
    <w:rsid w:val="00427C95"/>
    <w:rsid w:val="00427E35"/>
    <w:rsid w:val="00427F9C"/>
    <w:rsid w:val="004305FA"/>
    <w:rsid w:val="004308CD"/>
    <w:rsid w:val="00430995"/>
    <w:rsid w:val="00430B72"/>
    <w:rsid w:val="00430C4E"/>
    <w:rsid w:val="00430CB0"/>
    <w:rsid w:val="00430F1E"/>
    <w:rsid w:val="00430F5F"/>
    <w:rsid w:val="00430FDD"/>
    <w:rsid w:val="004310D5"/>
    <w:rsid w:val="004311A7"/>
    <w:rsid w:val="004317F3"/>
    <w:rsid w:val="00431850"/>
    <w:rsid w:val="00431B14"/>
    <w:rsid w:val="00431DCA"/>
    <w:rsid w:val="00432590"/>
    <w:rsid w:val="00432C4E"/>
    <w:rsid w:val="00432CF7"/>
    <w:rsid w:val="00432E26"/>
    <w:rsid w:val="004334BE"/>
    <w:rsid w:val="004337C9"/>
    <w:rsid w:val="00433A8F"/>
    <w:rsid w:val="00433EB0"/>
    <w:rsid w:val="00433EEA"/>
    <w:rsid w:val="0043412A"/>
    <w:rsid w:val="0043414A"/>
    <w:rsid w:val="00434228"/>
    <w:rsid w:val="004342A1"/>
    <w:rsid w:val="004344D4"/>
    <w:rsid w:val="004345C5"/>
    <w:rsid w:val="004346EC"/>
    <w:rsid w:val="00434740"/>
    <w:rsid w:val="004348C5"/>
    <w:rsid w:val="0043493C"/>
    <w:rsid w:val="0043499D"/>
    <w:rsid w:val="004349AB"/>
    <w:rsid w:val="00434AF8"/>
    <w:rsid w:val="00434E0D"/>
    <w:rsid w:val="00434FE4"/>
    <w:rsid w:val="004357D5"/>
    <w:rsid w:val="004357E2"/>
    <w:rsid w:val="004358C7"/>
    <w:rsid w:val="004359B5"/>
    <w:rsid w:val="004362A1"/>
    <w:rsid w:val="004369C8"/>
    <w:rsid w:val="00436B24"/>
    <w:rsid w:val="00436D77"/>
    <w:rsid w:val="00436E6E"/>
    <w:rsid w:val="0043718A"/>
    <w:rsid w:val="00437898"/>
    <w:rsid w:val="00437A13"/>
    <w:rsid w:val="00437A64"/>
    <w:rsid w:val="00437C2F"/>
    <w:rsid w:val="00437C35"/>
    <w:rsid w:val="00440340"/>
    <w:rsid w:val="00440856"/>
    <w:rsid w:val="00440AF7"/>
    <w:rsid w:val="00440B2B"/>
    <w:rsid w:val="00440CCE"/>
    <w:rsid w:val="00440CE1"/>
    <w:rsid w:val="00440E60"/>
    <w:rsid w:val="00440F4B"/>
    <w:rsid w:val="00441148"/>
    <w:rsid w:val="004411E9"/>
    <w:rsid w:val="00441247"/>
    <w:rsid w:val="00441326"/>
    <w:rsid w:val="00441583"/>
    <w:rsid w:val="004417D8"/>
    <w:rsid w:val="00441893"/>
    <w:rsid w:val="00441C7E"/>
    <w:rsid w:val="00442225"/>
    <w:rsid w:val="0044228D"/>
    <w:rsid w:val="00442B92"/>
    <w:rsid w:val="00442CFD"/>
    <w:rsid w:val="00442DD2"/>
    <w:rsid w:val="00443001"/>
    <w:rsid w:val="00443287"/>
    <w:rsid w:val="004432D8"/>
    <w:rsid w:val="00443674"/>
    <w:rsid w:val="0044379C"/>
    <w:rsid w:val="00443ABE"/>
    <w:rsid w:val="00443D2E"/>
    <w:rsid w:val="00444596"/>
    <w:rsid w:val="004445C3"/>
    <w:rsid w:val="00444755"/>
    <w:rsid w:val="004449CA"/>
    <w:rsid w:val="004449EB"/>
    <w:rsid w:val="00444E44"/>
    <w:rsid w:val="00444EBA"/>
    <w:rsid w:val="00444EF9"/>
    <w:rsid w:val="00444FF0"/>
    <w:rsid w:val="004450A3"/>
    <w:rsid w:val="004451AB"/>
    <w:rsid w:val="00445C4D"/>
    <w:rsid w:val="00445CF6"/>
    <w:rsid w:val="00445DA2"/>
    <w:rsid w:val="00445E85"/>
    <w:rsid w:val="00446117"/>
    <w:rsid w:val="00446129"/>
    <w:rsid w:val="0044616A"/>
    <w:rsid w:val="004463CC"/>
    <w:rsid w:val="00446422"/>
    <w:rsid w:val="00446539"/>
    <w:rsid w:val="0044686D"/>
    <w:rsid w:val="004470AB"/>
    <w:rsid w:val="004470E1"/>
    <w:rsid w:val="004470E3"/>
    <w:rsid w:val="00447463"/>
    <w:rsid w:val="004474D5"/>
    <w:rsid w:val="004476D1"/>
    <w:rsid w:val="00447A11"/>
    <w:rsid w:val="00447B9F"/>
    <w:rsid w:val="00447C5F"/>
    <w:rsid w:val="00447E94"/>
    <w:rsid w:val="0045045F"/>
    <w:rsid w:val="004505D6"/>
    <w:rsid w:val="00450760"/>
    <w:rsid w:val="00450BB8"/>
    <w:rsid w:val="00451416"/>
    <w:rsid w:val="004514B2"/>
    <w:rsid w:val="0045181B"/>
    <w:rsid w:val="004519F0"/>
    <w:rsid w:val="00451A6D"/>
    <w:rsid w:val="00451D13"/>
    <w:rsid w:val="00451E0D"/>
    <w:rsid w:val="00451F1C"/>
    <w:rsid w:val="00452078"/>
    <w:rsid w:val="00452817"/>
    <w:rsid w:val="00452AC3"/>
    <w:rsid w:val="00452FB5"/>
    <w:rsid w:val="00453044"/>
    <w:rsid w:val="00453374"/>
    <w:rsid w:val="00453AC0"/>
    <w:rsid w:val="00453C41"/>
    <w:rsid w:val="00453F8D"/>
    <w:rsid w:val="00453FD8"/>
    <w:rsid w:val="004540E3"/>
    <w:rsid w:val="004542DF"/>
    <w:rsid w:val="00454349"/>
    <w:rsid w:val="0045465F"/>
    <w:rsid w:val="0045483B"/>
    <w:rsid w:val="00454A2B"/>
    <w:rsid w:val="00454B49"/>
    <w:rsid w:val="00454E51"/>
    <w:rsid w:val="00455424"/>
    <w:rsid w:val="00455706"/>
    <w:rsid w:val="004558EE"/>
    <w:rsid w:val="00455ADD"/>
    <w:rsid w:val="00455CF0"/>
    <w:rsid w:val="00455D74"/>
    <w:rsid w:val="00455EEC"/>
    <w:rsid w:val="004561AE"/>
    <w:rsid w:val="0045622F"/>
    <w:rsid w:val="00456374"/>
    <w:rsid w:val="00456806"/>
    <w:rsid w:val="00456829"/>
    <w:rsid w:val="00456967"/>
    <w:rsid w:val="00456B06"/>
    <w:rsid w:val="00456E4F"/>
    <w:rsid w:val="00457004"/>
    <w:rsid w:val="004577B4"/>
    <w:rsid w:val="00457841"/>
    <w:rsid w:val="004579DF"/>
    <w:rsid w:val="00457A7B"/>
    <w:rsid w:val="00460012"/>
    <w:rsid w:val="004602F9"/>
    <w:rsid w:val="0046033A"/>
    <w:rsid w:val="0046074A"/>
    <w:rsid w:val="00460857"/>
    <w:rsid w:val="00460ED1"/>
    <w:rsid w:val="004613AD"/>
    <w:rsid w:val="004614DA"/>
    <w:rsid w:val="0046156E"/>
    <w:rsid w:val="00461B64"/>
    <w:rsid w:val="004623F9"/>
    <w:rsid w:val="004626B7"/>
    <w:rsid w:val="004627C0"/>
    <w:rsid w:val="0046283A"/>
    <w:rsid w:val="004628DC"/>
    <w:rsid w:val="00462CC6"/>
    <w:rsid w:val="00462D62"/>
    <w:rsid w:val="004630F9"/>
    <w:rsid w:val="0046332B"/>
    <w:rsid w:val="00463AF4"/>
    <w:rsid w:val="00463C20"/>
    <w:rsid w:val="00463FC9"/>
    <w:rsid w:val="00464309"/>
    <w:rsid w:val="00464486"/>
    <w:rsid w:val="00464500"/>
    <w:rsid w:val="00464546"/>
    <w:rsid w:val="00464557"/>
    <w:rsid w:val="00464791"/>
    <w:rsid w:val="0046480D"/>
    <w:rsid w:val="0046499F"/>
    <w:rsid w:val="00464A37"/>
    <w:rsid w:val="00464B91"/>
    <w:rsid w:val="00465039"/>
    <w:rsid w:val="004656AB"/>
    <w:rsid w:val="00465835"/>
    <w:rsid w:val="004659DB"/>
    <w:rsid w:val="00466329"/>
    <w:rsid w:val="00466843"/>
    <w:rsid w:val="00466C02"/>
    <w:rsid w:val="00467C60"/>
    <w:rsid w:val="0047008E"/>
    <w:rsid w:val="00470276"/>
    <w:rsid w:val="00470A84"/>
    <w:rsid w:val="00470D6E"/>
    <w:rsid w:val="004713F3"/>
    <w:rsid w:val="0047148D"/>
    <w:rsid w:val="004716EE"/>
    <w:rsid w:val="004717AD"/>
    <w:rsid w:val="004722B5"/>
    <w:rsid w:val="00472389"/>
    <w:rsid w:val="004723A2"/>
    <w:rsid w:val="00472B50"/>
    <w:rsid w:val="0047351F"/>
    <w:rsid w:val="0047395D"/>
    <w:rsid w:val="00473A32"/>
    <w:rsid w:val="00473B4F"/>
    <w:rsid w:val="00473C4A"/>
    <w:rsid w:val="00473D79"/>
    <w:rsid w:val="00474322"/>
    <w:rsid w:val="004747B4"/>
    <w:rsid w:val="00474E51"/>
    <w:rsid w:val="004755A2"/>
    <w:rsid w:val="00475A33"/>
    <w:rsid w:val="00475B2E"/>
    <w:rsid w:val="00475E58"/>
    <w:rsid w:val="0047631B"/>
    <w:rsid w:val="00476368"/>
    <w:rsid w:val="00476590"/>
    <w:rsid w:val="0047696F"/>
    <w:rsid w:val="004769B3"/>
    <w:rsid w:val="00476DBA"/>
    <w:rsid w:val="00477078"/>
    <w:rsid w:val="0047709E"/>
    <w:rsid w:val="00477600"/>
    <w:rsid w:val="0047762A"/>
    <w:rsid w:val="00477687"/>
    <w:rsid w:val="0047777E"/>
    <w:rsid w:val="00477B4C"/>
    <w:rsid w:val="00477D2E"/>
    <w:rsid w:val="00477D7F"/>
    <w:rsid w:val="0048027B"/>
    <w:rsid w:val="0048031A"/>
    <w:rsid w:val="00480B1F"/>
    <w:rsid w:val="00480D1F"/>
    <w:rsid w:val="00480EC5"/>
    <w:rsid w:val="00481507"/>
    <w:rsid w:val="004820B7"/>
    <w:rsid w:val="00482357"/>
    <w:rsid w:val="00482470"/>
    <w:rsid w:val="00482591"/>
    <w:rsid w:val="004827D6"/>
    <w:rsid w:val="00483203"/>
    <w:rsid w:val="004832C5"/>
    <w:rsid w:val="00483420"/>
    <w:rsid w:val="0048352B"/>
    <w:rsid w:val="004835D7"/>
    <w:rsid w:val="0048376A"/>
    <w:rsid w:val="004837D7"/>
    <w:rsid w:val="004839A0"/>
    <w:rsid w:val="004839A1"/>
    <w:rsid w:val="00484F39"/>
    <w:rsid w:val="00484F68"/>
    <w:rsid w:val="0048523F"/>
    <w:rsid w:val="00485418"/>
    <w:rsid w:val="004857A4"/>
    <w:rsid w:val="004858A6"/>
    <w:rsid w:val="00485DCC"/>
    <w:rsid w:val="00485E5C"/>
    <w:rsid w:val="00485E61"/>
    <w:rsid w:val="004861BA"/>
    <w:rsid w:val="004863C0"/>
    <w:rsid w:val="004865AA"/>
    <w:rsid w:val="00486659"/>
    <w:rsid w:val="004866F0"/>
    <w:rsid w:val="00486F92"/>
    <w:rsid w:val="004875B9"/>
    <w:rsid w:val="00487A1F"/>
    <w:rsid w:val="00487E80"/>
    <w:rsid w:val="00487E8F"/>
    <w:rsid w:val="004902F8"/>
    <w:rsid w:val="00490688"/>
    <w:rsid w:val="00490B8D"/>
    <w:rsid w:val="00490FED"/>
    <w:rsid w:val="00491292"/>
    <w:rsid w:val="004914B6"/>
    <w:rsid w:val="00491802"/>
    <w:rsid w:val="004918C0"/>
    <w:rsid w:val="00491C8E"/>
    <w:rsid w:val="0049200F"/>
    <w:rsid w:val="00492119"/>
    <w:rsid w:val="00492254"/>
    <w:rsid w:val="0049288E"/>
    <w:rsid w:val="00492958"/>
    <w:rsid w:val="00492AE8"/>
    <w:rsid w:val="00493343"/>
    <w:rsid w:val="00493552"/>
    <w:rsid w:val="0049376F"/>
    <w:rsid w:val="00493A38"/>
    <w:rsid w:val="00493AF9"/>
    <w:rsid w:val="00493CA4"/>
    <w:rsid w:val="00493D41"/>
    <w:rsid w:val="00494136"/>
    <w:rsid w:val="00494183"/>
    <w:rsid w:val="00494257"/>
    <w:rsid w:val="004948D7"/>
    <w:rsid w:val="00494948"/>
    <w:rsid w:val="00494ADA"/>
    <w:rsid w:val="00494C0E"/>
    <w:rsid w:val="00494CFE"/>
    <w:rsid w:val="00494E2D"/>
    <w:rsid w:val="0049508D"/>
    <w:rsid w:val="00495185"/>
    <w:rsid w:val="0049534D"/>
    <w:rsid w:val="0049534F"/>
    <w:rsid w:val="00495462"/>
    <w:rsid w:val="004955E8"/>
    <w:rsid w:val="0049580E"/>
    <w:rsid w:val="00495DE4"/>
    <w:rsid w:val="004961E7"/>
    <w:rsid w:val="00496681"/>
    <w:rsid w:val="00496771"/>
    <w:rsid w:val="00496798"/>
    <w:rsid w:val="00496B30"/>
    <w:rsid w:val="00496D7E"/>
    <w:rsid w:val="00496DDF"/>
    <w:rsid w:val="004970DF"/>
    <w:rsid w:val="00497293"/>
    <w:rsid w:val="0049766D"/>
    <w:rsid w:val="00497ACD"/>
    <w:rsid w:val="00497D7C"/>
    <w:rsid w:val="00497DA1"/>
    <w:rsid w:val="00497DD7"/>
    <w:rsid w:val="004A0267"/>
    <w:rsid w:val="004A02B5"/>
    <w:rsid w:val="004A0614"/>
    <w:rsid w:val="004A068D"/>
    <w:rsid w:val="004A073E"/>
    <w:rsid w:val="004A0B27"/>
    <w:rsid w:val="004A0BC6"/>
    <w:rsid w:val="004A0C95"/>
    <w:rsid w:val="004A11AA"/>
    <w:rsid w:val="004A1497"/>
    <w:rsid w:val="004A16D1"/>
    <w:rsid w:val="004A1E83"/>
    <w:rsid w:val="004A2174"/>
    <w:rsid w:val="004A26BB"/>
    <w:rsid w:val="004A2C61"/>
    <w:rsid w:val="004A2DB6"/>
    <w:rsid w:val="004A313B"/>
    <w:rsid w:val="004A323C"/>
    <w:rsid w:val="004A3410"/>
    <w:rsid w:val="004A3605"/>
    <w:rsid w:val="004A3975"/>
    <w:rsid w:val="004A3DC8"/>
    <w:rsid w:val="004A40F7"/>
    <w:rsid w:val="004A4292"/>
    <w:rsid w:val="004A4365"/>
    <w:rsid w:val="004A4484"/>
    <w:rsid w:val="004A47F7"/>
    <w:rsid w:val="004A491E"/>
    <w:rsid w:val="004A4944"/>
    <w:rsid w:val="004A4BAE"/>
    <w:rsid w:val="004A4C91"/>
    <w:rsid w:val="004A4D4C"/>
    <w:rsid w:val="004A4E72"/>
    <w:rsid w:val="004A4F10"/>
    <w:rsid w:val="004A51B1"/>
    <w:rsid w:val="004A5485"/>
    <w:rsid w:val="004A553B"/>
    <w:rsid w:val="004A56D3"/>
    <w:rsid w:val="004A5751"/>
    <w:rsid w:val="004A5929"/>
    <w:rsid w:val="004A5CDC"/>
    <w:rsid w:val="004A5ED5"/>
    <w:rsid w:val="004A607A"/>
    <w:rsid w:val="004A6C7D"/>
    <w:rsid w:val="004A6EB8"/>
    <w:rsid w:val="004A7767"/>
    <w:rsid w:val="004A79F1"/>
    <w:rsid w:val="004A7DA4"/>
    <w:rsid w:val="004B0796"/>
    <w:rsid w:val="004B07FC"/>
    <w:rsid w:val="004B0833"/>
    <w:rsid w:val="004B0AD3"/>
    <w:rsid w:val="004B0C98"/>
    <w:rsid w:val="004B0FDA"/>
    <w:rsid w:val="004B109F"/>
    <w:rsid w:val="004B10B8"/>
    <w:rsid w:val="004B1257"/>
    <w:rsid w:val="004B132C"/>
    <w:rsid w:val="004B17E7"/>
    <w:rsid w:val="004B1E21"/>
    <w:rsid w:val="004B1E4C"/>
    <w:rsid w:val="004B24F4"/>
    <w:rsid w:val="004B2CD4"/>
    <w:rsid w:val="004B2CFC"/>
    <w:rsid w:val="004B2E0A"/>
    <w:rsid w:val="004B2FA8"/>
    <w:rsid w:val="004B3126"/>
    <w:rsid w:val="004B32FC"/>
    <w:rsid w:val="004B3B9E"/>
    <w:rsid w:val="004B3CFE"/>
    <w:rsid w:val="004B3D4C"/>
    <w:rsid w:val="004B3E6B"/>
    <w:rsid w:val="004B460A"/>
    <w:rsid w:val="004B4646"/>
    <w:rsid w:val="004B49C2"/>
    <w:rsid w:val="004B4F65"/>
    <w:rsid w:val="004B523A"/>
    <w:rsid w:val="004B5396"/>
    <w:rsid w:val="004B58C7"/>
    <w:rsid w:val="004B5C18"/>
    <w:rsid w:val="004B5DC9"/>
    <w:rsid w:val="004B601E"/>
    <w:rsid w:val="004B70BC"/>
    <w:rsid w:val="004B71E3"/>
    <w:rsid w:val="004B7290"/>
    <w:rsid w:val="004B74BF"/>
    <w:rsid w:val="004B75C1"/>
    <w:rsid w:val="004B78FD"/>
    <w:rsid w:val="004B7BD9"/>
    <w:rsid w:val="004B7F00"/>
    <w:rsid w:val="004B7F1E"/>
    <w:rsid w:val="004C04A3"/>
    <w:rsid w:val="004C0D32"/>
    <w:rsid w:val="004C0D71"/>
    <w:rsid w:val="004C0D89"/>
    <w:rsid w:val="004C0F6A"/>
    <w:rsid w:val="004C10DC"/>
    <w:rsid w:val="004C10E8"/>
    <w:rsid w:val="004C11FF"/>
    <w:rsid w:val="004C1B1F"/>
    <w:rsid w:val="004C1B88"/>
    <w:rsid w:val="004C1BCB"/>
    <w:rsid w:val="004C1C6D"/>
    <w:rsid w:val="004C1D25"/>
    <w:rsid w:val="004C224D"/>
    <w:rsid w:val="004C22F8"/>
    <w:rsid w:val="004C23A0"/>
    <w:rsid w:val="004C25D8"/>
    <w:rsid w:val="004C25E1"/>
    <w:rsid w:val="004C262D"/>
    <w:rsid w:val="004C26CD"/>
    <w:rsid w:val="004C2779"/>
    <w:rsid w:val="004C27E3"/>
    <w:rsid w:val="004C2A0D"/>
    <w:rsid w:val="004C2A3E"/>
    <w:rsid w:val="004C2D3F"/>
    <w:rsid w:val="004C304E"/>
    <w:rsid w:val="004C324D"/>
    <w:rsid w:val="004C355E"/>
    <w:rsid w:val="004C4219"/>
    <w:rsid w:val="004C46F9"/>
    <w:rsid w:val="004C4B1D"/>
    <w:rsid w:val="004C4D8C"/>
    <w:rsid w:val="004C516E"/>
    <w:rsid w:val="004C57EB"/>
    <w:rsid w:val="004C5A15"/>
    <w:rsid w:val="004C5D79"/>
    <w:rsid w:val="004C5FB4"/>
    <w:rsid w:val="004C6422"/>
    <w:rsid w:val="004C66B6"/>
    <w:rsid w:val="004C6828"/>
    <w:rsid w:val="004C68AD"/>
    <w:rsid w:val="004C6BCC"/>
    <w:rsid w:val="004C6BD4"/>
    <w:rsid w:val="004C713F"/>
    <w:rsid w:val="004C7433"/>
    <w:rsid w:val="004C75D9"/>
    <w:rsid w:val="004C771C"/>
    <w:rsid w:val="004C78BF"/>
    <w:rsid w:val="004C7CFD"/>
    <w:rsid w:val="004D027E"/>
    <w:rsid w:val="004D0705"/>
    <w:rsid w:val="004D0779"/>
    <w:rsid w:val="004D07C1"/>
    <w:rsid w:val="004D0BD1"/>
    <w:rsid w:val="004D0D1D"/>
    <w:rsid w:val="004D0E7D"/>
    <w:rsid w:val="004D0F80"/>
    <w:rsid w:val="004D1246"/>
    <w:rsid w:val="004D13A3"/>
    <w:rsid w:val="004D13EB"/>
    <w:rsid w:val="004D185D"/>
    <w:rsid w:val="004D19FA"/>
    <w:rsid w:val="004D1D04"/>
    <w:rsid w:val="004D1EA0"/>
    <w:rsid w:val="004D24BC"/>
    <w:rsid w:val="004D2540"/>
    <w:rsid w:val="004D25A9"/>
    <w:rsid w:val="004D263D"/>
    <w:rsid w:val="004D2951"/>
    <w:rsid w:val="004D2AA8"/>
    <w:rsid w:val="004D2C29"/>
    <w:rsid w:val="004D2CDE"/>
    <w:rsid w:val="004D2D98"/>
    <w:rsid w:val="004D3052"/>
    <w:rsid w:val="004D3058"/>
    <w:rsid w:val="004D30DF"/>
    <w:rsid w:val="004D3348"/>
    <w:rsid w:val="004D3C59"/>
    <w:rsid w:val="004D3C73"/>
    <w:rsid w:val="004D5431"/>
    <w:rsid w:val="004D5465"/>
    <w:rsid w:val="004D5996"/>
    <w:rsid w:val="004D599E"/>
    <w:rsid w:val="004D59C9"/>
    <w:rsid w:val="004D5B41"/>
    <w:rsid w:val="004D5D42"/>
    <w:rsid w:val="004D6731"/>
    <w:rsid w:val="004D6A9B"/>
    <w:rsid w:val="004D6AD5"/>
    <w:rsid w:val="004D6EF9"/>
    <w:rsid w:val="004D7660"/>
    <w:rsid w:val="004D7A38"/>
    <w:rsid w:val="004D7E26"/>
    <w:rsid w:val="004D7F57"/>
    <w:rsid w:val="004E00F6"/>
    <w:rsid w:val="004E0363"/>
    <w:rsid w:val="004E0522"/>
    <w:rsid w:val="004E071D"/>
    <w:rsid w:val="004E07D2"/>
    <w:rsid w:val="004E0C08"/>
    <w:rsid w:val="004E1219"/>
    <w:rsid w:val="004E1416"/>
    <w:rsid w:val="004E1488"/>
    <w:rsid w:val="004E1947"/>
    <w:rsid w:val="004E196A"/>
    <w:rsid w:val="004E1DAF"/>
    <w:rsid w:val="004E20C6"/>
    <w:rsid w:val="004E220E"/>
    <w:rsid w:val="004E25C8"/>
    <w:rsid w:val="004E2740"/>
    <w:rsid w:val="004E2832"/>
    <w:rsid w:val="004E2956"/>
    <w:rsid w:val="004E2D13"/>
    <w:rsid w:val="004E2F8F"/>
    <w:rsid w:val="004E32DB"/>
    <w:rsid w:val="004E34A5"/>
    <w:rsid w:val="004E36D9"/>
    <w:rsid w:val="004E36E4"/>
    <w:rsid w:val="004E42BB"/>
    <w:rsid w:val="004E4C76"/>
    <w:rsid w:val="004E5A85"/>
    <w:rsid w:val="004E5B49"/>
    <w:rsid w:val="004E5C54"/>
    <w:rsid w:val="004E5CC9"/>
    <w:rsid w:val="004E5E0F"/>
    <w:rsid w:val="004E5FD0"/>
    <w:rsid w:val="004E63C2"/>
    <w:rsid w:val="004E6EC4"/>
    <w:rsid w:val="004E6EFA"/>
    <w:rsid w:val="004E7AB7"/>
    <w:rsid w:val="004F04F9"/>
    <w:rsid w:val="004F0586"/>
    <w:rsid w:val="004F0706"/>
    <w:rsid w:val="004F07F2"/>
    <w:rsid w:val="004F0930"/>
    <w:rsid w:val="004F0C24"/>
    <w:rsid w:val="004F0DF2"/>
    <w:rsid w:val="004F123E"/>
    <w:rsid w:val="004F1294"/>
    <w:rsid w:val="004F14AB"/>
    <w:rsid w:val="004F16E9"/>
    <w:rsid w:val="004F1A4E"/>
    <w:rsid w:val="004F1C8B"/>
    <w:rsid w:val="004F1F52"/>
    <w:rsid w:val="004F23CE"/>
    <w:rsid w:val="004F240B"/>
    <w:rsid w:val="004F294F"/>
    <w:rsid w:val="004F2AD1"/>
    <w:rsid w:val="004F2B8A"/>
    <w:rsid w:val="004F3627"/>
    <w:rsid w:val="004F3D6F"/>
    <w:rsid w:val="004F3DCE"/>
    <w:rsid w:val="004F41CA"/>
    <w:rsid w:val="004F427A"/>
    <w:rsid w:val="004F4319"/>
    <w:rsid w:val="004F4461"/>
    <w:rsid w:val="004F4730"/>
    <w:rsid w:val="004F497A"/>
    <w:rsid w:val="004F4E9B"/>
    <w:rsid w:val="004F4FC6"/>
    <w:rsid w:val="004F5091"/>
    <w:rsid w:val="004F50F1"/>
    <w:rsid w:val="004F5216"/>
    <w:rsid w:val="004F57A7"/>
    <w:rsid w:val="004F5AF7"/>
    <w:rsid w:val="004F5DBB"/>
    <w:rsid w:val="004F5E5F"/>
    <w:rsid w:val="004F6385"/>
    <w:rsid w:val="004F639D"/>
    <w:rsid w:val="004F639F"/>
    <w:rsid w:val="004F64D8"/>
    <w:rsid w:val="004F679E"/>
    <w:rsid w:val="004F6BDA"/>
    <w:rsid w:val="004F7195"/>
    <w:rsid w:val="004F7222"/>
    <w:rsid w:val="004F7392"/>
    <w:rsid w:val="004F7989"/>
    <w:rsid w:val="004F7BFD"/>
    <w:rsid w:val="004F7D26"/>
    <w:rsid w:val="004F7FF0"/>
    <w:rsid w:val="0050000D"/>
    <w:rsid w:val="00500072"/>
    <w:rsid w:val="00500333"/>
    <w:rsid w:val="00500368"/>
    <w:rsid w:val="005010F9"/>
    <w:rsid w:val="0050119E"/>
    <w:rsid w:val="0050156C"/>
    <w:rsid w:val="005016FA"/>
    <w:rsid w:val="00501797"/>
    <w:rsid w:val="00501958"/>
    <w:rsid w:val="005019DF"/>
    <w:rsid w:val="00501B0A"/>
    <w:rsid w:val="00501E9E"/>
    <w:rsid w:val="00502367"/>
    <w:rsid w:val="005024FB"/>
    <w:rsid w:val="0050276F"/>
    <w:rsid w:val="005029B4"/>
    <w:rsid w:val="00502A65"/>
    <w:rsid w:val="00502AD6"/>
    <w:rsid w:val="00502D52"/>
    <w:rsid w:val="00502E2A"/>
    <w:rsid w:val="00503004"/>
    <w:rsid w:val="0050369A"/>
    <w:rsid w:val="00503848"/>
    <w:rsid w:val="00503CCB"/>
    <w:rsid w:val="00503F8F"/>
    <w:rsid w:val="0050400E"/>
    <w:rsid w:val="005044D9"/>
    <w:rsid w:val="00504A74"/>
    <w:rsid w:val="00504A77"/>
    <w:rsid w:val="00504D1B"/>
    <w:rsid w:val="00504E80"/>
    <w:rsid w:val="0050513F"/>
    <w:rsid w:val="00505678"/>
    <w:rsid w:val="005064B3"/>
    <w:rsid w:val="00506870"/>
    <w:rsid w:val="005068BF"/>
    <w:rsid w:val="00506972"/>
    <w:rsid w:val="00506A6D"/>
    <w:rsid w:val="0050718F"/>
    <w:rsid w:val="005071AF"/>
    <w:rsid w:val="0050790C"/>
    <w:rsid w:val="00507AF9"/>
    <w:rsid w:val="00507B9F"/>
    <w:rsid w:val="00507BBF"/>
    <w:rsid w:val="00507D7C"/>
    <w:rsid w:val="00510814"/>
    <w:rsid w:val="005109E2"/>
    <w:rsid w:val="00510BBD"/>
    <w:rsid w:val="00510C13"/>
    <w:rsid w:val="00510CCE"/>
    <w:rsid w:val="00510ED3"/>
    <w:rsid w:val="00511005"/>
    <w:rsid w:val="00511358"/>
    <w:rsid w:val="005113D5"/>
    <w:rsid w:val="00511487"/>
    <w:rsid w:val="00511575"/>
    <w:rsid w:val="005115E3"/>
    <w:rsid w:val="00511605"/>
    <w:rsid w:val="00511645"/>
    <w:rsid w:val="0051182D"/>
    <w:rsid w:val="00511AA5"/>
    <w:rsid w:val="00511BCA"/>
    <w:rsid w:val="00511CA7"/>
    <w:rsid w:val="005120AD"/>
    <w:rsid w:val="005120BA"/>
    <w:rsid w:val="0051246F"/>
    <w:rsid w:val="00512764"/>
    <w:rsid w:val="00512A33"/>
    <w:rsid w:val="00512FED"/>
    <w:rsid w:val="00513329"/>
    <w:rsid w:val="0051333E"/>
    <w:rsid w:val="005134F7"/>
    <w:rsid w:val="00513783"/>
    <w:rsid w:val="005138D1"/>
    <w:rsid w:val="005141FE"/>
    <w:rsid w:val="0051422D"/>
    <w:rsid w:val="005146E8"/>
    <w:rsid w:val="00514961"/>
    <w:rsid w:val="00514B27"/>
    <w:rsid w:val="00514C7F"/>
    <w:rsid w:val="0051515F"/>
    <w:rsid w:val="00515425"/>
    <w:rsid w:val="00515883"/>
    <w:rsid w:val="00515BE1"/>
    <w:rsid w:val="00515D6C"/>
    <w:rsid w:val="0051691E"/>
    <w:rsid w:val="00516B7C"/>
    <w:rsid w:val="00516B90"/>
    <w:rsid w:val="00516C8E"/>
    <w:rsid w:val="00516DBE"/>
    <w:rsid w:val="00516E5E"/>
    <w:rsid w:val="00516FD6"/>
    <w:rsid w:val="00517226"/>
    <w:rsid w:val="005175E0"/>
    <w:rsid w:val="0052013F"/>
    <w:rsid w:val="0052014A"/>
    <w:rsid w:val="00520207"/>
    <w:rsid w:val="005202B2"/>
    <w:rsid w:val="005207EB"/>
    <w:rsid w:val="00520992"/>
    <w:rsid w:val="00520D02"/>
    <w:rsid w:val="00520DD5"/>
    <w:rsid w:val="0052147C"/>
    <w:rsid w:val="005216AE"/>
    <w:rsid w:val="0052196B"/>
    <w:rsid w:val="0052214F"/>
    <w:rsid w:val="0052227C"/>
    <w:rsid w:val="005224F2"/>
    <w:rsid w:val="005229A8"/>
    <w:rsid w:val="00522EA5"/>
    <w:rsid w:val="005230FF"/>
    <w:rsid w:val="0052336C"/>
    <w:rsid w:val="0052380E"/>
    <w:rsid w:val="00523AD6"/>
    <w:rsid w:val="00523E0A"/>
    <w:rsid w:val="00523FED"/>
    <w:rsid w:val="00524046"/>
    <w:rsid w:val="00524568"/>
    <w:rsid w:val="005247D8"/>
    <w:rsid w:val="00524C49"/>
    <w:rsid w:val="005251AC"/>
    <w:rsid w:val="005253B5"/>
    <w:rsid w:val="00525482"/>
    <w:rsid w:val="005254E8"/>
    <w:rsid w:val="005256F2"/>
    <w:rsid w:val="005258A4"/>
    <w:rsid w:val="00525B31"/>
    <w:rsid w:val="00525CF7"/>
    <w:rsid w:val="00526570"/>
    <w:rsid w:val="005265E5"/>
    <w:rsid w:val="005266D0"/>
    <w:rsid w:val="005266D1"/>
    <w:rsid w:val="00526890"/>
    <w:rsid w:val="005268B3"/>
    <w:rsid w:val="00526A2E"/>
    <w:rsid w:val="00526ADB"/>
    <w:rsid w:val="00526D91"/>
    <w:rsid w:val="00526D97"/>
    <w:rsid w:val="00526DBE"/>
    <w:rsid w:val="00526E64"/>
    <w:rsid w:val="00526E96"/>
    <w:rsid w:val="005270F4"/>
    <w:rsid w:val="005273BE"/>
    <w:rsid w:val="005274B6"/>
    <w:rsid w:val="0052759D"/>
    <w:rsid w:val="0052774F"/>
    <w:rsid w:val="00527D3F"/>
    <w:rsid w:val="00527FD6"/>
    <w:rsid w:val="005305BC"/>
    <w:rsid w:val="00530667"/>
    <w:rsid w:val="00530CD1"/>
    <w:rsid w:val="00530CFB"/>
    <w:rsid w:val="00531583"/>
    <w:rsid w:val="0053182A"/>
    <w:rsid w:val="0053194F"/>
    <w:rsid w:val="00531A17"/>
    <w:rsid w:val="00531C2D"/>
    <w:rsid w:val="00531DBC"/>
    <w:rsid w:val="00531F78"/>
    <w:rsid w:val="00531FC8"/>
    <w:rsid w:val="00532795"/>
    <w:rsid w:val="00532E52"/>
    <w:rsid w:val="0053304A"/>
    <w:rsid w:val="0053341C"/>
    <w:rsid w:val="005343C1"/>
    <w:rsid w:val="00534AA9"/>
    <w:rsid w:val="0053519A"/>
    <w:rsid w:val="005351A7"/>
    <w:rsid w:val="00535403"/>
    <w:rsid w:val="00535E2A"/>
    <w:rsid w:val="00536240"/>
    <w:rsid w:val="00536E35"/>
    <w:rsid w:val="00536E51"/>
    <w:rsid w:val="00536F5B"/>
    <w:rsid w:val="00536F91"/>
    <w:rsid w:val="005371E5"/>
    <w:rsid w:val="0053782E"/>
    <w:rsid w:val="00537893"/>
    <w:rsid w:val="0053792C"/>
    <w:rsid w:val="0054017E"/>
    <w:rsid w:val="0054024E"/>
    <w:rsid w:val="005402AA"/>
    <w:rsid w:val="00540716"/>
    <w:rsid w:val="00540792"/>
    <w:rsid w:val="00540B4F"/>
    <w:rsid w:val="00540B88"/>
    <w:rsid w:val="00540FC9"/>
    <w:rsid w:val="0054131D"/>
    <w:rsid w:val="00541676"/>
    <w:rsid w:val="00541754"/>
    <w:rsid w:val="00541790"/>
    <w:rsid w:val="005419BB"/>
    <w:rsid w:val="005419C1"/>
    <w:rsid w:val="00541A15"/>
    <w:rsid w:val="00541D74"/>
    <w:rsid w:val="00541FC6"/>
    <w:rsid w:val="005421E2"/>
    <w:rsid w:val="00542CFF"/>
    <w:rsid w:val="00543004"/>
    <w:rsid w:val="00543156"/>
    <w:rsid w:val="005438BA"/>
    <w:rsid w:val="00543BAF"/>
    <w:rsid w:val="00543CBB"/>
    <w:rsid w:val="0054418E"/>
    <w:rsid w:val="00544A98"/>
    <w:rsid w:val="00544C8F"/>
    <w:rsid w:val="00544E66"/>
    <w:rsid w:val="005450C3"/>
    <w:rsid w:val="005452DF"/>
    <w:rsid w:val="0054583C"/>
    <w:rsid w:val="00545B68"/>
    <w:rsid w:val="00545D1B"/>
    <w:rsid w:val="00545FC1"/>
    <w:rsid w:val="0054610E"/>
    <w:rsid w:val="00546493"/>
    <w:rsid w:val="00546AF0"/>
    <w:rsid w:val="00546BC6"/>
    <w:rsid w:val="00546E6D"/>
    <w:rsid w:val="005475F2"/>
    <w:rsid w:val="00547864"/>
    <w:rsid w:val="00547C10"/>
    <w:rsid w:val="00547F52"/>
    <w:rsid w:val="00550169"/>
    <w:rsid w:val="00550444"/>
    <w:rsid w:val="00550460"/>
    <w:rsid w:val="005504AC"/>
    <w:rsid w:val="00550E5E"/>
    <w:rsid w:val="00551846"/>
    <w:rsid w:val="00551B2A"/>
    <w:rsid w:val="00551B5D"/>
    <w:rsid w:val="0055207C"/>
    <w:rsid w:val="0055213F"/>
    <w:rsid w:val="0055225C"/>
    <w:rsid w:val="005523DE"/>
    <w:rsid w:val="005526F3"/>
    <w:rsid w:val="005528AC"/>
    <w:rsid w:val="00552943"/>
    <w:rsid w:val="00553402"/>
    <w:rsid w:val="005534A2"/>
    <w:rsid w:val="005536AD"/>
    <w:rsid w:val="00553B90"/>
    <w:rsid w:val="00554BCF"/>
    <w:rsid w:val="00554DD9"/>
    <w:rsid w:val="00555769"/>
    <w:rsid w:val="00555809"/>
    <w:rsid w:val="005558B4"/>
    <w:rsid w:val="00555DFD"/>
    <w:rsid w:val="00555EDE"/>
    <w:rsid w:val="005561A2"/>
    <w:rsid w:val="00556316"/>
    <w:rsid w:val="00556483"/>
    <w:rsid w:val="0055667E"/>
    <w:rsid w:val="00556B10"/>
    <w:rsid w:val="00556BC6"/>
    <w:rsid w:val="00556FCF"/>
    <w:rsid w:val="0055709F"/>
    <w:rsid w:val="005570BD"/>
    <w:rsid w:val="0055713F"/>
    <w:rsid w:val="005574E6"/>
    <w:rsid w:val="005575B8"/>
    <w:rsid w:val="005575E5"/>
    <w:rsid w:val="00557C2B"/>
    <w:rsid w:val="00557ED7"/>
    <w:rsid w:val="00557EE9"/>
    <w:rsid w:val="005600EB"/>
    <w:rsid w:val="005603DE"/>
    <w:rsid w:val="0056042A"/>
    <w:rsid w:val="00560550"/>
    <w:rsid w:val="00560EB9"/>
    <w:rsid w:val="00560EE9"/>
    <w:rsid w:val="005613CB"/>
    <w:rsid w:val="00561447"/>
    <w:rsid w:val="00562B67"/>
    <w:rsid w:val="00562C72"/>
    <w:rsid w:val="00563336"/>
    <w:rsid w:val="0056346E"/>
    <w:rsid w:val="0056370A"/>
    <w:rsid w:val="00563A1D"/>
    <w:rsid w:val="00563CF4"/>
    <w:rsid w:val="00563E5C"/>
    <w:rsid w:val="00564476"/>
    <w:rsid w:val="005644F5"/>
    <w:rsid w:val="00564536"/>
    <w:rsid w:val="005647F9"/>
    <w:rsid w:val="00564BB5"/>
    <w:rsid w:val="00564F42"/>
    <w:rsid w:val="00565281"/>
    <w:rsid w:val="00565297"/>
    <w:rsid w:val="00565410"/>
    <w:rsid w:val="0056576B"/>
    <w:rsid w:val="00565AF0"/>
    <w:rsid w:val="00565F52"/>
    <w:rsid w:val="00565F78"/>
    <w:rsid w:val="005660B4"/>
    <w:rsid w:val="005662AD"/>
    <w:rsid w:val="00566413"/>
    <w:rsid w:val="00566477"/>
    <w:rsid w:val="0056665C"/>
    <w:rsid w:val="00566899"/>
    <w:rsid w:val="00566A5B"/>
    <w:rsid w:val="00566DA8"/>
    <w:rsid w:val="0056737D"/>
    <w:rsid w:val="0056750F"/>
    <w:rsid w:val="0056755E"/>
    <w:rsid w:val="00567729"/>
    <w:rsid w:val="00567735"/>
    <w:rsid w:val="00567912"/>
    <w:rsid w:val="00567EF2"/>
    <w:rsid w:val="00567FF9"/>
    <w:rsid w:val="00570093"/>
    <w:rsid w:val="0057020D"/>
    <w:rsid w:val="005702DD"/>
    <w:rsid w:val="005704E0"/>
    <w:rsid w:val="00570513"/>
    <w:rsid w:val="00570535"/>
    <w:rsid w:val="005705A8"/>
    <w:rsid w:val="00570884"/>
    <w:rsid w:val="0057124F"/>
    <w:rsid w:val="005712B1"/>
    <w:rsid w:val="005716DB"/>
    <w:rsid w:val="00571887"/>
    <w:rsid w:val="005734BD"/>
    <w:rsid w:val="005734E7"/>
    <w:rsid w:val="005738DA"/>
    <w:rsid w:val="00573C57"/>
    <w:rsid w:val="00573E21"/>
    <w:rsid w:val="00573FF3"/>
    <w:rsid w:val="0057465F"/>
    <w:rsid w:val="00574946"/>
    <w:rsid w:val="00574E02"/>
    <w:rsid w:val="0057585A"/>
    <w:rsid w:val="00575A70"/>
    <w:rsid w:val="00575BBE"/>
    <w:rsid w:val="00575CFF"/>
    <w:rsid w:val="00576031"/>
    <w:rsid w:val="00576463"/>
    <w:rsid w:val="00576763"/>
    <w:rsid w:val="005769B7"/>
    <w:rsid w:val="005769C5"/>
    <w:rsid w:val="00576A4C"/>
    <w:rsid w:val="00576A87"/>
    <w:rsid w:val="00576B9E"/>
    <w:rsid w:val="00576CC2"/>
    <w:rsid w:val="00576DAD"/>
    <w:rsid w:val="00576F30"/>
    <w:rsid w:val="00577546"/>
    <w:rsid w:val="00577831"/>
    <w:rsid w:val="005778B6"/>
    <w:rsid w:val="00577C0B"/>
    <w:rsid w:val="00577D56"/>
    <w:rsid w:val="0058014C"/>
    <w:rsid w:val="005801D6"/>
    <w:rsid w:val="00580376"/>
    <w:rsid w:val="0058051B"/>
    <w:rsid w:val="005805FD"/>
    <w:rsid w:val="005806B2"/>
    <w:rsid w:val="00580CA7"/>
    <w:rsid w:val="00580E1D"/>
    <w:rsid w:val="0058172C"/>
    <w:rsid w:val="00581794"/>
    <w:rsid w:val="00581828"/>
    <w:rsid w:val="00581B9F"/>
    <w:rsid w:val="00581E7C"/>
    <w:rsid w:val="005821D5"/>
    <w:rsid w:val="0058270D"/>
    <w:rsid w:val="00582A2E"/>
    <w:rsid w:val="00582F32"/>
    <w:rsid w:val="0058308D"/>
    <w:rsid w:val="005830F1"/>
    <w:rsid w:val="005836E2"/>
    <w:rsid w:val="005836EC"/>
    <w:rsid w:val="00583906"/>
    <w:rsid w:val="00583C17"/>
    <w:rsid w:val="00584016"/>
    <w:rsid w:val="005844DC"/>
    <w:rsid w:val="005845E5"/>
    <w:rsid w:val="005848C0"/>
    <w:rsid w:val="00585173"/>
    <w:rsid w:val="0058529F"/>
    <w:rsid w:val="005852A3"/>
    <w:rsid w:val="005857B7"/>
    <w:rsid w:val="00585F6C"/>
    <w:rsid w:val="005864F2"/>
    <w:rsid w:val="005867AA"/>
    <w:rsid w:val="00586974"/>
    <w:rsid w:val="00586AAF"/>
    <w:rsid w:val="00586B55"/>
    <w:rsid w:val="00586D04"/>
    <w:rsid w:val="00586D9A"/>
    <w:rsid w:val="00587098"/>
    <w:rsid w:val="0058734A"/>
    <w:rsid w:val="005873BA"/>
    <w:rsid w:val="005873BD"/>
    <w:rsid w:val="005874AD"/>
    <w:rsid w:val="005874C6"/>
    <w:rsid w:val="005876AC"/>
    <w:rsid w:val="00587729"/>
    <w:rsid w:val="005879FA"/>
    <w:rsid w:val="00587BBA"/>
    <w:rsid w:val="00587C5F"/>
    <w:rsid w:val="00587DB2"/>
    <w:rsid w:val="00587E38"/>
    <w:rsid w:val="00587FBF"/>
    <w:rsid w:val="005902E4"/>
    <w:rsid w:val="00590423"/>
    <w:rsid w:val="00590488"/>
    <w:rsid w:val="005904CB"/>
    <w:rsid w:val="00590795"/>
    <w:rsid w:val="00590B5C"/>
    <w:rsid w:val="00590D7E"/>
    <w:rsid w:val="00590FC4"/>
    <w:rsid w:val="0059181D"/>
    <w:rsid w:val="00591A58"/>
    <w:rsid w:val="00592522"/>
    <w:rsid w:val="00592D94"/>
    <w:rsid w:val="00593130"/>
    <w:rsid w:val="005933A5"/>
    <w:rsid w:val="00593541"/>
    <w:rsid w:val="005936A7"/>
    <w:rsid w:val="00593B4A"/>
    <w:rsid w:val="00593B9C"/>
    <w:rsid w:val="00593CC2"/>
    <w:rsid w:val="00593D7A"/>
    <w:rsid w:val="00593E09"/>
    <w:rsid w:val="00593FDC"/>
    <w:rsid w:val="0059412C"/>
    <w:rsid w:val="005943DE"/>
    <w:rsid w:val="005944E1"/>
    <w:rsid w:val="005949C3"/>
    <w:rsid w:val="00594B21"/>
    <w:rsid w:val="00595649"/>
    <w:rsid w:val="005956F5"/>
    <w:rsid w:val="005957DB"/>
    <w:rsid w:val="0059582B"/>
    <w:rsid w:val="00595E6D"/>
    <w:rsid w:val="00595ECC"/>
    <w:rsid w:val="00595FDD"/>
    <w:rsid w:val="00596129"/>
    <w:rsid w:val="00596189"/>
    <w:rsid w:val="0059632E"/>
    <w:rsid w:val="00596739"/>
    <w:rsid w:val="00596A12"/>
    <w:rsid w:val="00596F0C"/>
    <w:rsid w:val="00597127"/>
    <w:rsid w:val="0059716B"/>
    <w:rsid w:val="0059717B"/>
    <w:rsid w:val="005971A7"/>
    <w:rsid w:val="00597248"/>
    <w:rsid w:val="0059725C"/>
    <w:rsid w:val="005972DA"/>
    <w:rsid w:val="005973D4"/>
    <w:rsid w:val="0059783E"/>
    <w:rsid w:val="00597C74"/>
    <w:rsid w:val="00597E1A"/>
    <w:rsid w:val="00597F56"/>
    <w:rsid w:val="005A0043"/>
    <w:rsid w:val="005A034C"/>
    <w:rsid w:val="005A04D1"/>
    <w:rsid w:val="005A0CE4"/>
    <w:rsid w:val="005A106B"/>
    <w:rsid w:val="005A121A"/>
    <w:rsid w:val="005A1761"/>
    <w:rsid w:val="005A19E3"/>
    <w:rsid w:val="005A1A62"/>
    <w:rsid w:val="005A1C1D"/>
    <w:rsid w:val="005A1C58"/>
    <w:rsid w:val="005A1F7D"/>
    <w:rsid w:val="005A2885"/>
    <w:rsid w:val="005A2B68"/>
    <w:rsid w:val="005A2F75"/>
    <w:rsid w:val="005A316B"/>
    <w:rsid w:val="005A32EF"/>
    <w:rsid w:val="005A3A42"/>
    <w:rsid w:val="005A3C26"/>
    <w:rsid w:val="005A3FFA"/>
    <w:rsid w:val="005A40E5"/>
    <w:rsid w:val="005A49D7"/>
    <w:rsid w:val="005A4BF4"/>
    <w:rsid w:val="005A4CCD"/>
    <w:rsid w:val="005A4E6C"/>
    <w:rsid w:val="005A4FDE"/>
    <w:rsid w:val="005A500B"/>
    <w:rsid w:val="005A5532"/>
    <w:rsid w:val="005A5905"/>
    <w:rsid w:val="005A5A3C"/>
    <w:rsid w:val="005A5A78"/>
    <w:rsid w:val="005A5AA9"/>
    <w:rsid w:val="005A5C47"/>
    <w:rsid w:val="005A5D54"/>
    <w:rsid w:val="005A5EC3"/>
    <w:rsid w:val="005A5F96"/>
    <w:rsid w:val="005A6057"/>
    <w:rsid w:val="005A62AB"/>
    <w:rsid w:val="005A6765"/>
    <w:rsid w:val="005A68FB"/>
    <w:rsid w:val="005A7154"/>
    <w:rsid w:val="005A7899"/>
    <w:rsid w:val="005B05CA"/>
    <w:rsid w:val="005B078C"/>
    <w:rsid w:val="005B086E"/>
    <w:rsid w:val="005B0C86"/>
    <w:rsid w:val="005B109B"/>
    <w:rsid w:val="005B118B"/>
    <w:rsid w:val="005B1388"/>
    <w:rsid w:val="005B14BA"/>
    <w:rsid w:val="005B1A70"/>
    <w:rsid w:val="005B1D76"/>
    <w:rsid w:val="005B1DC4"/>
    <w:rsid w:val="005B1E23"/>
    <w:rsid w:val="005B1E3D"/>
    <w:rsid w:val="005B237D"/>
    <w:rsid w:val="005B2417"/>
    <w:rsid w:val="005B26F5"/>
    <w:rsid w:val="005B2B0B"/>
    <w:rsid w:val="005B2B5E"/>
    <w:rsid w:val="005B2C93"/>
    <w:rsid w:val="005B3269"/>
    <w:rsid w:val="005B3459"/>
    <w:rsid w:val="005B3468"/>
    <w:rsid w:val="005B3577"/>
    <w:rsid w:val="005B37A0"/>
    <w:rsid w:val="005B3917"/>
    <w:rsid w:val="005B433E"/>
    <w:rsid w:val="005B4539"/>
    <w:rsid w:val="005B4825"/>
    <w:rsid w:val="005B4B67"/>
    <w:rsid w:val="005B4ECF"/>
    <w:rsid w:val="005B4EF9"/>
    <w:rsid w:val="005B577F"/>
    <w:rsid w:val="005B58AA"/>
    <w:rsid w:val="005B5A06"/>
    <w:rsid w:val="005B5C93"/>
    <w:rsid w:val="005B5F4B"/>
    <w:rsid w:val="005B6214"/>
    <w:rsid w:val="005B64EA"/>
    <w:rsid w:val="005B6613"/>
    <w:rsid w:val="005B6AED"/>
    <w:rsid w:val="005B6FAD"/>
    <w:rsid w:val="005B7204"/>
    <w:rsid w:val="005B726F"/>
    <w:rsid w:val="005B763C"/>
    <w:rsid w:val="005B77B7"/>
    <w:rsid w:val="005B7C28"/>
    <w:rsid w:val="005C0232"/>
    <w:rsid w:val="005C0883"/>
    <w:rsid w:val="005C0C55"/>
    <w:rsid w:val="005C0D3F"/>
    <w:rsid w:val="005C16BD"/>
    <w:rsid w:val="005C187C"/>
    <w:rsid w:val="005C1AA9"/>
    <w:rsid w:val="005C1D3D"/>
    <w:rsid w:val="005C20EB"/>
    <w:rsid w:val="005C2220"/>
    <w:rsid w:val="005C257C"/>
    <w:rsid w:val="005C2B42"/>
    <w:rsid w:val="005C2E40"/>
    <w:rsid w:val="005C2FB8"/>
    <w:rsid w:val="005C31DF"/>
    <w:rsid w:val="005C321D"/>
    <w:rsid w:val="005C350B"/>
    <w:rsid w:val="005C3691"/>
    <w:rsid w:val="005C3B75"/>
    <w:rsid w:val="005C41E2"/>
    <w:rsid w:val="005C41E7"/>
    <w:rsid w:val="005C43FD"/>
    <w:rsid w:val="005C44E7"/>
    <w:rsid w:val="005C4585"/>
    <w:rsid w:val="005C4EB5"/>
    <w:rsid w:val="005C5A93"/>
    <w:rsid w:val="005C5B14"/>
    <w:rsid w:val="005C5FEC"/>
    <w:rsid w:val="005C6097"/>
    <w:rsid w:val="005C62FA"/>
    <w:rsid w:val="005C6604"/>
    <w:rsid w:val="005C6E63"/>
    <w:rsid w:val="005C7734"/>
    <w:rsid w:val="005C7755"/>
    <w:rsid w:val="005C7B3A"/>
    <w:rsid w:val="005C7B78"/>
    <w:rsid w:val="005C7BD2"/>
    <w:rsid w:val="005C7D45"/>
    <w:rsid w:val="005C7D96"/>
    <w:rsid w:val="005C7EAE"/>
    <w:rsid w:val="005D0718"/>
    <w:rsid w:val="005D1054"/>
    <w:rsid w:val="005D1175"/>
    <w:rsid w:val="005D119E"/>
    <w:rsid w:val="005D11E9"/>
    <w:rsid w:val="005D1290"/>
    <w:rsid w:val="005D15AB"/>
    <w:rsid w:val="005D168E"/>
    <w:rsid w:val="005D16E5"/>
    <w:rsid w:val="005D177D"/>
    <w:rsid w:val="005D1843"/>
    <w:rsid w:val="005D1FB4"/>
    <w:rsid w:val="005D21D7"/>
    <w:rsid w:val="005D2275"/>
    <w:rsid w:val="005D237C"/>
    <w:rsid w:val="005D25F5"/>
    <w:rsid w:val="005D2AA9"/>
    <w:rsid w:val="005D2B0F"/>
    <w:rsid w:val="005D2B56"/>
    <w:rsid w:val="005D2BDF"/>
    <w:rsid w:val="005D3360"/>
    <w:rsid w:val="005D3456"/>
    <w:rsid w:val="005D350C"/>
    <w:rsid w:val="005D37CE"/>
    <w:rsid w:val="005D3912"/>
    <w:rsid w:val="005D3954"/>
    <w:rsid w:val="005D3A4E"/>
    <w:rsid w:val="005D3C43"/>
    <w:rsid w:val="005D4622"/>
    <w:rsid w:val="005D49E0"/>
    <w:rsid w:val="005D4DE4"/>
    <w:rsid w:val="005D511D"/>
    <w:rsid w:val="005D5236"/>
    <w:rsid w:val="005D5944"/>
    <w:rsid w:val="005D5A07"/>
    <w:rsid w:val="005D6320"/>
    <w:rsid w:val="005D63BA"/>
    <w:rsid w:val="005D6467"/>
    <w:rsid w:val="005D6834"/>
    <w:rsid w:val="005D686A"/>
    <w:rsid w:val="005D6B98"/>
    <w:rsid w:val="005D7046"/>
    <w:rsid w:val="005D721F"/>
    <w:rsid w:val="005D723E"/>
    <w:rsid w:val="005D78E3"/>
    <w:rsid w:val="005D7B44"/>
    <w:rsid w:val="005D7E33"/>
    <w:rsid w:val="005D7FD5"/>
    <w:rsid w:val="005E0315"/>
    <w:rsid w:val="005E04FA"/>
    <w:rsid w:val="005E0899"/>
    <w:rsid w:val="005E1016"/>
    <w:rsid w:val="005E17FE"/>
    <w:rsid w:val="005E1E1B"/>
    <w:rsid w:val="005E252C"/>
    <w:rsid w:val="005E28DA"/>
    <w:rsid w:val="005E2A77"/>
    <w:rsid w:val="005E2BC5"/>
    <w:rsid w:val="005E2D4C"/>
    <w:rsid w:val="005E2FD4"/>
    <w:rsid w:val="005E3219"/>
    <w:rsid w:val="005E3709"/>
    <w:rsid w:val="005E39C9"/>
    <w:rsid w:val="005E3A77"/>
    <w:rsid w:val="005E3E8A"/>
    <w:rsid w:val="005E40D7"/>
    <w:rsid w:val="005E4265"/>
    <w:rsid w:val="005E42C0"/>
    <w:rsid w:val="005E436F"/>
    <w:rsid w:val="005E440D"/>
    <w:rsid w:val="005E4820"/>
    <w:rsid w:val="005E4835"/>
    <w:rsid w:val="005E486C"/>
    <w:rsid w:val="005E4B30"/>
    <w:rsid w:val="005E4B32"/>
    <w:rsid w:val="005E4B3D"/>
    <w:rsid w:val="005E5002"/>
    <w:rsid w:val="005E545B"/>
    <w:rsid w:val="005E5A74"/>
    <w:rsid w:val="005E64D7"/>
    <w:rsid w:val="005E65B5"/>
    <w:rsid w:val="005E66BE"/>
    <w:rsid w:val="005E6923"/>
    <w:rsid w:val="005E6FEB"/>
    <w:rsid w:val="005E726D"/>
    <w:rsid w:val="005E731B"/>
    <w:rsid w:val="005E7626"/>
    <w:rsid w:val="005E7747"/>
    <w:rsid w:val="005E7CF7"/>
    <w:rsid w:val="005E7D5C"/>
    <w:rsid w:val="005E7FA9"/>
    <w:rsid w:val="005F038F"/>
    <w:rsid w:val="005F1218"/>
    <w:rsid w:val="005F19DD"/>
    <w:rsid w:val="005F1BD7"/>
    <w:rsid w:val="005F1C9D"/>
    <w:rsid w:val="005F1E06"/>
    <w:rsid w:val="005F1E63"/>
    <w:rsid w:val="005F2072"/>
    <w:rsid w:val="005F2199"/>
    <w:rsid w:val="005F26FB"/>
    <w:rsid w:val="005F2703"/>
    <w:rsid w:val="005F2968"/>
    <w:rsid w:val="005F2D93"/>
    <w:rsid w:val="005F2E89"/>
    <w:rsid w:val="005F2F4A"/>
    <w:rsid w:val="005F306D"/>
    <w:rsid w:val="005F3913"/>
    <w:rsid w:val="005F3B43"/>
    <w:rsid w:val="005F3B62"/>
    <w:rsid w:val="005F3DD5"/>
    <w:rsid w:val="005F4032"/>
    <w:rsid w:val="005F422F"/>
    <w:rsid w:val="005F45AB"/>
    <w:rsid w:val="005F475D"/>
    <w:rsid w:val="005F4882"/>
    <w:rsid w:val="005F490E"/>
    <w:rsid w:val="005F4F7E"/>
    <w:rsid w:val="005F515F"/>
    <w:rsid w:val="005F5323"/>
    <w:rsid w:val="005F53A8"/>
    <w:rsid w:val="005F56F9"/>
    <w:rsid w:val="005F5B23"/>
    <w:rsid w:val="005F6027"/>
    <w:rsid w:val="005F671A"/>
    <w:rsid w:val="005F68DA"/>
    <w:rsid w:val="005F6D3F"/>
    <w:rsid w:val="005F6DDB"/>
    <w:rsid w:val="005F6F52"/>
    <w:rsid w:val="005F726A"/>
    <w:rsid w:val="005F7496"/>
    <w:rsid w:val="005F74F1"/>
    <w:rsid w:val="005F763F"/>
    <w:rsid w:val="005F77E0"/>
    <w:rsid w:val="005F79DF"/>
    <w:rsid w:val="005F79E0"/>
    <w:rsid w:val="005F7B39"/>
    <w:rsid w:val="005F7CB1"/>
    <w:rsid w:val="0060000F"/>
    <w:rsid w:val="00600630"/>
    <w:rsid w:val="00600AC4"/>
    <w:rsid w:val="00600ED3"/>
    <w:rsid w:val="00601169"/>
    <w:rsid w:val="00601258"/>
    <w:rsid w:val="00601275"/>
    <w:rsid w:val="0060188F"/>
    <w:rsid w:val="0060194A"/>
    <w:rsid w:val="00601EE2"/>
    <w:rsid w:val="00601F65"/>
    <w:rsid w:val="00602008"/>
    <w:rsid w:val="00602297"/>
    <w:rsid w:val="006022FB"/>
    <w:rsid w:val="006024AF"/>
    <w:rsid w:val="0060272F"/>
    <w:rsid w:val="006027C8"/>
    <w:rsid w:val="00602802"/>
    <w:rsid w:val="00602BD0"/>
    <w:rsid w:val="00602EEC"/>
    <w:rsid w:val="00603034"/>
    <w:rsid w:val="00603641"/>
    <w:rsid w:val="00603809"/>
    <w:rsid w:val="00603CB6"/>
    <w:rsid w:val="00603CC1"/>
    <w:rsid w:val="00603CD6"/>
    <w:rsid w:val="00603E91"/>
    <w:rsid w:val="00603ED5"/>
    <w:rsid w:val="006040E6"/>
    <w:rsid w:val="0060442A"/>
    <w:rsid w:val="006044AA"/>
    <w:rsid w:val="0060460B"/>
    <w:rsid w:val="006046D6"/>
    <w:rsid w:val="006048C9"/>
    <w:rsid w:val="006049AF"/>
    <w:rsid w:val="00604AD5"/>
    <w:rsid w:val="00604E60"/>
    <w:rsid w:val="0060504D"/>
    <w:rsid w:val="006051BE"/>
    <w:rsid w:val="00605242"/>
    <w:rsid w:val="006055CE"/>
    <w:rsid w:val="00605886"/>
    <w:rsid w:val="00605A76"/>
    <w:rsid w:val="00605A8D"/>
    <w:rsid w:val="00605AB5"/>
    <w:rsid w:val="00605B40"/>
    <w:rsid w:val="00605F5F"/>
    <w:rsid w:val="00606228"/>
    <w:rsid w:val="0060649A"/>
    <w:rsid w:val="00606502"/>
    <w:rsid w:val="00606543"/>
    <w:rsid w:val="00606662"/>
    <w:rsid w:val="00606B01"/>
    <w:rsid w:val="00606F82"/>
    <w:rsid w:val="00607097"/>
    <w:rsid w:val="00607676"/>
    <w:rsid w:val="006100DB"/>
    <w:rsid w:val="006103DF"/>
    <w:rsid w:val="00610462"/>
    <w:rsid w:val="006105F9"/>
    <w:rsid w:val="006106F6"/>
    <w:rsid w:val="00610C09"/>
    <w:rsid w:val="00610C16"/>
    <w:rsid w:val="00610F42"/>
    <w:rsid w:val="006117EB"/>
    <w:rsid w:val="00611BEE"/>
    <w:rsid w:val="00611DF9"/>
    <w:rsid w:val="00611F66"/>
    <w:rsid w:val="006120E7"/>
    <w:rsid w:val="00612513"/>
    <w:rsid w:val="0061283C"/>
    <w:rsid w:val="00612964"/>
    <w:rsid w:val="00612CDB"/>
    <w:rsid w:val="00612E43"/>
    <w:rsid w:val="00613C7B"/>
    <w:rsid w:val="00613D49"/>
    <w:rsid w:val="00613D63"/>
    <w:rsid w:val="006140AC"/>
    <w:rsid w:val="00614215"/>
    <w:rsid w:val="0061484D"/>
    <w:rsid w:val="00614BF3"/>
    <w:rsid w:val="0061507E"/>
    <w:rsid w:val="00615307"/>
    <w:rsid w:val="006154A0"/>
    <w:rsid w:val="00615531"/>
    <w:rsid w:val="00615610"/>
    <w:rsid w:val="006157F4"/>
    <w:rsid w:val="00615BC5"/>
    <w:rsid w:val="00615D12"/>
    <w:rsid w:val="0061682E"/>
    <w:rsid w:val="00616976"/>
    <w:rsid w:val="0061698D"/>
    <w:rsid w:val="0061707A"/>
    <w:rsid w:val="00617944"/>
    <w:rsid w:val="006179C7"/>
    <w:rsid w:val="00617A44"/>
    <w:rsid w:val="00617BCE"/>
    <w:rsid w:val="00617C5E"/>
    <w:rsid w:val="00617D5A"/>
    <w:rsid w:val="00617DDF"/>
    <w:rsid w:val="00617F92"/>
    <w:rsid w:val="006201F5"/>
    <w:rsid w:val="0062028B"/>
    <w:rsid w:val="0062052E"/>
    <w:rsid w:val="006206EF"/>
    <w:rsid w:val="006207AA"/>
    <w:rsid w:val="00620E06"/>
    <w:rsid w:val="00620F78"/>
    <w:rsid w:val="006210FC"/>
    <w:rsid w:val="006214E6"/>
    <w:rsid w:val="006215D3"/>
    <w:rsid w:val="00621751"/>
    <w:rsid w:val="00621944"/>
    <w:rsid w:val="00621A1E"/>
    <w:rsid w:val="00621B62"/>
    <w:rsid w:val="00621E41"/>
    <w:rsid w:val="00622029"/>
    <w:rsid w:val="00622183"/>
    <w:rsid w:val="006226A9"/>
    <w:rsid w:val="00622780"/>
    <w:rsid w:val="006227BD"/>
    <w:rsid w:val="006229A6"/>
    <w:rsid w:val="00622ACA"/>
    <w:rsid w:val="00622E7F"/>
    <w:rsid w:val="00623181"/>
    <w:rsid w:val="006232CD"/>
    <w:rsid w:val="00623452"/>
    <w:rsid w:val="00623619"/>
    <w:rsid w:val="00623762"/>
    <w:rsid w:val="0062394A"/>
    <w:rsid w:val="00623ACE"/>
    <w:rsid w:val="00623BF3"/>
    <w:rsid w:val="00623F7A"/>
    <w:rsid w:val="00623FB4"/>
    <w:rsid w:val="00623FF0"/>
    <w:rsid w:val="006240F1"/>
    <w:rsid w:val="00624305"/>
    <w:rsid w:val="00624326"/>
    <w:rsid w:val="0062432F"/>
    <w:rsid w:val="0062434C"/>
    <w:rsid w:val="0062435B"/>
    <w:rsid w:val="006243F1"/>
    <w:rsid w:val="006244ED"/>
    <w:rsid w:val="00624510"/>
    <w:rsid w:val="00624B82"/>
    <w:rsid w:val="00624C14"/>
    <w:rsid w:val="00624FCD"/>
    <w:rsid w:val="00625696"/>
    <w:rsid w:val="0062571B"/>
    <w:rsid w:val="00625DC2"/>
    <w:rsid w:val="00625F2F"/>
    <w:rsid w:val="006262B0"/>
    <w:rsid w:val="00626405"/>
    <w:rsid w:val="00626684"/>
    <w:rsid w:val="00626B47"/>
    <w:rsid w:val="00626CE3"/>
    <w:rsid w:val="00626DB1"/>
    <w:rsid w:val="00626FC2"/>
    <w:rsid w:val="00627037"/>
    <w:rsid w:val="00627144"/>
    <w:rsid w:val="00627419"/>
    <w:rsid w:val="006274F5"/>
    <w:rsid w:val="0062799F"/>
    <w:rsid w:val="006279F1"/>
    <w:rsid w:val="00627C31"/>
    <w:rsid w:val="00627CDD"/>
    <w:rsid w:val="00627DC3"/>
    <w:rsid w:val="00627F89"/>
    <w:rsid w:val="006303E4"/>
    <w:rsid w:val="0063043A"/>
    <w:rsid w:val="00630590"/>
    <w:rsid w:val="00630C1D"/>
    <w:rsid w:val="00630ED7"/>
    <w:rsid w:val="00630FF3"/>
    <w:rsid w:val="006311FD"/>
    <w:rsid w:val="00631656"/>
    <w:rsid w:val="0063195D"/>
    <w:rsid w:val="00631E8F"/>
    <w:rsid w:val="00632070"/>
    <w:rsid w:val="00632550"/>
    <w:rsid w:val="006327DD"/>
    <w:rsid w:val="00632896"/>
    <w:rsid w:val="00632F13"/>
    <w:rsid w:val="0063317F"/>
    <w:rsid w:val="00633687"/>
    <w:rsid w:val="00633DAC"/>
    <w:rsid w:val="00633DFF"/>
    <w:rsid w:val="00633E57"/>
    <w:rsid w:val="00633EBD"/>
    <w:rsid w:val="00633F7D"/>
    <w:rsid w:val="0063459F"/>
    <w:rsid w:val="006345C2"/>
    <w:rsid w:val="006346F3"/>
    <w:rsid w:val="00634752"/>
    <w:rsid w:val="006353ED"/>
    <w:rsid w:val="00635480"/>
    <w:rsid w:val="00635BA1"/>
    <w:rsid w:val="006361A1"/>
    <w:rsid w:val="006363DF"/>
    <w:rsid w:val="006363E4"/>
    <w:rsid w:val="00637002"/>
    <w:rsid w:val="0063753F"/>
    <w:rsid w:val="0063771B"/>
    <w:rsid w:val="00637721"/>
    <w:rsid w:val="00637D8D"/>
    <w:rsid w:val="00637EFE"/>
    <w:rsid w:val="00640070"/>
    <w:rsid w:val="00640188"/>
    <w:rsid w:val="00640431"/>
    <w:rsid w:val="00640982"/>
    <w:rsid w:val="00640D76"/>
    <w:rsid w:val="00640E04"/>
    <w:rsid w:val="00640F82"/>
    <w:rsid w:val="00641A54"/>
    <w:rsid w:val="00641DE7"/>
    <w:rsid w:val="00641FD6"/>
    <w:rsid w:val="006427A8"/>
    <w:rsid w:val="00642EF7"/>
    <w:rsid w:val="00643104"/>
    <w:rsid w:val="00643281"/>
    <w:rsid w:val="0064342B"/>
    <w:rsid w:val="00643504"/>
    <w:rsid w:val="0064354B"/>
    <w:rsid w:val="006435A2"/>
    <w:rsid w:val="006435F5"/>
    <w:rsid w:val="00643FAD"/>
    <w:rsid w:val="006444C6"/>
    <w:rsid w:val="00644554"/>
    <w:rsid w:val="00644569"/>
    <w:rsid w:val="006445D1"/>
    <w:rsid w:val="00644812"/>
    <w:rsid w:val="00644A24"/>
    <w:rsid w:val="00644BA7"/>
    <w:rsid w:val="00644BB8"/>
    <w:rsid w:val="00645036"/>
    <w:rsid w:val="00645468"/>
    <w:rsid w:val="00645668"/>
    <w:rsid w:val="006456A8"/>
    <w:rsid w:val="006458AF"/>
    <w:rsid w:val="00645DF5"/>
    <w:rsid w:val="00645E92"/>
    <w:rsid w:val="0064604F"/>
    <w:rsid w:val="00646636"/>
    <w:rsid w:val="00646884"/>
    <w:rsid w:val="00646D2E"/>
    <w:rsid w:val="00646DF2"/>
    <w:rsid w:val="00647090"/>
    <w:rsid w:val="0064757E"/>
    <w:rsid w:val="00647762"/>
    <w:rsid w:val="00647999"/>
    <w:rsid w:val="006479A0"/>
    <w:rsid w:val="00647C50"/>
    <w:rsid w:val="0065000F"/>
    <w:rsid w:val="00650316"/>
    <w:rsid w:val="00650628"/>
    <w:rsid w:val="00650C79"/>
    <w:rsid w:val="0065105A"/>
    <w:rsid w:val="0065108E"/>
    <w:rsid w:val="006513CB"/>
    <w:rsid w:val="00651661"/>
    <w:rsid w:val="00651AC3"/>
    <w:rsid w:val="00652097"/>
    <w:rsid w:val="00652114"/>
    <w:rsid w:val="0065221E"/>
    <w:rsid w:val="00652415"/>
    <w:rsid w:val="0065283B"/>
    <w:rsid w:val="0065288F"/>
    <w:rsid w:val="00652C36"/>
    <w:rsid w:val="00652F71"/>
    <w:rsid w:val="00653270"/>
    <w:rsid w:val="00653290"/>
    <w:rsid w:val="006534E5"/>
    <w:rsid w:val="00653545"/>
    <w:rsid w:val="0065385E"/>
    <w:rsid w:val="00653C43"/>
    <w:rsid w:val="00654454"/>
    <w:rsid w:val="0065447C"/>
    <w:rsid w:val="0065454B"/>
    <w:rsid w:val="00654645"/>
    <w:rsid w:val="0065472C"/>
    <w:rsid w:val="00654776"/>
    <w:rsid w:val="00654A38"/>
    <w:rsid w:val="00654B90"/>
    <w:rsid w:val="00654C3B"/>
    <w:rsid w:val="00654D13"/>
    <w:rsid w:val="00655205"/>
    <w:rsid w:val="00655408"/>
    <w:rsid w:val="00655483"/>
    <w:rsid w:val="006557C4"/>
    <w:rsid w:val="00656013"/>
    <w:rsid w:val="0065654D"/>
    <w:rsid w:val="006566FB"/>
    <w:rsid w:val="00656723"/>
    <w:rsid w:val="00656845"/>
    <w:rsid w:val="00656A7B"/>
    <w:rsid w:val="00656AE8"/>
    <w:rsid w:val="0065759A"/>
    <w:rsid w:val="006575B4"/>
    <w:rsid w:val="00657784"/>
    <w:rsid w:val="00657816"/>
    <w:rsid w:val="0065787D"/>
    <w:rsid w:val="00657949"/>
    <w:rsid w:val="00657BE6"/>
    <w:rsid w:val="00657C08"/>
    <w:rsid w:val="00657E5F"/>
    <w:rsid w:val="00660453"/>
    <w:rsid w:val="0066070F"/>
    <w:rsid w:val="00660A72"/>
    <w:rsid w:val="00660AA9"/>
    <w:rsid w:val="00660FCB"/>
    <w:rsid w:val="00661057"/>
    <w:rsid w:val="006610E2"/>
    <w:rsid w:val="0066164B"/>
    <w:rsid w:val="00661EEF"/>
    <w:rsid w:val="00661F8F"/>
    <w:rsid w:val="00661FD2"/>
    <w:rsid w:val="006620C0"/>
    <w:rsid w:val="00662327"/>
    <w:rsid w:val="0066262A"/>
    <w:rsid w:val="00662882"/>
    <w:rsid w:val="00662A05"/>
    <w:rsid w:val="00662B90"/>
    <w:rsid w:val="00662EE2"/>
    <w:rsid w:val="00662F7F"/>
    <w:rsid w:val="00663223"/>
    <w:rsid w:val="006633FF"/>
    <w:rsid w:val="0066366D"/>
    <w:rsid w:val="00663791"/>
    <w:rsid w:val="0066384D"/>
    <w:rsid w:val="00663A1B"/>
    <w:rsid w:val="00663AC2"/>
    <w:rsid w:val="00663ADA"/>
    <w:rsid w:val="00663C39"/>
    <w:rsid w:val="006641C3"/>
    <w:rsid w:val="00664372"/>
    <w:rsid w:val="00664445"/>
    <w:rsid w:val="006644B9"/>
    <w:rsid w:val="00664742"/>
    <w:rsid w:val="00664869"/>
    <w:rsid w:val="00664AE3"/>
    <w:rsid w:val="00664CC9"/>
    <w:rsid w:val="00664D2F"/>
    <w:rsid w:val="0066506F"/>
    <w:rsid w:val="00665418"/>
    <w:rsid w:val="0066597A"/>
    <w:rsid w:val="00665B86"/>
    <w:rsid w:val="00665BC8"/>
    <w:rsid w:val="00665E06"/>
    <w:rsid w:val="00665EA6"/>
    <w:rsid w:val="00665EE5"/>
    <w:rsid w:val="00665F2D"/>
    <w:rsid w:val="00666061"/>
    <w:rsid w:val="0066612F"/>
    <w:rsid w:val="006661BB"/>
    <w:rsid w:val="00666DD7"/>
    <w:rsid w:val="00667EC9"/>
    <w:rsid w:val="006703BB"/>
    <w:rsid w:val="00670589"/>
    <w:rsid w:val="0067059B"/>
    <w:rsid w:val="006706F8"/>
    <w:rsid w:val="00670BA1"/>
    <w:rsid w:val="006718D4"/>
    <w:rsid w:val="00671A51"/>
    <w:rsid w:val="00671D79"/>
    <w:rsid w:val="00671D81"/>
    <w:rsid w:val="00671FFA"/>
    <w:rsid w:val="00672156"/>
    <w:rsid w:val="0067249D"/>
    <w:rsid w:val="00672A70"/>
    <w:rsid w:val="00672B52"/>
    <w:rsid w:val="00672CBC"/>
    <w:rsid w:val="00672EE8"/>
    <w:rsid w:val="006730D1"/>
    <w:rsid w:val="006730E0"/>
    <w:rsid w:val="0067312D"/>
    <w:rsid w:val="006733BF"/>
    <w:rsid w:val="006735FC"/>
    <w:rsid w:val="006736AE"/>
    <w:rsid w:val="00673DAE"/>
    <w:rsid w:val="00673E84"/>
    <w:rsid w:val="0067445D"/>
    <w:rsid w:val="006748C9"/>
    <w:rsid w:val="0067508E"/>
    <w:rsid w:val="0067513F"/>
    <w:rsid w:val="006752A7"/>
    <w:rsid w:val="006752C9"/>
    <w:rsid w:val="00675302"/>
    <w:rsid w:val="00675364"/>
    <w:rsid w:val="006755FC"/>
    <w:rsid w:val="00675806"/>
    <w:rsid w:val="006758C8"/>
    <w:rsid w:val="00675D03"/>
    <w:rsid w:val="006762B0"/>
    <w:rsid w:val="006763D0"/>
    <w:rsid w:val="0067641F"/>
    <w:rsid w:val="00676A87"/>
    <w:rsid w:val="00677277"/>
    <w:rsid w:val="0067776E"/>
    <w:rsid w:val="006777AE"/>
    <w:rsid w:val="00677CE3"/>
    <w:rsid w:val="00677DEF"/>
    <w:rsid w:val="006803C2"/>
    <w:rsid w:val="00680403"/>
    <w:rsid w:val="00680736"/>
    <w:rsid w:val="006807AC"/>
    <w:rsid w:val="00680997"/>
    <w:rsid w:val="00680AC3"/>
    <w:rsid w:val="00680FB1"/>
    <w:rsid w:val="0068196B"/>
    <w:rsid w:val="00681CF4"/>
    <w:rsid w:val="00681FDF"/>
    <w:rsid w:val="00682531"/>
    <w:rsid w:val="006825E2"/>
    <w:rsid w:val="0068296F"/>
    <w:rsid w:val="00682C73"/>
    <w:rsid w:val="00682D1F"/>
    <w:rsid w:val="00683139"/>
    <w:rsid w:val="006837E8"/>
    <w:rsid w:val="006837FE"/>
    <w:rsid w:val="00683A32"/>
    <w:rsid w:val="00683A7F"/>
    <w:rsid w:val="00683B50"/>
    <w:rsid w:val="00684000"/>
    <w:rsid w:val="00684306"/>
    <w:rsid w:val="00684489"/>
    <w:rsid w:val="006845FF"/>
    <w:rsid w:val="00684635"/>
    <w:rsid w:val="00684BB3"/>
    <w:rsid w:val="00684D33"/>
    <w:rsid w:val="006851D7"/>
    <w:rsid w:val="006851E2"/>
    <w:rsid w:val="006851E4"/>
    <w:rsid w:val="006854E1"/>
    <w:rsid w:val="0068649C"/>
    <w:rsid w:val="0068651B"/>
    <w:rsid w:val="00686BF3"/>
    <w:rsid w:val="00686E47"/>
    <w:rsid w:val="00686F13"/>
    <w:rsid w:val="00686F5F"/>
    <w:rsid w:val="00687040"/>
    <w:rsid w:val="00687100"/>
    <w:rsid w:val="00687233"/>
    <w:rsid w:val="006874AB"/>
    <w:rsid w:val="006874DC"/>
    <w:rsid w:val="0068768A"/>
    <w:rsid w:val="00687701"/>
    <w:rsid w:val="00687742"/>
    <w:rsid w:val="00687A54"/>
    <w:rsid w:val="00690119"/>
    <w:rsid w:val="00690212"/>
    <w:rsid w:val="006903C6"/>
    <w:rsid w:val="00690488"/>
    <w:rsid w:val="0069058C"/>
    <w:rsid w:val="00690677"/>
    <w:rsid w:val="00690B7C"/>
    <w:rsid w:val="00690FAF"/>
    <w:rsid w:val="00691103"/>
    <w:rsid w:val="006914CB"/>
    <w:rsid w:val="00691B86"/>
    <w:rsid w:val="00691DEA"/>
    <w:rsid w:val="00691EF4"/>
    <w:rsid w:val="0069200D"/>
    <w:rsid w:val="0069205F"/>
    <w:rsid w:val="006920EA"/>
    <w:rsid w:val="00692232"/>
    <w:rsid w:val="00692235"/>
    <w:rsid w:val="00692418"/>
    <w:rsid w:val="00692457"/>
    <w:rsid w:val="00692520"/>
    <w:rsid w:val="006925F1"/>
    <w:rsid w:val="0069273E"/>
    <w:rsid w:val="00692761"/>
    <w:rsid w:val="00692970"/>
    <w:rsid w:val="006930B0"/>
    <w:rsid w:val="00693166"/>
    <w:rsid w:val="00693248"/>
    <w:rsid w:val="00693290"/>
    <w:rsid w:val="00693449"/>
    <w:rsid w:val="006934AD"/>
    <w:rsid w:val="0069356B"/>
    <w:rsid w:val="006935FF"/>
    <w:rsid w:val="006936BA"/>
    <w:rsid w:val="00693A1C"/>
    <w:rsid w:val="00693A4A"/>
    <w:rsid w:val="00693BCB"/>
    <w:rsid w:val="00693ED0"/>
    <w:rsid w:val="0069416B"/>
    <w:rsid w:val="0069435D"/>
    <w:rsid w:val="00694464"/>
    <w:rsid w:val="0069454F"/>
    <w:rsid w:val="0069461C"/>
    <w:rsid w:val="00694C3B"/>
    <w:rsid w:val="00694D4C"/>
    <w:rsid w:val="006957B8"/>
    <w:rsid w:val="006957FC"/>
    <w:rsid w:val="0069587C"/>
    <w:rsid w:val="00695B4D"/>
    <w:rsid w:val="00695C46"/>
    <w:rsid w:val="00695CA7"/>
    <w:rsid w:val="00695E08"/>
    <w:rsid w:val="00696287"/>
    <w:rsid w:val="006968A5"/>
    <w:rsid w:val="00696A05"/>
    <w:rsid w:val="00696EB4"/>
    <w:rsid w:val="006A0508"/>
    <w:rsid w:val="006A0636"/>
    <w:rsid w:val="006A0A0E"/>
    <w:rsid w:val="006A0F5F"/>
    <w:rsid w:val="006A11DB"/>
    <w:rsid w:val="006A125F"/>
    <w:rsid w:val="006A129C"/>
    <w:rsid w:val="006A1A04"/>
    <w:rsid w:val="006A1A2C"/>
    <w:rsid w:val="006A1B01"/>
    <w:rsid w:val="006A2013"/>
    <w:rsid w:val="006A266D"/>
    <w:rsid w:val="006A2713"/>
    <w:rsid w:val="006A2911"/>
    <w:rsid w:val="006A2AE7"/>
    <w:rsid w:val="006A2C8E"/>
    <w:rsid w:val="006A2D6D"/>
    <w:rsid w:val="006A2E0F"/>
    <w:rsid w:val="006A2F04"/>
    <w:rsid w:val="006A2F2B"/>
    <w:rsid w:val="006A2FE1"/>
    <w:rsid w:val="006A34EC"/>
    <w:rsid w:val="006A3544"/>
    <w:rsid w:val="006A39BA"/>
    <w:rsid w:val="006A409C"/>
    <w:rsid w:val="006A41B6"/>
    <w:rsid w:val="006A4434"/>
    <w:rsid w:val="006A4906"/>
    <w:rsid w:val="006A492D"/>
    <w:rsid w:val="006A4B7F"/>
    <w:rsid w:val="006A4F7B"/>
    <w:rsid w:val="006A5924"/>
    <w:rsid w:val="006A5BEE"/>
    <w:rsid w:val="006A673F"/>
    <w:rsid w:val="006A67F2"/>
    <w:rsid w:val="006A6ECB"/>
    <w:rsid w:val="006A6F8C"/>
    <w:rsid w:val="006A7052"/>
    <w:rsid w:val="006A7228"/>
    <w:rsid w:val="006A7340"/>
    <w:rsid w:val="006A7398"/>
    <w:rsid w:val="006A766A"/>
    <w:rsid w:val="006A77CD"/>
    <w:rsid w:val="006A78A4"/>
    <w:rsid w:val="006A7D0F"/>
    <w:rsid w:val="006B0397"/>
    <w:rsid w:val="006B078B"/>
    <w:rsid w:val="006B0AF0"/>
    <w:rsid w:val="006B0B98"/>
    <w:rsid w:val="006B0D64"/>
    <w:rsid w:val="006B1189"/>
    <w:rsid w:val="006B11B7"/>
    <w:rsid w:val="006B15CF"/>
    <w:rsid w:val="006B1C62"/>
    <w:rsid w:val="006B1E2D"/>
    <w:rsid w:val="006B2055"/>
    <w:rsid w:val="006B20D6"/>
    <w:rsid w:val="006B2894"/>
    <w:rsid w:val="006B2CE1"/>
    <w:rsid w:val="006B2EBB"/>
    <w:rsid w:val="006B30E0"/>
    <w:rsid w:val="006B3ADB"/>
    <w:rsid w:val="006B3AE0"/>
    <w:rsid w:val="006B3B8A"/>
    <w:rsid w:val="006B3E85"/>
    <w:rsid w:val="006B40B7"/>
    <w:rsid w:val="006B4153"/>
    <w:rsid w:val="006B417D"/>
    <w:rsid w:val="006B4D6D"/>
    <w:rsid w:val="006B51AA"/>
    <w:rsid w:val="006B551E"/>
    <w:rsid w:val="006B556A"/>
    <w:rsid w:val="006B5645"/>
    <w:rsid w:val="006B596A"/>
    <w:rsid w:val="006B5FD4"/>
    <w:rsid w:val="006B5FDA"/>
    <w:rsid w:val="006B6147"/>
    <w:rsid w:val="006B6296"/>
    <w:rsid w:val="006B641B"/>
    <w:rsid w:val="006B667D"/>
    <w:rsid w:val="006B66E5"/>
    <w:rsid w:val="006B6AFB"/>
    <w:rsid w:val="006B6BE4"/>
    <w:rsid w:val="006B6CB9"/>
    <w:rsid w:val="006B6CDC"/>
    <w:rsid w:val="006B7294"/>
    <w:rsid w:val="006B73A3"/>
    <w:rsid w:val="006B7872"/>
    <w:rsid w:val="006B78E8"/>
    <w:rsid w:val="006C058F"/>
    <w:rsid w:val="006C0C57"/>
    <w:rsid w:val="006C1169"/>
    <w:rsid w:val="006C1E5A"/>
    <w:rsid w:val="006C23B0"/>
    <w:rsid w:val="006C287C"/>
    <w:rsid w:val="006C293D"/>
    <w:rsid w:val="006C2DCA"/>
    <w:rsid w:val="006C2E86"/>
    <w:rsid w:val="006C30FF"/>
    <w:rsid w:val="006C3225"/>
    <w:rsid w:val="006C3621"/>
    <w:rsid w:val="006C39EB"/>
    <w:rsid w:val="006C3B0D"/>
    <w:rsid w:val="006C3EBA"/>
    <w:rsid w:val="006C41C3"/>
    <w:rsid w:val="006C4446"/>
    <w:rsid w:val="006C447B"/>
    <w:rsid w:val="006C44F4"/>
    <w:rsid w:val="006C4780"/>
    <w:rsid w:val="006C4A4D"/>
    <w:rsid w:val="006C53A3"/>
    <w:rsid w:val="006C53AB"/>
    <w:rsid w:val="006C555F"/>
    <w:rsid w:val="006C591A"/>
    <w:rsid w:val="006C5D9D"/>
    <w:rsid w:val="006C5F15"/>
    <w:rsid w:val="006C677F"/>
    <w:rsid w:val="006C6B3F"/>
    <w:rsid w:val="006C6C2A"/>
    <w:rsid w:val="006C6F05"/>
    <w:rsid w:val="006C6FB5"/>
    <w:rsid w:val="006C7012"/>
    <w:rsid w:val="006C7492"/>
    <w:rsid w:val="006C74AA"/>
    <w:rsid w:val="006C7552"/>
    <w:rsid w:val="006C772D"/>
    <w:rsid w:val="006C7A37"/>
    <w:rsid w:val="006C7BBE"/>
    <w:rsid w:val="006C7DCE"/>
    <w:rsid w:val="006D016D"/>
    <w:rsid w:val="006D0824"/>
    <w:rsid w:val="006D0E23"/>
    <w:rsid w:val="006D150A"/>
    <w:rsid w:val="006D1668"/>
    <w:rsid w:val="006D1AD8"/>
    <w:rsid w:val="006D1FEE"/>
    <w:rsid w:val="006D2097"/>
    <w:rsid w:val="006D21E2"/>
    <w:rsid w:val="006D320A"/>
    <w:rsid w:val="006D3419"/>
    <w:rsid w:val="006D3494"/>
    <w:rsid w:val="006D3715"/>
    <w:rsid w:val="006D3A42"/>
    <w:rsid w:val="006D3F36"/>
    <w:rsid w:val="006D3FD0"/>
    <w:rsid w:val="006D4044"/>
    <w:rsid w:val="006D41A2"/>
    <w:rsid w:val="006D43FF"/>
    <w:rsid w:val="006D4658"/>
    <w:rsid w:val="006D4940"/>
    <w:rsid w:val="006D4D2F"/>
    <w:rsid w:val="006D4E18"/>
    <w:rsid w:val="006D5349"/>
    <w:rsid w:val="006D5846"/>
    <w:rsid w:val="006D5D0D"/>
    <w:rsid w:val="006D62D2"/>
    <w:rsid w:val="006D6468"/>
    <w:rsid w:val="006D6552"/>
    <w:rsid w:val="006D6811"/>
    <w:rsid w:val="006D6919"/>
    <w:rsid w:val="006D6BFA"/>
    <w:rsid w:val="006D6FE9"/>
    <w:rsid w:val="006D6FF9"/>
    <w:rsid w:val="006D74DE"/>
    <w:rsid w:val="006D766D"/>
    <w:rsid w:val="006D7A23"/>
    <w:rsid w:val="006D7BB5"/>
    <w:rsid w:val="006E02D5"/>
    <w:rsid w:val="006E0365"/>
    <w:rsid w:val="006E03D9"/>
    <w:rsid w:val="006E054C"/>
    <w:rsid w:val="006E0DF0"/>
    <w:rsid w:val="006E0E77"/>
    <w:rsid w:val="006E1080"/>
    <w:rsid w:val="006E1091"/>
    <w:rsid w:val="006E17A8"/>
    <w:rsid w:val="006E1A01"/>
    <w:rsid w:val="006E1C41"/>
    <w:rsid w:val="006E1CAE"/>
    <w:rsid w:val="006E1DBC"/>
    <w:rsid w:val="006E219E"/>
    <w:rsid w:val="006E2212"/>
    <w:rsid w:val="006E281C"/>
    <w:rsid w:val="006E2B44"/>
    <w:rsid w:val="006E2B60"/>
    <w:rsid w:val="006E2D3F"/>
    <w:rsid w:val="006E2F5A"/>
    <w:rsid w:val="006E354B"/>
    <w:rsid w:val="006E3594"/>
    <w:rsid w:val="006E3966"/>
    <w:rsid w:val="006E3A00"/>
    <w:rsid w:val="006E3BEC"/>
    <w:rsid w:val="006E40C7"/>
    <w:rsid w:val="006E41DE"/>
    <w:rsid w:val="006E43AB"/>
    <w:rsid w:val="006E476F"/>
    <w:rsid w:val="006E4935"/>
    <w:rsid w:val="006E4AC3"/>
    <w:rsid w:val="006E4D29"/>
    <w:rsid w:val="006E4EA1"/>
    <w:rsid w:val="006E521B"/>
    <w:rsid w:val="006E53FA"/>
    <w:rsid w:val="006E564B"/>
    <w:rsid w:val="006E5C42"/>
    <w:rsid w:val="006E5E0A"/>
    <w:rsid w:val="006E66E9"/>
    <w:rsid w:val="006E6ABC"/>
    <w:rsid w:val="006E6E20"/>
    <w:rsid w:val="006E7214"/>
    <w:rsid w:val="006E72D4"/>
    <w:rsid w:val="006E753C"/>
    <w:rsid w:val="006E77E0"/>
    <w:rsid w:val="006E78D0"/>
    <w:rsid w:val="006E7926"/>
    <w:rsid w:val="006E7DFF"/>
    <w:rsid w:val="006F04F9"/>
    <w:rsid w:val="006F0715"/>
    <w:rsid w:val="006F0CB3"/>
    <w:rsid w:val="006F119E"/>
    <w:rsid w:val="006F178E"/>
    <w:rsid w:val="006F1792"/>
    <w:rsid w:val="006F17B4"/>
    <w:rsid w:val="006F18BD"/>
    <w:rsid w:val="006F1A54"/>
    <w:rsid w:val="006F2256"/>
    <w:rsid w:val="006F2513"/>
    <w:rsid w:val="006F254A"/>
    <w:rsid w:val="006F2909"/>
    <w:rsid w:val="006F3111"/>
    <w:rsid w:val="006F3152"/>
    <w:rsid w:val="006F3662"/>
    <w:rsid w:val="006F3712"/>
    <w:rsid w:val="006F394D"/>
    <w:rsid w:val="006F3956"/>
    <w:rsid w:val="006F3BF3"/>
    <w:rsid w:val="006F3CCE"/>
    <w:rsid w:val="006F3CE3"/>
    <w:rsid w:val="006F3D88"/>
    <w:rsid w:val="006F4246"/>
    <w:rsid w:val="006F457F"/>
    <w:rsid w:val="006F4610"/>
    <w:rsid w:val="006F5607"/>
    <w:rsid w:val="006F562E"/>
    <w:rsid w:val="006F5907"/>
    <w:rsid w:val="006F5A1C"/>
    <w:rsid w:val="006F6107"/>
    <w:rsid w:val="006F679A"/>
    <w:rsid w:val="006F6D42"/>
    <w:rsid w:val="006F70DB"/>
    <w:rsid w:val="006F7C81"/>
    <w:rsid w:val="006F7F77"/>
    <w:rsid w:val="00700134"/>
    <w:rsid w:val="0070013C"/>
    <w:rsid w:val="0070014B"/>
    <w:rsid w:val="0070015B"/>
    <w:rsid w:val="007003E9"/>
    <w:rsid w:val="00700869"/>
    <w:rsid w:val="0070087F"/>
    <w:rsid w:val="00700B1F"/>
    <w:rsid w:val="00700FA1"/>
    <w:rsid w:val="007014A8"/>
    <w:rsid w:val="00701587"/>
    <w:rsid w:val="00701DB1"/>
    <w:rsid w:val="007022D6"/>
    <w:rsid w:val="0070288C"/>
    <w:rsid w:val="00702B4C"/>
    <w:rsid w:val="00702CBF"/>
    <w:rsid w:val="00702D71"/>
    <w:rsid w:val="007030E3"/>
    <w:rsid w:val="00703371"/>
    <w:rsid w:val="0070340B"/>
    <w:rsid w:val="00703929"/>
    <w:rsid w:val="00703BCE"/>
    <w:rsid w:val="00703CC2"/>
    <w:rsid w:val="00704390"/>
    <w:rsid w:val="007045A9"/>
    <w:rsid w:val="00704990"/>
    <w:rsid w:val="00704AF2"/>
    <w:rsid w:val="00704B76"/>
    <w:rsid w:val="00704C08"/>
    <w:rsid w:val="007058B5"/>
    <w:rsid w:val="00705C77"/>
    <w:rsid w:val="00706197"/>
    <w:rsid w:val="007061EE"/>
    <w:rsid w:val="007063AA"/>
    <w:rsid w:val="0070648E"/>
    <w:rsid w:val="007069A9"/>
    <w:rsid w:val="00706B77"/>
    <w:rsid w:val="00706C73"/>
    <w:rsid w:val="00706C9F"/>
    <w:rsid w:val="00706CCF"/>
    <w:rsid w:val="00706D30"/>
    <w:rsid w:val="0070739F"/>
    <w:rsid w:val="0070750D"/>
    <w:rsid w:val="007075A1"/>
    <w:rsid w:val="00707788"/>
    <w:rsid w:val="00707B94"/>
    <w:rsid w:val="0071044A"/>
    <w:rsid w:val="007106B7"/>
    <w:rsid w:val="00710A05"/>
    <w:rsid w:val="00710A31"/>
    <w:rsid w:val="00710A54"/>
    <w:rsid w:val="00710A82"/>
    <w:rsid w:val="00710CB1"/>
    <w:rsid w:val="0071108C"/>
    <w:rsid w:val="00711150"/>
    <w:rsid w:val="00711289"/>
    <w:rsid w:val="0071190C"/>
    <w:rsid w:val="00711DE6"/>
    <w:rsid w:val="00712655"/>
    <w:rsid w:val="00712675"/>
    <w:rsid w:val="007129E8"/>
    <w:rsid w:val="007130B3"/>
    <w:rsid w:val="0071320C"/>
    <w:rsid w:val="0071369C"/>
    <w:rsid w:val="00713B3C"/>
    <w:rsid w:val="00713BA7"/>
    <w:rsid w:val="00713CDA"/>
    <w:rsid w:val="00713E03"/>
    <w:rsid w:val="007142B4"/>
    <w:rsid w:val="007143E1"/>
    <w:rsid w:val="0071460C"/>
    <w:rsid w:val="00714949"/>
    <w:rsid w:val="00714A7A"/>
    <w:rsid w:val="007150A9"/>
    <w:rsid w:val="00715623"/>
    <w:rsid w:val="00715648"/>
    <w:rsid w:val="007158D2"/>
    <w:rsid w:val="00715A96"/>
    <w:rsid w:val="00715CE5"/>
    <w:rsid w:val="007165B2"/>
    <w:rsid w:val="00716B97"/>
    <w:rsid w:val="00716BA3"/>
    <w:rsid w:val="007170E9"/>
    <w:rsid w:val="007203DC"/>
    <w:rsid w:val="007205D8"/>
    <w:rsid w:val="007206E4"/>
    <w:rsid w:val="007211BA"/>
    <w:rsid w:val="007213E9"/>
    <w:rsid w:val="00721489"/>
    <w:rsid w:val="007216DA"/>
    <w:rsid w:val="00721914"/>
    <w:rsid w:val="00721BB3"/>
    <w:rsid w:val="00721E93"/>
    <w:rsid w:val="00721F4B"/>
    <w:rsid w:val="00721F50"/>
    <w:rsid w:val="00722286"/>
    <w:rsid w:val="00722422"/>
    <w:rsid w:val="007229D8"/>
    <w:rsid w:val="00722CFE"/>
    <w:rsid w:val="00722D8F"/>
    <w:rsid w:val="0072349C"/>
    <w:rsid w:val="00723BBF"/>
    <w:rsid w:val="007242C6"/>
    <w:rsid w:val="00724308"/>
    <w:rsid w:val="0072449D"/>
    <w:rsid w:val="0072490B"/>
    <w:rsid w:val="0072579F"/>
    <w:rsid w:val="0072599E"/>
    <w:rsid w:val="00725A39"/>
    <w:rsid w:val="00725A7C"/>
    <w:rsid w:val="00725CE9"/>
    <w:rsid w:val="007260B7"/>
    <w:rsid w:val="0072643C"/>
    <w:rsid w:val="00726457"/>
    <w:rsid w:val="007266AB"/>
    <w:rsid w:val="007268B0"/>
    <w:rsid w:val="007269EF"/>
    <w:rsid w:val="00726D71"/>
    <w:rsid w:val="00726E9F"/>
    <w:rsid w:val="007270A5"/>
    <w:rsid w:val="00727238"/>
    <w:rsid w:val="007274BB"/>
    <w:rsid w:val="007274DC"/>
    <w:rsid w:val="0072790D"/>
    <w:rsid w:val="007279CD"/>
    <w:rsid w:val="00727EE2"/>
    <w:rsid w:val="00730063"/>
    <w:rsid w:val="0073067F"/>
    <w:rsid w:val="00730910"/>
    <w:rsid w:val="00730D11"/>
    <w:rsid w:val="00730D36"/>
    <w:rsid w:val="00731440"/>
    <w:rsid w:val="00731D49"/>
    <w:rsid w:val="00731E52"/>
    <w:rsid w:val="00732178"/>
    <w:rsid w:val="007321C4"/>
    <w:rsid w:val="007321D3"/>
    <w:rsid w:val="007328B4"/>
    <w:rsid w:val="00732973"/>
    <w:rsid w:val="00732D0B"/>
    <w:rsid w:val="00732EF8"/>
    <w:rsid w:val="00733069"/>
    <w:rsid w:val="007334E0"/>
    <w:rsid w:val="00733556"/>
    <w:rsid w:val="00733559"/>
    <w:rsid w:val="007338C1"/>
    <w:rsid w:val="007339D8"/>
    <w:rsid w:val="00733CF2"/>
    <w:rsid w:val="007340EF"/>
    <w:rsid w:val="00734536"/>
    <w:rsid w:val="007347BF"/>
    <w:rsid w:val="0073493F"/>
    <w:rsid w:val="00734B60"/>
    <w:rsid w:val="00734DAE"/>
    <w:rsid w:val="00734DE9"/>
    <w:rsid w:val="00734F2A"/>
    <w:rsid w:val="0073500A"/>
    <w:rsid w:val="00735300"/>
    <w:rsid w:val="0073572E"/>
    <w:rsid w:val="007358F3"/>
    <w:rsid w:val="00735A9E"/>
    <w:rsid w:val="00735B69"/>
    <w:rsid w:val="00735BE9"/>
    <w:rsid w:val="00735EE6"/>
    <w:rsid w:val="00735F19"/>
    <w:rsid w:val="00736500"/>
    <w:rsid w:val="00736519"/>
    <w:rsid w:val="007366F0"/>
    <w:rsid w:val="0073685D"/>
    <w:rsid w:val="00736BA2"/>
    <w:rsid w:val="00736FF4"/>
    <w:rsid w:val="007372B5"/>
    <w:rsid w:val="007374B6"/>
    <w:rsid w:val="00737B11"/>
    <w:rsid w:val="00737DA0"/>
    <w:rsid w:val="00737EE7"/>
    <w:rsid w:val="00740451"/>
    <w:rsid w:val="00740826"/>
    <w:rsid w:val="007408BB"/>
    <w:rsid w:val="00741048"/>
    <w:rsid w:val="0074189C"/>
    <w:rsid w:val="00741B33"/>
    <w:rsid w:val="00741C30"/>
    <w:rsid w:val="00741F8E"/>
    <w:rsid w:val="00742110"/>
    <w:rsid w:val="0074252A"/>
    <w:rsid w:val="00742711"/>
    <w:rsid w:val="00742DCE"/>
    <w:rsid w:val="007431D5"/>
    <w:rsid w:val="007431F6"/>
    <w:rsid w:val="007432BE"/>
    <w:rsid w:val="0074360F"/>
    <w:rsid w:val="00743B3E"/>
    <w:rsid w:val="00743B7E"/>
    <w:rsid w:val="00743EF0"/>
    <w:rsid w:val="00744015"/>
    <w:rsid w:val="0074544E"/>
    <w:rsid w:val="00745800"/>
    <w:rsid w:val="00745A46"/>
    <w:rsid w:val="00745D1A"/>
    <w:rsid w:val="00745FB7"/>
    <w:rsid w:val="0074633E"/>
    <w:rsid w:val="00746A5A"/>
    <w:rsid w:val="00746FA0"/>
    <w:rsid w:val="00747286"/>
    <w:rsid w:val="0074728F"/>
    <w:rsid w:val="00747389"/>
    <w:rsid w:val="00747441"/>
    <w:rsid w:val="0074773E"/>
    <w:rsid w:val="00747E86"/>
    <w:rsid w:val="00750041"/>
    <w:rsid w:val="00750045"/>
    <w:rsid w:val="0075040C"/>
    <w:rsid w:val="007506D4"/>
    <w:rsid w:val="00750757"/>
    <w:rsid w:val="007509B1"/>
    <w:rsid w:val="00750D0C"/>
    <w:rsid w:val="00750D45"/>
    <w:rsid w:val="007512EF"/>
    <w:rsid w:val="007517E3"/>
    <w:rsid w:val="007518AB"/>
    <w:rsid w:val="007521C6"/>
    <w:rsid w:val="00752559"/>
    <w:rsid w:val="00752637"/>
    <w:rsid w:val="00752C0E"/>
    <w:rsid w:val="00752DED"/>
    <w:rsid w:val="00752FEE"/>
    <w:rsid w:val="0075316D"/>
    <w:rsid w:val="0075355E"/>
    <w:rsid w:val="0075363B"/>
    <w:rsid w:val="0075368D"/>
    <w:rsid w:val="00753B1F"/>
    <w:rsid w:val="00753BCC"/>
    <w:rsid w:val="00753F63"/>
    <w:rsid w:val="0075407B"/>
    <w:rsid w:val="007540A6"/>
    <w:rsid w:val="00754196"/>
    <w:rsid w:val="00754439"/>
    <w:rsid w:val="00754678"/>
    <w:rsid w:val="007547FC"/>
    <w:rsid w:val="00754D9B"/>
    <w:rsid w:val="00754E9C"/>
    <w:rsid w:val="00755294"/>
    <w:rsid w:val="007554B0"/>
    <w:rsid w:val="00755605"/>
    <w:rsid w:val="00756399"/>
    <w:rsid w:val="0075656A"/>
    <w:rsid w:val="00756929"/>
    <w:rsid w:val="00756EF5"/>
    <w:rsid w:val="007570FC"/>
    <w:rsid w:val="007571AF"/>
    <w:rsid w:val="00757907"/>
    <w:rsid w:val="0075791A"/>
    <w:rsid w:val="00757C1A"/>
    <w:rsid w:val="007602B7"/>
    <w:rsid w:val="00760337"/>
    <w:rsid w:val="0076081D"/>
    <w:rsid w:val="007609B2"/>
    <w:rsid w:val="00760A58"/>
    <w:rsid w:val="00760CB4"/>
    <w:rsid w:val="00760E3A"/>
    <w:rsid w:val="00760F27"/>
    <w:rsid w:val="00760F2B"/>
    <w:rsid w:val="00760F7E"/>
    <w:rsid w:val="0076100A"/>
    <w:rsid w:val="00761048"/>
    <w:rsid w:val="007612F8"/>
    <w:rsid w:val="00761328"/>
    <w:rsid w:val="0076162D"/>
    <w:rsid w:val="00761659"/>
    <w:rsid w:val="0076187D"/>
    <w:rsid w:val="00761ADC"/>
    <w:rsid w:val="00761D52"/>
    <w:rsid w:val="00761E20"/>
    <w:rsid w:val="00762015"/>
    <w:rsid w:val="00762418"/>
    <w:rsid w:val="00762616"/>
    <w:rsid w:val="007628F8"/>
    <w:rsid w:val="007629C8"/>
    <w:rsid w:val="00762FAE"/>
    <w:rsid w:val="00763176"/>
    <w:rsid w:val="0076335A"/>
    <w:rsid w:val="00763503"/>
    <w:rsid w:val="00763E73"/>
    <w:rsid w:val="00764107"/>
    <w:rsid w:val="00764316"/>
    <w:rsid w:val="0076482F"/>
    <w:rsid w:val="00764995"/>
    <w:rsid w:val="00764B28"/>
    <w:rsid w:val="00764D7F"/>
    <w:rsid w:val="00765181"/>
    <w:rsid w:val="007659FB"/>
    <w:rsid w:val="00765CFE"/>
    <w:rsid w:val="00765D89"/>
    <w:rsid w:val="00765E36"/>
    <w:rsid w:val="00765E87"/>
    <w:rsid w:val="00766271"/>
    <w:rsid w:val="00766F0C"/>
    <w:rsid w:val="0076720E"/>
    <w:rsid w:val="007675C2"/>
    <w:rsid w:val="0076791E"/>
    <w:rsid w:val="00767986"/>
    <w:rsid w:val="00767C38"/>
    <w:rsid w:val="00770172"/>
    <w:rsid w:val="007708A6"/>
    <w:rsid w:val="007711AD"/>
    <w:rsid w:val="007716E9"/>
    <w:rsid w:val="00771C50"/>
    <w:rsid w:val="00772641"/>
    <w:rsid w:val="00772866"/>
    <w:rsid w:val="0077292A"/>
    <w:rsid w:val="0077297F"/>
    <w:rsid w:val="00772BDC"/>
    <w:rsid w:val="00772E19"/>
    <w:rsid w:val="0077324A"/>
    <w:rsid w:val="0077331E"/>
    <w:rsid w:val="00773442"/>
    <w:rsid w:val="007736FF"/>
    <w:rsid w:val="007738C9"/>
    <w:rsid w:val="0077393E"/>
    <w:rsid w:val="00773BE9"/>
    <w:rsid w:val="00773F63"/>
    <w:rsid w:val="00774027"/>
    <w:rsid w:val="00774275"/>
    <w:rsid w:val="0077448D"/>
    <w:rsid w:val="00774A29"/>
    <w:rsid w:val="00774DAE"/>
    <w:rsid w:val="00775059"/>
    <w:rsid w:val="007751DB"/>
    <w:rsid w:val="00775304"/>
    <w:rsid w:val="007755B8"/>
    <w:rsid w:val="007755C2"/>
    <w:rsid w:val="0077580D"/>
    <w:rsid w:val="00776190"/>
    <w:rsid w:val="0077630A"/>
    <w:rsid w:val="0077632E"/>
    <w:rsid w:val="00776587"/>
    <w:rsid w:val="007766E4"/>
    <w:rsid w:val="00776BFA"/>
    <w:rsid w:val="00776D26"/>
    <w:rsid w:val="007771A8"/>
    <w:rsid w:val="00777823"/>
    <w:rsid w:val="00777950"/>
    <w:rsid w:val="00777985"/>
    <w:rsid w:val="007779BE"/>
    <w:rsid w:val="007779C5"/>
    <w:rsid w:val="00777A8A"/>
    <w:rsid w:val="00777D50"/>
    <w:rsid w:val="00777F88"/>
    <w:rsid w:val="00780233"/>
    <w:rsid w:val="00780290"/>
    <w:rsid w:val="00780350"/>
    <w:rsid w:val="00780599"/>
    <w:rsid w:val="007806AE"/>
    <w:rsid w:val="007810DD"/>
    <w:rsid w:val="0078169D"/>
    <w:rsid w:val="007818FA"/>
    <w:rsid w:val="007819C1"/>
    <w:rsid w:val="00781C35"/>
    <w:rsid w:val="00781FA9"/>
    <w:rsid w:val="0078217F"/>
    <w:rsid w:val="007822BE"/>
    <w:rsid w:val="007823A1"/>
    <w:rsid w:val="0078244A"/>
    <w:rsid w:val="007824A8"/>
    <w:rsid w:val="007825B4"/>
    <w:rsid w:val="007825EC"/>
    <w:rsid w:val="007825F7"/>
    <w:rsid w:val="00782746"/>
    <w:rsid w:val="007827E5"/>
    <w:rsid w:val="0078286F"/>
    <w:rsid w:val="007828F8"/>
    <w:rsid w:val="00782A4E"/>
    <w:rsid w:val="00782BEB"/>
    <w:rsid w:val="00782D3F"/>
    <w:rsid w:val="00783434"/>
    <w:rsid w:val="007835BB"/>
    <w:rsid w:val="007838A4"/>
    <w:rsid w:val="00783B60"/>
    <w:rsid w:val="00784190"/>
    <w:rsid w:val="007841BA"/>
    <w:rsid w:val="007843C0"/>
    <w:rsid w:val="007847EB"/>
    <w:rsid w:val="00784990"/>
    <w:rsid w:val="00784C61"/>
    <w:rsid w:val="007851FA"/>
    <w:rsid w:val="00785760"/>
    <w:rsid w:val="007859C7"/>
    <w:rsid w:val="00786159"/>
    <w:rsid w:val="007864E1"/>
    <w:rsid w:val="00786799"/>
    <w:rsid w:val="007869D5"/>
    <w:rsid w:val="00786A2C"/>
    <w:rsid w:val="00786B10"/>
    <w:rsid w:val="007873AC"/>
    <w:rsid w:val="00787448"/>
    <w:rsid w:val="00787AB2"/>
    <w:rsid w:val="00787B29"/>
    <w:rsid w:val="00787B9D"/>
    <w:rsid w:val="00787F5E"/>
    <w:rsid w:val="007902FD"/>
    <w:rsid w:val="00790A78"/>
    <w:rsid w:val="00790C67"/>
    <w:rsid w:val="00790CCA"/>
    <w:rsid w:val="007912EF"/>
    <w:rsid w:val="007912F2"/>
    <w:rsid w:val="0079133A"/>
    <w:rsid w:val="0079136F"/>
    <w:rsid w:val="00791622"/>
    <w:rsid w:val="0079204C"/>
    <w:rsid w:val="007924DD"/>
    <w:rsid w:val="00792773"/>
    <w:rsid w:val="00792983"/>
    <w:rsid w:val="0079298C"/>
    <w:rsid w:val="00792AC6"/>
    <w:rsid w:val="007930DE"/>
    <w:rsid w:val="007931DB"/>
    <w:rsid w:val="007933BE"/>
    <w:rsid w:val="0079341B"/>
    <w:rsid w:val="00793A05"/>
    <w:rsid w:val="00793C65"/>
    <w:rsid w:val="007946B4"/>
    <w:rsid w:val="007947F1"/>
    <w:rsid w:val="00794B67"/>
    <w:rsid w:val="00795105"/>
    <w:rsid w:val="0079539D"/>
    <w:rsid w:val="007955E0"/>
    <w:rsid w:val="007957D2"/>
    <w:rsid w:val="00795B33"/>
    <w:rsid w:val="00795CCB"/>
    <w:rsid w:val="00795EFE"/>
    <w:rsid w:val="00796666"/>
    <w:rsid w:val="00796686"/>
    <w:rsid w:val="007966D9"/>
    <w:rsid w:val="00796B4F"/>
    <w:rsid w:val="00796C56"/>
    <w:rsid w:val="00796DAF"/>
    <w:rsid w:val="00796FC7"/>
    <w:rsid w:val="0079746F"/>
    <w:rsid w:val="00797486"/>
    <w:rsid w:val="00797C30"/>
    <w:rsid w:val="00797C7C"/>
    <w:rsid w:val="007A001A"/>
    <w:rsid w:val="007A0223"/>
    <w:rsid w:val="007A0498"/>
    <w:rsid w:val="007A07FE"/>
    <w:rsid w:val="007A0ABA"/>
    <w:rsid w:val="007A1087"/>
    <w:rsid w:val="007A1343"/>
    <w:rsid w:val="007A150C"/>
    <w:rsid w:val="007A168A"/>
    <w:rsid w:val="007A2254"/>
    <w:rsid w:val="007A245B"/>
    <w:rsid w:val="007A2770"/>
    <w:rsid w:val="007A29E4"/>
    <w:rsid w:val="007A31D2"/>
    <w:rsid w:val="007A332D"/>
    <w:rsid w:val="007A3647"/>
    <w:rsid w:val="007A3F24"/>
    <w:rsid w:val="007A40F0"/>
    <w:rsid w:val="007A44CD"/>
    <w:rsid w:val="007A45A1"/>
    <w:rsid w:val="007A4679"/>
    <w:rsid w:val="007A48C6"/>
    <w:rsid w:val="007A4BF3"/>
    <w:rsid w:val="007A5068"/>
    <w:rsid w:val="007A51E7"/>
    <w:rsid w:val="007A53DF"/>
    <w:rsid w:val="007A623F"/>
    <w:rsid w:val="007A6298"/>
    <w:rsid w:val="007A6889"/>
    <w:rsid w:val="007A697C"/>
    <w:rsid w:val="007A6C6A"/>
    <w:rsid w:val="007A72D2"/>
    <w:rsid w:val="007A743F"/>
    <w:rsid w:val="007A746E"/>
    <w:rsid w:val="007A75FA"/>
    <w:rsid w:val="007A7AA4"/>
    <w:rsid w:val="007A7BBF"/>
    <w:rsid w:val="007B001B"/>
    <w:rsid w:val="007B0215"/>
    <w:rsid w:val="007B0533"/>
    <w:rsid w:val="007B0674"/>
    <w:rsid w:val="007B0B9C"/>
    <w:rsid w:val="007B0D44"/>
    <w:rsid w:val="007B1482"/>
    <w:rsid w:val="007B151E"/>
    <w:rsid w:val="007B1855"/>
    <w:rsid w:val="007B1C4C"/>
    <w:rsid w:val="007B1F03"/>
    <w:rsid w:val="007B2091"/>
    <w:rsid w:val="007B21A8"/>
    <w:rsid w:val="007B22C3"/>
    <w:rsid w:val="007B292E"/>
    <w:rsid w:val="007B31BA"/>
    <w:rsid w:val="007B33B0"/>
    <w:rsid w:val="007B358D"/>
    <w:rsid w:val="007B3837"/>
    <w:rsid w:val="007B41E4"/>
    <w:rsid w:val="007B42BA"/>
    <w:rsid w:val="007B482A"/>
    <w:rsid w:val="007B4A06"/>
    <w:rsid w:val="007B4A3F"/>
    <w:rsid w:val="007B4B96"/>
    <w:rsid w:val="007B4F78"/>
    <w:rsid w:val="007B4FE3"/>
    <w:rsid w:val="007B50F2"/>
    <w:rsid w:val="007B55A2"/>
    <w:rsid w:val="007B5877"/>
    <w:rsid w:val="007B5F14"/>
    <w:rsid w:val="007B65C1"/>
    <w:rsid w:val="007B6785"/>
    <w:rsid w:val="007B684C"/>
    <w:rsid w:val="007B6936"/>
    <w:rsid w:val="007B6BF0"/>
    <w:rsid w:val="007B6C16"/>
    <w:rsid w:val="007B722C"/>
    <w:rsid w:val="007B72AB"/>
    <w:rsid w:val="007B748F"/>
    <w:rsid w:val="007B76A7"/>
    <w:rsid w:val="007B787B"/>
    <w:rsid w:val="007B7991"/>
    <w:rsid w:val="007B7A9A"/>
    <w:rsid w:val="007B7D54"/>
    <w:rsid w:val="007B7FE1"/>
    <w:rsid w:val="007C00EE"/>
    <w:rsid w:val="007C0146"/>
    <w:rsid w:val="007C02F6"/>
    <w:rsid w:val="007C0802"/>
    <w:rsid w:val="007C09F5"/>
    <w:rsid w:val="007C0F85"/>
    <w:rsid w:val="007C11E1"/>
    <w:rsid w:val="007C13A5"/>
    <w:rsid w:val="007C16DA"/>
    <w:rsid w:val="007C1794"/>
    <w:rsid w:val="007C17DB"/>
    <w:rsid w:val="007C1C28"/>
    <w:rsid w:val="007C2052"/>
    <w:rsid w:val="007C222E"/>
    <w:rsid w:val="007C277D"/>
    <w:rsid w:val="007C2B20"/>
    <w:rsid w:val="007C2B2D"/>
    <w:rsid w:val="007C2BB3"/>
    <w:rsid w:val="007C2C4D"/>
    <w:rsid w:val="007C2CA7"/>
    <w:rsid w:val="007C3271"/>
    <w:rsid w:val="007C3405"/>
    <w:rsid w:val="007C38C0"/>
    <w:rsid w:val="007C38C2"/>
    <w:rsid w:val="007C3C5B"/>
    <w:rsid w:val="007C3DDB"/>
    <w:rsid w:val="007C41AB"/>
    <w:rsid w:val="007C4303"/>
    <w:rsid w:val="007C4630"/>
    <w:rsid w:val="007C46FE"/>
    <w:rsid w:val="007C4798"/>
    <w:rsid w:val="007C51A3"/>
    <w:rsid w:val="007C52F1"/>
    <w:rsid w:val="007C5A01"/>
    <w:rsid w:val="007C5AFD"/>
    <w:rsid w:val="007C5E17"/>
    <w:rsid w:val="007C5E2F"/>
    <w:rsid w:val="007C63B2"/>
    <w:rsid w:val="007C750F"/>
    <w:rsid w:val="007C7636"/>
    <w:rsid w:val="007C7818"/>
    <w:rsid w:val="007C7A05"/>
    <w:rsid w:val="007C7AED"/>
    <w:rsid w:val="007C7DEF"/>
    <w:rsid w:val="007D02A4"/>
    <w:rsid w:val="007D02F3"/>
    <w:rsid w:val="007D031D"/>
    <w:rsid w:val="007D0432"/>
    <w:rsid w:val="007D0AC2"/>
    <w:rsid w:val="007D0B44"/>
    <w:rsid w:val="007D0C1E"/>
    <w:rsid w:val="007D0E37"/>
    <w:rsid w:val="007D10C2"/>
    <w:rsid w:val="007D10F9"/>
    <w:rsid w:val="007D15FD"/>
    <w:rsid w:val="007D18BA"/>
    <w:rsid w:val="007D1E99"/>
    <w:rsid w:val="007D2087"/>
    <w:rsid w:val="007D23F3"/>
    <w:rsid w:val="007D2735"/>
    <w:rsid w:val="007D296C"/>
    <w:rsid w:val="007D299D"/>
    <w:rsid w:val="007D2E36"/>
    <w:rsid w:val="007D2F2F"/>
    <w:rsid w:val="007D2F8C"/>
    <w:rsid w:val="007D3375"/>
    <w:rsid w:val="007D33B8"/>
    <w:rsid w:val="007D39A6"/>
    <w:rsid w:val="007D3AF2"/>
    <w:rsid w:val="007D3B8B"/>
    <w:rsid w:val="007D3BAE"/>
    <w:rsid w:val="007D3C47"/>
    <w:rsid w:val="007D42CD"/>
    <w:rsid w:val="007D43CD"/>
    <w:rsid w:val="007D486A"/>
    <w:rsid w:val="007D4A69"/>
    <w:rsid w:val="007D4DE7"/>
    <w:rsid w:val="007D4F22"/>
    <w:rsid w:val="007D5659"/>
    <w:rsid w:val="007D57D5"/>
    <w:rsid w:val="007D5965"/>
    <w:rsid w:val="007D5D20"/>
    <w:rsid w:val="007D5D4D"/>
    <w:rsid w:val="007D5DB3"/>
    <w:rsid w:val="007D6015"/>
    <w:rsid w:val="007D614A"/>
    <w:rsid w:val="007D633B"/>
    <w:rsid w:val="007D64BF"/>
    <w:rsid w:val="007D6671"/>
    <w:rsid w:val="007D6ED8"/>
    <w:rsid w:val="007D70BF"/>
    <w:rsid w:val="007D7314"/>
    <w:rsid w:val="007D73CE"/>
    <w:rsid w:val="007D753E"/>
    <w:rsid w:val="007D76BD"/>
    <w:rsid w:val="007D7E98"/>
    <w:rsid w:val="007D7F65"/>
    <w:rsid w:val="007E00AB"/>
    <w:rsid w:val="007E02E5"/>
    <w:rsid w:val="007E047E"/>
    <w:rsid w:val="007E0483"/>
    <w:rsid w:val="007E0787"/>
    <w:rsid w:val="007E0792"/>
    <w:rsid w:val="007E0B27"/>
    <w:rsid w:val="007E104B"/>
    <w:rsid w:val="007E1059"/>
    <w:rsid w:val="007E11E4"/>
    <w:rsid w:val="007E138D"/>
    <w:rsid w:val="007E16EE"/>
    <w:rsid w:val="007E1A4D"/>
    <w:rsid w:val="007E1A95"/>
    <w:rsid w:val="007E206B"/>
    <w:rsid w:val="007E20C8"/>
    <w:rsid w:val="007E2184"/>
    <w:rsid w:val="007E290C"/>
    <w:rsid w:val="007E2B48"/>
    <w:rsid w:val="007E2FA2"/>
    <w:rsid w:val="007E35A6"/>
    <w:rsid w:val="007E3683"/>
    <w:rsid w:val="007E3804"/>
    <w:rsid w:val="007E418D"/>
    <w:rsid w:val="007E43F8"/>
    <w:rsid w:val="007E467F"/>
    <w:rsid w:val="007E46EA"/>
    <w:rsid w:val="007E49A7"/>
    <w:rsid w:val="007E5045"/>
    <w:rsid w:val="007E5339"/>
    <w:rsid w:val="007E54D0"/>
    <w:rsid w:val="007E562B"/>
    <w:rsid w:val="007E56C9"/>
    <w:rsid w:val="007E577B"/>
    <w:rsid w:val="007E5794"/>
    <w:rsid w:val="007E602D"/>
    <w:rsid w:val="007E6636"/>
    <w:rsid w:val="007E6CEE"/>
    <w:rsid w:val="007E73F6"/>
    <w:rsid w:val="007E76E5"/>
    <w:rsid w:val="007E7942"/>
    <w:rsid w:val="007E7CBE"/>
    <w:rsid w:val="007E7EC8"/>
    <w:rsid w:val="007F0415"/>
    <w:rsid w:val="007F0602"/>
    <w:rsid w:val="007F0CF9"/>
    <w:rsid w:val="007F122C"/>
    <w:rsid w:val="007F152C"/>
    <w:rsid w:val="007F1642"/>
    <w:rsid w:val="007F1A0A"/>
    <w:rsid w:val="007F1AEB"/>
    <w:rsid w:val="007F236D"/>
    <w:rsid w:val="007F23BA"/>
    <w:rsid w:val="007F27D7"/>
    <w:rsid w:val="007F2A31"/>
    <w:rsid w:val="007F2C19"/>
    <w:rsid w:val="007F305F"/>
    <w:rsid w:val="007F3225"/>
    <w:rsid w:val="007F38CB"/>
    <w:rsid w:val="007F3962"/>
    <w:rsid w:val="007F39A6"/>
    <w:rsid w:val="007F3AC6"/>
    <w:rsid w:val="007F3DC5"/>
    <w:rsid w:val="007F3DCA"/>
    <w:rsid w:val="007F45F0"/>
    <w:rsid w:val="007F463A"/>
    <w:rsid w:val="007F504D"/>
    <w:rsid w:val="007F52CD"/>
    <w:rsid w:val="007F57D1"/>
    <w:rsid w:val="007F5D62"/>
    <w:rsid w:val="007F71D3"/>
    <w:rsid w:val="007F733A"/>
    <w:rsid w:val="007F771D"/>
    <w:rsid w:val="007F782A"/>
    <w:rsid w:val="007F7942"/>
    <w:rsid w:val="007F7E61"/>
    <w:rsid w:val="00800002"/>
    <w:rsid w:val="00800139"/>
    <w:rsid w:val="008006E9"/>
    <w:rsid w:val="00800C9D"/>
    <w:rsid w:val="00800D6A"/>
    <w:rsid w:val="00800E9B"/>
    <w:rsid w:val="00801183"/>
    <w:rsid w:val="008011B9"/>
    <w:rsid w:val="008011DE"/>
    <w:rsid w:val="00801377"/>
    <w:rsid w:val="0080140A"/>
    <w:rsid w:val="00801A79"/>
    <w:rsid w:val="00801ADD"/>
    <w:rsid w:val="00801D6B"/>
    <w:rsid w:val="00801EED"/>
    <w:rsid w:val="00801F14"/>
    <w:rsid w:val="0080200C"/>
    <w:rsid w:val="00802365"/>
    <w:rsid w:val="0080262E"/>
    <w:rsid w:val="00802829"/>
    <w:rsid w:val="00802CA6"/>
    <w:rsid w:val="008033BB"/>
    <w:rsid w:val="0080344D"/>
    <w:rsid w:val="00803ABE"/>
    <w:rsid w:val="00803CC1"/>
    <w:rsid w:val="00803CFB"/>
    <w:rsid w:val="00803E7B"/>
    <w:rsid w:val="008040A7"/>
    <w:rsid w:val="008044D4"/>
    <w:rsid w:val="00804A79"/>
    <w:rsid w:val="00804FED"/>
    <w:rsid w:val="0080553B"/>
    <w:rsid w:val="00805573"/>
    <w:rsid w:val="00805935"/>
    <w:rsid w:val="00805EAA"/>
    <w:rsid w:val="00806472"/>
    <w:rsid w:val="008069F4"/>
    <w:rsid w:val="00806D00"/>
    <w:rsid w:val="00807D5E"/>
    <w:rsid w:val="00810096"/>
    <w:rsid w:val="0081011B"/>
    <w:rsid w:val="0081015D"/>
    <w:rsid w:val="00810396"/>
    <w:rsid w:val="008104EA"/>
    <w:rsid w:val="008106F8"/>
    <w:rsid w:val="0081075F"/>
    <w:rsid w:val="008108E4"/>
    <w:rsid w:val="00810A2A"/>
    <w:rsid w:val="00810FA9"/>
    <w:rsid w:val="00810FE5"/>
    <w:rsid w:val="00811088"/>
    <w:rsid w:val="008114BC"/>
    <w:rsid w:val="008115CA"/>
    <w:rsid w:val="00811682"/>
    <w:rsid w:val="00811799"/>
    <w:rsid w:val="00811EDA"/>
    <w:rsid w:val="0081203D"/>
    <w:rsid w:val="008120DC"/>
    <w:rsid w:val="00812114"/>
    <w:rsid w:val="008121EB"/>
    <w:rsid w:val="008127E0"/>
    <w:rsid w:val="00812963"/>
    <w:rsid w:val="00812B1A"/>
    <w:rsid w:val="00812D99"/>
    <w:rsid w:val="00812F76"/>
    <w:rsid w:val="0081318E"/>
    <w:rsid w:val="008131E6"/>
    <w:rsid w:val="00813559"/>
    <w:rsid w:val="008136CB"/>
    <w:rsid w:val="00813BF8"/>
    <w:rsid w:val="00813C98"/>
    <w:rsid w:val="00813F23"/>
    <w:rsid w:val="0081478C"/>
    <w:rsid w:val="00814910"/>
    <w:rsid w:val="00814A50"/>
    <w:rsid w:val="00814B95"/>
    <w:rsid w:val="00814E07"/>
    <w:rsid w:val="0081512F"/>
    <w:rsid w:val="008159DA"/>
    <w:rsid w:val="00816234"/>
    <w:rsid w:val="00816680"/>
    <w:rsid w:val="00816710"/>
    <w:rsid w:val="00816AEF"/>
    <w:rsid w:val="00816C68"/>
    <w:rsid w:val="00817252"/>
    <w:rsid w:val="00817A88"/>
    <w:rsid w:val="00817FA5"/>
    <w:rsid w:val="0082011E"/>
    <w:rsid w:val="0082028B"/>
    <w:rsid w:val="0082040C"/>
    <w:rsid w:val="00820554"/>
    <w:rsid w:val="008208F6"/>
    <w:rsid w:val="00821227"/>
    <w:rsid w:val="00821396"/>
    <w:rsid w:val="0082140A"/>
    <w:rsid w:val="0082210B"/>
    <w:rsid w:val="00822342"/>
    <w:rsid w:val="00822351"/>
    <w:rsid w:val="0082235C"/>
    <w:rsid w:val="008223BB"/>
    <w:rsid w:val="008223D3"/>
    <w:rsid w:val="008223FC"/>
    <w:rsid w:val="0082246E"/>
    <w:rsid w:val="00822584"/>
    <w:rsid w:val="00822967"/>
    <w:rsid w:val="00822AE4"/>
    <w:rsid w:val="00822D46"/>
    <w:rsid w:val="00822E0C"/>
    <w:rsid w:val="00823447"/>
    <w:rsid w:val="008235BA"/>
    <w:rsid w:val="00823B6F"/>
    <w:rsid w:val="00823D26"/>
    <w:rsid w:val="00823E23"/>
    <w:rsid w:val="00823ED0"/>
    <w:rsid w:val="008247AB"/>
    <w:rsid w:val="00824D6C"/>
    <w:rsid w:val="00824DFD"/>
    <w:rsid w:val="00825156"/>
    <w:rsid w:val="008251B4"/>
    <w:rsid w:val="0082524E"/>
    <w:rsid w:val="00825A9E"/>
    <w:rsid w:val="00826457"/>
    <w:rsid w:val="00826474"/>
    <w:rsid w:val="008264EB"/>
    <w:rsid w:val="008266C3"/>
    <w:rsid w:val="0082698A"/>
    <w:rsid w:val="00826A03"/>
    <w:rsid w:val="00826BF7"/>
    <w:rsid w:val="00826D70"/>
    <w:rsid w:val="008270B4"/>
    <w:rsid w:val="0082736B"/>
    <w:rsid w:val="008274F4"/>
    <w:rsid w:val="00827500"/>
    <w:rsid w:val="008276E3"/>
    <w:rsid w:val="008279CE"/>
    <w:rsid w:val="008279CF"/>
    <w:rsid w:val="00827F8B"/>
    <w:rsid w:val="008300BB"/>
    <w:rsid w:val="00830491"/>
    <w:rsid w:val="0083065C"/>
    <w:rsid w:val="00830738"/>
    <w:rsid w:val="00830777"/>
    <w:rsid w:val="008307B2"/>
    <w:rsid w:val="00830D5E"/>
    <w:rsid w:val="00830F7B"/>
    <w:rsid w:val="00830FB1"/>
    <w:rsid w:val="008310AE"/>
    <w:rsid w:val="00831450"/>
    <w:rsid w:val="00831598"/>
    <w:rsid w:val="0083162B"/>
    <w:rsid w:val="00831BD8"/>
    <w:rsid w:val="00831CBD"/>
    <w:rsid w:val="0083206D"/>
    <w:rsid w:val="008324C2"/>
    <w:rsid w:val="00832623"/>
    <w:rsid w:val="008326AB"/>
    <w:rsid w:val="00832847"/>
    <w:rsid w:val="0083295C"/>
    <w:rsid w:val="00832C8D"/>
    <w:rsid w:val="00832CFF"/>
    <w:rsid w:val="00832FDB"/>
    <w:rsid w:val="0083315E"/>
    <w:rsid w:val="008333BE"/>
    <w:rsid w:val="00833476"/>
    <w:rsid w:val="00833583"/>
    <w:rsid w:val="00833687"/>
    <w:rsid w:val="0083385F"/>
    <w:rsid w:val="00833C0B"/>
    <w:rsid w:val="00833C1B"/>
    <w:rsid w:val="00833CB7"/>
    <w:rsid w:val="00833D8F"/>
    <w:rsid w:val="00833DA6"/>
    <w:rsid w:val="00833F7C"/>
    <w:rsid w:val="008340DD"/>
    <w:rsid w:val="008346DA"/>
    <w:rsid w:val="00834718"/>
    <w:rsid w:val="0083477D"/>
    <w:rsid w:val="00834B87"/>
    <w:rsid w:val="008354EC"/>
    <w:rsid w:val="00835614"/>
    <w:rsid w:val="0083563F"/>
    <w:rsid w:val="008358B1"/>
    <w:rsid w:val="00835B9C"/>
    <w:rsid w:val="00835CB0"/>
    <w:rsid w:val="00835CE6"/>
    <w:rsid w:val="00836186"/>
    <w:rsid w:val="00836449"/>
    <w:rsid w:val="008364C4"/>
    <w:rsid w:val="00836668"/>
    <w:rsid w:val="00836EFE"/>
    <w:rsid w:val="008371EF"/>
    <w:rsid w:val="00837816"/>
    <w:rsid w:val="00837AEC"/>
    <w:rsid w:val="00837CF0"/>
    <w:rsid w:val="00837E1E"/>
    <w:rsid w:val="00837E95"/>
    <w:rsid w:val="00840342"/>
    <w:rsid w:val="0084123E"/>
    <w:rsid w:val="008418C2"/>
    <w:rsid w:val="008419B3"/>
    <w:rsid w:val="00841BE9"/>
    <w:rsid w:val="00841C10"/>
    <w:rsid w:val="008420CF"/>
    <w:rsid w:val="008422B6"/>
    <w:rsid w:val="008423BD"/>
    <w:rsid w:val="008425AE"/>
    <w:rsid w:val="00842B5C"/>
    <w:rsid w:val="00843537"/>
    <w:rsid w:val="00843590"/>
    <w:rsid w:val="008435BA"/>
    <w:rsid w:val="0084385B"/>
    <w:rsid w:val="00843ADF"/>
    <w:rsid w:val="00843BF5"/>
    <w:rsid w:val="00843E50"/>
    <w:rsid w:val="00843F53"/>
    <w:rsid w:val="00844059"/>
    <w:rsid w:val="00844481"/>
    <w:rsid w:val="008445E4"/>
    <w:rsid w:val="008448BE"/>
    <w:rsid w:val="00844B77"/>
    <w:rsid w:val="008450EE"/>
    <w:rsid w:val="0084566E"/>
    <w:rsid w:val="008457F1"/>
    <w:rsid w:val="008459D2"/>
    <w:rsid w:val="00845F5B"/>
    <w:rsid w:val="00845FDD"/>
    <w:rsid w:val="008462B5"/>
    <w:rsid w:val="00846745"/>
    <w:rsid w:val="00846A55"/>
    <w:rsid w:val="00846CD6"/>
    <w:rsid w:val="00846E5F"/>
    <w:rsid w:val="00846EB9"/>
    <w:rsid w:val="00846FA8"/>
    <w:rsid w:val="00846FE9"/>
    <w:rsid w:val="00846FF5"/>
    <w:rsid w:val="0084715A"/>
    <w:rsid w:val="008476A3"/>
    <w:rsid w:val="008476A4"/>
    <w:rsid w:val="00847B50"/>
    <w:rsid w:val="00850514"/>
    <w:rsid w:val="00850BA2"/>
    <w:rsid w:val="00850D13"/>
    <w:rsid w:val="00850DA7"/>
    <w:rsid w:val="00850E2D"/>
    <w:rsid w:val="00851013"/>
    <w:rsid w:val="00851398"/>
    <w:rsid w:val="00851870"/>
    <w:rsid w:val="00851E8A"/>
    <w:rsid w:val="00851EA7"/>
    <w:rsid w:val="00851FE5"/>
    <w:rsid w:val="008521BB"/>
    <w:rsid w:val="00852620"/>
    <w:rsid w:val="00852C9D"/>
    <w:rsid w:val="00853746"/>
    <w:rsid w:val="0085383A"/>
    <w:rsid w:val="00853855"/>
    <w:rsid w:val="00853EF8"/>
    <w:rsid w:val="008546B0"/>
    <w:rsid w:val="008548A1"/>
    <w:rsid w:val="00854CA8"/>
    <w:rsid w:val="00854D74"/>
    <w:rsid w:val="00854FF9"/>
    <w:rsid w:val="008550A8"/>
    <w:rsid w:val="008552B3"/>
    <w:rsid w:val="008554DF"/>
    <w:rsid w:val="0085556F"/>
    <w:rsid w:val="00855635"/>
    <w:rsid w:val="008556A4"/>
    <w:rsid w:val="00855760"/>
    <w:rsid w:val="00855A73"/>
    <w:rsid w:val="00855BE5"/>
    <w:rsid w:val="00856078"/>
    <w:rsid w:val="0085653F"/>
    <w:rsid w:val="008565BB"/>
    <w:rsid w:val="0085698E"/>
    <w:rsid w:val="00856BD1"/>
    <w:rsid w:val="00857118"/>
    <w:rsid w:val="008573E3"/>
    <w:rsid w:val="008578AB"/>
    <w:rsid w:val="00857A97"/>
    <w:rsid w:val="00857B3D"/>
    <w:rsid w:val="00857CA0"/>
    <w:rsid w:val="008601F7"/>
    <w:rsid w:val="008605AC"/>
    <w:rsid w:val="00860A2E"/>
    <w:rsid w:val="00860AB7"/>
    <w:rsid w:val="00860DDC"/>
    <w:rsid w:val="00860E79"/>
    <w:rsid w:val="00860F8B"/>
    <w:rsid w:val="008615AC"/>
    <w:rsid w:val="008616F9"/>
    <w:rsid w:val="008618DA"/>
    <w:rsid w:val="00861B8F"/>
    <w:rsid w:val="00861DFE"/>
    <w:rsid w:val="0086249E"/>
    <w:rsid w:val="00862530"/>
    <w:rsid w:val="00862575"/>
    <w:rsid w:val="00862735"/>
    <w:rsid w:val="0086274B"/>
    <w:rsid w:val="0086285D"/>
    <w:rsid w:val="00862B59"/>
    <w:rsid w:val="008630D6"/>
    <w:rsid w:val="008634E1"/>
    <w:rsid w:val="0086378D"/>
    <w:rsid w:val="00863875"/>
    <w:rsid w:val="00863BDA"/>
    <w:rsid w:val="00863C15"/>
    <w:rsid w:val="00863CE6"/>
    <w:rsid w:val="00863E0E"/>
    <w:rsid w:val="00863E8F"/>
    <w:rsid w:val="00864434"/>
    <w:rsid w:val="00864459"/>
    <w:rsid w:val="00864B38"/>
    <w:rsid w:val="00864E15"/>
    <w:rsid w:val="00864E30"/>
    <w:rsid w:val="00865188"/>
    <w:rsid w:val="0086539F"/>
    <w:rsid w:val="008654F4"/>
    <w:rsid w:val="008657CE"/>
    <w:rsid w:val="008658A8"/>
    <w:rsid w:val="00865DC4"/>
    <w:rsid w:val="00865F93"/>
    <w:rsid w:val="00866899"/>
    <w:rsid w:val="008669A4"/>
    <w:rsid w:val="00866A2C"/>
    <w:rsid w:val="00866A46"/>
    <w:rsid w:val="00866AC8"/>
    <w:rsid w:val="00866C79"/>
    <w:rsid w:val="00866CD8"/>
    <w:rsid w:val="00867023"/>
    <w:rsid w:val="008670A8"/>
    <w:rsid w:val="008672FA"/>
    <w:rsid w:val="00867462"/>
    <w:rsid w:val="0086759C"/>
    <w:rsid w:val="0086785C"/>
    <w:rsid w:val="00867A44"/>
    <w:rsid w:val="00867B0E"/>
    <w:rsid w:val="00867F1D"/>
    <w:rsid w:val="00870209"/>
    <w:rsid w:val="0087028E"/>
    <w:rsid w:val="00870563"/>
    <w:rsid w:val="008713CB"/>
    <w:rsid w:val="008714CE"/>
    <w:rsid w:val="00871D4F"/>
    <w:rsid w:val="0087209F"/>
    <w:rsid w:val="00872459"/>
    <w:rsid w:val="0087261E"/>
    <w:rsid w:val="008726C2"/>
    <w:rsid w:val="0087281E"/>
    <w:rsid w:val="00872A27"/>
    <w:rsid w:val="00872AD5"/>
    <w:rsid w:val="00873179"/>
    <w:rsid w:val="008737B4"/>
    <w:rsid w:val="00873958"/>
    <w:rsid w:val="00873BB6"/>
    <w:rsid w:val="00873C3D"/>
    <w:rsid w:val="00874351"/>
    <w:rsid w:val="008746D5"/>
    <w:rsid w:val="00874A41"/>
    <w:rsid w:val="00874AE7"/>
    <w:rsid w:val="00874BDB"/>
    <w:rsid w:val="00875081"/>
    <w:rsid w:val="008755AA"/>
    <w:rsid w:val="00875DE8"/>
    <w:rsid w:val="00875DFC"/>
    <w:rsid w:val="00875F15"/>
    <w:rsid w:val="00876AE3"/>
    <w:rsid w:val="00876F2A"/>
    <w:rsid w:val="0087701C"/>
    <w:rsid w:val="00877036"/>
    <w:rsid w:val="0087721E"/>
    <w:rsid w:val="008772CF"/>
    <w:rsid w:val="00877CEC"/>
    <w:rsid w:val="008800E3"/>
    <w:rsid w:val="00880235"/>
    <w:rsid w:val="0088023D"/>
    <w:rsid w:val="00880642"/>
    <w:rsid w:val="008811C3"/>
    <w:rsid w:val="00882110"/>
    <w:rsid w:val="0088246A"/>
    <w:rsid w:val="00882488"/>
    <w:rsid w:val="00882DA9"/>
    <w:rsid w:val="00882E03"/>
    <w:rsid w:val="00883035"/>
    <w:rsid w:val="00883063"/>
    <w:rsid w:val="008831F3"/>
    <w:rsid w:val="008832DA"/>
    <w:rsid w:val="00883727"/>
    <w:rsid w:val="00883AFA"/>
    <w:rsid w:val="00883B4C"/>
    <w:rsid w:val="00884393"/>
    <w:rsid w:val="00884C00"/>
    <w:rsid w:val="00884C83"/>
    <w:rsid w:val="00885060"/>
    <w:rsid w:val="008856F4"/>
    <w:rsid w:val="00885E09"/>
    <w:rsid w:val="0088635B"/>
    <w:rsid w:val="0088655F"/>
    <w:rsid w:val="00886573"/>
    <w:rsid w:val="008868DC"/>
    <w:rsid w:val="00886A8B"/>
    <w:rsid w:val="00886C25"/>
    <w:rsid w:val="00887167"/>
    <w:rsid w:val="00887284"/>
    <w:rsid w:val="00887395"/>
    <w:rsid w:val="008873ED"/>
    <w:rsid w:val="0088776D"/>
    <w:rsid w:val="00887776"/>
    <w:rsid w:val="0088791E"/>
    <w:rsid w:val="00887BFE"/>
    <w:rsid w:val="00887C83"/>
    <w:rsid w:val="00887CCF"/>
    <w:rsid w:val="00887D06"/>
    <w:rsid w:val="00890734"/>
    <w:rsid w:val="00890751"/>
    <w:rsid w:val="00890892"/>
    <w:rsid w:val="008909D8"/>
    <w:rsid w:val="00891660"/>
    <w:rsid w:val="008917E4"/>
    <w:rsid w:val="00891BC5"/>
    <w:rsid w:val="00891BFE"/>
    <w:rsid w:val="00891EC6"/>
    <w:rsid w:val="00891FCB"/>
    <w:rsid w:val="00892518"/>
    <w:rsid w:val="008925EC"/>
    <w:rsid w:val="00892D5D"/>
    <w:rsid w:val="00892D68"/>
    <w:rsid w:val="00892FD4"/>
    <w:rsid w:val="008939B8"/>
    <w:rsid w:val="00893A34"/>
    <w:rsid w:val="00893C02"/>
    <w:rsid w:val="00893FD1"/>
    <w:rsid w:val="00894306"/>
    <w:rsid w:val="00894734"/>
    <w:rsid w:val="0089496E"/>
    <w:rsid w:val="00894A74"/>
    <w:rsid w:val="00894B18"/>
    <w:rsid w:val="00894E2D"/>
    <w:rsid w:val="0089515D"/>
    <w:rsid w:val="008952AA"/>
    <w:rsid w:val="00895368"/>
    <w:rsid w:val="00895657"/>
    <w:rsid w:val="00895718"/>
    <w:rsid w:val="008958A4"/>
    <w:rsid w:val="00895A5E"/>
    <w:rsid w:val="00895F88"/>
    <w:rsid w:val="00895F89"/>
    <w:rsid w:val="0089688A"/>
    <w:rsid w:val="0089697E"/>
    <w:rsid w:val="00896BA2"/>
    <w:rsid w:val="00896D86"/>
    <w:rsid w:val="00896E14"/>
    <w:rsid w:val="0089750F"/>
    <w:rsid w:val="0089782E"/>
    <w:rsid w:val="00897AF7"/>
    <w:rsid w:val="00897C07"/>
    <w:rsid w:val="00897D2C"/>
    <w:rsid w:val="008A029E"/>
    <w:rsid w:val="008A1184"/>
    <w:rsid w:val="008A19E8"/>
    <w:rsid w:val="008A1D50"/>
    <w:rsid w:val="008A299B"/>
    <w:rsid w:val="008A2A20"/>
    <w:rsid w:val="008A329D"/>
    <w:rsid w:val="008A36E9"/>
    <w:rsid w:val="008A3882"/>
    <w:rsid w:val="008A393E"/>
    <w:rsid w:val="008A396F"/>
    <w:rsid w:val="008A3CEA"/>
    <w:rsid w:val="008A4251"/>
    <w:rsid w:val="008A44B4"/>
    <w:rsid w:val="008A47A4"/>
    <w:rsid w:val="008A4B19"/>
    <w:rsid w:val="008A4E71"/>
    <w:rsid w:val="008A5251"/>
    <w:rsid w:val="008A56AC"/>
    <w:rsid w:val="008A5A80"/>
    <w:rsid w:val="008A5D06"/>
    <w:rsid w:val="008A5DBC"/>
    <w:rsid w:val="008A67D2"/>
    <w:rsid w:val="008A6CE8"/>
    <w:rsid w:val="008A6E46"/>
    <w:rsid w:val="008A7470"/>
    <w:rsid w:val="008A7518"/>
    <w:rsid w:val="008A7638"/>
    <w:rsid w:val="008A79E5"/>
    <w:rsid w:val="008A79F1"/>
    <w:rsid w:val="008B0156"/>
    <w:rsid w:val="008B0180"/>
    <w:rsid w:val="008B0809"/>
    <w:rsid w:val="008B0B80"/>
    <w:rsid w:val="008B0D25"/>
    <w:rsid w:val="008B0F31"/>
    <w:rsid w:val="008B1148"/>
    <w:rsid w:val="008B11D3"/>
    <w:rsid w:val="008B123E"/>
    <w:rsid w:val="008B1622"/>
    <w:rsid w:val="008B16C6"/>
    <w:rsid w:val="008B17C1"/>
    <w:rsid w:val="008B1CCB"/>
    <w:rsid w:val="008B2375"/>
    <w:rsid w:val="008B2418"/>
    <w:rsid w:val="008B2507"/>
    <w:rsid w:val="008B2632"/>
    <w:rsid w:val="008B32C2"/>
    <w:rsid w:val="008B34CC"/>
    <w:rsid w:val="008B354F"/>
    <w:rsid w:val="008B37D7"/>
    <w:rsid w:val="008B37F4"/>
    <w:rsid w:val="008B39D8"/>
    <w:rsid w:val="008B3BA5"/>
    <w:rsid w:val="008B3C6F"/>
    <w:rsid w:val="008B3F22"/>
    <w:rsid w:val="008B3FA3"/>
    <w:rsid w:val="008B405E"/>
    <w:rsid w:val="008B4229"/>
    <w:rsid w:val="008B43F6"/>
    <w:rsid w:val="008B4413"/>
    <w:rsid w:val="008B4444"/>
    <w:rsid w:val="008B44AF"/>
    <w:rsid w:val="008B4613"/>
    <w:rsid w:val="008B4B85"/>
    <w:rsid w:val="008B4BD5"/>
    <w:rsid w:val="008B4DA2"/>
    <w:rsid w:val="008B4DD6"/>
    <w:rsid w:val="008B4E3D"/>
    <w:rsid w:val="008B4F77"/>
    <w:rsid w:val="008B5CCA"/>
    <w:rsid w:val="008B651D"/>
    <w:rsid w:val="008B6559"/>
    <w:rsid w:val="008B68E2"/>
    <w:rsid w:val="008B6DA2"/>
    <w:rsid w:val="008B6ED2"/>
    <w:rsid w:val="008B71E5"/>
    <w:rsid w:val="008B73AE"/>
    <w:rsid w:val="008B7600"/>
    <w:rsid w:val="008B7D66"/>
    <w:rsid w:val="008B7DC9"/>
    <w:rsid w:val="008B7E9E"/>
    <w:rsid w:val="008C0349"/>
    <w:rsid w:val="008C03A0"/>
    <w:rsid w:val="008C0B72"/>
    <w:rsid w:val="008C0B9D"/>
    <w:rsid w:val="008C0BEB"/>
    <w:rsid w:val="008C0C18"/>
    <w:rsid w:val="008C0F0E"/>
    <w:rsid w:val="008C128B"/>
    <w:rsid w:val="008C142B"/>
    <w:rsid w:val="008C1558"/>
    <w:rsid w:val="008C155D"/>
    <w:rsid w:val="008C1586"/>
    <w:rsid w:val="008C158B"/>
    <w:rsid w:val="008C17D0"/>
    <w:rsid w:val="008C18ED"/>
    <w:rsid w:val="008C1943"/>
    <w:rsid w:val="008C1B51"/>
    <w:rsid w:val="008C1E69"/>
    <w:rsid w:val="008C1F1A"/>
    <w:rsid w:val="008C211F"/>
    <w:rsid w:val="008C2263"/>
    <w:rsid w:val="008C2604"/>
    <w:rsid w:val="008C2896"/>
    <w:rsid w:val="008C2A54"/>
    <w:rsid w:val="008C2A57"/>
    <w:rsid w:val="008C30EB"/>
    <w:rsid w:val="008C3787"/>
    <w:rsid w:val="008C3796"/>
    <w:rsid w:val="008C37DF"/>
    <w:rsid w:val="008C39A2"/>
    <w:rsid w:val="008C3A18"/>
    <w:rsid w:val="008C3F3A"/>
    <w:rsid w:val="008C41E4"/>
    <w:rsid w:val="008C426B"/>
    <w:rsid w:val="008C4306"/>
    <w:rsid w:val="008C43E5"/>
    <w:rsid w:val="008C440F"/>
    <w:rsid w:val="008C4530"/>
    <w:rsid w:val="008C486F"/>
    <w:rsid w:val="008C49DD"/>
    <w:rsid w:val="008C4B51"/>
    <w:rsid w:val="008C4B8F"/>
    <w:rsid w:val="008C4E3D"/>
    <w:rsid w:val="008C4E97"/>
    <w:rsid w:val="008C5134"/>
    <w:rsid w:val="008C5269"/>
    <w:rsid w:val="008C5476"/>
    <w:rsid w:val="008C55F4"/>
    <w:rsid w:val="008C572B"/>
    <w:rsid w:val="008C5871"/>
    <w:rsid w:val="008C58E9"/>
    <w:rsid w:val="008C5972"/>
    <w:rsid w:val="008C5C17"/>
    <w:rsid w:val="008C5C5A"/>
    <w:rsid w:val="008C5E1D"/>
    <w:rsid w:val="008C5F2E"/>
    <w:rsid w:val="008C5F30"/>
    <w:rsid w:val="008C6380"/>
    <w:rsid w:val="008C63A7"/>
    <w:rsid w:val="008C6901"/>
    <w:rsid w:val="008C6B34"/>
    <w:rsid w:val="008C6C08"/>
    <w:rsid w:val="008C72FD"/>
    <w:rsid w:val="008C7522"/>
    <w:rsid w:val="008C7606"/>
    <w:rsid w:val="008C799B"/>
    <w:rsid w:val="008C7F85"/>
    <w:rsid w:val="008D09C2"/>
    <w:rsid w:val="008D0C3C"/>
    <w:rsid w:val="008D0D24"/>
    <w:rsid w:val="008D0EA3"/>
    <w:rsid w:val="008D0FD4"/>
    <w:rsid w:val="008D1007"/>
    <w:rsid w:val="008D161B"/>
    <w:rsid w:val="008D1755"/>
    <w:rsid w:val="008D185C"/>
    <w:rsid w:val="008D187A"/>
    <w:rsid w:val="008D19C6"/>
    <w:rsid w:val="008D1D8C"/>
    <w:rsid w:val="008D1F3C"/>
    <w:rsid w:val="008D20F9"/>
    <w:rsid w:val="008D220A"/>
    <w:rsid w:val="008D2363"/>
    <w:rsid w:val="008D2BDB"/>
    <w:rsid w:val="008D303C"/>
    <w:rsid w:val="008D306D"/>
    <w:rsid w:val="008D30EF"/>
    <w:rsid w:val="008D3C50"/>
    <w:rsid w:val="008D3CDC"/>
    <w:rsid w:val="008D4240"/>
    <w:rsid w:val="008D4799"/>
    <w:rsid w:val="008D49B0"/>
    <w:rsid w:val="008D52D8"/>
    <w:rsid w:val="008D594A"/>
    <w:rsid w:val="008D59EC"/>
    <w:rsid w:val="008D5AD0"/>
    <w:rsid w:val="008D5DCE"/>
    <w:rsid w:val="008D5ECA"/>
    <w:rsid w:val="008D607C"/>
    <w:rsid w:val="008D6521"/>
    <w:rsid w:val="008D652C"/>
    <w:rsid w:val="008D6798"/>
    <w:rsid w:val="008D67A4"/>
    <w:rsid w:val="008D6851"/>
    <w:rsid w:val="008D6BEF"/>
    <w:rsid w:val="008D6CF6"/>
    <w:rsid w:val="008D704B"/>
    <w:rsid w:val="008D70E0"/>
    <w:rsid w:val="008D71BB"/>
    <w:rsid w:val="008D7523"/>
    <w:rsid w:val="008D75D6"/>
    <w:rsid w:val="008D79FC"/>
    <w:rsid w:val="008D7AF7"/>
    <w:rsid w:val="008D7BC3"/>
    <w:rsid w:val="008E0171"/>
    <w:rsid w:val="008E03C7"/>
    <w:rsid w:val="008E04D9"/>
    <w:rsid w:val="008E0501"/>
    <w:rsid w:val="008E08F3"/>
    <w:rsid w:val="008E097B"/>
    <w:rsid w:val="008E0B50"/>
    <w:rsid w:val="008E0CD0"/>
    <w:rsid w:val="008E18DC"/>
    <w:rsid w:val="008E1A07"/>
    <w:rsid w:val="008E1E88"/>
    <w:rsid w:val="008E1FE3"/>
    <w:rsid w:val="008E1FFB"/>
    <w:rsid w:val="008E22CF"/>
    <w:rsid w:val="008E24D9"/>
    <w:rsid w:val="008E278B"/>
    <w:rsid w:val="008E2BFA"/>
    <w:rsid w:val="008E2D49"/>
    <w:rsid w:val="008E2DD9"/>
    <w:rsid w:val="008E2EF4"/>
    <w:rsid w:val="008E325C"/>
    <w:rsid w:val="008E3554"/>
    <w:rsid w:val="008E3597"/>
    <w:rsid w:val="008E3802"/>
    <w:rsid w:val="008E3897"/>
    <w:rsid w:val="008E3FB5"/>
    <w:rsid w:val="008E40F8"/>
    <w:rsid w:val="008E4767"/>
    <w:rsid w:val="008E49EF"/>
    <w:rsid w:val="008E4E86"/>
    <w:rsid w:val="008E50E3"/>
    <w:rsid w:val="008E56E3"/>
    <w:rsid w:val="008E58E9"/>
    <w:rsid w:val="008E5A72"/>
    <w:rsid w:val="008E5E40"/>
    <w:rsid w:val="008E6429"/>
    <w:rsid w:val="008E643C"/>
    <w:rsid w:val="008E658D"/>
    <w:rsid w:val="008E7033"/>
    <w:rsid w:val="008E729C"/>
    <w:rsid w:val="008E7411"/>
    <w:rsid w:val="008E75DA"/>
    <w:rsid w:val="008E75F7"/>
    <w:rsid w:val="008F0059"/>
    <w:rsid w:val="008F00CC"/>
    <w:rsid w:val="008F05D4"/>
    <w:rsid w:val="008F05DA"/>
    <w:rsid w:val="008F065F"/>
    <w:rsid w:val="008F076F"/>
    <w:rsid w:val="008F09B7"/>
    <w:rsid w:val="008F11A3"/>
    <w:rsid w:val="008F15D2"/>
    <w:rsid w:val="008F18FC"/>
    <w:rsid w:val="008F1A58"/>
    <w:rsid w:val="008F1DEB"/>
    <w:rsid w:val="008F1E9C"/>
    <w:rsid w:val="008F2074"/>
    <w:rsid w:val="008F20EA"/>
    <w:rsid w:val="008F2304"/>
    <w:rsid w:val="008F251E"/>
    <w:rsid w:val="008F254B"/>
    <w:rsid w:val="008F2861"/>
    <w:rsid w:val="008F29E9"/>
    <w:rsid w:val="008F3350"/>
    <w:rsid w:val="008F3363"/>
    <w:rsid w:val="008F3516"/>
    <w:rsid w:val="008F359D"/>
    <w:rsid w:val="008F37DC"/>
    <w:rsid w:val="008F3859"/>
    <w:rsid w:val="008F3E4F"/>
    <w:rsid w:val="008F3EFD"/>
    <w:rsid w:val="008F405D"/>
    <w:rsid w:val="008F45ED"/>
    <w:rsid w:val="008F4668"/>
    <w:rsid w:val="008F4808"/>
    <w:rsid w:val="008F5285"/>
    <w:rsid w:val="008F5BF3"/>
    <w:rsid w:val="008F5C1C"/>
    <w:rsid w:val="008F5D1D"/>
    <w:rsid w:val="008F5FF2"/>
    <w:rsid w:val="008F6132"/>
    <w:rsid w:val="008F646E"/>
    <w:rsid w:val="008F69BB"/>
    <w:rsid w:val="008F69C3"/>
    <w:rsid w:val="008F6D04"/>
    <w:rsid w:val="008F7432"/>
    <w:rsid w:val="008F745E"/>
    <w:rsid w:val="008F7EEB"/>
    <w:rsid w:val="00900217"/>
    <w:rsid w:val="00900361"/>
    <w:rsid w:val="009008DA"/>
    <w:rsid w:val="00900CA4"/>
    <w:rsid w:val="00900DDA"/>
    <w:rsid w:val="00900E16"/>
    <w:rsid w:val="009010CB"/>
    <w:rsid w:val="00901502"/>
    <w:rsid w:val="009016D8"/>
    <w:rsid w:val="00901A39"/>
    <w:rsid w:val="00901B06"/>
    <w:rsid w:val="00901D77"/>
    <w:rsid w:val="0090239B"/>
    <w:rsid w:val="009023E8"/>
    <w:rsid w:val="00902782"/>
    <w:rsid w:val="009030A7"/>
    <w:rsid w:val="0090310E"/>
    <w:rsid w:val="0090363A"/>
    <w:rsid w:val="009036C2"/>
    <w:rsid w:val="009036DB"/>
    <w:rsid w:val="009039D0"/>
    <w:rsid w:val="00903EF8"/>
    <w:rsid w:val="00904309"/>
    <w:rsid w:val="0090438A"/>
    <w:rsid w:val="00904693"/>
    <w:rsid w:val="0090495B"/>
    <w:rsid w:val="009049B6"/>
    <w:rsid w:val="00904A75"/>
    <w:rsid w:val="00904BF1"/>
    <w:rsid w:val="00904C40"/>
    <w:rsid w:val="00904E59"/>
    <w:rsid w:val="0090504D"/>
    <w:rsid w:val="00905307"/>
    <w:rsid w:val="00905501"/>
    <w:rsid w:val="00905538"/>
    <w:rsid w:val="00905568"/>
    <w:rsid w:val="00905775"/>
    <w:rsid w:val="00905C62"/>
    <w:rsid w:val="00905C63"/>
    <w:rsid w:val="009067EF"/>
    <w:rsid w:val="00906A98"/>
    <w:rsid w:val="00906C1F"/>
    <w:rsid w:val="00906EC8"/>
    <w:rsid w:val="00907152"/>
    <w:rsid w:val="00907B50"/>
    <w:rsid w:val="009103A1"/>
    <w:rsid w:val="00910DA0"/>
    <w:rsid w:val="00911079"/>
    <w:rsid w:val="00911489"/>
    <w:rsid w:val="009115D1"/>
    <w:rsid w:val="00911664"/>
    <w:rsid w:val="00911672"/>
    <w:rsid w:val="009118EC"/>
    <w:rsid w:val="0091194A"/>
    <w:rsid w:val="00911F0B"/>
    <w:rsid w:val="00912B4E"/>
    <w:rsid w:val="00913008"/>
    <w:rsid w:val="009134C9"/>
    <w:rsid w:val="00913948"/>
    <w:rsid w:val="00913A95"/>
    <w:rsid w:val="0091408D"/>
    <w:rsid w:val="00914860"/>
    <w:rsid w:val="009148CD"/>
    <w:rsid w:val="00914CDC"/>
    <w:rsid w:val="0091509E"/>
    <w:rsid w:val="00915607"/>
    <w:rsid w:val="00915D9F"/>
    <w:rsid w:val="00916054"/>
    <w:rsid w:val="009161B1"/>
    <w:rsid w:val="009161FC"/>
    <w:rsid w:val="009164F8"/>
    <w:rsid w:val="00916A08"/>
    <w:rsid w:val="00916E53"/>
    <w:rsid w:val="00916EFC"/>
    <w:rsid w:val="00916F15"/>
    <w:rsid w:val="00917026"/>
    <w:rsid w:val="009170AA"/>
    <w:rsid w:val="00917440"/>
    <w:rsid w:val="00917958"/>
    <w:rsid w:val="009179FB"/>
    <w:rsid w:val="00917BBA"/>
    <w:rsid w:val="0092024F"/>
    <w:rsid w:val="0092032D"/>
    <w:rsid w:val="00920480"/>
    <w:rsid w:val="00920821"/>
    <w:rsid w:val="009208AE"/>
    <w:rsid w:val="009211A7"/>
    <w:rsid w:val="00921BA9"/>
    <w:rsid w:val="00921CC4"/>
    <w:rsid w:val="00921DE8"/>
    <w:rsid w:val="00922E22"/>
    <w:rsid w:val="00922FD7"/>
    <w:rsid w:val="0092326E"/>
    <w:rsid w:val="0092364F"/>
    <w:rsid w:val="009236E3"/>
    <w:rsid w:val="009238E0"/>
    <w:rsid w:val="009238FC"/>
    <w:rsid w:val="00923CBF"/>
    <w:rsid w:val="00923D16"/>
    <w:rsid w:val="00923EA2"/>
    <w:rsid w:val="00924175"/>
    <w:rsid w:val="0092435F"/>
    <w:rsid w:val="009246D4"/>
    <w:rsid w:val="009248CF"/>
    <w:rsid w:val="00924D51"/>
    <w:rsid w:val="00925257"/>
    <w:rsid w:val="00925431"/>
    <w:rsid w:val="00925784"/>
    <w:rsid w:val="009257E5"/>
    <w:rsid w:val="00925942"/>
    <w:rsid w:val="00925C30"/>
    <w:rsid w:val="00925EAD"/>
    <w:rsid w:val="0092625C"/>
    <w:rsid w:val="00926732"/>
    <w:rsid w:val="009269F4"/>
    <w:rsid w:val="0092717A"/>
    <w:rsid w:val="0092779F"/>
    <w:rsid w:val="00927884"/>
    <w:rsid w:val="00927AD1"/>
    <w:rsid w:val="0093007C"/>
    <w:rsid w:val="00930398"/>
    <w:rsid w:val="00930AAE"/>
    <w:rsid w:val="00930BAD"/>
    <w:rsid w:val="00930BD7"/>
    <w:rsid w:val="00930D6B"/>
    <w:rsid w:val="00931271"/>
    <w:rsid w:val="009315EB"/>
    <w:rsid w:val="00931756"/>
    <w:rsid w:val="00932742"/>
    <w:rsid w:val="009329C8"/>
    <w:rsid w:val="00932ADE"/>
    <w:rsid w:val="0093306D"/>
    <w:rsid w:val="0093326C"/>
    <w:rsid w:val="009335E2"/>
    <w:rsid w:val="009336E3"/>
    <w:rsid w:val="0093371D"/>
    <w:rsid w:val="00933D64"/>
    <w:rsid w:val="0093413D"/>
    <w:rsid w:val="00934184"/>
    <w:rsid w:val="00934211"/>
    <w:rsid w:val="009347CD"/>
    <w:rsid w:val="009347F9"/>
    <w:rsid w:val="00934825"/>
    <w:rsid w:val="00934859"/>
    <w:rsid w:val="009349E4"/>
    <w:rsid w:val="00934B8A"/>
    <w:rsid w:val="00934BBA"/>
    <w:rsid w:val="00934DCE"/>
    <w:rsid w:val="00934DD1"/>
    <w:rsid w:val="00935318"/>
    <w:rsid w:val="009353DD"/>
    <w:rsid w:val="00935D8B"/>
    <w:rsid w:val="00935FE4"/>
    <w:rsid w:val="009368BE"/>
    <w:rsid w:val="00936AA4"/>
    <w:rsid w:val="00936B1E"/>
    <w:rsid w:val="00936C3E"/>
    <w:rsid w:val="00937084"/>
    <w:rsid w:val="00937094"/>
    <w:rsid w:val="00937620"/>
    <w:rsid w:val="009379EE"/>
    <w:rsid w:val="00940177"/>
    <w:rsid w:val="0094038B"/>
    <w:rsid w:val="00940683"/>
    <w:rsid w:val="00940A28"/>
    <w:rsid w:val="00940A83"/>
    <w:rsid w:val="00940EA0"/>
    <w:rsid w:val="00941974"/>
    <w:rsid w:val="009420DF"/>
    <w:rsid w:val="0094223F"/>
    <w:rsid w:val="00942296"/>
    <w:rsid w:val="009429B1"/>
    <w:rsid w:val="0094309D"/>
    <w:rsid w:val="0094341A"/>
    <w:rsid w:val="009439BD"/>
    <w:rsid w:val="00943CB8"/>
    <w:rsid w:val="0094426A"/>
    <w:rsid w:val="009442A9"/>
    <w:rsid w:val="0094438A"/>
    <w:rsid w:val="009444F3"/>
    <w:rsid w:val="009445F0"/>
    <w:rsid w:val="0094472B"/>
    <w:rsid w:val="00944EF0"/>
    <w:rsid w:val="00944EF5"/>
    <w:rsid w:val="00945077"/>
    <w:rsid w:val="00945184"/>
    <w:rsid w:val="00945580"/>
    <w:rsid w:val="00945F8F"/>
    <w:rsid w:val="009461A4"/>
    <w:rsid w:val="00946215"/>
    <w:rsid w:val="0094622D"/>
    <w:rsid w:val="00946802"/>
    <w:rsid w:val="00946CB9"/>
    <w:rsid w:val="00946FBC"/>
    <w:rsid w:val="00947439"/>
    <w:rsid w:val="0094761B"/>
    <w:rsid w:val="0094762B"/>
    <w:rsid w:val="00947715"/>
    <w:rsid w:val="00947784"/>
    <w:rsid w:val="00947C8E"/>
    <w:rsid w:val="0095010A"/>
    <w:rsid w:val="00950558"/>
    <w:rsid w:val="00950905"/>
    <w:rsid w:val="009509DC"/>
    <w:rsid w:val="009509FF"/>
    <w:rsid w:val="00950AE4"/>
    <w:rsid w:val="00950D17"/>
    <w:rsid w:val="00950E55"/>
    <w:rsid w:val="0095151E"/>
    <w:rsid w:val="009515A9"/>
    <w:rsid w:val="009515D5"/>
    <w:rsid w:val="00951ED0"/>
    <w:rsid w:val="00951F52"/>
    <w:rsid w:val="0095223F"/>
    <w:rsid w:val="00952286"/>
    <w:rsid w:val="009522F8"/>
    <w:rsid w:val="00952301"/>
    <w:rsid w:val="00952500"/>
    <w:rsid w:val="009525DB"/>
    <w:rsid w:val="00952732"/>
    <w:rsid w:val="0095308E"/>
    <w:rsid w:val="00953469"/>
    <w:rsid w:val="00953756"/>
    <w:rsid w:val="0095398A"/>
    <w:rsid w:val="00953A8C"/>
    <w:rsid w:val="00954357"/>
    <w:rsid w:val="009547AF"/>
    <w:rsid w:val="009547C5"/>
    <w:rsid w:val="00954854"/>
    <w:rsid w:val="009548B1"/>
    <w:rsid w:val="009548E1"/>
    <w:rsid w:val="0095497E"/>
    <w:rsid w:val="00954B4E"/>
    <w:rsid w:val="0095523C"/>
    <w:rsid w:val="009556FE"/>
    <w:rsid w:val="00955AFC"/>
    <w:rsid w:val="00955B00"/>
    <w:rsid w:val="00956224"/>
    <w:rsid w:val="009563CC"/>
    <w:rsid w:val="0095648F"/>
    <w:rsid w:val="009566C5"/>
    <w:rsid w:val="00956A4A"/>
    <w:rsid w:val="009570C5"/>
    <w:rsid w:val="009570EC"/>
    <w:rsid w:val="00957269"/>
    <w:rsid w:val="009575CB"/>
    <w:rsid w:val="009578D5"/>
    <w:rsid w:val="00957D94"/>
    <w:rsid w:val="00957EA5"/>
    <w:rsid w:val="00960777"/>
    <w:rsid w:val="00960B8E"/>
    <w:rsid w:val="00960C69"/>
    <w:rsid w:val="00961122"/>
    <w:rsid w:val="009611B7"/>
    <w:rsid w:val="00961283"/>
    <w:rsid w:val="009612AA"/>
    <w:rsid w:val="00961447"/>
    <w:rsid w:val="00961D5D"/>
    <w:rsid w:val="00961DA7"/>
    <w:rsid w:val="0096233A"/>
    <w:rsid w:val="009626B4"/>
    <w:rsid w:val="00962AF6"/>
    <w:rsid w:val="00962CC2"/>
    <w:rsid w:val="009639E1"/>
    <w:rsid w:val="00963F69"/>
    <w:rsid w:val="00963FE7"/>
    <w:rsid w:val="009644AD"/>
    <w:rsid w:val="00964819"/>
    <w:rsid w:val="00964A52"/>
    <w:rsid w:val="00964B0A"/>
    <w:rsid w:val="00964D17"/>
    <w:rsid w:val="00965124"/>
    <w:rsid w:val="0096545B"/>
    <w:rsid w:val="009654BF"/>
    <w:rsid w:val="00965521"/>
    <w:rsid w:val="00965943"/>
    <w:rsid w:val="00965A08"/>
    <w:rsid w:val="00965EB0"/>
    <w:rsid w:val="00966372"/>
    <w:rsid w:val="0096638C"/>
    <w:rsid w:val="009665D7"/>
    <w:rsid w:val="00966838"/>
    <w:rsid w:val="00966939"/>
    <w:rsid w:val="009670D0"/>
    <w:rsid w:val="00967112"/>
    <w:rsid w:val="0096769B"/>
    <w:rsid w:val="009676FF"/>
    <w:rsid w:val="00967FDF"/>
    <w:rsid w:val="00970A46"/>
    <w:rsid w:val="00970B6B"/>
    <w:rsid w:val="00970C6A"/>
    <w:rsid w:val="0097145F"/>
    <w:rsid w:val="00971ACC"/>
    <w:rsid w:val="00972150"/>
    <w:rsid w:val="0097224F"/>
    <w:rsid w:val="009723EA"/>
    <w:rsid w:val="009725C9"/>
    <w:rsid w:val="00972614"/>
    <w:rsid w:val="0097278A"/>
    <w:rsid w:val="00972C1E"/>
    <w:rsid w:val="00972C2A"/>
    <w:rsid w:val="00972EC8"/>
    <w:rsid w:val="009730FB"/>
    <w:rsid w:val="009734C5"/>
    <w:rsid w:val="0097352C"/>
    <w:rsid w:val="00973739"/>
    <w:rsid w:val="009738F8"/>
    <w:rsid w:val="00973B32"/>
    <w:rsid w:val="00974045"/>
    <w:rsid w:val="00974387"/>
    <w:rsid w:val="009746E8"/>
    <w:rsid w:val="00974E81"/>
    <w:rsid w:val="00974FB0"/>
    <w:rsid w:val="009753D1"/>
    <w:rsid w:val="00975613"/>
    <w:rsid w:val="00975744"/>
    <w:rsid w:val="00975A9A"/>
    <w:rsid w:val="00975E9D"/>
    <w:rsid w:val="00976195"/>
    <w:rsid w:val="00976566"/>
    <w:rsid w:val="009768C0"/>
    <w:rsid w:val="00976C7F"/>
    <w:rsid w:val="00976C81"/>
    <w:rsid w:val="009771CD"/>
    <w:rsid w:val="009775BE"/>
    <w:rsid w:val="009776D9"/>
    <w:rsid w:val="009776FD"/>
    <w:rsid w:val="009778F4"/>
    <w:rsid w:val="00977BAA"/>
    <w:rsid w:val="00977E65"/>
    <w:rsid w:val="00977F13"/>
    <w:rsid w:val="00980043"/>
    <w:rsid w:val="00980238"/>
    <w:rsid w:val="0098053D"/>
    <w:rsid w:val="00980583"/>
    <w:rsid w:val="00980708"/>
    <w:rsid w:val="0098075C"/>
    <w:rsid w:val="009807C8"/>
    <w:rsid w:val="00980B51"/>
    <w:rsid w:val="00980C67"/>
    <w:rsid w:val="00980DE2"/>
    <w:rsid w:val="00981225"/>
    <w:rsid w:val="009817D9"/>
    <w:rsid w:val="00981885"/>
    <w:rsid w:val="00981CB7"/>
    <w:rsid w:val="00981D50"/>
    <w:rsid w:val="009823D3"/>
    <w:rsid w:val="009825DE"/>
    <w:rsid w:val="009825FC"/>
    <w:rsid w:val="0098281F"/>
    <w:rsid w:val="009829E0"/>
    <w:rsid w:val="0098334B"/>
    <w:rsid w:val="009835DF"/>
    <w:rsid w:val="009839FE"/>
    <w:rsid w:val="009840FA"/>
    <w:rsid w:val="009841CF"/>
    <w:rsid w:val="009847D7"/>
    <w:rsid w:val="009847F9"/>
    <w:rsid w:val="0098493A"/>
    <w:rsid w:val="00984AB0"/>
    <w:rsid w:val="00984AB7"/>
    <w:rsid w:val="00984D60"/>
    <w:rsid w:val="00984DE4"/>
    <w:rsid w:val="00985053"/>
    <w:rsid w:val="00985067"/>
    <w:rsid w:val="0098514F"/>
    <w:rsid w:val="009852F7"/>
    <w:rsid w:val="0098551E"/>
    <w:rsid w:val="009855A6"/>
    <w:rsid w:val="0098590A"/>
    <w:rsid w:val="00985BC2"/>
    <w:rsid w:val="00986000"/>
    <w:rsid w:val="00986014"/>
    <w:rsid w:val="009861D3"/>
    <w:rsid w:val="00987000"/>
    <w:rsid w:val="009874FD"/>
    <w:rsid w:val="009877C6"/>
    <w:rsid w:val="009878B1"/>
    <w:rsid w:val="00987C14"/>
    <w:rsid w:val="00987C58"/>
    <w:rsid w:val="00987CD6"/>
    <w:rsid w:val="00987E9F"/>
    <w:rsid w:val="009907D3"/>
    <w:rsid w:val="00990869"/>
    <w:rsid w:val="00990B5D"/>
    <w:rsid w:val="00990F45"/>
    <w:rsid w:val="00991307"/>
    <w:rsid w:val="009916A5"/>
    <w:rsid w:val="009917E4"/>
    <w:rsid w:val="0099180E"/>
    <w:rsid w:val="0099190D"/>
    <w:rsid w:val="00991A22"/>
    <w:rsid w:val="00991D9B"/>
    <w:rsid w:val="009921B8"/>
    <w:rsid w:val="00992607"/>
    <w:rsid w:val="00992765"/>
    <w:rsid w:val="00992B0F"/>
    <w:rsid w:val="00992BA8"/>
    <w:rsid w:val="00992C2E"/>
    <w:rsid w:val="00992CA0"/>
    <w:rsid w:val="00992D26"/>
    <w:rsid w:val="00992E78"/>
    <w:rsid w:val="00992F5E"/>
    <w:rsid w:val="0099304B"/>
    <w:rsid w:val="009931F4"/>
    <w:rsid w:val="0099348A"/>
    <w:rsid w:val="00993660"/>
    <w:rsid w:val="00993852"/>
    <w:rsid w:val="00993B1D"/>
    <w:rsid w:val="00993C90"/>
    <w:rsid w:val="00993DEA"/>
    <w:rsid w:val="00993F72"/>
    <w:rsid w:val="009943B9"/>
    <w:rsid w:val="009944AB"/>
    <w:rsid w:val="009946D8"/>
    <w:rsid w:val="00994DC9"/>
    <w:rsid w:val="009959D5"/>
    <w:rsid w:val="00995CB9"/>
    <w:rsid w:val="00995CE2"/>
    <w:rsid w:val="00995E0B"/>
    <w:rsid w:val="00995E1F"/>
    <w:rsid w:val="00995F66"/>
    <w:rsid w:val="00996040"/>
    <w:rsid w:val="009964D9"/>
    <w:rsid w:val="009964FE"/>
    <w:rsid w:val="009965DF"/>
    <w:rsid w:val="009969CE"/>
    <w:rsid w:val="00996DE3"/>
    <w:rsid w:val="00996F63"/>
    <w:rsid w:val="0099711B"/>
    <w:rsid w:val="009971C1"/>
    <w:rsid w:val="0099772C"/>
    <w:rsid w:val="00997C07"/>
    <w:rsid w:val="00997D5E"/>
    <w:rsid w:val="009A0146"/>
    <w:rsid w:val="009A03DB"/>
    <w:rsid w:val="009A0497"/>
    <w:rsid w:val="009A06F7"/>
    <w:rsid w:val="009A0732"/>
    <w:rsid w:val="009A0A3C"/>
    <w:rsid w:val="009A0D8E"/>
    <w:rsid w:val="009A0DCC"/>
    <w:rsid w:val="009A149E"/>
    <w:rsid w:val="009A176B"/>
    <w:rsid w:val="009A17E3"/>
    <w:rsid w:val="009A1D92"/>
    <w:rsid w:val="009A1F17"/>
    <w:rsid w:val="009A1FD7"/>
    <w:rsid w:val="009A1FE8"/>
    <w:rsid w:val="009A23EC"/>
    <w:rsid w:val="009A241F"/>
    <w:rsid w:val="009A2A7D"/>
    <w:rsid w:val="009A2EFD"/>
    <w:rsid w:val="009A31B2"/>
    <w:rsid w:val="009A32B0"/>
    <w:rsid w:val="009A3ED8"/>
    <w:rsid w:val="009A4168"/>
    <w:rsid w:val="009A47A4"/>
    <w:rsid w:val="009A48F5"/>
    <w:rsid w:val="009A4A99"/>
    <w:rsid w:val="009A4AAB"/>
    <w:rsid w:val="009A4C9D"/>
    <w:rsid w:val="009A4EA2"/>
    <w:rsid w:val="009A51AE"/>
    <w:rsid w:val="009A53FE"/>
    <w:rsid w:val="009A5484"/>
    <w:rsid w:val="009A5542"/>
    <w:rsid w:val="009A567B"/>
    <w:rsid w:val="009A57C0"/>
    <w:rsid w:val="009A5BFF"/>
    <w:rsid w:val="009A5F84"/>
    <w:rsid w:val="009A5FE9"/>
    <w:rsid w:val="009A601D"/>
    <w:rsid w:val="009A667D"/>
    <w:rsid w:val="009A6700"/>
    <w:rsid w:val="009A6785"/>
    <w:rsid w:val="009A69A2"/>
    <w:rsid w:val="009A6C50"/>
    <w:rsid w:val="009A6D5F"/>
    <w:rsid w:val="009A6ECC"/>
    <w:rsid w:val="009A702B"/>
    <w:rsid w:val="009A71B4"/>
    <w:rsid w:val="009A74EE"/>
    <w:rsid w:val="009A78A9"/>
    <w:rsid w:val="009A79FA"/>
    <w:rsid w:val="009A7C62"/>
    <w:rsid w:val="009B0105"/>
    <w:rsid w:val="009B034E"/>
    <w:rsid w:val="009B0EBA"/>
    <w:rsid w:val="009B15EA"/>
    <w:rsid w:val="009B1859"/>
    <w:rsid w:val="009B1868"/>
    <w:rsid w:val="009B1B10"/>
    <w:rsid w:val="009B1FF0"/>
    <w:rsid w:val="009B2053"/>
    <w:rsid w:val="009B299C"/>
    <w:rsid w:val="009B2A2C"/>
    <w:rsid w:val="009B2AF6"/>
    <w:rsid w:val="009B2D9C"/>
    <w:rsid w:val="009B3866"/>
    <w:rsid w:val="009B3A5C"/>
    <w:rsid w:val="009B3C97"/>
    <w:rsid w:val="009B4100"/>
    <w:rsid w:val="009B427D"/>
    <w:rsid w:val="009B4506"/>
    <w:rsid w:val="009B4AA8"/>
    <w:rsid w:val="009B4F02"/>
    <w:rsid w:val="009B515B"/>
    <w:rsid w:val="009B5264"/>
    <w:rsid w:val="009B537C"/>
    <w:rsid w:val="009B53F7"/>
    <w:rsid w:val="009B64D7"/>
    <w:rsid w:val="009B6E1E"/>
    <w:rsid w:val="009B6E3E"/>
    <w:rsid w:val="009B7035"/>
    <w:rsid w:val="009B74C7"/>
    <w:rsid w:val="009B773A"/>
    <w:rsid w:val="009B78ED"/>
    <w:rsid w:val="009B78FB"/>
    <w:rsid w:val="009B7AE0"/>
    <w:rsid w:val="009B7C23"/>
    <w:rsid w:val="009B7CE2"/>
    <w:rsid w:val="009B7D24"/>
    <w:rsid w:val="009B7EF6"/>
    <w:rsid w:val="009C0266"/>
    <w:rsid w:val="009C036D"/>
    <w:rsid w:val="009C05D6"/>
    <w:rsid w:val="009C0B13"/>
    <w:rsid w:val="009C0B86"/>
    <w:rsid w:val="009C1392"/>
    <w:rsid w:val="009C1568"/>
    <w:rsid w:val="009C18E1"/>
    <w:rsid w:val="009C1AFC"/>
    <w:rsid w:val="009C208C"/>
    <w:rsid w:val="009C21FE"/>
    <w:rsid w:val="009C22DE"/>
    <w:rsid w:val="009C27B1"/>
    <w:rsid w:val="009C27E0"/>
    <w:rsid w:val="009C2FD1"/>
    <w:rsid w:val="009C308E"/>
    <w:rsid w:val="009C3193"/>
    <w:rsid w:val="009C31B2"/>
    <w:rsid w:val="009C33DA"/>
    <w:rsid w:val="009C37D7"/>
    <w:rsid w:val="009C381F"/>
    <w:rsid w:val="009C38E4"/>
    <w:rsid w:val="009C4421"/>
    <w:rsid w:val="009C444E"/>
    <w:rsid w:val="009C4482"/>
    <w:rsid w:val="009C490C"/>
    <w:rsid w:val="009C4CDA"/>
    <w:rsid w:val="009C5131"/>
    <w:rsid w:val="009C5265"/>
    <w:rsid w:val="009C556E"/>
    <w:rsid w:val="009C559E"/>
    <w:rsid w:val="009C55A0"/>
    <w:rsid w:val="009C5630"/>
    <w:rsid w:val="009C5893"/>
    <w:rsid w:val="009C5B99"/>
    <w:rsid w:val="009C5D0F"/>
    <w:rsid w:val="009C64CE"/>
    <w:rsid w:val="009C669B"/>
    <w:rsid w:val="009C678F"/>
    <w:rsid w:val="009C698E"/>
    <w:rsid w:val="009C6CBB"/>
    <w:rsid w:val="009C6FC2"/>
    <w:rsid w:val="009C7112"/>
    <w:rsid w:val="009C73E6"/>
    <w:rsid w:val="009C76BA"/>
    <w:rsid w:val="009C7982"/>
    <w:rsid w:val="009C7B87"/>
    <w:rsid w:val="009C7E6A"/>
    <w:rsid w:val="009D0212"/>
    <w:rsid w:val="009D030A"/>
    <w:rsid w:val="009D0317"/>
    <w:rsid w:val="009D0478"/>
    <w:rsid w:val="009D065A"/>
    <w:rsid w:val="009D07CA"/>
    <w:rsid w:val="009D0B56"/>
    <w:rsid w:val="009D1328"/>
    <w:rsid w:val="009D13C8"/>
    <w:rsid w:val="009D170B"/>
    <w:rsid w:val="009D17E8"/>
    <w:rsid w:val="009D1A4C"/>
    <w:rsid w:val="009D1FAE"/>
    <w:rsid w:val="009D2133"/>
    <w:rsid w:val="009D2568"/>
    <w:rsid w:val="009D281C"/>
    <w:rsid w:val="009D2A53"/>
    <w:rsid w:val="009D3464"/>
    <w:rsid w:val="009D35C6"/>
    <w:rsid w:val="009D3639"/>
    <w:rsid w:val="009D370A"/>
    <w:rsid w:val="009D3756"/>
    <w:rsid w:val="009D3C81"/>
    <w:rsid w:val="009D3CE1"/>
    <w:rsid w:val="009D4241"/>
    <w:rsid w:val="009D4828"/>
    <w:rsid w:val="009D48B4"/>
    <w:rsid w:val="009D49D8"/>
    <w:rsid w:val="009D4C16"/>
    <w:rsid w:val="009D5ABE"/>
    <w:rsid w:val="009D5B3E"/>
    <w:rsid w:val="009D6008"/>
    <w:rsid w:val="009D61D3"/>
    <w:rsid w:val="009D6396"/>
    <w:rsid w:val="009D67EE"/>
    <w:rsid w:val="009D6862"/>
    <w:rsid w:val="009D6A12"/>
    <w:rsid w:val="009D6BA9"/>
    <w:rsid w:val="009D6BF6"/>
    <w:rsid w:val="009D6D6E"/>
    <w:rsid w:val="009D70DA"/>
    <w:rsid w:val="009D72FB"/>
    <w:rsid w:val="009D77A1"/>
    <w:rsid w:val="009D78F8"/>
    <w:rsid w:val="009D7DC6"/>
    <w:rsid w:val="009D7FEE"/>
    <w:rsid w:val="009E0518"/>
    <w:rsid w:val="009E078A"/>
    <w:rsid w:val="009E0B1C"/>
    <w:rsid w:val="009E0BA2"/>
    <w:rsid w:val="009E0E51"/>
    <w:rsid w:val="009E0E59"/>
    <w:rsid w:val="009E117D"/>
    <w:rsid w:val="009E174C"/>
    <w:rsid w:val="009E19AA"/>
    <w:rsid w:val="009E1C2F"/>
    <w:rsid w:val="009E22CE"/>
    <w:rsid w:val="009E22E3"/>
    <w:rsid w:val="009E237C"/>
    <w:rsid w:val="009E294B"/>
    <w:rsid w:val="009E2E38"/>
    <w:rsid w:val="009E31F4"/>
    <w:rsid w:val="009E32E6"/>
    <w:rsid w:val="009E37F1"/>
    <w:rsid w:val="009E3A60"/>
    <w:rsid w:val="009E3AEF"/>
    <w:rsid w:val="009E3C78"/>
    <w:rsid w:val="009E3C95"/>
    <w:rsid w:val="009E3CE6"/>
    <w:rsid w:val="009E4424"/>
    <w:rsid w:val="009E448A"/>
    <w:rsid w:val="009E478B"/>
    <w:rsid w:val="009E4BF9"/>
    <w:rsid w:val="009E4DC8"/>
    <w:rsid w:val="009E4E23"/>
    <w:rsid w:val="009E52D8"/>
    <w:rsid w:val="009E52FA"/>
    <w:rsid w:val="009E53FB"/>
    <w:rsid w:val="009E5695"/>
    <w:rsid w:val="009E57DB"/>
    <w:rsid w:val="009E5BFF"/>
    <w:rsid w:val="009E5CAC"/>
    <w:rsid w:val="009E5FB3"/>
    <w:rsid w:val="009E60A9"/>
    <w:rsid w:val="009E63A8"/>
    <w:rsid w:val="009E6F4F"/>
    <w:rsid w:val="009E7391"/>
    <w:rsid w:val="009E7484"/>
    <w:rsid w:val="009E74E7"/>
    <w:rsid w:val="009E7C3B"/>
    <w:rsid w:val="009E7F8B"/>
    <w:rsid w:val="009F02C9"/>
    <w:rsid w:val="009F0AA4"/>
    <w:rsid w:val="009F0C12"/>
    <w:rsid w:val="009F0EE3"/>
    <w:rsid w:val="009F103E"/>
    <w:rsid w:val="009F1170"/>
    <w:rsid w:val="009F1195"/>
    <w:rsid w:val="009F185F"/>
    <w:rsid w:val="009F1F2D"/>
    <w:rsid w:val="009F2252"/>
    <w:rsid w:val="009F2686"/>
    <w:rsid w:val="009F2707"/>
    <w:rsid w:val="009F2B09"/>
    <w:rsid w:val="009F2BBA"/>
    <w:rsid w:val="009F2C03"/>
    <w:rsid w:val="009F2C60"/>
    <w:rsid w:val="009F2C94"/>
    <w:rsid w:val="009F2F97"/>
    <w:rsid w:val="009F32F9"/>
    <w:rsid w:val="009F3499"/>
    <w:rsid w:val="009F36D7"/>
    <w:rsid w:val="009F3A86"/>
    <w:rsid w:val="009F407F"/>
    <w:rsid w:val="009F41B5"/>
    <w:rsid w:val="009F43D7"/>
    <w:rsid w:val="009F4572"/>
    <w:rsid w:val="009F4649"/>
    <w:rsid w:val="009F4B66"/>
    <w:rsid w:val="009F4C4C"/>
    <w:rsid w:val="009F4C82"/>
    <w:rsid w:val="009F4CF3"/>
    <w:rsid w:val="009F4E51"/>
    <w:rsid w:val="009F51D9"/>
    <w:rsid w:val="009F5875"/>
    <w:rsid w:val="009F5BC4"/>
    <w:rsid w:val="009F5BD1"/>
    <w:rsid w:val="009F5C8C"/>
    <w:rsid w:val="009F5FB2"/>
    <w:rsid w:val="009F6084"/>
    <w:rsid w:val="009F614E"/>
    <w:rsid w:val="009F6480"/>
    <w:rsid w:val="009F67DF"/>
    <w:rsid w:val="009F6875"/>
    <w:rsid w:val="009F689B"/>
    <w:rsid w:val="009F68F5"/>
    <w:rsid w:val="009F6B0C"/>
    <w:rsid w:val="009F718D"/>
    <w:rsid w:val="009F745D"/>
    <w:rsid w:val="009F7506"/>
    <w:rsid w:val="009F753E"/>
    <w:rsid w:val="009F7CDA"/>
    <w:rsid w:val="009F7D13"/>
    <w:rsid w:val="009F7D93"/>
    <w:rsid w:val="009F7D9D"/>
    <w:rsid w:val="009F7E6D"/>
    <w:rsid w:val="00A00118"/>
    <w:rsid w:val="00A003E7"/>
    <w:rsid w:val="00A004F4"/>
    <w:rsid w:val="00A008BA"/>
    <w:rsid w:val="00A00AA1"/>
    <w:rsid w:val="00A00D45"/>
    <w:rsid w:val="00A00DED"/>
    <w:rsid w:val="00A01171"/>
    <w:rsid w:val="00A01266"/>
    <w:rsid w:val="00A015CA"/>
    <w:rsid w:val="00A018A4"/>
    <w:rsid w:val="00A01B35"/>
    <w:rsid w:val="00A01CC4"/>
    <w:rsid w:val="00A01FCA"/>
    <w:rsid w:val="00A022C8"/>
    <w:rsid w:val="00A02442"/>
    <w:rsid w:val="00A02A42"/>
    <w:rsid w:val="00A02A44"/>
    <w:rsid w:val="00A02E10"/>
    <w:rsid w:val="00A02EEB"/>
    <w:rsid w:val="00A02F60"/>
    <w:rsid w:val="00A03188"/>
    <w:rsid w:val="00A03843"/>
    <w:rsid w:val="00A03A90"/>
    <w:rsid w:val="00A03AD4"/>
    <w:rsid w:val="00A03AE1"/>
    <w:rsid w:val="00A03B4D"/>
    <w:rsid w:val="00A03D4D"/>
    <w:rsid w:val="00A03E52"/>
    <w:rsid w:val="00A040E5"/>
    <w:rsid w:val="00A040FB"/>
    <w:rsid w:val="00A041C8"/>
    <w:rsid w:val="00A04328"/>
    <w:rsid w:val="00A04470"/>
    <w:rsid w:val="00A04489"/>
    <w:rsid w:val="00A04935"/>
    <w:rsid w:val="00A04D18"/>
    <w:rsid w:val="00A04D35"/>
    <w:rsid w:val="00A0506B"/>
    <w:rsid w:val="00A05363"/>
    <w:rsid w:val="00A0546D"/>
    <w:rsid w:val="00A0562C"/>
    <w:rsid w:val="00A05B5E"/>
    <w:rsid w:val="00A05C2E"/>
    <w:rsid w:val="00A05D38"/>
    <w:rsid w:val="00A06187"/>
    <w:rsid w:val="00A0626F"/>
    <w:rsid w:val="00A06428"/>
    <w:rsid w:val="00A06690"/>
    <w:rsid w:val="00A06BAC"/>
    <w:rsid w:val="00A0713D"/>
    <w:rsid w:val="00A075C7"/>
    <w:rsid w:val="00A07825"/>
    <w:rsid w:val="00A07830"/>
    <w:rsid w:val="00A07B6D"/>
    <w:rsid w:val="00A10064"/>
    <w:rsid w:val="00A10192"/>
    <w:rsid w:val="00A10398"/>
    <w:rsid w:val="00A10588"/>
    <w:rsid w:val="00A105EF"/>
    <w:rsid w:val="00A107AD"/>
    <w:rsid w:val="00A10990"/>
    <w:rsid w:val="00A10C97"/>
    <w:rsid w:val="00A10D42"/>
    <w:rsid w:val="00A10E51"/>
    <w:rsid w:val="00A10EB0"/>
    <w:rsid w:val="00A11531"/>
    <w:rsid w:val="00A117AC"/>
    <w:rsid w:val="00A1188F"/>
    <w:rsid w:val="00A11B19"/>
    <w:rsid w:val="00A11D87"/>
    <w:rsid w:val="00A1268F"/>
    <w:rsid w:val="00A129AC"/>
    <w:rsid w:val="00A13060"/>
    <w:rsid w:val="00A13865"/>
    <w:rsid w:val="00A13A68"/>
    <w:rsid w:val="00A13B01"/>
    <w:rsid w:val="00A148A8"/>
    <w:rsid w:val="00A149A6"/>
    <w:rsid w:val="00A14A6A"/>
    <w:rsid w:val="00A14B3B"/>
    <w:rsid w:val="00A14BD0"/>
    <w:rsid w:val="00A1517F"/>
    <w:rsid w:val="00A151E9"/>
    <w:rsid w:val="00A15282"/>
    <w:rsid w:val="00A15685"/>
    <w:rsid w:val="00A156A1"/>
    <w:rsid w:val="00A158DA"/>
    <w:rsid w:val="00A15DA2"/>
    <w:rsid w:val="00A15EC4"/>
    <w:rsid w:val="00A15ED6"/>
    <w:rsid w:val="00A1606E"/>
    <w:rsid w:val="00A165F4"/>
    <w:rsid w:val="00A169FE"/>
    <w:rsid w:val="00A16F6E"/>
    <w:rsid w:val="00A17343"/>
    <w:rsid w:val="00A17624"/>
    <w:rsid w:val="00A177E5"/>
    <w:rsid w:val="00A17976"/>
    <w:rsid w:val="00A20370"/>
    <w:rsid w:val="00A2048B"/>
    <w:rsid w:val="00A204A8"/>
    <w:rsid w:val="00A20864"/>
    <w:rsid w:val="00A20C4D"/>
    <w:rsid w:val="00A20DA0"/>
    <w:rsid w:val="00A21706"/>
    <w:rsid w:val="00A2172D"/>
    <w:rsid w:val="00A217B4"/>
    <w:rsid w:val="00A217FF"/>
    <w:rsid w:val="00A21A86"/>
    <w:rsid w:val="00A21CE5"/>
    <w:rsid w:val="00A21EBA"/>
    <w:rsid w:val="00A22168"/>
    <w:rsid w:val="00A221BD"/>
    <w:rsid w:val="00A222AE"/>
    <w:rsid w:val="00A22420"/>
    <w:rsid w:val="00A225E2"/>
    <w:rsid w:val="00A22928"/>
    <w:rsid w:val="00A22D90"/>
    <w:rsid w:val="00A22F58"/>
    <w:rsid w:val="00A230C5"/>
    <w:rsid w:val="00A230FC"/>
    <w:rsid w:val="00A23377"/>
    <w:rsid w:val="00A2341C"/>
    <w:rsid w:val="00A23800"/>
    <w:rsid w:val="00A23829"/>
    <w:rsid w:val="00A239C9"/>
    <w:rsid w:val="00A23A38"/>
    <w:rsid w:val="00A23A52"/>
    <w:rsid w:val="00A24144"/>
    <w:rsid w:val="00A24268"/>
    <w:rsid w:val="00A24269"/>
    <w:rsid w:val="00A24319"/>
    <w:rsid w:val="00A24D69"/>
    <w:rsid w:val="00A24E2E"/>
    <w:rsid w:val="00A24ED9"/>
    <w:rsid w:val="00A2520C"/>
    <w:rsid w:val="00A25493"/>
    <w:rsid w:val="00A257F2"/>
    <w:rsid w:val="00A25DD1"/>
    <w:rsid w:val="00A25F22"/>
    <w:rsid w:val="00A2602C"/>
    <w:rsid w:val="00A266D3"/>
    <w:rsid w:val="00A268FE"/>
    <w:rsid w:val="00A26FF1"/>
    <w:rsid w:val="00A271A2"/>
    <w:rsid w:val="00A272FB"/>
    <w:rsid w:val="00A27682"/>
    <w:rsid w:val="00A278C9"/>
    <w:rsid w:val="00A27BD6"/>
    <w:rsid w:val="00A27D87"/>
    <w:rsid w:val="00A3081D"/>
    <w:rsid w:val="00A30A7C"/>
    <w:rsid w:val="00A30CCD"/>
    <w:rsid w:val="00A30FE1"/>
    <w:rsid w:val="00A31038"/>
    <w:rsid w:val="00A3120D"/>
    <w:rsid w:val="00A31215"/>
    <w:rsid w:val="00A31689"/>
    <w:rsid w:val="00A31A31"/>
    <w:rsid w:val="00A31F24"/>
    <w:rsid w:val="00A31F6D"/>
    <w:rsid w:val="00A32058"/>
    <w:rsid w:val="00A321E4"/>
    <w:rsid w:val="00A321F0"/>
    <w:rsid w:val="00A323FD"/>
    <w:rsid w:val="00A32500"/>
    <w:rsid w:val="00A3288F"/>
    <w:rsid w:val="00A32F5C"/>
    <w:rsid w:val="00A33B45"/>
    <w:rsid w:val="00A33C5E"/>
    <w:rsid w:val="00A33D6E"/>
    <w:rsid w:val="00A3409A"/>
    <w:rsid w:val="00A343D7"/>
    <w:rsid w:val="00A34582"/>
    <w:rsid w:val="00A3470F"/>
    <w:rsid w:val="00A3475D"/>
    <w:rsid w:val="00A34A40"/>
    <w:rsid w:val="00A34DC2"/>
    <w:rsid w:val="00A353FE"/>
    <w:rsid w:val="00A354B1"/>
    <w:rsid w:val="00A35945"/>
    <w:rsid w:val="00A35B80"/>
    <w:rsid w:val="00A36337"/>
    <w:rsid w:val="00A36546"/>
    <w:rsid w:val="00A3695D"/>
    <w:rsid w:val="00A36D62"/>
    <w:rsid w:val="00A3710F"/>
    <w:rsid w:val="00A372F8"/>
    <w:rsid w:val="00A374DA"/>
    <w:rsid w:val="00A37804"/>
    <w:rsid w:val="00A37F01"/>
    <w:rsid w:val="00A40112"/>
    <w:rsid w:val="00A4016B"/>
    <w:rsid w:val="00A40262"/>
    <w:rsid w:val="00A4095E"/>
    <w:rsid w:val="00A40A5B"/>
    <w:rsid w:val="00A40A98"/>
    <w:rsid w:val="00A40BE1"/>
    <w:rsid w:val="00A40D06"/>
    <w:rsid w:val="00A40DE5"/>
    <w:rsid w:val="00A40E4D"/>
    <w:rsid w:val="00A4134C"/>
    <w:rsid w:val="00A41370"/>
    <w:rsid w:val="00A4140D"/>
    <w:rsid w:val="00A4161F"/>
    <w:rsid w:val="00A4162A"/>
    <w:rsid w:val="00A41DAA"/>
    <w:rsid w:val="00A425F2"/>
    <w:rsid w:val="00A428A2"/>
    <w:rsid w:val="00A42A2E"/>
    <w:rsid w:val="00A42BCC"/>
    <w:rsid w:val="00A4303B"/>
    <w:rsid w:val="00A430B6"/>
    <w:rsid w:val="00A431E7"/>
    <w:rsid w:val="00A434D5"/>
    <w:rsid w:val="00A43661"/>
    <w:rsid w:val="00A437F8"/>
    <w:rsid w:val="00A43905"/>
    <w:rsid w:val="00A4391C"/>
    <w:rsid w:val="00A43C1B"/>
    <w:rsid w:val="00A44289"/>
    <w:rsid w:val="00A44303"/>
    <w:rsid w:val="00A443AC"/>
    <w:rsid w:val="00A449BB"/>
    <w:rsid w:val="00A44DE8"/>
    <w:rsid w:val="00A45145"/>
    <w:rsid w:val="00A45AE3"/>
    <w:rsid w:val="00A45C1C"/>
    <w:rsid w:val="00A45D72"/>
    <w:rsid w:val="00A45DE4"/>
    <w:rsid w:val="00A4608A"/>
    <w:rsid w:val="00A461AD"/>
    <w:rsid w:val="00A46367"/>
    <w:rsid w:val="00A466DB"/>
    <w:rsid w:val="00A46A71"/>
    <w:rsid w:val="00A46B75"/>
    <w:rsid w:val="00A46CD9"/>
    <w:rsid w:val="00A472BE"/>
    <w:rsid w:val="00A472D2"/>
    <w:rsid w:val="00A47473"/>
    <w:rsid w:val="00A474A3"/>
    <w:rsid w:val="00A47503"/>
    <w:rsid w:val="00A4767A"/>
    <w:rsid w:val="00A476FE"/>
    <w:rsid w:val="00A47B5B"/>
    <w:rsid w:val="00A47FA4"/>
    <w:rsid w:val="00A47FDF"/>
    <w:rsid w:val="00A50430"/>
    <w:rsid w:val="00A50586"/>
    <w:rsid w:val="00A50D81"/>
    <w:rsid w:val="00A51409"/>
    <w:rsid w:val="00A517E1"/>
    <w:rsid w:val="00A51B18"/>
    <w:rsid w:val="00A51D08"/>
    <w:rsid w:val="00A522C9"/>
    <w:rsid w:val="00A5296D"/>
    <w:rsid w:val="00A52982"/>
    <w:rsid w:val="00A52A65"/>
    <w:rsid w:val="00A52BC2"/>
    <w:rsid w:val="00A53022"/>
    <w:rsid w:val="00A5327D"/>
    <w:rsid w:val="00A532B5"/>
    <w:rsid w:val="00A533B7"/>
    <w:rsid w:val="00A534D5"/>
    <w:rsid w:val="00A534EC"/>
    <w:rsid w:val="00A53CFD"/>
    <w:rsid w:val="00A54755"/>
    <w:rsid w:val="00A54C3E"/>
    <w:rsid w:val="00A54DBF"/>
    <w:rsid w:val="00A55238"/>
    <w:rsid w:val="00A5575A"/>
    <w:rsid w:val="00A5581A"/>
    <w:rsid w:val="00A55EF4"/>
    <w:rsid w:val="00A56170"/>
    <w:rsid w:val="00A56353"/>
    <w:rsid w:val="00A566AF"/>
    <w:rsid w:val="00A56715"/>
    <w:rsid w:val="00A56A3F"/>
    <w:rsid w:val="00A56B1E"/>
    <w:rsid w:val="00A56FC3"/>
    <w:rsid w:val="00A57859"/>
    <w:rsid w:val="00A57D57"/>
    <w:rsid w:val="00A57F0E"/>
    <w:rsid w:val="00A604AE"/>
    <w:rsid w:val="00A60639"/>
    <w:rsid w:val="00A60A4E"/>
    <w:rsid w:val="00A60B8A"/>
    <w:rsid w:val="00A60F01"/>
    <w:rsid w:val="00A61127"/>
    <w:rsid w:val="00A612BC"/>
    <w:rsid w:val="00A61431"/>
    <w:rsid w:val="00A61698"/>
    <w:rsid w:val="00A61940"/>
    <w:rsid w:val="00A619E0"/>
    <w:rsid w:val="00A61DBC"/>
    <w:rsid w:val="00A621DF"/>
    <w:rsid w:val="00A623E6"/>
    <w:rsid w:val="00A62DD9"/>
    <w:rsid w:val="00A62F79"/>
    <w:rsid w:val="00A6313B"/>
    <w:rsid w:val="00A63A4B"/>
    <w:rsid w:val="00A63D9C"/>
    <w:rsid w:val="00A63EEA"/>
    <w:rsid w:val="00A64176"/>
    <w:rsid w:val="00A642EA"/>
    <w:rsid w:val="00A6450D"/>
    <w:rsid w:val="00A6469C"/>
    <w:rsid w:val="00A647C9"/>
    <w:rsid w:val="00A64887"/>
    <w:rsid w:val="00A64888"/>
    <w:rsid w:val="00A64A25"/>
    <w:rsid w:val="00A64AAF"/>
    <w:rsid w:val="00A64B2A"/>
    <w:rsid w:val="00A64C65"/>
    <w:rsid w:val="00A64D14"/>
    <w:rsid w:val="00A652A9"/>
    <w:rsid w:val="00A65406"/>
    <w:rsid w:val="00A65526"/>
    <w:rsid w:val="00A65647"/>
    <w:rsid w:val="00A65A10"/>
    <w:rsid w:val="00A65D05"/>
    <w:rsid w:val="00A65E2C"/>
    <w:rsid w:val="00A65F04"/>
    <w:rsid w:val="00A660F9"/>
    <w:rsid w:val="00A6616D"/>
    <w:rsid w:val="00A662C0"/>
    <w:rsid w:val="00A6640A"/>
    <w:rsid w:val="00A6648B"/>
    <w:rsid w:val="00A66850"/>
    <w:rsid w:val="00A669F6"/>
    <w:rsid w:val="00A66D73"/>
    <w:rsid w:val="00A66F70"/>
    <w:rsid w:val="00A66FB1"/>
    <w:rsid w:val="00A67349"/>
    <w:rsid w:val="00A67365"/>
    <w:rsid w:val="00A67961"/>
    <w:rsid w:val="00A6797A"/>
    <w:rsid w:val="00A67ADE"/>
    <w:rsid w:val="00A67C16"/>
    <w:rsid w:val="00A702B1"/>
    <w:rsid w:val="00A70341"/>
    <w:rsid w:val="00A705D6"/>
    <w:rsid w:val="00A70785"/>
    <w:rsid w:val="00A707BA"/>
    <w:rsid w:val="00A70DB4"/>
    <w:rsid w:val="00A7121D"/>
    <w:rsid w:val="00A71261"/>
    <w:rsid w:val="00A7139D"/>
    <w:rsid w:val="00A71425"/>
    <w:rsid w:val="00A718B0"/>
    <w:rsid w:val="00A71DF0"/>
    <w:rsid w:val="00A71E46"/>
    <w:rsid w:val="00A71FF2"/>
    <w:rsid w:val="00A72053"/>
    <w:rsid w:val="00A729D6"/>
    <w:rsid w:val="00A72AD5"/>
    <w:rsid w:val="00A72BAF"/>
    <w:rsid w:val="00A72D14"/>
    <w:rsid w:val="00A72D58"/>
    <w:rsid w:val="00A72E58"/>
    <w:rsid w:val="00A732F3"/>
    <w:rsid w:val="00A73519"/>
    <w:rsid w:val="00A738FD"/>
    <w:rsid w:val="00A73D2E"/>
    <w:rsid w:val="00A73F0C"/>
    <w:rsid w:val="00A740FD"/>
    <w:rsid w:val="00A74151"/>
    <w:rsid w:val="00A74690"/>
    <w:rsid w:val="00A746BE"/>
    <w:rsid w:val="00A7487D"/>
    <w:rsid w:val="00A74951"/>
    <w:rsid w:val="00A74BA8"/>
    <w:rsid w:val="00A74CBE"/>
    <w:rsid w:val="00A74CFC"/>
    <w:rsid w:val="00A754CA"/>
    <w:rsid w:val="00A75B75"/>
    <w:rsid w:val="00A7600A"/>
    <w:rsid w:val="00A763D7"/>
    <w:rsid w:val="00A76450"/>
    <w:rsid w:val="00A7659F"/>
    <w:rsid w:val="00A77053"/>
    <w:rsid w:val="00A77140"/>
    <w:rsid w:val="00A7735A"/>
    <w:rsid w:val="00A773DB"/>
    <w:rsid w:val="00A77B1B"/>
    <w:rsid w:val="00A77E16"/>
    <w:rsid w:val="00A8000E"/>
    <w:rsid w:val="00A809D0"/>
    <w:rsid w:val="00A80A4F"/>
    <w:rsid w:val="00A80E1D"/>
    <w:rsid w:val="00A80E44"/>
    <w:rsid w:val="00A80EDF"/>
    <w:rsid w:val="00A80FD1"/>
    <w:rsid w:val="00A8113E"/>
    <w:rsid w:val="00A81163"/>
    <w:rsid w:val="00A81695"/>
    <w:rsid w:val="00A81AAD"/>
    <w:rsid w:val="00A81E15"/>
    <w:rsid w:val="00A8241C"/>
    <w:rsid w:val="00A82459"/>
    <w:rsid w:val="00A82CEC"/>
    <w:rsid w:val="00A82D3A"/>
    <w:rsid w:val="00A82D72"/>
    <w:rsid w:val="00A83347"/>
    <w:rsid w:val="00A8336F"/>
    <w:rsid w:val="00A833D3"/>
    <w:rsid w:val="00A83452"/>
    <w:rsid w:val="00A834B8"/>
    <w:rsid w:val="00A8357B"/>
    <w:rsid w:val="00A83582"/>
    <w:rsid w:val="00A83BBE"/>
    <w:rsid w:val="00A83C18"/>
    <w:rsid w:val="00A83EFF"/>
    <w:rsid w:val="00A8429D"/>
    <w:rsid w:val="00A84E3B"/>
    <w:rsid w:val="00A84E55"/>
    <w:rsid w:val="00A84E81"/>
    <w:rsid w:val="00A84F4D"/>
    <w:rsid w:val="00A84F4F"/>
    <w:rsid w:val="00A85159"/>
    <w:rsid w:val="00A858BC"/>
    <w:rsid w:val="00A85B3C"/>
    <w:rsid w:val="00A85D06"/>
    <w:rsid w:val="00A85E26"/>
    <w:rsid w:val="00A85F36"/>
    <w:rsid w:val="00A85F93"/>
    <w:rsid w:val="00A860D1"/>
    <w:rsid w:val="00A86213"/>
    <w:rsid w:val="00A868A9"/>
    <w:rsid w:val="00A86BD3"/>
    <w:rsid w:val="00A86C4F"/>
    <w:rsid w:val="00A86CEF"/>
    <w:rsid w:val="00A870EC"/>
    <w:rsid w:val="00A871BB"/>
    <w:rsid w:val="00A873F3"/>
    <w:rsid w:val="00A874D1"/>
    <w:rsid w:val="00A876EA"/>
    <w:rsid w:val="00A87985"/>
    <w:rsid w:val="00A879E2"/>
    <w:rsid w:val="00A87CF7"/>
    <w:rsid w:val="00A87D14"/>
    <w:rsid w:val="00A90212"/>
    <w:rsid w:val="00A903F8"/>
    <w:rsid w:val="00A9055F"/>
    <w:rsid w:val="00A906EA"/>
    <w:rsid w:val="00A90A8A"/>
    <w:rsid w:val="00A90BC6"/>
    <w:rsid w:val="00A90FC0"/>
    <w:rsid w:val="00A91190"/>
    <w:rsid w:val="00A911D5"/>
    <w:rsid w:val="00A912A1"/>
    <w:rsid w:val="00A918AF"/>
    <w:rsid w:val="00A9221A"/>
    <w:rsid w:val="00A92313"/>
    <w:rsid w:val="00A92753"/>
    <w:rsid w:val="00A927CC"/>
    <w:rsid w:val="00A9284B"/>
    <w:rsid w:val="00A931B9"/>
    <w:rsid w:val="00A9328C"/>
    <w:rsid w:val="00A93436"/>
    <w:rsid w:val="00A93576"/>
    <w:rsid w:val="00A9365B"/>
    <w:rsid w:val="00A93A42"/>
    <w:rsid w:val="00A93AF7"/>
    <w:rsid w:val="00A93B6E"/>
    <w:rsid w:val="00A9416E"/>
    <w:rsid w:val="00A94314"/>
    <w:rsid w:val="00A943E2"/>
    <w:rsid w:val="00A9459F"/>
    <w:rsid w:val="00A94C2E"/>
    <w:rsid w:val="00A94DEA"/>
    <w:rsid w:val="00A94E58"/>
    <w:rsid w:val="00A94F72"/>
    <w:rsid w:val="00A95142"/>
    <w:rsid w:val="00A951C6"/>
    <w:rsid w:val="00A9538D"/>
    <w:rsid w:val="00A9560E"/>
    <w:rsid w:val="00A956A9"/>
    <w:rsid w:val="00A95A6A"/>
    <w:rsid w:val="00A95D7F"/>
    <w:rsid w:val="00A96538"/>
    <w:rsid w:val="00A96587"/>
    <w:rsid w:val="00A9664C"/>
    <w:rsid w:val="00A9668F"/>
    <w:rsid w:val="00A96920"/>
    <w:rsid w:val="00A96924"/>
    <w:rsid w:val="00A9701F"/>
    <w:rsid w:val="00A971CC"/>
    <w:rsid w:val="00A9770A"/>
    <w:rsid w:val="00AA002E"/>
    <w:rsid w:val="00AA0701"/>
    <w:rsid w:val="00AA08B6"/>
    <w:rsid w:val="00AA0AFA"/>
    <w:rsid w:val="00AA0D7F"/>
    <w:rsid w:val="00AA11C6"/>
    <w:rsid w:val="00AA12A7"/>
    <w:rsid w:val="00AA1711"/>
    <w:rsid w:val="00AA1A3D"/>
    <w:rsid w:val="00AA1C5F"/>
    <w:rsid w:val="00AA1C6F"/>
    <w:rsid w:val="00AA1EF5"/>
    <w:rsid w:val="00AA2816"/>
    <w:rsid w:val="00AA2AA0"/>
    <w:rsid w:val="00AA2BA8"/>
    <w:rsid w:val="00AA2D8B"/>
    <w:rsid w:val="00AA2DF1"/>
    <w:rsid w:val="00AA2E15"/>
    <w:rsid w:val="00AA2E47"/>
    <w:rsid w:val="00AA2F2F"/>
    <w:rsid w:val="00AA3296"/>
    <w:rsid w:val="00AA36F9"/>
    <w:rsid w:val="00AA389B"/>
    <w:rsid w:val="00AA3B26"/>
    <w:rsid w:val="00AA3BDB"/>
    <w:rsid w:val="00AA3CDD"/>
    <w:rsid w:val="00AA3DCE"/>
    <w:rsid w:val="00AA48DB"/>
    <w:rsid w:val="00AA490D"/>
    <w:rsid w:val="00AA4BD2"/>
    <w:rsid w:val="00AA4CF6"/>
    <w:rsid w:val="00AA507E"/>
    <w:rsid w:val="00AA5D88"/>
    <w:rsid w:val="00AA6026"/>
    <w:rsid w:val="00AA6448"/>
    <w:rsid w:val="00AA67A9"/>
    <w:rsid w:val="00AA6A2C"/>
    <w:rsid w:val="00AA73E1"/>
    <w:rsid w:val="00AA747A"/>
    <w:rsid w:val="00AA749A"/>
    <w:rsid w:val="00AA75F2"/>
    <w:rsid w:val="00AA7E92"/>
    <w:rsid w:val="00AB000B"/>
    <w:rsid w:val="00AB00BF"/>
    <w:rsid w:val="00AB019A"/>
    <w:rsid w:val="00AB019C"/>
    <w:rsid w:val="00AB0FD8"/>
    <w:rsid w:val="00AB153C"/>
    <w:rsid w:val="00AB1D0F"/>
    <w:rsid w:val="00AB1F6C"/>
    <w:rsid w:val="00AB2351"/>
    <w:rsid w:val="00AB2566"/>
    <w:rsid w:val="00AB269A"/>
    <w:rsid w:val="00AB28B5"/>
    <w:rsid w:val="00AB28F3"/>
    <w:rsid w:val="00AB34F6"/>
    <w:rsid w:val="00AB35B2"/>
    <w:rsid w:val="00AB3718"/>
    <w:rsid w:val="00AB37B1"/>
    <w:rsid w:val="00AB3CB3"/>
    <w:rsid w:val="00AB3E23"/>
    <w:rsid w:val="00AB4036"/>
    <w:rsid w:val="00AB43AD"/>
    <w:rsid w:val="00AB4495"/>
    <w:rsid w:val="00AB477C"/>
    <w:rsid w:val="00AB48E1"/>
    <w:rsid w:val="00AB4EB8"/>
    <w:rsid w:val="00AB532A"/>
    <w:rsid w:val="00AB536C"/>
    <w:rsid w:val="00AB54AA"/>
    <w:rsid w:val="00AB59F3"/>
    <w:rsid w:val="00AB5DF4"/>
    <w:rsid w:val="00AB63E6"/>
    <w:rsid w:val="00AB66AC"/>
    <w:rsid w:val="00AB694E"/>
    <w:rsid w:val="00AB6FA5"/>
    <w:rsid w:val="00AB70AF"/>
    <w:rsid w:val="00AB7120"/>
    <w:rsid w:val="00AB7209"/>
    <w:rsid w:val="00AB7406"/>
    <w:rsid w:val="00AB7752"/>
    <w:rsid w:val="00AB7836"/>
    <w:rsid w:val="00AB7DCB"/>
    <w:rsid w:val="00AC0164"/>
    <w:rsid w:val="00AC0233"/>
    <w:rsid w:val="00AC05CB"/>
    <w:rsid w:val="00AC0906"/>
    <w:rsid w:val="00AC0C0C"/>
    <w:rsid w:val="00AC0DAD"/>
    <w:rsid w:val="00AC111D"/>
    <w:rsid w:val="00AC1614"/>
    <w:rsid w:val="00AC1D39"/>
    <w:rsid w:val="00AC2266"/>
    <w:rsid w:val="00AC247E"/>
    <w:rsid w:val="00AC24FE"/>
    <w:rsid w:val="00AC2EAA"/>
    <w:rsid w:val="00AC2EDD"/>
    <w:rsid w:val="00AC3393"/>
    <w:rsid w:val="00AC33EB"/>
    <w:rsid w:val="00AC3660"/>
    <w:rsid w:val="00AC39E5"/>
    <w:rsid w:val="00AC3DC8"/>
    <w:rsid w:val="00AC4792"/>
    <w:rsid w:val="00AC499A"/>
    <w:rsid w:val="00AC4C4B"/>
    <w:rsid w:val="00AC4DD6"/>
    <w:rsid w:val="00AC4E6D"/>
    <w:rsid w:val="00AC4F2D"/>
    <w:rsid w:val="00AC503C"/>
    <w:rsid w:val="00AC5392"/>
    <w:rsid w:val="00AC53A0"/>
    <w:rsid w:val="00AC54E4"/>
    <w:rsid w:val="00AC5624"/>
    <w:rsid w:val="00AC5671"/>
    <w:rsid w:val="00AC597D"/>
    <w:rsid w:val="00AC5B0D"/>
    <w:rsid w:val="00AC5B5B"/>
    <w:rsid w:val="00AC5C22"/>
    <w:rsid w:val="00AC5EE3"/>
    <w:rsid w:val="00AC61A9"/>
    <w:rsid w:val="00AC6569"/>
    <w:rsid w:val="00AC6BFB"/>
    <w:rsid w:val="00AC70D4"/>
    <w:rsid w:val="00AC73D1"/>
    <w:rsid w:val="00AC75FC"/>
    <w:rsid w:val="00AC7D7F"/>
    <w:rsid w:val="00AD06EF"/>
    <w:rsid w:val="00AD0827"/>
    <w:rsid w:val="00AD1731"/>
    <w:rsid w:val="00AD185A"/>
    <w:rsid w:val="00AD1ACD"/>
    <w:rsid w:val="00AD1BBC"/>
    <w:rsid w:val="00AD1E26"/>
    <w:rsid w:val="00AD1E65"/>
    <w:rsid w:val="00AD1EB0"/>
    <w:rsid w:val="00AD1F02"/>
    <w:rsid w:val="00AD1F9C"/>
    <w:rsid w:val="00AD2419"/>
    <w:rsid w:val="00AD258B"/>
    <w:rsid w:val="00AD29C8"/>
    <w:rsid w:val="00AD2ACB"/>
    <w:rsid w:val="00AD2CDF"/>
    <w:rsid w:val="00AD33AC"/>
    <w:rsid w:val="00AD3625"/>
    <w:rsid w:val="00AD3D0A"/>
    <w:rsid w:val="00AD406E"/>
    <w:rsid w:val="00AD427F"/>
    <w:rsid w:val="00AD45EA"/>
    <w:rsid w:val="00AD4797"/>
    <w:rsid w:val="00AD4AD5"/>
    <w:rsid w:val="00AD4B3A"/>
    <w:rsid w:val="00AD4E7B"/>
    <w:rsid w:val="00AD57DF"/>
    <w:rsid w:val="00AD5B05"/>
    <w:rsid w:val="00AD5BC5"/>
    <w:rsid w:val="00AD6235"/>
    <w:rsid w:val="00AD62D5"/>
    <w:rsid w:val="00AD631C"/>
    <w:rsid w:val="00AD6461"/>
    <w:rsid w:val="00AD6BC4"/>
    <w:rsid w:val="00AD70C2"/>
    <w:rsid w:val="00AD7A99"/>
    <w:rsid w:val="00AD7AFE"/>
    <w:rsid w:val="00AD7F8B"/>
    <w:rsid w:val="00AE00AB"/>
    <w:rsid w:val="00AE0136"/>
    <w:rsid w:val="00AE0796"/>
    <w:rsid w:val="00AE0B4C"/>
    <w:rsid w:val="00AE0D3F"/>
    <w:rsid w:val="00AE0EDB"/>
    <w:rsid w:val="00AE0F14"/>
    <w:rsid w:val="00AE1246"/>
    <w:rsid w:val="00AE1FEF"/>
    <w:rsid w:val="00AE22D9"/>
    <w:rsid w:val="00AE2610"/>
    <w:rsid w:val="00AE26A8"/>
    <w:rsid w:val="00AE2960"/>
    <w:rsid w:val="00AE2A73"/>
    <w:rsid w:val="00AE2B27"/>
    <w:rsid w:val="00AE2F17"/>
    <w:rsid w:val="00AE2FF6"/>
    <w:rsid w:val="00AE328F"/>
    <w:rsid w:val="00AE330F"/>
    <w:rsid w:val="00AE35F9"/>
    <w:rsid w:val="00AE3D26"/>
    <w:rsid w:val="00AE3E45"/>
    <w:rsid w:val="00AE3E73"/>
    <w:rsid w:val="00AE3EFD"/>
    <w:rsid w:val="00AE41AB"/>
    <w:rsid w:val="00AE42E3"/>
    <w:rsid w:val="00AE450D"/>
    <w:rsid w:val="00AE45CF"/>
    <w:rsid w:val="00AE4766"/>
    <w:rsid w:val="00AE4999"/>
    <w:rsid w:val="00AE4BC4"/>
    <w:rsid w:val="00AE4CC4"/>
    <w:rsid w:val="00AE5088"/>
    <w:rsid w:val="00AE53AA"/>
    <w:rsid w:val="00AE6120"/>
    <w:rsid w:val="00AE6161"/>
    <w:rsid w:val="00AE61E6"/>
    <w:rsid w:val="00AE6368"/>
    <w:rsid w:val="00AE63CE"/>
    <w:rsid w:val="00AE6478"/>
    <w:rsid w:val="00AE6C9F"/>
    <w:rsid w:val="00AE6D7E"/>
    <w:rsid w:val="00AE6DFB"/>
    <w:rsid w:val="00AE7257"/>
    <w:rsid w:val="00AE772A"/>
    <w:rsid w:val="00AE7938"/>
    <w:rsid w:val="00AE7B44"/>
    <w:rsid w:val="00AE7BE6"/>
    <w:rsid w:val="00AE7CBB"/>
    <w:rsid w:val="00AE7D71"/>
    <w:rsid w:val="00AE7F74"/>
    <w:rsid w:val="00AF05E5"/>
    <w:rsid w:val="00AF0B71"/>
    <w:rsid w:val="00AF0CA7"/>
    <w:rsid w:val="00AF0CE9"/>
    <w:rsid w:val="00AF0D45"/>
    <w:rsid w:val="00AF1C88"/>
    <w:rsid w:val="00AF1CD1"/>
    <w:rsid w:val="00AF1F91"/>
    <w:rsid w:val="00AF20AB"/>
    <w:rsid w:val="00AF230A"/>
    <w:rsid w:val="00AF2438"/>
    <w:rsid w:val="00AF25DB"/>
    <w:rsid w:val="00AF298A"/>
    <w:rsid w:val="00AF2ACC"/>
    <w:rsid w:val="00AF2B91"/>
    <w:rsid w:val="00AF2CE2"/>
    <w:rsid w:val="00AF2E6D"/>
    <w:rsid w:val="00AF2F68"/>
    <w:rsid w:val="00AF30E3"/>
    <w:rsid w:val="00AF3113"/>
    <w:rsid w:val="00AF316F"/>
    <w:rsid w:val="00AF3427"/>
    <w:rsid w:val="00AF37C0"/>
    <w:rsid w:val="00AF3B65"/>
    <w:rsid w:val="00AF3F84"/>
    <w:rsid w:val="00AF427A"/>
    <w:rsid w:val="00AF450A"/>
    <w:rsid w:val="00AF49C8"/>
    <w:rsid w:val="00AF4D6C"/>
    <w:rsid w:val="00AF4F5C"/>
    <w:rsid w:val="00AF4F5E"/>
    <w:rsid w:val="00AF50D2"/>
    <w:rsid w:val="00AF5124"/>
    <w:rsid w:val="00AF5524"/>
    <w:rsid w:val="00AF5816"/>
    <w:rsid w:val="00AF5DB4"/>
    <w:rsid w:val="00AF605E"/>
    <w:rsid w:val="00AF6184"/>
    <w:rsid w:val="00AF620A"/>
    <w:rsid w:val="00AF625C"/>
    <w:rsid w:val="00AF62FA"/>
    <w:rsid w:val="00AF656C"/>
    <w:rsid w:val="00AF6648"/>
    <w:rsid w:val="00AF67E4"/>
    <w:rsid w:val="00AF695B"/>
    <w:rsid w:val="00AF6BEF"/>
    <w:rsid w:val="00AF6F17"/>
    <w:rsid w:val="00AF6FCF"/>
    <w:rsid w:val="00AF71F5"/>
    <w:rsid w:val="00AF7517"/>
    <w:rsid w:val="00AF755D"/>
    <w:rsid w:val="00AF77C5"/>
    <w:rsid w:val="00AF77F0"/>
    <w:rsid w:val="00AF78C4"/>
    <w:rsid w:val="00AF78CD"/>
    <w:rsid w:val="00AF7970"/>
    <w:rsid w:val="00AF7AD2"/>
    <w:rsid w:val="00AF7E14"/>
    <w:rsid w:val="00B00358"/>
    <w:rsid w:val="00B00384"/>
    <w:rsid w:val="00B0060C"/>
    <w:rsid w:val="00B00697"/>
    <w:rsid w:val="00B00910"/>
    <w:rsid w:val="00B01211"/>
    <w:rsid w:val="00B01A97"/>
    <w:rsid w:val="00B01C43"/>
    <w:rsid w:val="00B01C56"/>
    <w:rsid w:val="00B01F58"/>
    <w:rsid w:val="00B02052"/>
    <w:rsid w:val="00B0221E"/>
    <w:rsid w:val="00B022F9"/>
    <w:rsid w:val="00B02402"/>
    <w:rsid w:val="00B02B80"/>
    <w:rsid w:val="00B02E02"/>
    <w:rsid w:val="00B02E0A"/>
    <w:rsid w:val="00B02E75"/>
    <w:rsid w:val="00B02F0A"/>
    <w:rsid w:val="00B030FA"/>
    <w:rsid w:val="00B03216"/>
    <w:rsid w:val="00B03318"/>
    <w:rsid w:val="00B0401C"/>
    <w:rsid w:val="00B0496D"/>
    <w:rsid w:val="00B04A61"/>
    <w:rsid w:val="00B04B4C"/>
    <w:rsid w:val="00B04C80"/>
    <w:rsid w:val="00B05013"/>
    <w:rsid w:val="00B05316"/>
    <w:rsid w:val="00B0585F"/>
    <w:rsid w:val="00B05879"/>
    <w:rsid w:val="00B058FF"/>
    <w:rsid w:val="00B05FF7"/>
    <w:rsid w:val="00B06367"/>
    <w:rsid w:val="00B064BA"/>
    <w:rsid w:val="00B064D0"/>
    <w:rsid w:val="00B06822"/>
    <w:rsid w:val="00B06D2A"/>
    <w:rsid w:val="00B0700D"/>
    <w:rsid w:val="00B0703A"/>
    <w:rsid w:val="00B07241"/>
    <w:rsid w:val="00B07758"/>
    <w:rsid w:val="00B0787E"/>
    <w:rsid w:val="00B0792D"/>
    <w:rsid w:val="00B07EBD"/>
    <w:rsid w:val="00B105D8"/>
    <w:rsid w:val="00B10B3B"/>
    <w:rsid w:val="00B10BD0"/>
    <w:rsid w:val="00B10D11"/>
    <w:rsid w:val="00B11116"/>
    <w:rsid w:val="00B11246"/>
    <w:rsid w:val="00B11850"/>
    <w:rsid w:val="00B11C38"/>
    <w:rsid w:val="00B11D4B"/>
    <w:rsid w:val="00B12691"/>
    <w:rsid w:val="00B12740"/>
    <w:rsid w:val="00B12AAD"/>
    <w:rsid w:val="00B12ABC"/>
    <w:rsid w:val="00B12B2F"/>
    <w:rsid w:val="00B12ECD"/>
    <w:rsid w:val="00B12F31"/>
    <w:rsid w:val="00B13690"/>
    <w:rsid w:val="00B137A7"/>
    <w:rsid w:val="00B1383E"/>
    <w:rsid w:val="00B1446A"/>
    <w:rsid w:val="00B14511"/>
    <w:rsid w:val="00B145F5"/>
    <w:rsid w:val="00B14650"/>
    <w:rsid w:val="00B147F2"/>
    <w:rsid w:val="00B148E0"/>
    <w:rsid w:val="00B14B00"/>
    <w:rsid w:val="00B14C00"/>
    <w:rsid w:val="00B14C62"/>
    <w:rsid w:val="00B1539A"/>
    <w:rsid w:val="00B15461"/>
    <w:rsid w:val="00B15763"/>
    <w:rsid w:val="00B15952"/>
    <w:rsid w:val="00B159E1"/>
    <w:rsid w:val="00B15BE1"/>
    <w:rsid w:val="00B15EE4"/>
    <w:rsid w:val="00B16043"/>
    <w:rsid w:val="00B16087"/>
    <w:rsid w:val="00B16441"/>
    <w:rsid w:val="00B16697"/>
    <w:rsid w:val="00B166D0"/>
    <w:rsid w:val="00B166F2"/>
    <w:rsid w:val="00B1699F"/>
    <w:rsid w:val="00B16B08"/>
    <w:rsid w:val="00B16E19"/>
    <w:rsid w:val="00B16E3C"/>
    <w:rsid w:val="00B170B0"/>
    <w:rsid w:val="00B1771A"/>
    <w:rsid w:val="00B1795F"/>
    <w:rsid w:val="00B17DB5"/>
    <w:rsid w:val="00B2055C"/>
    <w:rsid w:val="00B20A92"/>
    <w:rsid w:val="00B20C97"/>
    <w:rsid w:val="00B20D0E"/>
    <w:rsid w:val="00B2121A"/>
    <w:rsid w:val="00B212B1"/>
    <w:rsid w:val="00B216F9"/>
    <w:rsid w:val="00B21944"/>
    <w:rsid w:val="00B21A18"/>
    <w:rsid w:val="00B21D22"/>
    <w:rsid w:val="00B22073"/>
    <w:rsid w:val="00B2224C"/>
    <w:rsid w:val="00B225C4"/>
    <w:rsid w:val="00B22AF2"/>
    <w:rsid w:val="00B22CD1"/>
    <w:rsid w:val="00B23AB4"/>
    <w:rsid w:val="00B23DEC"/>
    <w:rsid w:val="00B23F06"/>
    <w:rsid w:val="00B2415C"/>
    <w:rsid w:val="00B24173"/>
    <w:rsid w:val="00B242F0"/>
    <w:rsid w:val="00B24467"/>
    <w:rsid w:val="00B24775"/>
    <w:rsid w:val="00B248E7"/>
    <w:rsid w:val="00B24915"/>
    <w:rsid w:val="00B24BFE"/>
    <w:rsid w:val="00B254FE"/>
    <w:rsid w:val="00B25554"/>
    <w:rsid w:val="00B258A6"/>
    <w:rsid w:val="00B25AA8"/>
    <w:rsid w:val="00B25F1B"/>
    <w:rsid w:val="00B26789"/>
    <w:rsid w:val="00B26BB4"/>
    <w:rsid w:val="00B26D35"/>
    <w:rsid w:val="00B26E70"/>
    <w:rsid w:val="00B27156"/>
    <w:rsid w:val="00B27C0A"/>
    <w:rsid w:val="00B27C70"/>
    <w:rsid w:val="00B27C83"/>
    <w:rsid w:val="00B27E74"/>
    <w:rsid w:val="00B27F52"/>
    <w:rsid w:val="00B30090"/>
    <w:rsid w:val="00B301DF"/>
    <w:rsid w:val="00B309F8"/>
    <w:rsid w:val="00B30B62"/>
    <w:rsid w:val="00B31715"/>
    <w:rsid w:val="00B31875"/>
    <w:rsid w:val="00B31C12"/>
    <w:rsid w:val="00B31C58"/>
    <w:rsid w:val="00B31C59"/>
    <w:rsid w:val="00B31EE2"/>
    <w:rsid w:val="00B31F53"/>
    <w:rsid w:val="00B322D5"/>
    <w:rsid w:val="00B325DA"/>
    <w:rsid w:val="00B327D3"/>
    <w:rsid w:val="00B3291B"/>
    <w:rsid w:val="00B32B21"/>
    <w:rsid w:val="00B32C8A"/>
    <w:rsid w:val="00B32FF3"/>
    <w:rsid w:val="00B33089"/>
    <w:rsid w:val="00B3371A"/>
    <w:rsid w:val="00B337ED"/>
    <w:rsid w:val="00B33808"/>
    <w:rsid w:val="00B33C16"/>
    <w:rsid w:val="00B33EA3"/>
    <w:rsid w:val="00B34022"/>
    <w:rsid w:val="00B3420F"/>
    <w:rsid w:val="00B34260"/>
    <w:rsid w:val="00B342A4"/>
    <w:rsid w:val="00B34305"/>
    <w:rsid w:val="00B34884"/>
    <w:rsid w:val="00B34C7B"/>
    <w:rsid w:val="00B34CA1"/>
    <w:rsid w:val="00B35133"/>
    <w:rsid w:val="00B35308"/>
    <w:rsid w:val="00B35371"/>
    <w:rsid w:val="00B355EC"/>
    <w:rsid w:val="00B356B4"/>
    <w:rsid w:val="00B35B0C"/>
    <w:rsid w:val="00B35B38"/>
    <w:rsid w:val="00B36127"/>
    <w:rsid w:val="00B362AA"/>
    <w:rsid w:val="00B3634D"/>
    <w:rsid w:val="00B363E9"/>
    <w:rsid w:val="00B366A7"/>
    <w:rsid w:val="00B369A4"/>
    <w:rsid w:val="00B36DE6"/>
    <w:rsid w:val="00B36FCD"/>
    <w:rsid w:val="00B37455"/>
    <w:rsid w:val="00B376DF"/>
    <w:rsid w:val="00B377D1"/>
    <w:rsid w:val="00B40301"/>
    <w:rsid w:val="00B40487"/>
    <w:rsid w:val="00B40579"/>
    <w:rsid w:val="00B407AD"/>
    <w:rsid w:val="00B40B71"/>
    <w:rsid w:val="00B40C4E"/>
    <w:rsid w:val="00B40DEA"/>
    <w:rsid w:val="00B40ECA"/>
    <w:rsid w:val="00B4100D"/>
    <w:rsid w:val="00B4139E"/>
    <w:rsid w:val="00B4146C"/>
    <w:rsid w:val="00B41990"/>
    <w:rsid w:val="00B41B5A"/>
    <w:rsid w:val="00B41BAE"/>
    <w:rsid w:val="00B425AA"/>
    <w:rsid w:val="00B42719"/>
    <w:rsid w:val="00B42F15"/>
    <w:rsid w:val="00B43398"/>
    <w:rsid w:val="00B434D8"/>
    <w:rsid w:val="00B43A94"/>
    <w:rsid w:val="00B43CAA"/>
    <w:rsid w:val="00B4405E"/>
    <w:rsid w:val="00B44097"/>
    <w:rsid w:val="00B440B1"/>
    <w:rsid w:val="00B4415E"/>
    <w:rsid w:val="00B44696"/>
    <w:rsid w:val="00B44CB7"/>
    <w:rsid w:val="00B44D55"/>
    <w:rsid w:val="00B45250"/>
    <w:rsid w:val="00B457D6"/>
    <w:rsid w:val="00B461FC"/>
    <w:rsid w:val="00B46219"/>
    <w:rsid w:val="00B46375"/>
    <w:rsid w:val="00B464EB"/>
    <w:rsid w:val="00B467C5"/>
    <w:rsid w:val="00B46924"/>
    <w:rsid w:val="00B46B49"/>
    <w:rsid w:val="00B477B1"/>
    <w:rsid w:val="00B478CE"/>
    <w:rsid w:val="00B47E87"/>
    <w:rsid w:val="00B5014B"/>
    <w:rsid w:val="00B50150"/>
    <w:rsid w:val="00B506F0"/>
    <w:rsid w:val="00B5098D"/>
    <w:rsid w:val="00B510DC"/>
    <w:rsid w:val="00B5130A"/>
    <w:rsid w:val="00B51820"/>
    <w:rsid w:val="00B519D8"/>
    <w:rsid w:val="00B51B4E"/>
    <w:rsid w:val="00B51D0A"/>
    <w:rsid w:val="00B51E70"/>
    <w:rsid w:val="00B51F10"/>
    <w:rsid w:val="00B52777"/>
    <w:rsid w:val="00B52A03"/>
    <w:rsid w:val="00B52FDD"/>
    <w:rsid w:val="00B53215"/>
    <w:rsid w:val="00B53646"/>
    <w:rsid w:val="00B538E5"/>
    <w:rsid w:val="00B538F7"/>
    <w:rsid w:val="00B53BA4"/>
    <w:rsid w:val="00B53BD5"/>
    <w:rsid w:val="00B53C71"/>
    <w:rsid w:val="00B53DAC"/>
    <w:rsid w:val="00B53E37"/>
    <w:rsid w:val="00B54398"/>
    <w:rsid w:val="00B54469"/>
    <w:rsid w:val="00B545F4"/>
    <w:rsid w:val="00B54707"/>
    <w:rsid w:val="00B54BDA"/>
    <w:rsid w:val="00B55250"/>
    <w:rsid w:val="00B5533C"/>
    <w:rsid w:val="00B55F20"/>
    <w:rsid w:val="00B562B5"/>
    <w:rsid w:val="00B5641F"/>
    <w:rsid w:val="00B56728"/>
    <w:rsid w:val="00B5688E"/>
    <w:rsid w:val="00B569BA"/>
    <w:rsid w:val="00B56BAE"/>
    <w:rsid w:val="00B56CF2"/>
    <w:rsid w:val="00B56D0C"/>
    <w:rsid w:val="00B56FFC"/>
    <w:rsid w:val="00B57EFD"/>
    <w:rsid w:val="00B6036E"/>
    <w:rsid w:val="00B60AA2"/>
    <w:rsid w:val="00B6122E"/>
    <w:rsid w:val="00B6125B"/>
    <w:rsid w:val="00B61414"/>
    <w:rsid w:val="00B61571"/>
    <w:rsid w:val="00B61D2C"/>
    <w:rsid w:val="00B621D4"/>
    <w:rsid w:val="00B626AA"/>
    <w:rsid w:val="00B626DD"/>
    <w:rsid w:val="00B627A2"/>
    <w:rsid w:val="00B62A46"/>
    <w:rsid w:val="00B62F01"/>
    <w:rsid w:val="00B63461"/>
    <w:rsid w:val="00B638F0"/>
    <w:rsid w:val="00B63C3A"/>
    <w:rsid w:val="00B64196"/>
    <w:rsid w:val="00B64585"/>
    <w:rsid w:val="00B648E0"/>
    <w:rsid w:val="00B64A96"/>
    <w:rsid w:val="00B64B82"/>
    <w:rsid w:val="00B64C63"/>
    <w:rsid w:val="00B64E47"/>
    <w:rsid w:val="00B650CF"/>
    <w:rsid w:val="00B650E2"/>
    <w:rsid w:val="00B65B6F"/>
    <w:rsid w:val="00B65DA4"/>
    <w:rsid w:val="00B661B4"/>
    <w:rsid w:val="00B66422"/>
    <w:rsid w:val="00B66567"/>
    <w:rsid w:val="00B66705"/>
    <w:rsid w:val="00B66903"/>
    <w:rsid w:val="00B66D14"/>
    <w:rsid w:val="00B66ED4"/>
    <w:rsid w:val="00B66FAE"/>
    <w:rsid w:val="00B67293"/>
    <w:rsid w:val="00B6737A"/>
    <w:rsid w:val="00B673F5"/>
    <w:rsid w:val="00B67A1D"/>
    <w:rsid w:val="00B67BC6"/>
    <w:rsid w:val="00B70013"/>
    <w:rsid w:val="00B7024F"/>
    <w:rsid w:val="00B70377"/>
    <w:rsid w:val="00B70939"/>
    <w:rsid w:val="00B70E2F"/>
    <w:rsid w:val="00B71073"/>
    <w:rsid w:val="00B710BE"/>
    <w:rsid w:val="00B7117B"/>
    <w:rsid w:val="00B7126A"/>
    <w:rsid w:val="00B71438"/>
    <w:rsid w:val="00B7159D"/>
    <w:rsid w:val="00B716D3"/>
    <w:rsid w:val="00B71872"/>
    <w:rsid w:val="00B719F2"/>
    <w:rsid w:val="00B71A5C"/>
    <w:rsid w:val="00B71E0E"/>
    <w:rsid w:val="00B720AD"/>
    <w:rsid w:val="00B72298"/>
    <w:rsid w:val="00B7260F"/>
    <w:rsid w:val="00B7265D"/>
    <w:rsid w:val="00B72CAC"/>
    <w:rsid w:val="00B73394"/>
    <w:rsid w:val="00B7384D"/>
    <w:rsid w:val="00B73B17"/>
    <w:rsid w:val="00B74674"/>
    <w:rsid w:val="00B74771"/>
    <w:rsid w:val="00B74B29"/>
    <w:rsid w:val="00B75055"/>
    <w:rsid w:val="00B750D7"/>
    <w:rsid w:val="00B75162"/>
    <w:rsid w:val="00B7521E"/>
    <w:rsid w:val="00B75716"/>
    <w:rsid w:val="00B75A39"/>
    <w:rsid w:val="00B75AA7"/>
    <w:rsid w:val="00B76889"/>
    <w:rsid w:val="00B768E0"/>
    <w:rsid w:val="00B76A93"/>
    <w:rsid w:val="00B76B5D"/>
    <w:rsid w:val="00B76CF2"/>
    <w:rsid w:val="00B76E6D"/>
    <w:rsid w:val="00B76E9D"/>
    <w:rsid w:val="00B77082"/>
    <w:rsid w:val="00B775AD"/>
    <w:rsid w:val="00B77602"/>
    <w:rsid w:val="00B77936"/>
    <w:rsid w:val="00B77AB3"/>
    <w:rsid w:val="00B77CF7"/>
    <w:rsid w:val="00B77E01"/>
    <w:rsid w:val="00B77F85"/>
    <w:rsid w:val="00B803A7"/>
    <w:rsid w:val="00B80E2A"/>
    <w:rsid w:val="00B81101"/>
    <w:rsid w:val="00B81371"/>
    <w:rsid w:val="00B81517"/>
    <w:rsid w:val="00B81AD7"/>
    <w:rsid w:val="00B81B75"/>
    <w:rsid w:val="00B81BD8"/>
    <w:rsid w:val="00B81D5B"/>
    <w:rsid w:val="00B82101"/>
    <w:rsid w:val="00B82ADE"/>
    <w:rsid w:val="00B82C7E"/>
    <w:rsid w:val="00B82F1A"/>
    <w:rsid w:val="00B8326E"/>
    <w:rsid w:val="00B832A0"/>
    <w:rsid w:val="00B8392D"/>
    <w:rsid w:val="00B8398A"/>
    <w:rsid w:val="00B83C24"/>
    <w:rsid w:val="00B84215"/>
    <w:rsid w:val="00B84326"/>
    <w:rsid w:val="00B844F4"/>
    <w:rsid w:val="00B844FF"/>
    <w:rsid w:val="00B848FC"/>
    <w:rsid w:val="00B84A0B"/>
    <w:rsid w:val="00B84C8A"/>
    <w:rsid w:val="00B84D2E"/>
    <w:rsid w:val="00B85185"/>
    <w:rsid w:val="00B8518B"/>
    <w:rsid w:val="00B85256"/>
    <w:rsid w:val="00B85328"/>
    <w:rsid w:val="00B8548B"/>
    <w:rsid w:val="00B85BB3"/>
    <w:rsid w:val="00B85CC6"/>
    <w:rsid w:val="00B8624D"/>
    <w:rsid w:val="00B86650"/>
    <w:rsid w:val="00B8688C"/>
    <w:rsid w:val="00B86965"/>
    <w:rsid w:val="00B86BB0"/>
    <w:rsid w:val="00B86FB6"/>
    <w:rsid w:val="00B87392"/>
    <w:rsid w:val="00B87614"/>
    <w:rsid w:val="00B8773D"/>
    <w:rsid w:val="00B87C37"/>
    <w:rsid w:val="00B87D0E"/>
    <w:rsid w:val="00B903F9"/>
    <w:rsid w:val="00B90650"/>
    <w:rsid w:val="00B909E5"/>
    <w:rsid w:val="00B90A4A"/>
    <w:rsid w:val="00B919BB"/>
    <w:rsid w:val="00B91AC9"/>
    <w:rsid w:val="00B91DFC"/>
    <w:rsid w:val="00B91E07"/>
    <w:rsid w:val="00B920B7"/>
    <w:rsid w:val="00B92208"/>
    <w:rsid w:val="00B92452"/>
    <w:rsid w:val="00B92CB4"/>
    <w:rsid w:val="00B92E7D"/>
    <w:rsid w:val="00B92E8E"/>
    <w:rsid w:val="00B9314B"/>
    <w:rsid w:val="00B932FC"/>
    <w:rsid w:val="00B935DA"/>
    <w:rsid w:val="00B9370C"/>
    <w:rsid w:val="00B93986"/>
    <w:rsid w:val="00B93E80"/>
    <w:rsid w:val="00B94030"/>
    <w:rsid w:val="00B942C5"/>
    <w:rsid w:val="00B947A7"/>
    <w:rsid w:val="00B94A7F"/>
    <w:rsid w:val="00B94AD2"/>
    <w:rsid w:val="00B95320"/>
    <w:rsid w:val="00B959EA"/>
    <w:rsid w:val="00B95B1A"/>
    <w:rsid w:val="00B95E26"/>
    <w:rsid w:val="00B95F01"/>
    <w:rsid w:val="00B96727"/>
    <w:rsid w:val="00B96A5A"/>
    <w:rsid w:val="00B96CF5"/>
    <w:rsid w:val="00B97035"/>
    <w:rsid w:val="00B97867"/>
    <w:rsid w:val="00B97C42"/>
    <w:rsid w:val="00B97D35"/>
    <w:rsid w:val="00BA01D7"/>
    <w:rsid w:val="00BA02C2"/>
    <w:rsid w:val="00BA0B1B"/>
    <w:rsid w:val="00BA0BC0"/>
    <w:rsid w:val="00BA1140"/>
    <w:rsid w:val="00BA1468"/>
    <w:rsid w:val="00BA18B7"/>
    <w:rsid w:val="00BA1956"/>
    <w:rsid w:val="00BA1E3B"/>
    <w:rsid w:val="00BA20EE"/>
    <w:rsid w:val="00BA24D7"/>
    <w:rsid w:val="00BA27C3"/>
    <w:rsid w:val="00BA28D3"/>
    <w:rsid w:val="00BA2A1F"/>
    <w:rsid w:val="00BA2CDE"/>
    <w:rsid w:val="00BA2DFB"/>
    <w:rsid w:val="00BA2FBA"/>
    <w:rsid w:val="00BA3375"/>
    <w:rsid w:val="00BA34E2"/>
    <w:rsid w:val="00BA3651"/>
    <w:rsid w:val="00BA3C89"/>
    <w:rsid w:val="00BA3D91"/>
    <w:rsid w:val="00BA413F"/>
    <w:rsid w:val="00BA4410"/>
    <w:rsid w:val="00BA467F"/>
    <w:rsid w:val="00BA4CF2"/>
    <w:rsid w:val="00BA5243"/>
    <w:rsid w:val="00BA5526"/>
    <w:rsid w:val="00BA55D3"/>
    <w:rsid w:val="00BA5B87"/>
    <w:rsid w:val="00BA5E9A"/>
    <w:rsid w:val="00BA5EED"/>
    <w:rsid w:val="00BA5F33"/>
    <w:rsid w:val="00BA607A"/>
    <w:rsid w:val="00BA672B"/>
    <w:rsid w:val="00BA673A"/>
    <w:rsid w:val="00BA67E5"/>
    <w:rsid w:val="00BA68A4"/>
    <w:rsid w:val="00BA71F3"/>
    <w:rsid w:val="00BA7321"/>
    <w:rsid w:val="00BA7568"/>
    <w:rsid w:val="00BA7A31"/>
    <w:rsid w:val="00BA7C48"/>
    <w:rsid w:val="00BA7EEC"/>
    <w:rsid w:val="00BAF07F"/>
    <w:rsid w:val="00BB03B0"/>
    <w:rsid w:val="00BB0B71"/>
    <w:rsid w:val="00BB0CCB"/>
    <w:rsid w:val="00BB0DA7"/>
    <w:rsid w:val="00BB1098"/>
    <w:rsid w:val="00BB1306"/>
    <w:rsid w:val="00BB1397"/>
    <w:rsid w:val="00BB1512"/>
    <w:rsid w:val="00BB1A38"/>
    <w:rsid w:val="00BB1D1A"/>
    <w:rsid w:val="00BB1EAF"/>
    <w:rsid w:val="00BB1F7A"/>
    <w:rsid w:val="00BB21BC"/>
    <w:rsid w:val="00BB275A"/>
    <w:rsid w:val="00BB2805"/>
    <w:rsid w:val="00BB28B4"/>
    <w:rsid w:val="00BB2DDC"/>
    <w:rsid w:val="00BB2DE1"/>
    <w:rsid w:val="00BB2DFE"/>
    <w:rsid w:val="00BB2F84"/>
    <w:rsid w:val="00BB3069"/>
    <w:rsid w:val="00BB3214"/>
    <w:rsid w:val="00BB3219"/>
    <w:rsid w:val="00BB32BD"/>
    <w:rsid w:val="00BB3723"/>
    <w:rsid w:val="00BB3DF4"/>
    <w:rsid w:val="00BB3FE5"/>
    <w:rsid w:val="00BB4068"/>
    <w:rsid w:val="00BB462D"/>
    <w:rsid w:val="00BB48E4"/>
    <w:rsid w:val="00BB4961"/>
    <w:rsid w:val="00BB49DF"/>
    <w:rsid w:val="00BB4B5D"/>
    <w:rsid w:val="00BB4BDD"/>
    <w:rsid w:val="00BB4D1B"/>
    <w:rsid w:val="00BB5224"/>
    <w:rsid w:val="00BB5450"/>
    <w:rsid w:val="00BB56AE"/>
    <w:rsid w:val="00BB5C3D"/>
    <w:rsid w:val="00BB5C56"/>
    <w:rsid w:val="00BB6250"/>
    <w:rsid w:val="00BB62F5"/>
    <w:rsid w:val="00BB63CE"/>
    <w:rsid w:val="00BB63F6"/>
    <w:rsid w:val="00BB63F9"/>
    <w:rsid w:val="00BB69CE"/>
    <w:rsid w:val="00BB6BB2"/>
    <w:rsid w:val="00BB6CED"/>
    <w:rsid w:val="00BB6D9A"/>
    <w:rsid w:val="00BB6EC6"/>
    <w:rsid w:val="00BB72E7"/>
    <w:rsid w:val="00BB750D"/>
    <w:rsid w:val="00BB7664"/>
    <w:rsid w:val="00BB76EC"/>
    <w:rsid w:val="00BB77E4"/>
    <w:rsid w:val="00BB7ED0"/>
    <w:rsid w:val="00BB7FA2"/>
    <w:rsid w:val="00BC00DC"/>
    <w:rsid w:val="00BC05A3"/>
    <w:rsid w:val="00BC060A"/>
    <w:rsid w:val="00BC0A29"/>
    <w:rsid w:val="00BC0D26"/>
    <w:rsid w:val="00BC0F27"/>
    <w:rsid w:val="00BC13DF"/>
    <w:rsid w:val="00BC14D0"/>
    <w:rsid w:val="00BC1B04"/>
    <w:rsid w:val="00BC26BE"/>
    <w:rsid w:val="00BC2A5F"/>
    <w:rsid w:val="00BC2C3A"/>
    <w:rsid w:val="00BC2CC1"/>
    <w:rsid w:val="00BC2EEA"/>
    <w:rsid w:val="00BC2F1C"/>
    <w:rsid w:val="00BC3121"/>
    <w:rsid w:val="00BC31DA"/>
    <w:rsid w:val="00BC3380"/>
    <w:rsid w:val="00BC3508"/>
    <w:rsid w:val="00BC36D8"/>
    <w:rsid w:val="00BC3876"/>
    <w:rsid w:val="00BC3AA4"/>
    <w:rsid w:val="00BC3B27"/>
    <w:rsid w:val="00BC424F"/>
    <w:rsid w:val="00BC43DE"/>
    <w:rsid w:val="00BC46A1"/>
    <w:rsid w:val="00BC46C5"/>
    <w:rsid w:val="00BC4912"/>
    <w:rsid w:val="00BC4EA0"/>
    <w:rsid w:val="00BC5187"/>
    <w:rsid w:val="00BC5693"/>
    <w:rsid w:val="00BC5916"/>
    <w:rsid w:val="00BC5C4C"/>
    <w:rsid w:val="00BC5C74"/>
    <w:rsid w:val="00BC5D1D"/>
    <w:rsid w:val="00BC5E17"/>
    <w:rsid w:val="00BC5FF9"/>
    <w:rsid w:val="00BC6018"/>
    <w:rsid w:val="00BC607C"/>
    <w:rsid w:val="00BC6192"/>
    <w:rsid w:val="00BC6738"/>
    <w:rsid w:val="00BC6EBE"/>
    <w:rsid w:val="00BC7A9B"/>
    <w:rsid w:val="00BC7BD6"/>
    <w:rsid w:val="00BD0066"/>
    <w:rsid w:val="00BD02EA"/>
    <w:rsid w:val="00BD0CE9"/>
    <w:rsid w:val="00BD0D1C"/>
    <w:rsid w:val="00BD1857"/>
    <w:rsid w:val="00BD2056"/>
    <w:rsid w:val="00BD2893"/>
    <w:rsid w:val="00BD293F"/>
    <w:rsid w:val="00BD2942"/>
    <w:rsid w:val="00BD2D89"/>
    <w:rsid w:val="00BD2EA5"/>
    <w:rsid w:val="00BD3109"/>
    <w:rsid w:val="00BD3350"/>
    <w:rsid w:val="00BD3574"/>
    <w:rsid w:val="00BD40DE"/>
    <w:rsid w:val="00BD4340"/>
    <w:rsid w:val="00BD4B35"/>
    <w:rsid w:val="00BD4BE5"/>
    <w:rsid w:val="00BD4E50"/>
    <w:rsid w:val="00BD5166"/>
    <w:rsid w:val="00BD525E"/>
    <w:rsid w:val="00BD5667"/>
    <w:rsid w:val="00BD5A1B"/>
    <w:rsid w:val="00BD5C1B"/>
    <w:rsid w:val="00BD5C79"/>
    <w:rsid w:val="00BD6738"/>
    <w:rsid w:val="00BD6757"/>
    <w:rsid w:val="00BD68C4"/>
    <w:rsid w:val="00BD6945"/>
    <w:rsid w:val="00BD6A02"/>
    <w:rsid w:val="00BD6CA7"/>
    <w:rsid w:val="00BD6D78"/>
    <w:rsid w:val="00BD6F01"/>
    <w:rsid w:val="00BD7235"/>
    <w:rsid w:val="00BD743A"/>
    <w:rsid w:val="00BD7A4B"/>
    <w:rsid w:val="00BD7AA9"/>
    <w:rsid w:val="00BE003B"/>
    <w:rsid w:val="00BE0055"/>
    <w:rsid w:val="00BE025F"/>
    <w:rsid w:val="00BE0372"/>
    <w:rsid w:val="00BE09AC"/>
    <w:rsid w:val="00BE0A18"/>
    <w:rsid w:val="00BE106D"/>
    <w:rsid w:val="00BE11CD"/>
    <w:rsid w:val="00BE141E"/>
    <w:rsid w:val="00BE18AA"/>
    <w:rsid w:val="00BE231E"/>
    <w:rsid w:val="00BE2BC7"/>
    <w:rsid w:val="00BE2D1F"/>
    <w:rsid w:val="00BE33BF"/>
    <w:rsid w:val="00BE3EB6"/>
    <w:rsid w:val="00BE4174"/>
    <w:rsid w:val="00BE4492"/>
    <w:rsid w:val="00BE4523"/>
    <w:rsid w:val="00BE4622"/>
    <w:rsid w:val="00BE4C89"/>
    <w:rsid w:val="00BE4D5B"/>
    <w:rsid w:val="00BE517A"/>
    <w:rsid w:val="00BE5220"/>
    <w:rsid w:val="00BE523A"/>
    <w:rsid w:val="00BE546C"/>
    <w:rsid w:val="00BE5B99"/>
    <w:rsid w:val="00BE5DA8"/>
    <w:rsid w:val="00BE5E98"/>
    <w:rsid w:val="00BE5FD5"/>
    <w:rsid w:val="00BE63FF"/>
    <w:rsid w:val="00BE6403"/>
    <w:rsid w:val="00BE672B"/>
    <w:rsid w:val="00BE6761"/>
    <w:rsid w:val="00BE67BE"/>
    <w:rsid w:val="00BE6932"/>
    <w:rsid w:val="00BE6C14"/>
    <w:rsid w:val="00BE703F"/>
    <w:rsid w:val="00BE7637"/>
    <w:rsid w:val="00BE7643"/>
    <w:rsid w:val="00BE7AA5"/>
    <w:rsid w:val="00BE7EE5"/>
    <w:rsid w:val="00BF06B3"/>
    <w:rsid w:val="00BF0970"/>
    <w:rsid w:val="00BF0976"/>
    <w:rsid w:val="00BF0EC5"/>
    <w:rsid w:val="00BF1967"/>
    <w:rsid w:val="00BF1CFD"/>
    <w:rsid w:val="00BF1D08"/>
    <w:rsid w:val="00BF247E"/>
    <w:rsid w:val="00BF2A42"/>
    <w:rsid w:val="00BF2BA5"/>
    <w:rsid w:val="00BF2D64"/>
    <w:rsid w:val="00BF30A5"/>
    <w:rsid w:val="00BF313C"/>
    <w:rsid w:val="00BF3241"/>
    <w:rsid w:val="00BF3337"/>
    <w:rsid w:val="00BF3561"/>
    <w:rsid w:val="00BF36E6"/>
    <w:rsid w:val="00BF3C49"/>
    <w:rsid w:val="00BF3E7D"/>
    <w:rsid w:val="00BF3F64"/>
    <w:rsid w:val="00BF4188"/>
    <w:rsid w:val="00BF41D3"/>
    <w:rsid w:val="00BF41FC"/>
    <w:rsid w:val="00BF52C8"/>
    <w:rsid w:val="00BF556A"/>
    <w:rsid w:val="00BF577A"/>
    <w:rsid w:val="00BF5857"/>
    <w:rsid w:val="00BF5992"/>
    <w:rsid w:val="00BF5A27"/>
    <w:rsid w:val="00BF5AED"/>
    <w:rsid w:val="00BF5AEF"/>
    <w:rsid w:val="00BF5C93"/>
    <w:rsid w:val="00BF5EBF"/>
    <w:rsid w:val="00BF5FF4"/>
    <w:rsid w:val="00BF639C"/>
    <w:rsid w:val="00BF64F1"/>
    <w:rsid w:val="00BF6832"/>
    <w:rsid w:val="00BF6C2F"/>
    <w:rsid w:val="00BF6D05"/>
    <w:rsid w:val="00BF6E00"/>
    <w:rsid w:val="00BF78B2"/>
    <w:rsid w:val="00BF7E49"/>
    <w:rsid w:val="00BF7FFD"/>
    <w:rsid w:val="00C00162"/>
    <w:rsid w:val="00C00AFC"/>
    <w:rsid w:val="00C00CCD"/>
    <w:rsid w:val="00C00E07"/>
    <w:rsid w:val="00C01195"/>
    <w:rsid w:val="00C0140C"/>
    <w:rsid w:val="00C015AB"/>
    <w:rsid w:val="00C018E6"/>
    <w:rsid w:val="00C01CAF"/>
    <w:rsid w:val="00C01D3D"/>
    <w:rsid w:val="00C01D74"/>
    <w:rsid w:val="00C029B1"/>
    <w:rsid w:val="00C02BC9"/>
    <w:rsid w:val="00C02D22"/>
    <w:rsid w:val="00C03196"/>
    <w:rsid w:val="00C03485"/>
    <w:rsid w:val="00C037C3"/>
    <w:rsid w:val="00C03C5C"/>
    <w:rsid w:val="00C03EB2"/>
    <w:rsid w:val="00C03FFE"/>
    <w:rsid w:val="00C04446"/>
    <w:rsid w:val="00C04766"/>
    <w:rsid w:val="00C04811"/>
    <w:rsid w:val="00C04863"/>
    <w:rsid w:val="00C04B64"/>
    <w:rsid w:val="00C04CF0"/>
    <w:rsid w:val="00C0502E"/>
    <w:rsid w:val="00C051E6"/>
    <w:rsid w:val="00C054CC"/>
    <w:rsid w:val="00C055D7"/>
    <w:rsid w:val="00C055D8"/>
    <w:rsid w:val="00C055F4"/>
    <w:rsid w:val="00C059BC"/>
    <w:rsid w:val="00C06110"/>
    <w:rsid w:val="00C06206"/>
    <w:rsid w:val="00C0684C"/>
    <w:rsid w:val="00C06CCA"/>
    <w:rsid w:val="00C06E82"/>
    <w:rsid w:val="00C06F2F"/>
    <w:rsid w:val="00C07140"/>
    <w:rsid w:val="00C07388"/>
    <w:rsid w:val="00C0773B"/>
    <w:rsid w:val="00C07798"/>
    <w:rsid w:val="00C07C75"/>
    <w:rsid w:val="00C07DFA"/>
    <w:rsid w:val="00C1013E"/>
    <w:rsid w:val="00C10AD8"/>
    <w:rsid w:val="00C110EF"/>
    <w:rsid w:val="00C11121"/>
    <w:rsid w:val="00C113CB"/>
    <w:rsid w:val="00C11605"/>
    <w:rsid w:val="00C11C82"/>
    <w:rsid w:val="00C11E7B"/>
    <w:rsid w:val="00C1208B"/>
    <w:rsid w:val="00C1228E"/>
    <w:rsid w:val="00C12735"/>
    <w:rsid w:val="00C12D07"/>
    <w:rsid w:val="00C13396"/>
    <w:rsid w:val="00C1350C"/>
    <w:rsid w:val="00C13D72"/>
    <w:rsid w:val="00C1414E"/>
    <w:rsid w:val="00C143F4"/>
    <w:rsid w:val="00C14447"/>
    <w:rsid w:val="00C14583"/>
    <w:rsid w:val="00C1475F"/>
    <w:rsid w:val="00C14789"/>
    <w:rsid w:val="00C147D4"/>
    <w:rsid w:val="00C14B7D"/>
    <w:rsid w:val="00C15110"/>
    <w:rsid w:val="00C15353"/>
    <w:rsid w:val="00C15A01"/>
    <w:rsid w:val="00C15BCE"/>
    <w:rsid w:val="00C15BD2"/>
    <w:rsid w:val="00C15D76"/>
    <w:rsid w:val="00C15FB6"/>
    <w:rsid w:val="00C161E9"/>
    <w:rsid w:val="00C164B7"/>
    <w:rsid w:val="00C169FC"/>
    <w:rsid w:val="00C16C87"/>
    <w:rsid w:val="00C17125"/>
    <w:rsid w:val="00C17130"/>
    <w:rsid w:val="00C1798C"/>
    <w:rsid w:val="00C17DD7"/>
    <w:rsid w:val="00C20112"/>
    <w:rsid w:val="00C201E9"/>
    <w:rsid w:val="00C201EA"/>
    <w:rsid w:val="00C202DC"/>
    <w:rsid w:val="00C2068C"/>
    <w:rsid w:val="00C20DD4"/>
    <w:rsid w:val="00C20E53"/>
    <w:rsid w:val="00C21176"/>
    <w:rsid w:val="00C21CE8"/>
    <w:rsid w:val="00C220A5"/>
    <w:rsid w:val="00C22212"/>
    <w:rsid w:val="00C22276"/>
    <w:rsid w:val="00C224B6"/>
    <w:rsid w:val="00C22552"/>
    <w:rsid w:val="00C226A1"/>
    <w:rsid w:val="00C2282D"/>
    <w:rsid w:val="00C22950"/>
    <w:rsid w:val="00C22B26"/>
    <w:rsid w:val="00C23053"/>
    <w:rsid w:val="00C23322"/>
    <w:rsid w:val="00C235BE"/>
    <w:rsid w:val="00C242AF"/>
    <w:rsid w:val="00C24637"/>
    <w:rsid w:val="00C24839"/>
    <w:rsid w:val="00C2495F"/>
    <w:rsid w:val="00C24BA6"/>
    <w:rsid w:val="00C24DDB"/>
    <w:rsid w:val="00C254CD"/>
    <w:rsid w:val="00C254E7"/>
    <w:rsid w:val="00C25607"/>
    <w:rsid w:val="00C261F5"/>
    <w:rsid w:val="00C268F5"/>
    <w:rsid w:val="00C26938"/>
    <w:rsid w:val="00C26C1C"/>
    <w:rsid w:val="00C26D5E"/>
    <w:rsid w:val="00C26F31"/>
    <w:rsid w:val="00C26F99"/>
    <w:rsid w:val="00C27100"/>
    <w:rsid w:val="00C275C9"/>
    <w:rsid w:val="00C27A0B"/>
    <w:rsid w:val="00C27BD8"/>
    <w:rsid w:val="00C30C21"/>
    <w:rsid w:val="00C30C95"/>
    <w:rsid w:val="00C30D19"/>
    <w:rsid w:val="00C30D6C"/>
    <w:rsid w:val="00C30E23"/>
    <w:rsid w:val="00C30FAE"/>
    <w:rsid w:val="00C311D9"/>
    <w:rsid w:val="00C318E0"/>
    <w:rsid w:val="00C31CC8"/>
    <w:rsid w:val="00C320D9"/>
    <w:rsid w:val="00C323B0"/>
    <w:rsid w:val="00C329D0"/>
    <w:rsid w:val="00C333FB"/>
    <w:rsid w:val="00C3347E"/>
    <w:rsid w:val="00C3380D"/>
    <w:rsid w:val="00C339C8"/>
    <w:rsid w:val="00C33B29"/>
    <w:rsid w:val="00C3406D"/>
    <w:rsid w:val="00C340D0"/>
    <w:rsid w:val="00C341BB"/>
    <w:rsid w:val="00C346CD"/>
    <w:rsid w:val="00C34BB7"/>
    <w:rsid w:val="00C34E42"/>
    <w:rsid w:val="00C35178"/>
    <w:rsid w:val="00C35571"/>
    <w:rsid w:val="00C356D7"/>
    <w:rsid w:val="00C35ACE"/>
    <w:rsid w:val="00C35FDF"/>
    <w:rsid w:val="00C36382"/>
    <w:rsid w:val="00C366B5"/>
    <w:rsid w:val="00C36737"/>
    <w:rsid w:val="00C36901"/>
    <w:rsid w:val="00C36A0F"/>
    <w:rsid w:val="00C36A4A"/>
    <w:rsid w:val="00C36A7E"/>
    <w:rsid w:val="00C36F2C"/>
    <w:rsid w:val="00C37392"/>
    <w:rsid w:val="00C37393"/>
    <w:rsid w:val="00C373BE"/>
    <w:rsid w:val="00C3787C"/>
    <w:rsid w:val="00C37926"/>
    <w:rsid w:val="00C37D82"/>
    <w:rsid w:val="00C40A7D"/>
    <w:rsid w:val="00C40E8A"/>
    <w:rsid w:val="00C40FF1"/>
    <w:rsid w:val="00C4100D"/>
    <w:rsid w:val="00C414A4"/>
    <w:rsid w:val="00C4189E"/>
    <w:rsid w:val="00C41AF4"/>
    <w:rsid w:val="00C41E35"/>
    <w:rsid w:val="00C420FC"/>
    <w:rsid w:val="00C42136"/>
    <w:rsid w:val="00C42299"/>
    <w:rsid w:val="00C42786"/>
    <w:rsid w:val="00C427E9"/>
    <w:rsid w:val="00C42983"/>
    <w:rsid w:val="00C43161"/>
    <w:rsid w:val="00C4358E"/>
    <w:rsid w:val="00C43F12"/>
    <w:rsid w:val="00C441DC"/>
    <w:rsid w:val="00C44217"/>
    <w:rsid w:val="00C4484D"/>
    <w:rsid w:val="00C4496E"/>
    <w:rsid w:val="00C44F08"/>
    <w:rsid w:val="00C4594B"/>
    <w:rsid w:val="00C45A9A"/>
    <w:rsid w:val="00C45C6A"/>
    <w:rsid w:val="00C4629E"/>
    <w:rsid w:val="00C46A61"/>
    <w:rsid w:val="00C46E84"/>
    <w:rsid w:val="00C4721D"/>
    <w:rsid w:val="00C47460"/>
    <w:rsid w:val="00C475BE"/>
    <w:rsid w:val="00C478DE"/>
    <w:rsid w:val="00C47AEF"/>
    <w:rsid w:val="00C47DDF"/>
    <w:rsid w:val="00C50119"/>
    <w:rsid w:val="00C50513"/>
    <w:rsid w:val="00C507B7"/>
    <w:rsid w:val="00C50A90"/>
    <w:rsid w:val="00C50E10"/>
    <w:rsid w:val="00C50EAF"/>
    <w:rsid w:val="00C50F03"/>
    <w:rsid w:val="00C51492"/>
    <w:rsid w:val="00C514F2"/>
    <w:rsid w:val="00C5164A"/>
    <w:rsid w:val="00C518BD"/>
    <w:rsid w:val="00C51915"/>
    <w:rsid w:val="00C51922"/>
    <w:rsid w:val="00C51BC4"/>
    <w:rsid w:val="00C5204D"/>
    <w:rsid w:val="00C5204E"/>
    <w:rsid w:val="00C52860"/>
    <w:rsid w:val="00C528AC"/>
    <w:rsid w:val="00C52BF1"/>
    <w:rsid w:val="00C52F5A"/>
    <w:rsid w:val="00C537F2"/>
    <w:rsid w:val="00C53A51"/>
    <w:rsid w:val="00C53B25"/>
    <w:rsid w:val="00C53F00"/>
    <w:rsid w:val="00C5423E"/>
    <w:rsid w:val="00C54424"/>
    <w:rsid w:val="00C544F2"/>
    <w:rsid w:val="00C545B5"/>
    <w:rsid w:val="00C54813"/>
    <w:rsid w:val="00C54A11"/>
    <w:rsid w:val="00C54D85"/>
    <w:rsid w:val="00C54D8F"/>
    <w:rsid w:val="00C54F79"/>
    <w:rsid w:val="00C5538D"/>
    <w:rsid w:val="00C555EA"/>
    <w:rsid w:val="00C558B6"/>
    <w:rsid w:val="00C55AC0"/>
    <w:rsid w:val="00C56514"/>
    <w:rsid w:val="00C56571"/>
    <w:rsid w:val="00C5660A"/>
    <w:rsid w:val="00C56626"/>
    <w:rsid w:val="00C566AF"/>
    <w:rsid w:val="00C567D0"/>
    <w:rsid w:val="00C56885"/>
    <w:rsid w:val="00C56A21"/>
    <w:rsid w:val="00C56A89"/>
    <w:rsid w:val="00C571D7"/>
    <w:rsid w:val="00C57367"/>
    <w:rsid w:val="00C5769B"/>
    <w:rsid w:val="00C601C9"/>
    <w:rsid w:val="00C6055D"/>
    <w:rsid w:val="00C608E0"/>
    <w:rsid w:val="00C60C02"/>
    <w:rsid w:val="00C60CDD"/>
    <w:rsid w:val="00C6112E"/>
    <w:rsid w:val="00C611DB"/>
    <w:rsid w:val="00C611ED"/>
    <w:rsid w:val="00C61EC2"/>
    <w:rsid w:val="00C6212A"/>
    <w:rsid w:val="00C62812"/>
    <w:rsid w:val="00C62FB7"/>
    <w:rsid w:val="00C62FB8"/>
    <w:rsid w:val="00C6351E"/>
    <w:rsid w:val="00C6368D"/>
    <w:rsid w:val="00C6382D"/>
    <w:rsid w:val="00C63A96"/>
    <w:rsid w:val="00C63DF5"/>
    <w:rsid w:val="00C63F04"/>
    <w:rsid w:val="00C642F3"/>
    <w:rsid w:val="00C64330"/>
    <w:rsid w:val="00C64508"/>
    <w:rsid w:val="00C645D7"/>
    <w:rsid w:val="00C6463C"/>
    <w:rsid w:val="00C646E2"/>
    <w:rsid w:val="00C647ED"/>
    <w:rsid w:val="00C64AE4"/>
    <w:rsid w:val="00C64BC1"/>
    <w:rsid w:val="00C65291"/>
    <w:rsid w:val="00C6580D"/>
    <w:rsid w:val="00C65821"/>
    <w:rsid w:val="00C65A09"/>
    <w:rsid w:val="00C65AB8"/>
    <w:rsid w:val="00C65F75"/>
    <w:rsid w:val="00C66094"/>
    <w:rsid w:val="00C66369"/>
    <w:rsid w:val="00C66803"/>
    <w:rsid w:val="00C669DB"/>
    <w:rsid w:val="00C66CB5"/>
    <w:rsid w:val="00C673D1"/>
    <w:rsid w:val="00C67437"/>
    <w:rsid w:val="00C674F3"/>
    <w:rsid w:val="00C675D1"/>
    <w:rsid w:val="00C6778D"/>
    <w:rsid w:val="00C67966"/>
    <w:rsid w:val="00C70531"/>
    <w:rsid w:val="00C7072D"/>
    <w:rsid w:val="00C7094D"/>
    <w:rsid w:val="00C70950"/>
    <w:rsid w:val="00C70BAF"/>
    <w:rsid w:val="00C70D2D"/>
    <w:rsid w:val="00C70FBB"/>
    <w:rsid w:val="00C71025"/>
    <w:rsid w:val="00C712EB"/>
    <w:rsid w:val="00C7144D"/>
    <w:rsid w:val="00C7189B"/>
    <w:rsid w:val="00C72864"/>
    <w:rsid w:val="00C72C56"/>
    <w:rsid w:val="00C72DC3"/>
    <w:rsid w:val="00C72DD4"/>
    <w:rsid w:val="00C7302D"/>
    <w:rsid w:val="00C733F2"/>
    <w:rsid w:val="00C734A0"/>
    <w:rsid w:val="00C7389F"/>
    <w:rsid w:val="00C7395C"/>
    <w:rsid w:val="00C73B72"/>
    <w:rsid w:val="00C73C9B"/>
    <w:rsid w:val="00C73D04"/>
    <w:rsid w:val="00C73D5C"/>
    <w:rsid w:val="00C73E8C"/>
    <w:rsid w:val="00C74298"/>
    <w:rsid w:val="00C742C8"/>
    <w:rsid w:val="00C74772"/>
    <w:rsid w:val="00C748A2"/>
    <w:rsid w:val="00C74B6F"/>
    <w:rsid w:val="00C759E0"/>
    <w:rsid w:val="00C760C4"/>
    <w:rsid w:val="00C7625C"/>
    <w:rsid w:val="00C76293"/>
    <w:rsid w:val="00C7650A"/>
    <w:rsid w:val="00C76717"/>
    <w:rsid w:val="00C76955"/>
    <w:rsid w:val="00C76C96"/>
    <w:rsid w:val="00C76FA8"/>
    <w:rsid w:val="00C7703E"/>
    <w:rsid w:val="00C77427"/>
    <w:rsid w:val="00C775DE"/>
    <w:rsid w:val="00C77A9C"/>
    <w:rsid w:val="00C77BD5"/>
    <w:rsid w:val="00C80018"/>
    <w:rsid w:val="00C80145"/>
    <w:rsid w:val="00C8018A"/>
    <w:rsid w:val="00C80473"/>
    <w:rsid w:val="00C80643"/>
    <w:rsid w:val="00C8099A"/>
    <w:rsid w:val="00C80D17"/>
    <w:rsid w:val="00C80E16"/>
    <w:rsid w:val="00C8101C"/>
    <w:rsid w:val="00C81478"/>
    <w:rsid w:val="00C8159B"/>
    <w:rsid w:val="00C815BD"/>
    <w:rsid w:val="00C816D5"/>
    <w:rsid w:val="00C819A0"/>
    <w:rsid w:val="00C81CE4"/>
    <w:rsid w:val="00C81FB0"/>
    <w:rsid w:val="00C823AF"/>
    <w:rsid w:val="00C82484"/>
    <w:rsid w:val="00C82615"/>
    <w:rsid w:val="00C826FF"/>
    <w:rsid w:val="00C82818"/>
    <w:rsid w:val="00C8295A"/>
    <w:rsid w:val="00C82A4B"/>
    <w:rsid w:val="00C82C29"/>
    <w:rsid w:val="00C82F5B"/>
    <w:rsid w:val="00C83060"/>
    <w:rsid w:val="00C83113"/>
    <w:rsid w:val="00C83167"/>
    <w:rsid w:val="00C837F1"/>
    <w:rsid w:val="00C83955"/>
    <w:rsid w:val="00C839DD"/>
    <w:rsid w:val="00C8430D"/>
    <w:rsid w:val="00C84715"/>
    <w:rsid w:val="00C847CA"/>
    <w:rsid w:val="00C84B98"/>
    <w:rsid w:val="00C84BC2"/>
    <w:rsid w:val="00C84DB6"/>
    <w:rsid w:val="00C84E0E"/>
    <w:rsid w:val="00C84E20"/>
    <w:rsid w:val="00C85038"/>
    <w:rsid w:val="00C85AA7"/>
    <w:rsid w:val="00C85BF0"/>
    <w:rsid w:val="00C864C0"/>
    <w:rsid w:val="00C865A0"/>
    <w:rsid w:val="00C86727"/>
    <w:rsid w:val="00C86A32"/>
    <w:rsid w:val="00C86B65"/>
    <w:rsid w:val="00C86F45"/>
    <w:rsid w:val="00C86F8D"/>
    <w:rsid w:val="00C870D8"/>
    <w:rsid w:val="00C87107"/>
    <w:rsid w:val="00C8717E"/>
    <w:rsid w:val="00C871F1"/>
    <w:rsid w:val="00C87366"/>
    <w:rsid w:val="00C87430"/>
    <w:rsid w:val="00C87AE1"/>
    <w:rsid w:val="00C87C00"/>
    <w:rsid w:val="00C87C3E"/>
    <w:rsid w:val="00C87C80"/>
    <w:rsid w:val="00C87F3D"/>
    <w:rsid w:val="00C87FAF"/>
    <w:rsid w:val="00C903B7"/>
    <w:rsid w:val="00C90C80"/>
    <w:rsid w:val="00C90E4C"/>
    <w:rsid w:val="00C90FDF"/>
    <w:rsid w:val="00C91533"/>
    <w:rsid w:val="00C91BF8"/>
    <w:rsid w:val="00C92327"/>
    <w:rsid w:val="00C9265D"/>
    <w:rsid w:val="00C92977"/>
    <w:rsid w:val="00C929AC"/>
    <w:rsid w:val="00C931B6"/>
    <w:rsid w:val="00C931DC"/>
    <w:rsid w:val="00C93261"/>
    <w:rsid w:val="00C93487"/>
    <w:rsid w:val="00C93571"/>
    <w:rsid w:val="00C93A24"/>
    <w:rsid w:val="00C93B78"/>
    <w:rsid w:val="00C93D2C"/>
    <w:rsid w:val="00C93E66"/>
    <w:rsid w:val="00C94174"/>
    <w:rsid w:val="00C9437B"/>
    <w:rsid w:val="00C943D8"/>
    <w:rsid w:val="00C944C7"/>
    <w:rsid w:val="00C944D2"/>
    <w:rsid w:val="00C94C27"/>
    <w:rsid w:val="00C94C42"/>
    <w:rsid w:val="00C94F3F"/>
    <w:rsid w:val="00C95300"/>
    <w:rsid w:val="00C95A9A"/>
    <w:rsid w:val="00C95DD5"/>
    <w:rsid w:val="00C95DEF"/>
    <w:rsid w:val="00C95E41"/>
    <w:rsid w:val="00C96983"/>
    <w:rsid w:val="00C96EA0"/>
    <w:rsid w:val="00C973B6"/>
    <w:rsid w:val="00C97505"/>
    <w:rsid w:val="00C9765C"/>
    <w:rsid w:val="00C978B3"/>
    <w:rsid w:val="00C97F94"/>
    <w:rsid w:val="00CA023D"/>
    <w:rsid w:val="00CA05CD"/>
    <w:rsid w:val="00CA0676"/>
    <w:rsid w:val="00CA08B9"/>
    <w:rsid w:val="00CA0954"/>
    <w:rsid w:val="00CA0A56"/>
    <w:rsid w:val="00CA0ABC"/>
    <w:rsid w:val="00CA0CB3"/>
    <w:rsid w:val="00CA0D9A"/>
    <w:rsid w:val="00CA0DE6"/>
    <w:rsid w:val="00CA0F2B"/>
    <w:rsid w:val="00CA10A8"/>
    <w:rsid w:val="00CA1351"/>
    <w:rsid w:val="00CA1771"/>
    <w:rsid w:val="00CA1A7F"/>
    <w:rsid w:val="00CA1C53"/>
    <w:rsid w:val="00CA248B"/>
    <w:rsid w:val="00CA2688"/>
    <w:rsid w:val="00CA2958"/>
    <w:rsid w:val="00CA2DA0"/>
    <w:rsid w:val="00CA2E8E"/>
    <w:rsid w:val="00CA363D"/>
    <w:rsid w:val="00CA367E"/>
    <w:rsid w:val="00CA392A"/>
    <w:rsid w:val="00CA3E89"/>
    <w:rsid w:val="00CA4125"/>
    <w:rsid w:val="00CA45B0"/>
    <w:rsid w:val="00CA45D4"/>
    <w:rsid w:val="00CA4971"/>
    <w:rsid w:val="00CA4DF8"/>
    <w:rsid w:val="00CA5214"/>
    <w:rsid w:val="00CA5239"/>
    <w:rsid w:val="00CA5526"/>
    <w:rsid w:val="00CA57FB"/>
    <w:rsid w:val="00CA5E5F"/>
    <w:rsid w:val="00CA601E"/>
    <w:rsid w:val="00CA636C"/>
    <w:rsid w:val="00CA6461"/>
    <w:rsid w:val="00CA71F8"/>
    <w:rsid w:val="00CA72A5"/>
    <w:rsid w:val="00CA7407"/>
    <w:rsid w:val="00CA7743"/>
    <w:rsid w:val="00CA78F5"/>
    <w:rsid w:val="00CB0029"/>
    <w:rsid w:val="00CB023A"/>
    <w:rsid w:val="00CB02AB"/>
    <w:rsid w:val="00CB044D"/>
    <w:rsid w:val="00CB0674"/>
    <w:rsid w:val="00CB08A4"/>
    <w:rsid w:val="00CB0C1A"/>
    <w:rsid w:val="00CB104D"/>
    <w:rsid w:val="00CB161C"/>
    <w:rsid w:val="00CB1AF2"/>
    <w:rsid w:val="00CB1FA4"/>
    <w:rsid w:val="00CB214B"/>
    <w:rsid w:val="00CB216D"/>
    <w:rsid w:val="00CB21FF"/>
    <w:rsid w:val="00CB250D"/>
    <w:rsid w:val="00CB2AA3"/>
    <w:rsid w:val="00CB2F72"/>
    <w:rsid w:val="00CB30C2"/>
    <w:rsid w:val="00CB3286"/>
    <w:rsid w:val="00CB36C4"/>
    <w:rsid w:val="00CB38DE"/>
    <w:rsid w:val="00CB3BA1"/>
    <w:rsid w:val="00CB3BC7"/>
    <w:rsid w:val="00CB3E14"/>
    <w:rsid w:val="00CB4151"/>
    <w:rsid w:val="00CB4563"/>
    <w:rsid w:val="00CB462B"/>
    <w:rsid w:val="00CB4B8D"/>
    <w:rsid w:val="00CB4C31"/>
    <w:rsid w:val="00CB4D82"/>
    <w:rsid w:val="00CB512F"/>
    <w:rsid w:val="00CB51AD"/>
    <w:rsid w:val="00CB5399"/>
    <w:rsid w:val="00CB54EA"/>
    <w:rsid w:val="00CB565B"/>
    <w:rsid w:val="00CB598D"/>
    <w:rsid w:val="00CB5B77"/>
    <w:rsid w:val="00CB5D0E"/>
    <w:rsid w:val="00CB5D31"/>
    <w:rsid w:val="00CB5F3B"/>
    <w:rsid w:val="00CB60E1"/>
    <w:rsid w:val="00CB63EA"/>
    <w:rsid w:val="00CB650C"/>
    <w:rsid w:val="00CB6D23"/>
    <w:rsid w:val="00CB786D"/>
    <w:rsid w:val="00CB7982"/>
    <w:rsid w:val="00CB7BAA"/>
    <w:rsid w:val="00CB7CB9"/>
    <w:rsid w:val="00CC00DF"/>
    <w:rsid w:val="00CC078C"/>
    <w:rsid w:val="00CC0D7D"/>
    <w:rsid w:val="00CC0E0E"/>
    <w:rsid w:val="00CC177E"/>
    <w:rsid w:val="00CC19BD"/>
    <w:rsid w:val="00CC1A5D"/>
    <w:rsid w:val="00CC1D4B"/>
    <w:rsid w:val="00CC1E82"/>
    <w:rsid w:val="00CC1F5B"/>
    <w:rsid w:val="00CC25E1"/>
    <w:rsid w:val="00CC2845"/>
    <w:rsid w:val="00CC2A9F"/>
    <w:rsid w:val="00CC2B38"/>
    <w:rsid w:val="00CC2B3C"/>
    <w:rsid w:val="00CC2F8A"/>
    <w:rsid w:val="00CC3125"/>
    <w:rsid w:val="00CC328F"/>
    <w:rsid w:val="00CC34E7"/>
    <w:rsid w:val="00CC3572"/>
    <w:rsid w:val="00CC35B7"/>
    <w:rsid w:val="00CC39E1"/>
    <w:rsid w:val="00CC3EC1"/>
    <w:rsid w:val="00CC3EDD"/>
    <w:rsid w:val="00CC45FA"/>
    <w:rsid w:val="00CC46FD"/>
    <w:rsid w:val="00CC4BB5"/>
    <w:rsid w:val="00CC4D14"/>
    <w:rsid w:val="00CC4EC7"/>
    <w:rsid w:val="00CC4EFC"/>
    <w:rsid w:val="00CC582B"/>
    <w:rsid w:val="00CC5AF0"/>
    <w:rsid w:val="00CC5F59"/>
    <w:rsid w:val="00CC6262"/>
    <w:rsid w:val="00CC6754"/>
    <w:rsid w:val="00CC6853"/>
    <w:rsid w:val="00CC68AF"/>
    <w:rsid w:val="00CC7184"/>
    <w:rsid w:val="00CC7349"/>
    <w:rsid w:val="00CC73AC"/>
    <w:rsid w:val="00CC7575"/>
    <w:rsid w:val="00CC759F"/>
    <w:rsid w:val="00CC7658"/>
    <w:rsid w:val="00CC7690"/>
    <w:rsid w:val="00CC7947"/>
    <w:rsid w:val="00CC7F42"/>
    <w:rsid w:val="00CC7F48"/>
    <w:rsid w:val="00CD06F4"/>
    <w:rsid w:val="00CD0C1E"/>
    <w:rsid w:val="00CD1187"/>
    <w:rsid w:val="00CD1409"/>
    <w:rsid w:val="00CD1B97"/>
    <w:rsid w:val="00CD1E1F"/>
    <w:rsid w:val="00CD2396"/>
    <w:rsid w:val="00CD29BD"/>
    <w:rsid w:val="00CD2CBE"/>
    <w:rsid w:val="00CD30C2"/>
    <w:rsid w:val="00CD331F"/>
    <w:rsid w:val="00CD3501"/>
    <w:rsid w:val="00CD38E3"/>
    <w:rsid w:val="00CD3921"/>
    <w:rsid w:val="00CD3B5E"/>
    <w:rsid w:val="00CD3B65"/>
    <w:rsid w:val="00CD3D4A"/>
    <w:rsid w:val="00CD3FBA"/>
    <w:rsid w:val="00CD439D"/>
    <w:rsid w:val="00CD43E3"/>
    <w:rsid w:val="00CD440D"/>
    <w:rsid w:val="00CD459F"/>
    <w:rsid w:val="00CD473D"/>
    <w:rsid w:val="00CD4830"/>
    <w:rsid w:val="00CD4A71"/>
    <w:rsid w:val="00CD4AA5"/>
    <w:rsid w:val="00CD4B57"/>
    <w:rsid w:val="00CD4C98"/>
    <w:rsid w:val="00CD5408"/>
    <w:rsid w:val="00CD56BD"/>
    <w:rsid w:val="00CD583D"/>
    <w:rsid w:val="00CD5F03"/>
    <w:rsid w:val="00CD60B3"/>
    <w:rsid w:val="00CD61FD"/>
    <w:rsid w:val="00CD670C"/>
    <w:rsid w:val="00CD6779"/>
    <w:rsid w:val="00CD6D10"/>
    <w:rsid w:val="00CD6F42"/>
    <w:rsid w:val="00CD7C4A"/>
    <w:rsid w:val="00CD7D9F"/>
    <w:rsid w:val="00CD7FA3"/>
    <w:rsid w:val="00CE029B"/>
    <w:rsid w:val="00CE0389"/>
    <w:rsid w:val="00CE064C"/>
    <w:rsid w:val="00CE0833"/>
    <w:rsid w:val="00CE0854"/>
    <w:rsid w:val="00CE097B"/>
    <w:rsid w:val="00CE0B85"/>
    <w:rsid w:val="00CE0E75"/>
    <w:rsid w:val="00CE1010"/>
    <w:rsid w:val="00CE1287"/>
    <w:rsid w:val="00CE136E"/>
    <w:rsid w:val="00CE1449"/>
    <w:rsid w:val="00CE151D"/>
    <w:rsid w:val="00CE164A"/>
    <w:rsid w:val="00CE18BA"/>
    <w:rsid w:val="00CE191E"/>
    <w:rsid w:val="00CE1A69"/>
    <w:rsid w:val="00CE1BB2"/>
    <w:rsid w:val="00CE1C66"/>
    <w:rsid w:val="00CE1FB9"/>
    <w:rsid w:val="00CE20D3"/>
    <w:rsid w:val="00CE236D"/>
    <w:rsid w:val="00CE2531"/>
    <w:rsid w:val="00CE2567"/>
    <w:rsid w:val="00CE2A50"/>
    <w:rsid w:val="00CE2C77"/>
    <w:rsid w:val="00CE2D12"/>
    <w:rsid w:val="00CE2E34"/>
    <w:rsid w:val="00CE3796"/>
    <w:rsid w:val="00CE398F"/>
    <w:rsid w:val="00CE3D69"/>
    <w:rsid w:val="00CE3E16"/>
    <w:rsid w:val="00CE44F1"/>
    <w:rsid w:val="00CE4591"/>
    <w:rsid w:val="00CE4969"/>
    <w:rsid w:val="00CE4E5D"/>
    <w:rsid w:val="00CE4F8B"/>
    <w:rsid w:val="00CE5251"/>
    <w:rsid w:val="00CE571F"/>
    <w:rsid w:val="00CE5AB6"/>
    <w:rsid w:val="00CE5B89"/>
    <w:rsid w:val="00CE6036"/>
    <w:rsid w:val="00CE627B"/>
    <w:rsid w:val="00CE64CB"/>
    <w:rsid w:val="00CE651B"/>
    <w:rsid w:val="00CE66E4"/>
    <w:rsid w:val="00CE673C"/>
    <w:rsid w:val="00CE69ED"/>
    <w:rsid w:val="00CE6A97"/>
    <w:rsid w:val="00CE6C5F"/>
    <w:rsid w:val="00CE6EFB"/>
    <w:rsid w:val="00CE705D"/>
    <w:rsid w:val="00CE70D3"/>
    <w:rsid w:val="00CE7750"/>
    <w:rsid w:val="00CE78AD"/>
    <w:rsid w:val="00CE7B59"/>
    <w:rsid w:val="00CE7C99"/>
    <w:rsid w:val="00CF0070"/>
    <w:rsid w:val="00CF036C"/>
    <w:rsid w:val="00CF0382"/>
    <w:rsid w:val="00CF042C"/>
    <w:rsid w:val="00CF04B8"/>
    <w:rsid w:val="00CF0C36"/>
    <w:rsid w:val="00CF154C"/>
    <w:rsid w:val="00CF16A6"/>
    <w:rsid w:val="00CF16CA"/>
    <w:rsid w:val="00CF1793"/>
    <w:rsid w:val="00CF1997"/>
    <w:rsid w:val="00CF19B3"/>
    <w:rsid w:val="00CF1AFF"/>
    <w:rsid w:val="00CF1BA5"/>
    <w:rsid w:val="00CF1BF6"/>
    <w:rsid w:val="00CF1C21"/>
    <w:rsid w:val="00CF1D00"/>
    <w:rsid w:val="00CF1EBE"/>
    <w:rsid w:val="00CF1ECF"/>
    <w:rsid w:val="00CF1FE9"/>
    <w:rsid w:val="00CF2126"/>
    <w:rsid w:val="00CF233E"/>
    <w:rsid w:val="00CF2E63"/>
    <w:rsid w:val="00CF2FD1"/>
    <w:rsid w:val="00CF376D"/>
    <w:rsid w:val="00CF3847"/>
    <w:rsid w:val="00CF3BEE"/>
    <w:rsid w:val="00CF3D93"/>
    <w:rsid w:val="00CF4316"/>
    <w:rsid w:val="00CF4592"/>
    <w:rsid w:val="00CF47B3"/>
    <w:rsid w:val="00CF49AE"/>
    <w:rsid w:val="00CF5133"/>
    <w:rsid w:val="00CF5359"/>
    <w:rsid w:val="00CF5514"/>
    <w:rsid w:val="00CF564F"/>
    <w:rsid w:val="00CF57EC"/>
    <w:rsid w:val="00CF5A92"/>
    <w:rsid w:val="00CF5AB5"/>
    <w:rsid w:val="00CF5B31"/>
    <w:rsid w:val="00CF5BFD"/>
    <w:rsid w:val="00CF5F20"/>
    <w:rsid w:val="00CF68D5"/>
    <w:rsid w:val="00CF6BB3"/>
    <w:rsid w:val="00CF6CDD"/>
    <w:rsid w:val="00CF70F6"/>
    <w:rsid w:val="00CF7285"/>
    <w:rsid w:val="00CF72B4"/>
    <w:rsid w:val="00CF745E"/>
    <w:rsid w:val="00CF7B71"/>
    <w:rsid w:val="00CF7DD3"/>
    <w:rsid w:val="00CF7F61"/>
    <w:rsid w:val="00D002B4"/>
    <w:rsid w:val="00D00354"/>
    <w:rsid w:val="00D003B8"/>
    <w:rsid w:val="00D006E9"/>
    <w:rsid w:val="00D00927"/>
    <w:rsid w:val="00D00BCA"/>
    <w:rsid w:val="00D00D14"/>
    <w:rsid w:val="00D00D33"/>
    <w:rsid w:val="00D00F13"/>
    <w:rsid w:val="00D01CD3"/>
    <w:rsid w:val="00D01DD8"/>
    <w:rsid w:val="00D020E3"/>
    <w:rsid w:val="00D02395"/>
    <w:rsid w:val="00D02BE7"/>
    <w:rsid w:val="00D02C08"/>
    <w:rsid w:val="00D02D81"/>
    <w:rsid w:val="00D02EBD"/>
    <w:rsid w:val="00D02F9E"/>
    <w:rsid w:val="00D0304B"/>
    <w:rsid w:val="00D03087"/>
    <w:rsid w:val="00D030F7"/>
    <w:rsid w:val="00D03805"/>
    <w:rsid w:val="00D03DEE"/>
    <w:rsid w:val="00D03F67"/>
    <w:rsid w:val="00D040A3"/>
    <w:rsid w:val="00D04441"/>
    <w:rsid w:val="00D046E1"/>
    <w:rsid w:val="00D047AC"/>
    <w:rsid w:val="00D0483E"/>
    <w:rsid w:val="00D04C1A"/>
    <w:rsid w:val="00D04E58"/>
    <w:rsid w:val="00D04FAE"/>
    <w:rsid w:val="00D05284"/>
    <w:rsid w:val="00D052B8"/>
    <w:rsid w:val="00D05605"/>
    <w:rsid w:val="00D05BAF"/>
    <w:rsid w:val="00D05E84"/>
    <w:rsid w:val="00D0631A"/>
    <w:rsid w:val="00D06941"/>
    <w:rsid w:val="00D06EC5"/>
    <w:rsid w:val="00D06F48"/>
    <w:rsid w:val="00D070E5"/>
    <w:rsid w:val="00D072BC"/>
    <w:rsid w:val="00D07457"/>
    <w:rsid w:val="00D076E1"/>
    <w:rsid w:val="00D079D4"/>
    <w:rsid w:val="00D07A0D"/>
    <w:rsid w:val="00D104C4"/>
    <w:rsid w:val="00D105A0"/>
    <w:rsid w:val="00D105CE"/>
    <w:rsid w:val="00D10946"/>
    <w:rsid w:val="00D10DCD"/>
    <w:rsid w:val="00D10F5E"/>
    <w:rsid w:val="00D1119F"/>
    <w:rsid w:val="00D1135D"/>
    <w:rsid w:val="00D1179E"/>
    <w:rsid w:val="00D118A4"/>
    <w:rsid w:val="00D11935"/>
    <w:rsid w:val="00D119EE"/>
    <w:rsid w:val="00D11B5D"/>
    <w:rsid w:val="00D11B70"/>
    <w:rsid w:val="00D11B94"/>
    <w:rsid w:val="00D11D4D"/>
    <w:rsid w:val="00D12112"/>
    <w:rsid w:val="00D12522"/>
    <w:rsid w:val="00D1252C"/>
    <w:rsid w:val="00D12813"/>
    <w:rsid w:val="00D13539"/>
    <w:rsid w:val="00D135DC"/>
    <w:rsid w:val="00D136E2"/>
    <w:rsid w:val="00D13D3F"/>
    <w:rsid w:val="00D141B4"/>
    <w:rsid w:val="00D142FA"/>
    <w:rsid w:val="00D14351"/>
    <w:rsid w:val="00D146DC"/>
    <w:rsid w:val="00D1481D"/>
    <w:rsid w:val="00D14948"/>
    <w:rsid w:val="00D1498D"/>
    <w:rsid w:val="00D14BC2"/>
    <w:rsid w:val="00D156B8"/>
    <w:rsid w:val="00D158A1"/>
    <w:rsid w:val="00D15989"/>
    <w:rsid w:val="00D15C33"/>
    <w:rsid w:val="00D16446"/>
    <w:rsid w:val="00D16922"/>
    <w:rsid w:val="00D16AA0"/>
    <w:rsid w:val="00D16AFC"/>
    <w:rsid w:val="00D16B17"/>
    <w:rsid w:val="00D16BD5"/>
    <w:rsid w:val="00D16CC0"/>
    <w:rsid w:val="00D17165"/>
    <w:rsid w:val="00D173E2"/>
    <w:rsid w:val="00D177A2"/>
    <w:rsid w:val="00D17DD0"/>
    <w:rsid w:val="00D17E7A"/>
    <w:rsid w:val="00D20455"/>
    <w:rsid w:val="00D20B7B"/>
    <w:rsid w:val="00D20C9E"/>
    <w:rsid w:val="00D20D95"/>
    <w:rsid w:val="00D21451"/>
    <w:rsid w:val="00D214F2"/>
    <w:rsid w:val="00D217AB"/>
    <w:rsid w:val="00D2253E"/>
    <w:rsid w:val="00D2282B"/>
    <w:rsid w:val="00D22899"/>
    <w:rsid w:val="00D22D58"/>
    <w:rsid w:val="00D22D6F"/>
    <w:rsid w:val="00D22FD3"/>
    <w:rsid w:val="00D23264"/>
    <w:rsid w:val="00D238A6"/>
    <w:rsid w:val="00D239D0"/>
    <w:rsid w:val="00D23A26"/>
    <w:rsid w:val="00D2438C"/>
    <w:rsid w:val="00D243F5"/>
    <w:rsid w:val="00D24574"/>
    <w:rsid w:val="00D24675"/>
    <w:rsid w:val="00D24CDD"/>
    <w:rsid w:val="00D24D7A"/>
    <w:rsid w:val="00D24E95"/>
    <w:rsid w:val="00D25005"/>
    <w:rsid w:val="00D256DF"/>
    <w:rsid w:val="00D25AB5"/>
    <w:rsid w:val="00D25C29"/>
    <w:rsid w:val="00D26343"/>
    <w:rsid w:val="00D267FB"/>
    <w:rsid w:val="00D26875"/>
    <w:rsid w:val="00D27111"/>
    <w:rsid w:val="00D271F5"/>
    <w:rsid w:val="00D27333"/>
    <w:rsid w:val="00D2747F"/>
    <w:rsid w:val="00D2771C"/>
    <w:rsid w:val="00D27D02"/>
    <w:rsid w:val="00D27EBC"/>
    <w:rsid w:val="00D27EC8"/>
    <w:rsid w:val="00D27EF1"/>
    <w:rsid w:val="00D3061B"/>
    <w:rsid w:val="00D30746"/>
    <w:rsid w:val="00D30EEF"/>
    <w:rsid w:val="00D31212"/>
    <w:rsid w:val="00D313B1"/>
    <w:rsid w:val="00D31678"/>
    <w:rsid w:val="00D31DC6"/>
    <w:rsid w:val="00D32043"/>
    <w:rsid w:val="00D32084"/>
    <w:rsid w:val="00D32476"/>
    <w:rsid w:val="00D3268B"/>
    <w:rsid w:val="00D3285A"/>
    <w:rsid w:val="00D3299C"/>
    <w:rsid w:val="00D32C9D"/>
    <w:rsid w:val="00D32CF2"/>
    <w:rsid w:val="00D330A5"/>
    <w:rsid w:val="00D337D3"/>
    <w:rsid w:val="00D3385A"/>
    <w:rsid w:val="00D338E7"/>
    <w:rsid w:val="00D33AA5"/>
    <w:rsid w:val="00D343BB"/>
    <w:rsid w:val="00D3489B"/>
    <w:rsid w:val="00D34971"/>
    <w:rsid w:val="00D34BEB"/>
    <w:rsid w:val="00D34C0D"/>
    <w:rsid w:val="00D35312"/>
    <w:rsid w:val="00D354CD"/>
    <w:rsid w:val="00D35DE1"/>
    <w:rsid w:val="00D35E52"/>
    <w:rsid w:val="00D362F5"/>
    <w:rsid w:val="00D365F8"/>
    <w:rsid w:val="00D366A1"/>
    <w:rsid w:val="00D36817"/>
    <w:rsid w:val="00D36BBC"/>
    <w:rsid w:val="00D36CE1"/>
    <w:rsid w:val="00D36EF2"/>
    <w:rsid w:val="00D370A8"/>
    <w:rsid w:val="00D370BC"/>
    <w:rsid w:val="00D37153"/>
    <w:rsid w:val="00D372A5"/>
    <w:rsid w:val="00D372C8"/>
    <w:rsid w:val="00D37476"/>
    <w:rsid w:val="00D37844"/>
    <w:rsid w:val="00D3789D"/>
    <w:rsid w:val="00D37A44"/>
    <w:rsid w:val="00D37C66"/>
    <w:rsid w:val="00D37C7D"/>
    <w:rsid w:val="00D37FFB"/>
    <w:rsid w:val="00D403E7"/>
    <w:rsid w:val="00D40774"/>
    <w:rsid w:val="00D407F0"/>
    <w:rsid w:val="00D40D96"/>
    <w:rsid w:val="00D41061"/>
    <w:rsid w:val="00D412A1"/>
    <w:rsid w:val="00D41AFD"/>
    <w:rsid w:val="00D41C1A"/>
    <w:rsid w:val="00D422F7"/>
    <w:rsid w:val="00D42593"/>
    <w:rsid w:val="00D42895"/>
    <w:rsid w:val="00D42DFC"/>
    <w:rsid w:val="00D42F51"/>
    <w:rsid w:val="00D43025"/>
    <w:rsid w:val="00D43040"/>
    <w:rsid w:val="00D4331E"/>
    <w:rsid w:val="00D437A0"/>
    <w:rsid w:val="00D43972"/>
    <w:rsid w:val="00D43BBA"/>
    <w:rsid w:val="00D43CB9"/>
    <w:rsid w:val="00D43D9E"/>
    <w:rsid w:val="00D43DB1"/>
    <w:rsid w:val="00D4454E"/>
    <w:rsid w:val="00D44725"/>
    <w:rsid w:val="00D44875"/>
    <w:rsid w:val="00D448C7"/>
    <w:rsid w:val="00D44AD0"/>
    <w:rsid w:val="00D44D83"/>
    <w:rsid w:val="00D45438"/>
    <w:rsid w:val="00D4578A"/>
    <w:rsid w:val="00D45A0D"/>
    <w:rsid w:val="00D4631F"/>
    <w:rsid w:val="00D463FA"/>
    <w:rsid w:val="00D46601"/>
    <w:rsid w:val="00D46848"/>
    <w:rsid w:val="00D46BD4"/>
    <w:rsid w:val="00D46D8A"/>
    <w:rsid w:val="00D477B4"/>
    <w:rsid w:val="00D477B5"/>
    <w:rsid w:val="00D47A2B"/>
    <w:rsid w:val="00D47B29"/>
    <w:rsid w:val="00D50056"/>
    <w:rsid w:val="00D500D9"/>
    <w:rsid w:val="00D508EE"/>
    <w:rsid w:val="00D50A5D"/>
    <w:rsid w:val="00D50AC9"/>
    <w:rsid w:val="00D5106B"/>
    <w:rsid w:val="00D51103"/>
    <w:rsid w:val="00D511A5"/>
    <w:rsid w:val="00D511D8"/>
    <w:rsid w:val="00D51402"/>
    <w:rsid w:val="00D5159C"/>
    <w:rsid w:val="00D51965"/>
    <w:rsid w:val="00D51BE8"/>
    <w:rsid w:val="00D51D05"/>
    <w:rsid w:val="00D51D78"/>
    <w:rsid w:val="00D51DE5"/>
    <w:rsid w:val="00D521E5"/>
    <w:rsid w:val="00D522DE"/>
    <w:rsid w:val="00D52480"/>
    <w:rsid w:val="00D524B0"/>
    <w:rsid w:val="00D52664"/>
    <w:rsid w:val="00D52B15"/>
    <w:rsid w:val="00D52F19"/>
    <w:rsid w:val="00D533D6"/>
    <w:rsid w:val="00D53651"/>
    <w:rsid w:val="00D53AC6"/>
    <w:rsid w:val="00D53C0C"/>
    <w:rsid w:val="00D53C4D"/>
    <w:rsid w:val="00D5424D"/>
    <w:rsid w:val="00D546F9"/>
    <w:rsid w:val="00D549C1"/>
    <w:rsid w:val="00D5522B"/>
    <w:rsid w:val="00D55248"/>
    <w:rsid w:val="00D55317"/>
    <w:rsid w:val="00D5557A"/>
    <w:rsid w:val="00D558B4"/>
    <w:rsid w:val="00D55900"/>
    <w:rsid w:val="00D55C6C"/>
    <w:rsid w:val="00D560C0"/>
    <w:rsid w:val="00D56490"/>
    <w:rsid w:val="00D56517"/>
    <w:rsid w:val="00D568D7"/>
    <w:rsid w:val="00D569D5"/>
    <w:rsid w:val="00D56A1A"/>
    <w:rsid w:val="00D56A2B"/>
    <w:rsid w:val="00D56CFE"/>
    <w:rsid w:val="00D56EF5"/>
    <w:rsid w:val="00D57010"/>
    <w:rsid w:val="00D571B9"/>
    <w:rsid w:val="00D5732C"/>
    <w:rsid w:val="00D57468"/>
    <w:rsid w:val="00D57620"/>
    <w:rsid w:val="00D5776D"/>
    <w:rsid w:val="00D57BC4"/>
    <w:rsid w:val="00D57D8A"/>
    <w:rsid w:val="00D6019B"/>
    <w:rsid w:val="00D60227"/>
    <w:rsid w:val="00D6029C"/>
    <w:rsid w:val="00D6049F"/>
    <w:rsid w:val="00D60717"/>
    <w:rsid w:val="00D60A79"/>
    <w:rsid w:val="00D60BB2"/>
    <w:rsid w:val="00D6114F"/>
    <w:rsid w:val="00D617BF"/>
    <w:rsid w:val="00D61B34"/>
    <w:rsid w:val="00D61FE5"/>
    <w:rsid w:val="00D620C7"/>
    <w:rsid w:val="00D6211E"/>
    <w:rsid w:val="00D621A6"/>
    <w:rsid w:val="00D6222A"/>
    <w:rsid w:val="00D6235C"/>
    <w:rsid w:val="00D62432"/>
    <w:rsid w:val="00D627A7"/>
    <w:rsid w:val="00D62835"/>
    <w:rsid w:val="00D6297C"/>
    <w:rsid w:val="00D633FB"/>
    <w:rsid w:val="00D634D8"/>
    <w:rsid w:val="00D634FA"/>
    <w:rsid w:val="00D637BC"/>
    <w:rsid w:val="00D63EFB"/>
    <w:rsid w:val="00D63F02"/>
    <w:rsid w:val="00D640CE"/>
    <w:rsid w:val="00D644B8"/>
    <w:rsid w:val="00D6486D"/>
    <w:rsid w:val="00D64988"/>
    <w:rsid w:val="00D649AB"/>
    <w:rsid w:val="00D649C4"/>
    <w:rsid w:val="00D6532E"/>
    <w:rsid w:val="00D6542B"/>
    <w:rsid w:val="00D65475"/>
    <w:rsid w:val="00D65A49"/>
    <w:rsid w:val="00D65A84"/>
    <w:rsid w:val="00D65B40"/>
    <w:rsid w:val="00D65D60"/>
    <w:rsid w:val="00D66899"/>
    <w:rsid w:val="00D674A0"/>
    <w:rsid w:val="00D679E7"/>
    <w:rsid w:val="00D67CF3"/>
    <w:rsid w:val="00D67E5C"/>
    <w:rsid w:val="00D67EB3"/>
    <w:rsid w:val="00D67F98"/>
    <w:rsid w:val="00D70C24"/>
    <w:rsid w:val="00D70F93"/>
    <w:rsid w:val="00D71A38"/>
    <w:rsid w:val="00D71A7B"/>
    <w:rsid w:val="00D71AC1"/>
    <w:rsid w:val="00D71EDA"/>
    <w:rsid w:val="00D71F2E"/>
    <w:rsid w:val="00D71FC1"/>
    <w:rsid w:val="00D72625"/>
    <w:rsid w:val="00D726D3"/>
    <w:rsid w:val="00D72793"/>
    <w:rsid w:val="00D72867"/>
    <w:rsid w:val="00D728FB"/>
    <w:rsid w:val="00D72AF5"/>
    <w:rsid w:val="00D72CB4"/>
    <w:rsid w:val="00D7347F"/>
    <w:rsid w:val="00D73532"/>
    <w:rsid w:val="00D73667"/>
    <w:rsid w:val="00D73717"/>
    <w:rsid w:val="00D73F75"/>
    <w:rsid w:val="00D73F86"/>
    <w:rsid w:val="00D74184"/>
    <w:rsid w:val="00D743BF"/>
    <w:rsid w:val="00D744BF"/>
    <w:rsid w:val="00D74788"/>
    <w:rsid w:val="00D74B6A"/>
    <w:rsid w:val="00D75300"/>
    <w:rsid w:val="00D75479"/>
    <w:rsid w:val="00D758D6"/>
    <w:rsid w:val="00D75ADC"/>
    <w:rsid w:val="00D75B45"/>
    <w:rsid w:val="00D75BB0"/>
    <w:rsid w:val="00D75C9E"/>
    <w:rsid w:val="00D75F34"/>
    <w:rsid w:val="00D76522"/>
    <w:rsid w:val="00D76838"/>
    <w:rsid w:val="00D76923"/>
    <w:rsid w:val="00D76C05"/>
    <w:rsid w:val="00D76E4A"/>
    <w:rsid w:val="00D77569"/>
    <w:rsid w:val="00D77687"/>
    <w:rsid w:val="00D776D7"/>
    <w:rsid w:val="00D7781D"/>
    <w:rsid w:val="00D77EB3"/>
    <w:rsid w:val="00D77F5D"/>
    <w:rsid w:val="00D80080"/>
    <w:rsid w:val="00D80809"/>
    <w:rsid w:val="00D80B05"/>
    <w:rsid w:val="00D80E50"/>
    <w:rsid w:val="00D80F2A"/>
    <w:rsid w:val="00D80FFA"/>
    <w:rsid w:val="00D811AF"/>
    <w:rsid w:val="00D81368"/>
    <w:rsid w:val="00D81614"/>
    <w:rsid w:val="00D81745"/>
    <w:rsid w:val="00D81B21"/>
    <w:rsid w:val="00D81CEA"/>
    <w:rsid w:val="00D82115"/>
    <w:rsid w:val="00D82505"/>
    <w:rsid w:val="00D830D2"/>
    <w:rsid w:val="00D83271"/>
    <w:rsid w:val="00D832C9"/>
    <w:rsid w:val="00D832F8"/>
    <w:rsid w:val="00D8351F"/>
    <w:rsid w:val="00D837C1"/>
    <w:rsid w:val="00D83CED"/>
    <w:rsid w:val="00D83EED"/>
    <w:rsid w:val="00D844CF"/>
    <w:rsid w:val="00D844F0"/>
    <w:rsid w:val="00D848AE"/>
    <w:rsid w:val="00D848FA"/>
    <w:rsid w:val="00D8497B"/>
    <w:rsid w:val="00D849FF"/>
    <w:rsid w:val="00D84D54"/>
    <w:rsid w:val="00D84D89"/>
    <w:rsid w:val="00D852BA"/>
    <w:rsid w:val="00D85491"/>
    <w:rsid w:val="00D855F5"/>
    <w:rsid w:val="00D85B80"/>
    <w:rsid w:val="00D85C97"/>
    <w:rsid w:val="00D86556"/>
    <w:rsid w:val="00D86A30"/>
    <w:rsid w:val="00D86C97"/>
    <w:rsid w:val="00D87B3B"/>
    <w:rsid w:val="00D9084B"/>
    <w:rsid w:val="00D90A81"/>
    <w:rsid w:val="00D91329"/>
    <w:rsid w:val="00D913F0"/>
    <w:rsid w:val="00D917E6"/>
    <w:rsid w:val="00D91AEB"/>
    <w:rsid w:val="00D91C31"/>
    <w:rsid w:val="00D91EA8"/>
    <w:rsid w:val="00D922C9"/>
    <w:rsid w:val="00D92539"/>
    <w:rsid w:val="00D92BB1"/>
    <w:rsid w:val="00D92C9B"/>
    <w:rsid w:val="00D92E95"/>
    <w:rsid w:val="00D93594"/>
    <w:rsid w:val="00D935A2"/>
    <w:rsid w:val="00D93A0F"/>
    <w:rsid w:val="00D93B70"/>
    <w:rsid w:val="00D93C18"/>
    <w:rsid w:val="00D93F8A"/>
    <w:rsid w:val="00D9423A"/>
    <w:rsid w:val="00D94255"/>
    <w:rsid w:val="00D946A5"/>
    <w:rsid w:val="00D946CC"/>
    <w:rsid w:val="00D94B30"/>
    <w:rsid w:val="00D94B90"/>
    <w:rsid w:val="00D94CF8"/>
    <w:rsid w:val="00D95121"/>
    <w:rsid w:val="00D95270"/>
    <w:rsid w:val="00D95626"/>
    <w:rsid w:val="00D95837"/>
    <w:rsid w:val="00D95907"/>
    <w:rsid w:val="00D95920"/>
    <w:rsid w:val="00D9599C"/>
    <w:rsid w:val="00D95D38"/>
    <w:rsid w:val="00D961B4"/>
    <w:rsid w:val="00D96513"/>
    <w:rsid w:val="00D966B1"/>
    <w:rsid w:val="00D96864"/>
    <w:rsid w:val="00D96A2C"/>
    <w:rsid w:val="00D96AAE"/>
    <w:rsid w:val="00D96B09"/>
    <w:rsid w:val="00D96B59"/>
    <w:rsid w:val="00D9747E"/>
    <w:rsid w:val="00D9767E"/>
    <w:rsid w:val="00D97848"/>
    <w:rsid w:val="00D97B1E"/>
    <w:rsid w:val="00D97FA6"/>
    <w:rsid w:val="00DA0203"/>
    <w:rsid w:val="00DA0324"/>
    <w:rsid w:val="00DA0C24"/>
    <w:rsid w:val="00DA0D13"/>
    <w:rsid w:val="00DA0E24"/>
    <w:rsid w:val="00DA102D"/>
    <w:rsid w:val="00DA156F"/>
    <w:rsid w:val="00DA229E"/>
    <w:rsid w:val="00DA22E6"/>
    <w:rsid w:val="00DA2478"/>
    <w:rsid w:val="00DA270A"/>
    <w:rsid w:val="00DA2780"/>
    <w:rsid w:val="00DA29C1"/>
    <w:rsid w:val="00DA2D26"/>
    <w:rsid w:val="00DA2D40"/>
    <w:rsid w:val="00DA2D8D"/>
    <w:rsid w:val="00DA3125"/>
    <w:rsid w:val="00DA39D3"/>
    <w:rsid w:val="00DA3C55"/>
    <w:rsid w:val="00DA3C7A"/>
    <w:rsid w:val="00DA3DD6"/>
    <w:rsid w:val="00DA3EC6"/>
    <w:rsid w:val="00DA440A"/>
    <w:rsid w:val="00DA44C4"/>
    <w:rsid w:val="00DA4610"/>
    <w:rsid w:val="00DA4AAE"/>
    <w:rsid w:val="00DA5349"/>
    <w:rsid w:val="00DA5818"/>
    <w:rsid w:val="00DA5832"/>
    <w:rsid w:val="00DA5885"/>
    <w:rsid w:val="00DA5AA3"/>
    <w:rsid w:val="00DA60D4"/>
    <w:rsid w:val="00DA6862"/>
    <w:rsid w:val="00DA688D"/>
    <w:rsid w:val="00DA690B"/>
    <w:rsid w:val="00DA6938"/>
    <w:rsid w:val="00DA6ACE"/>
    <w:rsid w:val="00DA6C00"/>
    <w:rsid w:val="00DA6DAA"/>
    <w:rsid w:val="00DA7268"/>
    <w:rsid w:val="00DA7310"/>
    <w:rsid w:val="00DA7434"/>
    <w:rsid w:val="00DA74FB"/>
    <w:rsid w:val="00DA7A00"/>
    <w:rsid w:val="00DB0123"/>
    <w:rsid w:val="00DB030F"/>
    <w:rsid w:val="00DB052C"/>
    <w:rsid w:val="00DB0910"/>
    <w:rsid w:val="00DB0D21"/>
    <w:rsid w:val="00DB16A4"/>
    <w:rsid w:val="00DB187F"/>
    <w:rsid w:val="00DB1967"/>
    <w:rsid w:val="00DB1B2A"/>
    <w:rsid w:val="00DB1F2E"/>
    <w:rsid w:val="00DB1F94"/>
    <w:rsid w:val="00DB2676"/>
    <w:rsid w:val="00DB282E"/>
    <w:rsid w:val="00DB29A6"/>
    <w:rsid w:val="00DB2A10"/>
    <w:rsid w:val="00DB2AE2"/>
    <w:rsid w:val="00DB2D0E"/>
    <w:rsid w:val="00DB31CF"/>
    <w:rsid w:val="00DB337E"/>
    <w:rsid w:val="00DB3B6D"/>
    <w:rsid w:val="00DB402D"/>
    <w:rsid w:val="00DB4072"/>
    <w:rsid w:val="00DB41F0"/>
    <w:rsid w:val="00DB50AD"/>
    <w:rsid w:val="00DB5189"/>
    <w:rsid w:val="00DB571E"/>
    <w:rsid w:val="00DB583F"/>
    <w:rsid w:val="00DB5A4F"/>
    <w:rsid w:val="00DB6145"/>
    <w:rsid w:val="00DB631E"/>
    <w:rsid w:val="00DB651B"/>
    <w:rsid w:val="00DB6679"/>
    <w:rsid w:val="00DB67A6"/>
    <w:rsid w:val="00DB6CE3"/>
    <w:rsid w:val="00DB6D12"/>
    <w:rsid w:val="00DB6FF8"/>
    <w:rsid w:val="00DB7447"/>
    <w:rsid w:val="00DB7825"/>
    <w:rsid w:val="00DB796F"/>
    <w:rsid w:val="00DC0098"/>
    <w:rsid w:val="00DC05E2"/>
    <w:rsid w:val="00DC06F9"/>
    <w:rsid w:val="00DC081B"/>
    <w:rsid w:val="00DC0BFF"/>
    <w:rsid w:val="00DC110D"/>
    <w:rsid w:val="00DC14F5"/>
    <w:rsid w:val="00DC19B4"/>
    <w:rsid w:val="00DC1DC0"/>
    <w:rsid w:val="00DC1DF7"/>
    <w:rsid w:val="00DC1E19"/>
    <w:rsid w:val="00DC1F5A"/>
    <w:rsid w:val="00DC2023"/>
    <w:rsid w:val="00DC2553"/>
    <w:rsid w:val="00DC27D8"/>
    <w:rsid w:val="00DC28F0"/>
    <w:rsid w:val="00DC2C9B"/>
    <w:rsid w:val="00DC300F"/>
    <w:rsid w:val="00DC31BD"/>
    <w:rsid w:val="00DC329D"/>
    <w:rsid w:val="00DC32DF"/>
    <w:rsid w:val="00DC3330"/>
    <w:rsid w:val="00DC33AF"/>
    <w:rsid w:val="00DC384A"/>
    <w:rsid w:val="00DC39BF"/>
    <w:rsid w:val="00DC3A54"/>
    <w:rsid w:val="00DC3B05"/>
    <w:rsid w:val="00DC3F5A"/>
    <w:rsid w:val="00DC4020"/>
    <w:rsid w:val="00DC40D5"/>
    <w:rsid w:val="00DC4380"/>
    <w:rsid w:val="00DC43AD"/>
    <w:rsid w:val="00DC45AC"/>
    <w:rsid w:val="00DC4E83"/>
    <w:rsid w:val="00DC4EFE"/>
    <w:rsid w:val="00DC4FBD"/>
    <w:rsid w:val="00DC54FA"/>
    <w:rsid w:val="00DC5632"/>
    <w:rsid w:val="00DC56F5"/>
    <w:rsid w:val="00DC58DD"/>
    <w:rsid w:val="00DC5A19"/>
    <w:rsid w:val="00DC5B4A"/>
    <w:rsid w:val="00DC6713"/>
    <w:rsid w:val="00DC6786"/>
    <w:rsid w:val="00DC6CF8"/>
    <w:rsid w:val="00DC6DDF"/>
    <w:rsid w:val="00DC6F49"/>
    <w:rsid w:val="00DC709D"/>
    <w:rsid w:val="00DC717D"/>
    <w:rsid w:val="00DC74A0"/>
    <w:rsid w:val="00DC7808"/>
    <w:rsid w:val="00DC7F32"/>
    <w:rsid w:val="00DD04A8"/>
    <w:rsid w:val="00DD0A65"/>
    <w:rsid w:val="00DD0B6E"/>
    <w:rsid w:val="00DD0CB6"/>
    <w:rsid w:val="00DD0DEB"/>
    <w:rsid w:val="00DD1365"/>
    <w:rsid w:val="00DD1715"/>
    <w:rsid w:val="00DD196C"/>
    <w:rsid w:val="00DD1B5A"/>
    <w:rsid w:val="00DD1E2C"/>
    <w:rsid w:val="00DD2328"/>
    <w:rsid w:val="00DD23BD"/>
    <w:rsid w:val="00DD24B9"/>
    <w:rsid w:val="00DD2807"/>
    <w:rsid w:val="00DD2898"/>
    <w:rsid w:val="00DD2C9F"/>
    <w:rsid w:val="00DD2ED2"/>
    <w:rsid w:val="00DD3208"/>
    <w:rsid w:val="00DD34BB"/>
    <w:rsid w:val="00DD3520"/>
    <w:rsid w:val="00DD3A90"/>
    <w:rsid w:val="00DD3CF4"/>
    <w:rsid w:val="00DD3D2B"/>
    <w:rsid w:val="00DD3E1C"/>
    <w:rsid w:val="00DD3E67"/>
    <w:rsid w:val="00DD48AE"/>
    <w:rsid w:val="00DD5142"/>
    <w:rsid w:val="00DD521C"/>
    <w:rsid w:val="00DD566B"/>
    <w:rsid w:val="00DD56DF"/>
    <w:rsid w:val="00DD586C"/>
    <w:rsid w:val="00DD5931"/>
    <w:rsid w:val="00DD5B42"/>
    <w:rsid w:val="00DD5C4A"/>
    <w:rsid w:val="00DD5E33"/>
    <w:rsid w:val="00DD603B"/>
    <w:rsid w:val="00DD6062"/>
    <w:rsid w:val="00DD6536"/>
    <w:rsid w:val="00DD677C"/>
    <w:rsid w:val="00DD67EF"/>
    <w:rsid w:val="00DD6E0D"/>
    <w:rsid w:val="00DD6E20"/>
    <w:rsid w:val="00DD6E2E"/>
    <w:rsid w:val="00DE0139"/>
    <w:rsid w:val="00DE03DB"/>
    <w:rsid w:val="00DE04EA"/>
    <w:rsid w:val="00DE08FB"/>
    <w:rsid w:val="00DE0AC2"/>
    <w:rsid w:val="00DE0B5D"/>
    <w:rsid w:val="00DE0BF3"/>
    <w:rsid w:val="00DE0DC2"/>
    <w:rsid w:val="00DE1142"/>
    <w:rsid w:val="00DE13E0"/>
    <w:rsid w:val="00DE144E"/>
    <w:rsid w:val="00DE14CF"/>
    <w:rsid w:val="00DE1C2A"/>
    <w:rsid w:val="00DE1E82"/>
    <w:rsid w:val="00DE21F2"/>
    <w:rsid w:val="00DE2C46"/>
    <w:rsid w:val="00DE36F6"/>
    <w:rsid w:val="00DE37D2"/>
    <w:rsid w:val="00DE3975"/>
    <w:rsid w:val="00DE3BE1"/>
    <w:rsid w:val="00DE3F98"/>
    <w:rsid w:val="00DE46FE"/>
    <w:rsid w:val="00DE4974"/>
    <w:rsid w:val="00DE4CE4"/>
    <w:rsid w:val="00DE4ECE"/>
    <w:rsid w:val="00DE50B9"/>
    <w:rsid w:val="00DE52B8"/>
    <w:rsid w:val="00DE5742"/>
    <w:rsid w:val="00DE5926"/>
    <w:rsid w:val="00DE6417"/>
    <w:rsid w:val="00DE68F2"/>
    <w:rsid w:val="00DE6930"/>
    <w:rsid w:val="00DE69AA"/>
    <w:rsid w:val="00DE69EC"/>
    <w:rsid w:val="00DE6AFA"/>
    <w:rsid w:val="00DE6D7D"/>
    <w:rsid w:val="00DE7BAA"/>
    <w:rsid w:val="00DE7C97"/>
    <w:rsid w:val="00DE7E00"/>
    <w:rsid w:val="00DF0229"/>
    <w:rsid w:val="00DF0395"/>
    <w:rsid w:val="00DF0523"/>
    <w:rsid w:val="00DF0C39"/>
    <w:rsid w:val="00DF1109"/>
    <w:rsid w:val="00DF13A6"/>
    <w:rsid w:val="00DF1818"/>
    <w:rsid w:val="00DF1F2F"/>
    <w:rsid w:val="00DF1FF0"/>
    <w:rsid w:val="00DF2468"/>
    <w:rsid w:val="00DF2B2D"/>
    <w:rsid w:val="00DF2E04"/>
    <w:rsid w:val="00DF2E29"/>
    <w:rsid w:val="00DF320D"/>
    <w:rsid w:val="00DF334B"/>
    <w:rsid w:val="00DF335B"/>
    <w:rsid w:val="00DF3C49"/>
    <w:rsid w:val="00DF4124"/>
    <w:rsid w:val="00DF4162"/>
    <w:rsid w:val="00DF4407"/>
    <w:rsid w:val="00DF4440"/>
    <w:rsid w:val="00DF458D"/>
    <w:rsid w:val="00DF4E23"/>
    <w:rsid w:val="00DF50BA"/>
    <w:rsid w:val="00DF5349"/>
    <w:rsid w:val="00DF5622"/>
    <w:rsid w:val="00DF5634"/>
    <w:rsid w:val="00DF5C9C"/>
    <w:rsid w:val="00DF5F58"/>
    <w:rsid w:val="00DF6128"/>
    <w:rsid w:val="00DF6369"/>
    <w:rsid w:val="00DF643B"/>
    <w:rsid w:val="00DF66AB"/>
    <w:rsid w:val="00DF68F5"/>
    <w:rsid w:val="00DF6B18"/>
    <w:rsid w:val="00DF6C47"/>
    <w:rsid w:val="00DF6F49"/>
    <w:rsid w:val="00DF78ED"/>
    <w:rsid w:val="00DF7917"/>
    <w:rsid w:val="00DF7B1E"/>
    <w:rsid w:val="00DF7B6F"/>
    <w:rsid w:val="00DF7C44"/>
    <w:rsid w:val="00DF7F29"/>
    <w:rsid w:val="00E0025E"/>
    <w:rsid w:val="00E003B3"/>
    <w:rsid w:val="00E0041A"/>
    <w:rsid w:val="00E00511"/>
    <w:rsid w:val="00E005AA"/>
    <w:rsid w:val="00E00680"/>
    <w:rsid w:val="00E0096E"/>
    <w:rsid w:val="00E00A3E"/>
    <w:rsid w:val="00E00BC9"/>
    <w:rsid w:val="00E00EA1"/>
    <w:rsid w:val="00E01501"/>
    <w:rsid w:val="00E01750"/>
    <w:rsid w:val="00E01C8B"/>
    <w:rsid w:val="00E01E02"/>
    <w:rsid w:val="00E01EA1"/>
    <w:rsid w:val="00E01F24"/>
    <w:rsid w:val="00E01FFC"/>
    <w:rsid w:val="00E0217C"/>
    <w:rsid w:val="00E022D3"/>
    <w:rsid w:val="00E02699"/>
    <w:rsid w:val="00E02AAD"/>
    <w:rsid w:val="00E02AE2"/>
    <w:rsid w:val="00E02F18"/>
    <w:rsid w:val="00E02F44"/>
    <w:rsid w:val="00E02FA7"/>
    <w:rsid w:val="00E03098"/>
    <w:rsid w:val="00E030C0"/>
    <w:rsid w:val="00E03201"/>
    <w:rsid w:val="00E0321D"/>
    <w:rsid w:val="00E03403"/>
    <w:rsid w:val="00E0378A"/>
    <w:rsid w:val="00E04146"/>
    <w:rsid w:val="00E04443"/>
    <w:rsid w:val="00E04481"/>
    <w:rsid w:val="00E04530"/>
    <w:rsid w:val="00E0473D"/>
    <w:rsid w:val="00E047B7"/>
    <w:rsid w:val="00E04973"/>
    <w:rsid w:val="00E04A8D"/>
    <w:rsid w:val="00E04CAA"/>
    <w:rsid w:val="00E04CBC"/>
    <w:rsid w:val="00E04D6B"/>
    <w:rsid w:val="00E04E1C"/>
    <w:rsid w:val="00E04EAD"/>
    <w:rsid w:val="00E05AFB"/>
    <w:rsid w:val="00E05B40"/>
    <w:rsid w:val="00E06003"/>
    <w:rsid w:val="00E0602A"/>
    <w:rsid w:val="00E062A2"/>
    <w:rsid w:val="00E0682B"/>
    <w:rsid w:val="00E069E3"/>
    <w:rsid w:val="00E06D94"/>
    <w:rsid w:val="00E0702C"/>
    <w:rsid w:val="00E0704F"/>
    <w:rsid w:val="00E07244"/>
    <w:rsid w:val="00E07420"/>
    <w:rsid w:val="00E07440"/>
    <w:rsid w:val="00E0789C"/>
    <w:rsid w:val="00E078C4"/>
    <w:rsid w:val="00E078C5"/>
    <w:rsid w:val="00E07990"/>
    <w:rsid w:val="00E07B2D"/>
    <w:rsid w:val="00E07D73"/>
    <w:rsid w:val="00E07DC6"/>
    <w:rsid w:val="00E07ED9"/>
    <w:rsid w:val="00E106AB"/>
    <w:rsid w:val="00E10BCC"/>
    <w:rsid w:val="00E10C58"/>
    <w:rsid w:val="00E1118C"/>
    <w:rsid w:val="00E116B8"/>
    <w:rsid w:val="00E117AF"/>
    <w:rsid w:val="00E11C54"/>
    <w:rsid w:val="00E12931"/>
    <w:rsid w:val="00E129A0"/>
    <w:rsid w:val="00E12E12"/>
    <w:rsid w:val="00E130C7"/>
    <w:rsid w:val="00E13195"/>
    <w:rsid w:val="00E13471"/>
    <w:rsid w:val="00E13600"/>
    <w:rsid w:val="00E137DA"/>
    <w:rsid w:val="00E13BA3"/>
    <w:rsid w:val="00E13D54"/>
    <w:rsid w:val="00E13F6A"/>
    <w:rsid w:val="00E14442"/>
    <w:rsid w:val="00E14447"/>
    <w:rsid w:val="00E14553"/>
    <w:rsid w:val="00E147C8"/>
    <w:rsid w:val="00E1481C"/>
    <w:rsid w:val="00E14AF7"/>
    <w:rsid w:val="00E1547F"/>
    <w:rsid w:val="00E156A6"/>
    <w:rsid w:val="00E157D7"/>
    <w:rsid w:val="00E15813"/>
    <w:rsid w:val="00E15C83"/>
    <w:rsid w:val="00E15D55"/>
    <w:rsid w:val="00E164A1"/>
    <w:rsid w:val="00E1653B"/>
    <w:rsid w:val="00E165AC"/>
    <w:rsid w:val="00E16713"/>
    <w:rsid w:val="00E16756"/>
    <w:rsid w:val="00E168A8"/>
    <w:rsid w:val="00E168D8"/>
    <w:rsid w:val="00E16A96"/>
    <w:rsid w:val="00E17404"/>
    <w:rsid w:val="00E174CA"/>
    <w:rsid w:val="00E17522"/>
    <w:rsid w:val="00E176BA"/>
    <w:rsid w:val="00E176DF"/>
    <w:rsid w:val="00E17766"/>
    <w:rsid w:val="00E17EB8"/>
    <w:rsid w:val="00E20068"/>
    <w:rsid w:val="00E2020F"/>
    <w:rsid w:val="00E2040A"/>
    <w:rsid w:val="00E204DD"/>
    <w:rsid w:val="00E20E68"/>
    <w:rsid w:val="00E21A21"/>
    <w:rsid w:val="00E21A44"/>
    <w:rsid w:val="00E21D45"/>
    <w:rsid w:val="00E2247E"/>
    <w:rsid w:val="00E22487"/>
    <w:rsid w:val="00E228EC"/>
    <w:rsid w:val="00E22985"/>
    <w:rsid w:val="00E22C30"/>
    <w:rsid w:val="00E22C5C"/>
    <w:rsid w:val="00E22CE6"/>
    <w:rsid w:val="00E22F67"/>
    <w:rsid w:val="00E2378F"/>
    <w:rsid w:val="00E23795"/>
    <w:rsid w:val="00E23E76"/>
    <w:rsid w:val="00E242AA"/>
    <w:rsid w:val="00E24411"/>
    <w:rsid w:val="00E2459C"/>
    <w:rsid w:val="00E246C4"/>
    <w:rsid w:val="00E24773"/>
    <w:rsid w:val="00E24C3D"/>
    <w:rsid w:val="00E24C98"/>
    <w:rsid w:val="00E24F42"/>
    <w:rsid w:val="00E2500F"/>
    <w:rsid w:val="00E2543C"/>
    <w:rsid w:val="00E256F8"/>
    <w:rsid w:val="00E2575B"/>
    <w:rsid w:val="00E26025"/>
    <w:rsid w:val="00E2607A"/>
    <w:rsid w:val="00E261BC"/>
    <w:rsid w:val="00E26793"/>
    <w:rsid w:val="00E26B49"/>
    <w:rsid w:val="00E26C07"/>
    <w:rsid w:val="00E26C19"/>
    <w:rsid w:val="00E26F5F"/>
    <w:rsid w:val="00E271E9"/>
    <w:rsid w:val="00E27C90"/>
    <w:rsid w:val="00E27CB1"/>
    <w:rsid w:val="00E27D9E"/>
    <w:rsid w:val="00E27E57"/>
    <w:rsid w:val="00E27F20"/>
    <w:rsid w:val="00E3009B"/>
    <w:rsid w:val="00E304B6"/>
    <w:rsid w:val="00E30653"/>
    <w:rsid w:val="00E30703"/>
    <w:rsid w:val="00E31090"/>
    <w:rsid w:val="00E31336"/>
    <w:rsid w:val="00E31408"/>
    <w:rsid w:val="00E31685"/>
    <w:rsid w:val="00E31993"/>
    <w:rsid w:val="00E31A16"/>
    <w:rsid w:val="00E31D23"/>
    <w:rsid w:val="00E31E32"/>
    <w:rsid w:val="00E31F87"/>
    <w:rsid w:val="00E320AB"/>
    <w:rsid w:val="00E32E5C"/>
    <w:rsid w:val="00E32F3B"/>
    <w:rsid w:val="00E331F7"/>
    <w:rsid w:val="00E3371D"/>
    <w:rsid w:val="00E3427A"/>
    <w:rsid w:val="00E3466C"/>
    <w:rsid w:val="00E34680"/>
    <w:rsid w:val="00E346A4"/>
    <w:rsid w:val="00E34892"/>
    <w:rsid w:val="00E34A42"/>
    <w:rsid w:val="00E34ACF"/>
    <w:rsid w:val="00E34B93"/>
    <w:rsid w:val="00E34BB3"/>
    <w:rsid w:val="00E34E81"/>
    <w:rsid w:val="00E350CC"/>
    <w:rsid w:val="00E3531B"/>
    <w:rsid w:val="00E3534D"/>
    <w:rsid w:val="00E353B8"/>
    <w:rsid w:val="00E3547A"/>
    <w:rsid w:val="00E35901"/>
    <w:rsid w:val="00E3596D"/>
    <w:rsid w:val="00E35AF1"/>
    <w:rsid w:val="00E35F9B"/>
    <w:rsid w:val="00E3622C"/>
    <w:rsid w:val="00E366C6"/>
    <w:rsid w:val="00E368DC"/>
    <w:rsid w:val="00E36A2E"/>
    <w:rsid w:val="00E36A64"/>
    <w:rsid w:val="00E36AF1"/>
    <w:rsid w:val="00E371B8"/>
    <w:rsid w:val="00E37662"/>
    <w:rsid w:val="00E37F04"/>
    <w:rsid w:val="00E40052"/>
    <w:rsid w:val="00E401C7"/>
    <w:rsid w:val="00E40220"/>
    <w:rsid w:val="00E40412"/>
    <w:rsid w:val="00E40747"/>
    <w:rsid w:val="00E40A3F"/>
    <w:rsid w:val="00E40F20"/>
    <w:rsid w:val="00E4104A"/>
    <w:rsid w:val="00E411C3"/>
    <w:rsid w:val="00E4122D"/>
    <w:rsid w:val="00E413EE"/>
    <w:rsid w:val="00E414AA"/>
    <w:rsid w:val="00E41FA7"/>
    <w:rsid w:val="00E42266"/>
    <w:rsid w:val="00E42493"/>
    <w:rsid w:val="00E424D5"/>
    <w:rsid w:val="00E42A62"/>
    <w:rsid w:val="00E43052"/>
    <w:rsid w:val="00E433E2"/>
    <w:rsid w:val="00E435A8"/>
    <w:rsid w:val="00E435E3"/>
    <w:rsid w:val="00E438E5"/>
    <w:rsid w:val="00E43A90"/>
    <w:rsid w:val="00E44308"/>
    <w:rsid w:val="00E44503"/>
    <w:rsid w:val="00E44B7C"/>
    <w:rsid w:val="00E44B8A"/>
    <w:rsid w:val="00E4501B"/>
    <w:rsid w:val="00E45045"/>
    <w:rsid w:val="00E45201"/>
    <w:rsid w:val="00E45768"/>
    <w:rsid w:val="00E458CC"/>
    <w:rsid w:val="00E4592D"/>
    <w:rsid w:val="00E45CA0"/>
    <w:rsid w:val="00E45EA9"/>
    <w:rsid w:val="00E46377"/>
    <w:rsid w:val="00E464ED"/>
    <w:rsid w:val="00E465A4"/>
    <w:rsid w:val="00E46BC6"/>
    <w:rsid w:val="00E46E43"/>
    <w:rsid w:val="00E4713C"/>
    <w:rsid w:val="00E474AF"/>
    <w:rsid w:val="00E47588"/>
    <w:rsid w:val="00E4763F"/>
    <w:rsid w:val="00E478E1"/>
    <w:rsid w:val="00E47CE7"/>
    <w:rsid w:val="00E47EBE"/>
    <w:rsid w:val="00E47F7F"/>
    <w:rsid w:val="00E5061A"/>
    <w:rsid w:val="00E50A67"/>
    <w:rsid w:val="00E50EA1"/>
    <w:rsid w:val="00E510FA"/>
    <w:rsid w:val="00E511D1"/>
    <w:rsid w:val="00E512AE"/>
    <w:rsid w:val="00E513EB"/>
    <w:rsid w:val="00E516BE"/>
    <w:rsid w:val="00E51723"/>
    <w:rsid w:val="00E518EF"/>
    <w:rsid w:val="00E51998"/>
    <w:rsid w:val="00E51C25"/>
    <w:rsid w:val="00E51E7E"/>
    <w:rsid w:val="00E523D2"/>
    <w:rsid w:val="00E524B7"/>
    <w:rsid w:val="00E524F2"/>
    <w:rsid w:val="00E528FE"/>
    <w:rsid w:val="00E529B8"/>
    <w:rsid w:val="00E52A1B"/>
    <w:rsid w:val="00E52A5D"/>
    <w:rsid w:val="00E52AAA"/>
    <w:rsid w:val="00E52C2A"/>
    <w:rsid w:val="00E52D57"/>
    <w:rsid w:val="00E52D92"/>
    <w:rsid w:val="00E530E1"/>
    <w:rsid w:val="00E534DA"/>
    <w:rsid w:val="00E5370B"/>
    <w:rsid w:val="00E538E3"/>
    <w:rsid w:val="00E5399A"/>
    <w:rsid w:val="00E53BBF"/>
    <w:rsid w:val="00E53F74"/>
    <w:rsid w:val="00E53F92"/>
    <w:rsid w:val="00E5446F"/>
    <w:rsid w:val="00E5474C"/>
    <w:rsid w:val="00E548B7"/>
    <w:rsid w:val="00E54963"/>
    <w:rsid w:val="00E54A87"/>
    <w:rsid w:val="00E54B12"/>
    <w:rsid w:val="00E54C21"/>
    <w:rsid w:val="00E54C9E"/>
    <w:rsid w:val="00E54DA3"/>
    <w:rsid w:val="00E54DF4"/>
    <w:rsid w:val="00E54E40"/>
    <w:rsid w:val="00E54E50"/>
    <w:rsid w:val="00E54E7C"/>
    <w:rsid w:val="00E54E9F"/>
    <w:rsid w:val="00E5517C"/>
    <w:rsid w:val="00E5519E"/>
    <w:rsid w:val="00E5554E"/>
    <w:rsid w:val="00E5558A"/>
    <w:rsid w:val="00E555B3"/>
    <w:rsid w:val="00E55828"/>
    <w:rsid w:val="00E55B47"/>
    <w:rsid w:val="00E55CFC"/>
    <w:rsid w:val="00E55E0D"/>
    <w:rsid w:val="00E55F1F"/>
    <w:rsid w:val="00E55F8C"/>
    <w:rsid w:val="00E564C0"/>
    <w:rsid w:val="00E565EC"/>
    <w:rsid w:val="00E568BB"/>
    <w:rsid w:val="00E56921"/>
    <w:rsid w:val="00E56B4E"/>
    <w:rsid w:val="00E570BC"/>
    <w:rsid w:val="00E577A0"/>
    <w:rsid w:val="00E57A7D"/>
    <w:rsid w:val="00E57B59"/>
    <w:rsid w:val="00E57BC2"/>
    <w:rsid w:val="00E57CDC"/>
    <w:rsid w:val="00E57F4D"/>
    <w:rsid w:val="00E6000F"/>
    <w:rsid w:val="00E601D8"/>
    <w:rsid w:val="00E60279"/>
    <w:rsid w:val="00E605FE"/>
    <w:rsid w:val="00E606FB"/>
    <w:rsid w:val="00E60847"/>
    <w:rsid w:val="00E608F7"/>
    <w:rsid w:val="00E60A86"/>
    <w:rsid w:val="00E60D91"/>
    <w:rsid w:val="00E61176"/>
    <w:rsid w:val="00E611D8"/>
    <w:rsid w:val="00E61300"/>
    <w:rsid w:val="00E6131E"/>
    <w:rsid w:val="00E61B9E"/>
    <w:rsid w:val="00E61C1F"/>
    <w:rsid w:val="00E61E8C"/>
    <w:rsid w:val="00E61F54"/>
    <w:rsid w:val="00E622CB"/>
    <w:rsid w:val="00E6231C"/>
    <w:rsid w:val="00E62846"/>
    <w:rsid w:val="00E629AB"/>
    <w:rsid w:val="00E62A4B"/>
    <w:rsid w:val="00E62CC9"/>
    <w:rsid w:val="00E63310"/>
    <w:rsid w:val="00E6347D"/>
    <w:rsid w:val="00E63498"/>
    <w:rsid w:val="00E634E5"/>
    <w:rsid w:val="00E63B49"/>
    <w:rsid w:val="00E63CBA"/>
    <w:rsid w:val="00E63E04"/>
    <w:rsid w:val="00E64143"/>
    <w:rsid w:val="00E64169"/>
    <w:rsid w:val="00E6427A"/>
    <w:rsid w:val="00E6432D"/>
    <w:rsid w:val="00E6433B"/>
    <w:rsid w:val="00E645E9"/>
    <w:rsid w:val="00E64846"/>
    <w:rsid w:val="00E64944"/>
    <w:rsid w:val="00E64A42"/>
    <w:rsid w:val="00E64CCD"/>
    <w:rsid w:val="00E64D3E"/>
    <w:rsid w:val="00E64F02"/>
    <w:rsid w:val="00E65140"/>
    <w:rsid w:val="00E652C4"/>
    <w:rsid w:val="00E65335"/>
    <w:rsid w:val="00E657FE"/>
    <w:rsid w:val="00E65886"/>
    <w:rsid w:val="00E65A99"/>
    <w:rsid w:val="00E65CFB"/>
    <w:rsid w:val="00E6603B"/>
    <w:rsid w:val="00E663F8"/>
    <w:rsid w:val="00E66507"/>
    <w:rsid w:val="00E66604"/>
    <w:rsid w:val="00E6664D"/>
    <w:rsid w:val="00E66715"/>
    <w:rsid w:val="00E66A4D"/>
    <w:rsid w:val="00E6730B"/>
    <w:rsid w:val="00E6732C"/>
    <w:rsid w:val="00E675F1"/>
    <w:rsid w:val="00E677B5"/>
    <w:rsid w:val="00E677C7"/>
    <w:rsid w:val="00E677EA"/>
    <w:rsid w:val="00E677EF"/>
    <w:rsid w:val="00E67A08"/>
    <w:rsid w:val="00E67B13"/>
    <w:rsid w:val="00E67B35"/>
    <w:rsid w:val="00E67DAF"/>
    <w:rsid w:val="00E67E45"/>
    <w:rsid w:val="00E67E4F"/>
    <w:rsid w:val="00E701B6"/>
    <w:rsid w:val="00E7057C"/>
    <w:rsid w:val="00E706E9"/>
    <w:rsid w:val="00E7075F"/>
    <w:rsid w:val="00E70EDA"/>
    <w:rsid w:val="00E71560"/>
    <w:rsid w:val="00E7171A"/>
    <w:rsid w:val="00E71FE4"/>
    <w:rsid w:val="00E721D1"/>
    <w:rsid w:val="00E722D2"/>
    <w:rsid w:val="00E728E6"/>
    <w:rsid w:val="00E72DD4"/>
    <w:rsid w:val="00E72E56"/>
    <w:rsid w:val="00E73128"/>
    <w:rsid w:val="00E73267"/>
    <w:rsid w:val="00E735CF"/>
    <w:rsid w:val="00E7362D"/>
    <w:rsid w:val="00E73D9A"/>
    <w:rsid w:val="00E73DF0"/>
    <w:rsid w:val="00E7422F"/>
    <w:rsid w:val="00E74376"/>
    <w:rsid w:val="00E7472E"/>
    <w:rsid w:val="00E74743"/>
    <w:rsid w:val="00E7475F"/>
    <w:rsid w:val="00E747A3"/>
    <w:rsid w:val="00E75015"/>
    <w:rsid w:val="00E7505E"/>
    <w:rsid w:val="00E75176"/>
    <w:rsid w:val="00E7524C"/>
    <w:rsid w:val="00E75444"/>
    <w:rsid w:val="00E75519"/>
    <w:rsid w:val="00E75A83"/>
    <w:rsid w:val="00E75C13"/>
    <w:rsid w:val="00E75CBD"/>
    <w:rsid w:val="00E75D22"/>
    <w:rsid w:val="00E75E7A"/>
    <w:rsid w:val="00E76162"/>
    <w:rsid w:val="00E761F2"/>
    <w:rsid w:val="00E76569"/>
    <w:rsid w:val="00E769BF"/>
    <w:rsid w:val="00E76A9E"/>
    <w:rsid w:val="00E76BE3"/>
    <w:rsid w:val="00E76F94"/>
    <w:rsid w:val="00E775B7"/>
    <w:rsid w:val="00E7772B"/>
    <w:rsid w:val="00E77B3F"/>
    <w:rsid w:val="00E77DFE"/>
    <w:rsid w:val="00E77F53"/>
    <w:rsid w:val="00E801D6"/>
    <w:rsid w:val="00E802A9"/>
    <w:rsid w:val="00E804E5"/>
    <w:rsid w:val="00E8050D"/>
    <w:rsid w:val="00E80C11"/>
    <w:rsid w:val="00E80C73"/>
    <w:rsid w:val="00E80E33"/>
    <w:rsid w:val="00E80F2E"/>
    <w:rsid w:val="00E81080"/>
    <w:rsid w:val="00E811A3"/>
    <w:rsid w:val="00E8182E"/>
    <w:rsid w:val="00E81E6E"/>
    <w:rsid w:val="00E81F8B"/>
    <w:rsid w:val="00E82209"/>
    <w:rsid w:val="00E82398"/>
    <w:rsid w:val="00E8253E"/>
    <w:rsid w:val="00E82DB1"/>
    <w:rsid w:val="00E83B09"/>
    <w:rsid w:val="00E84459"/>
    <w:rsid w:val="00E84591"/>
    <w:rsid w:val="00E846FC"/>
    <w:rsid w:val="00E84717"/>
    <w:rsid w:val="00E84F69"/>
    <w:rsid w:val="00E85147"/>
    <w:rsid w:val="00E8516F"/>
    <w:rsid w:val="00E85235"/>
    <w:rsid w:val="00E85414"/>
    <w:rsid w:val="00E8542A"/>
    <w:rsid w:val="00E85EE1"/>
    <w:rsid w:val="00E86077"/>
    <w:rsid w:val="00E864DE"/>
    <w:rsid w:val="00E867B2"/>
    <w:rsid w:val="00E867BD"/>
    <w:rsid w:val="00E86D57"/>
    <w:rsid w:val="00E86FB9"/>
    <w:rsid w:val="00E86FF5"/>
    <w:rsid w:val="00E87233"/>
    <w:rsid w:val="00E87412"/>
    <w:rsid w:val="00E877FC"/>
    <w:rsid w:val="00E878D5"/>
    <w:rsid w:val="00E87ACF"/>
    <w:rsid w:val="00E87BF8"/>
    <w:rsid w:val="00E87CE4"/>
    <w:rsid w:val="00E87FDE"/>
    <w:rsid w:val="00E900D6"/>
    <w:rsid w:val="00E906B6"/>
    <w:rsid w:val="00E909F8"/>
    <w:rsid w:val="00E90B05"/>
    <w:rsid w:val="00E90DF4"/>
    <w:rsid w:val="00E91074"/>
    <w:rsid w:val="00E91446"/>
    <w:rsid w:val="00E91510"/>
    <w:rsid w:val="00E91721"/>
    <w:rsid w:val="00E917D1"/>
    <w:rsid w:val="00E917F0"/>
    <w:rsid w:val="00E91AEB"/>
    <w:rsid w:val="00E91E17"/>
    <w:rsid w:val="00E91E83"/>
    <w:rsid w:val="00E91FA8"/>
    <w:rsid w:val="00E91FE6"/>
    <w:rsid w:val="00E92012"/>
    <w:rsid w:val="00E923AB"/>
    <w:rsid w:val="00E92515"/>
    <w:rsid w:val="00E9258D"/>
    <w:rsid w:val="00E92A2A"/>
    <w:rsid w:val="00E92A52"/>
    <w:rsid w:val="00E92DD5"/>
    <w:rsid w:val="00E9320C"/>
    <w:rsid w:val="00E93291"/>
    <w:rsid w:val="00E93373"/>
    <w:rsid w:val="00E9381A"/>
    <w:rsid w:val="00E93D2E"/>
    <w:rsid w:val="00E93D44"/>
    <w:rsid w:val="00E93D71"/>
    <w:rsid w:val="00E93FD0"/>
    <w:rsid w:val="00E940C7"/>
    <w:rsid w:val="00E94531"/>
    <w:rsid w:val="00E9475A"/>
    <w:rsid w:val="00E94C7E"/>
    <w:rsid w:val="00E9516A"/>
    <w:rsid w:val="00E953CF"/>
    <w:rsid w:val="00E95E86"/>
    <w:rsid w:val="00E96552"/>
    <w:rsid w:val="00E96597"/>
    <w:rsid w:val="00E96733"/>
    <w:rsid w:val="00E967AE"/>
    <w:rsid w:val="00E967D9"/>
    <w:rsid w:val="00E968B4"/>
    <w:rsid w:val="00E96F22"/>
    <w:rsid w:val="00E9709D"/>
    <w:rsid w:val="00E97265"/>
    <w:rsid w:val="00E97706"/>
    <w:rsid w:val="00E978DE"/>
    <w:rsid w:val="00E97BBF"/>
    <w:rsid w:val="00E97C74"/>
    <w:rsid w:val="00EA0018"/>
    <w:rsid w:val="00EA0637"/>
    <w:rsid w:val="00EA0B7F"/>
    <w:rsid w:val="00EA0EAE"/>
    <w:rsid w:val="00EA0F0C"/>
    <w:rsid w:val="00EA10BD"/>
    <w:rsid w:val="00EA11D9"/>
    <w:rsid w:val="00EA12D0"/>
    <w:rsid w:val="00EA1396"/>
    <w:rsid w:val="00EA1BFE"/>
    <w:rsid w:val="00EA1CEB"/>
    <w:rsid w:val="00EA2374"/>
    <w:rsid w:val="00EA23B3"/>
    <w:rsid w:val="00EA2406"/>
    <w:rsid w:val="00EA2EDA"/>
    <w:rsid w:val="00EA2F9A"/>
    <w:rsid w:val="00EA310B"/>
    <w:rsid w:val="00EA34BE"/>
    <w:rsid w:val="00EA39D4"/>
    <w:rsid w:val="00EA3C4E"/>
    <w:rsid w:val="00EA4543"/>
    <w:rsid w:val="00EA461C"/>
    <w:rsid w:val="00EA533D"/>
    <w:rsid w:val="00EA563B"/>
    <w:rsid w:val="00EA5847"/>
    <w:rsid w:val="00EA5D59"/>
    <w:rsid w:val="00EA5D62"/>
    <w:rsid w:val="00EA6005"/>
    <w:rsid w:val="00EA6209"/>
    <w:rsid w:val="00EA6210"/>
    <w:rsid w:val="00EA6527"/>
    <w:rsid w:val="00EA67DB"/>
    <w:rsid w:val="00EA71DC"/>
    <w:rsid w:val="00EA72EE"/>
    <w:rsid w:val="00EA7605"/>
    <w:rsid w:val="00EA7A0B"/>
    <w:rsid w:val="00EA7AB8"/>
    <w:rsid w:val="00EA7BE1"/>
    <w:rsid w:val="00EA7C84"/>
    <w:rsid w:val="00EA7E6F"/>
    <w:rsid w:val="00EB0248"/>
    <w:rsid w:val="00EB0595"/>
    <w:rsid w:val="00EB0892"/>
    <w:rsid w:val="00EB0AD9"/>
    <w:rsid w:val="00EB0D07"/>
    <w:rsid w:val="00EB0FC7"/>
    <w:rsid w:val="00EB0FEF"/>
    <w:rsid w:val="00EB1049"/>
    <w:rsid w:val="00EB146B"/>
    <w:rsid w:val="00EB16B3"/>
    <w:rsid w:val="00EB1B58"/>
    <w:rsid w:val="00EB1CCC"/>
    <w:rsid w:val="00EB22BC"/>
    <w:rsid w:val="00EB2814"/>
    <w:rsid w:val="00EB3065"/>
    <w:rsid w:val="00EB3A9D"/>
    <w:rsid w:val="00EB3C72"/>
    <w:rsid w:val="00EB3C92"/>
    <w:rsid w:val="00EB3F9A"/>
    <w:rsid w:val="00EB4039"/>
    <w:rsid w:val="00EB42A0"/>
    <w:rsid w:val="00EB43A7"/>
    <w:rsid w:val="00EB4838"/>
    <w:rsid w:val="00EB4AD4"/>
    <w:rsid w:val="00EB4EA0"/>
    <w:rsid w:val="00EB525E"/>
    <w:rsid w:val="00EB532B"/>
    <w:rsid w:val="00EB545F"/>
    <w:rsid w:val="00EB54EE"/>
    <w:rsid w:val="00EB55A4"/>
    <w:rsid w:val="00EB59A7"/>
    <w:rsid w:val="00EB5B1E"/>
    <w:rsid w:val="00EB5E85"/>
    <w:rsid w:val="00EB5F1F"/>
    <w:rsid w:val="00EB61A2"/>
    <w:rsid w:val="00EB61B2"/>
    <w:rsid w:val="00EB6267"/>
    <w:rsid w:val="00EB663E"/>
    <w:rsid w:val="00EB668E"/>
    <w:rsid w:val="00EB67BA"/>
    <w:rsid w:val="00EB69CC"/>
    <w:rsid w:val="00EB6F2F"/>
    <w:rsid w:val="00EB6FC1"/>
    <w:rsid w:val="00EB7038"/>
    <w:rsid w:val="00EB7265"/>
    <w:rsid w:val="00EB73E4"/>
    <w:rsid w:val="00EB7975"/>
    <w:rsid w:val="00EB7BB5"/>
    <w:rsid w:val="00EC00D3"/>
    <w:rsid w:val="00EC0EB0"/>
    <w:rsid w:val="00EC0F5B"/>
    <w:rsid w:val="00EC1516"/>
    <w:rsid w:val="00EC16A7"/>
    <w:rsid w:val="00EC177B"/>
    <w:rsid w:val="00EC2A8C"/>
    <w:rsid w:val="00EC2E36"/>
    <w:rsid w:val="00EC2F5B"/>
    <w:rsid w:val="00EC2FC1"/>
    <w:rsid w:val="00EC3235"/>
    <w:rsid w:val="00EC3286"/>
    <w:rsid w:val="00EC3A87"/>
    <w:rsid w:val="00EC3BE3"/>
    <w:rsid w:val="00EC3DF7"/>
    <w:rsid w:val="00EC3EBC"/>
    <w:rsid w:val="00EC416C"/>
    <w:rsid w:val="00EC427E"/>
    <w:rsid w:val="00EC449B"/>
    <w:rsid w:val="00EC44EB"/>
    <w:rsid w:val="00EC4779"/>
    <w:rsid w:val="00EC4AB9"/>
    <w:rsid w:val="00EC55A5"/>
    <w:rsid w:val="00EC59C6"/>
    <w:rsid w:val="00EC5AE4"/>
    <w:rsid w:val="00EC5D6C"/>
    <w:rsid w:val="00EC5FE8"/>
    <w:rsid w:val="00EC60A0"/>
    <w:rsid w:val="00EC64E7"/>
    <w:rsid w:val="00EC657E"/>
    <w:rsid w:val="00EC6832"/>
    <w:rsid w:val="00EC6972"/>
    <w:rsid w:val="00EC6B9E"/>
    <w:rsid w:val="00EC6F67"/>
    <w:rsid w:val="00EC6F85"/>
    <w:rsid w:val="00EC7077"/>
    <w:rsid w:val="00EC7789"/>
    <w:rsid w:val="00EC7973"/>
    <w:rsid w:val="00EC7DA8"/>
    <w:rsid w:val="00EC7ECE"/>
    <w:rsid w:val="00ED0515"/>
    <w:rsid w:val="00ED0632"/>
    <w:rsid w:val="00ED0666"/>
    <w:rsid w:val="00ED0679"/>
    <w:rsid w:val="00ED095E"/>
    <w:rsid w:val="00ED0C9D"/>
    <w:rsid w:val="00ED0F69"/>
    <w:rsid w:val="00ED1090"/>
    <w:rsid w:val="00ED125B"/>
    <w:rsid w:val="00ED13C6"/>
    <w:rsid w:val="00ED14E2"/>
    <w:rsid w:val="00ED14F9"/>
    <w:rsid w:val="00ED180C"/>
    <w:rsid w:val="00ED228A"/>
    <w:rsid w:val="00ED24E2"/>
    <w:rsid w:val="00ED277B"/>
    <w:rsid w:val="00ED2A70"/>
    <w:rsid w:val="00ED2AE6"/>
    <w:rsid w:val="00ED2D10"/>
    <w:rsid w:val="00ED2FBC"/>
    <w:rsid w:val="00ED35AF"/>
    <w:rsid w:val="00ED3C90"/>
    <w:rsid w:val="00ED3FF0"/>
    <w:rsid w:val="00ED4827"/>
    <w:rsid w:val="00ED4AFE"/>
    <w:rsid w:val="00ED4D36"/>
    <w:rsid w:val="00ED4D63"/>
    <w:rsid w:val="00ED5233"/>
    <w:rsid w:val="00ED5895"/>
    <w:rsid w:val="00ED5DA1"/>
    <w:rsid w:val="00ED5DFA"/>
    <w:rsid w:val="00ED5FD2"/>
    <w:rsid w:val="00ED6001"/>
    <w:rsid w:val="00ED628D"/>
    <w:rsid w:val="00ED66D0"/>
    <w:rsid w:val="00ED675F"/>
    <w:rsid w:val="00ED67C6"/>
    <w:rsid w:val="00ED698A"/>
    <w:rsid w:val="00ED6C5C"/>
    <w:rsid w:val="00ED6CA2"/>
    <w:rsid w:val="00ED6D76"/>
    <w:rsid w:val="00ED6E8B"/>
    <w:rsid w:val="00ED6F3A"/>
    <w:rsid w:val="00ED6FDA"/>
    <w:rsid w:val="00ED7306"/>
    <w:rsid w:val="00ED7E1E"/>
    <w:rsid w:val="00EE02B2"/>
    <w:rsid w:val="00EE0524"/>
    <w:rsid w:val="00EE0602"/>
    <w:rsid w:val="00EE076B"/>
    <w:rsid w:val="00EE1354"/>
    <w:rsid w:val="00EE144A"/>
    <w:rsid w:val="00EE15A9"/>
    <w:rsid w:val="00EE1976"/>
    <w:rsid w:val="00EE1A15"/>
    <w:rsid w:val="00EE1ABD"/>
    <w:rsid w:val="00EE1BAD"/>
    <w:rsid w:val="00EE1CED"/>
    <w:rsid w:val="00EE1FBF"/>
    <w:rsid w:val="00EE2E45"/>
    <w:rsid w:val="00EE364E"/>
    <w:rsid w:val="00EE37B2"/>
    <w:rsid w:val="00EE37F4"/>
    <w:rsid w:val="00EE3AB9"/>
    <w:rsid w:val="00EE4642"/>
    <w:rsid w:val="00EE47D0"/>
    <w:rsid w:val="00EE4A80"/>
    <w:rsid w:val="00EE4A95"/>
    <w:rsid w:val="00EE4BED"/>
    <w:rsid w:val="00EE4E49"/>
    <w:rsid w:val="00EE5589"/>
    <w:rsid w:val="00EE582B"/>
    <w:rsid w:val="00EE5C81"/>
    <w:rsid w:val="00EE61B5"/>
    <w:rsid w:val="00EE690D"/>
    <w:rsid w:val="00EE69D5"/>
    <w:rsid w:val="00EE6DF6"/>
    <w:rsid w:val="00EE6F3A"/>
    <w:rsid w:val="00EE7072"/>
    <w:rsid w:val="00EE739A"/>
    <w:rsid w:val="00EE77C7"/>
    <w:rsid w:val="00EE7A0D"/>
    <w:rsid w:val="00EE7F38"/>
    <w:rsid w:val="00EF03AB"/>
    <w:rsid w:val="00EF0522"/>
    <w:rsid w:val="00EF0B67"/>
    <w:rsid w:val="00EF0C79"/>
    <w:rsid w:val="00EF1D88"/>
    <w:rsid w:val="00EF1DCC"/>
    <w:rsid w:val="00EF1F67"/>
    <w:rsid w:val="00EF25F3"/>
    <w:rsid w:val="00EF264E"/>
    <w:rsid w:val="00EF2678"/>
    <w:rsid w:val="00EF2832"/>
    <w:rsid w:val="00EF2CC7"/>
    <w:rsid w:val="00EF335D"/>
    <w:rsid w:val="00EF356B"/>
    <w:rsid w:val="00EF37E6"/>
    <w:rsid w:val="00EF38EF"/>
    <w:rsid w:val="00EF3A10"/>
    <w:rsid w:val="00EF3D69"/>
    <w:rsid w:val="00EF4004"/>
    <w:rsid w:val="00EF452A"/>
    <w:rsid w:val="00EF4633"/>
    <w:rsid w:val="00EF4755"/>
    <w:rsid w:val="00EF519E"/>
    <w:rsid w:val="00EF5473"/>
    <w:rsid w:val="00EF575E"/>
    <w:rsid w:val="00EF5EA8"/>
    <w:rsid w:val="00EF6008"/>
    <w:rsid w:val="00EF61A3"/>
    <w:rsid w:val="00EF6379"/>
    <w:rsid w:val="00EF6528"/>
    <w:rsid w:val="00EF682E"/>
    <w:rsid w:val="00EF6864"/>
    <w:rsid w:val="00EF69F7"/>
    <w:rsid w:val="00EF6A6D"/>
    <w:rsid w:val="00EF729E"/>
    <w:rsid w:val="00EF74C6"/>
    <w:rsid w:val="00EF7648"/>
    <w:rsid w:val="00EF7B51"/>
    <w:rsid w:val="00F000F9"/>
    <w:rsid w:val="00F00122"/>
    <w:rsid w:val="00F00151"/>
    <w:rsid w:val="00F007B0"/>
    <w:rsid w:val="00F00A78"/>
    <w:rsid w:val="00F00B65"/>
    <w:rsid w:val="00F00CC6"/>
    <w:rsid w:val="00F00EC6"/>
    <w:rsid w:val="00F01087"/>
    <w:rsid w:val="00F0111B"/>
    <w:rsid w:val="00F01251"/>
    <w:rsid w:val="00F013F8"/>
    <w:rsid w:val="00F014A7"/>
    <w:rsid w:val="00F0153A"/>
    <w:rsid w:val="00F01725"/>
    <w:rsid w:val="00F01BEF"/>
    <w:rsid w:val="00F01D04"/>
    <w:rsid w:val="00F01DE2"/>
    <w:rsid w:val="00F01F50"/>
    <w:rsid w:val="00F01F82"/>
    <w:rsid w:val="00F02203"/>
    <w:rsid w:val="00F02831"/>
    <w:rsid w:val="00F02987"/>
    <w:rsid w:val="00F02ADD"/>
    <w:rsid w:val="00F02B12"/>
    <w:rsid w:val="00F02C6B"/>
    <w:rsid w:val="00F03429"/>
    <w:rsid w:val="00F0371B"/>
    <w:rsid w:val="00F0372A"/>
    <w:rsid w:val="00F03A73"/>
    <w:rsid w:val="00F03A7D"/>
    <w:rsid w:val="00F03B2C"/>
    <w:rsid w:val="00F040B2"/>
    <w:rsid w:val="00F041C2"/>
    <w:rsid w:val="00F04799"/>
    <w:rsid w:val="00F04863"/>
    <w:rsid w:val="00F04F36"/>
    <w:rsid w:val="00F0522A"/>
    <w:rsid w:val="00F0525D"/>
    <w:rsid w:val="00F056E6"/>
    <w:rsid w:val="00F05B1C"/>
    <w:rsid w:val="00F05EE9"/>
    <w:rsid w:val="00F06075"/>
    <w:rsid w:val="00F064EA"/>
    <w:rsid w:val="00F06C18"/>
    <w:rsid w:val="00F06FE0"/>
    <w:rsid w:val="00F077C8"/>
    <w:rsid w:val="00F078D9"/>
    <w:rsid w:val="00F101D1"/>
    <w:rsid w:val="00F1022E"/>
    <w:rsid w:val="00F1027E"/>
    <w:rsid w:val="00F10A7A"/>
    <w:rsid w:val="00F10E03"/>
    <w:rsid w:val="00F10E77"/>
    <w:rsid w:val="00F10EB1"/>
    <w:rsid w:val="00F11011"/>
    <w:rsid w:val="00F11018"/>
    <w:rsid w:val="00F117DD"/>
    <w:rsid w:val="00F11A75"/>
    <w:rsid w:val="00F11A9E"/>
    <w:rsid w:val="00F12478"/>
    <w:rsid w:val="00F124DE"/>
    <w:rsid w:val="00F127C6"/>
    <w:rsid w:val="00F12A0E"/>
    <w:rsid w:val="00F12BE0"/>
    <w:rsid w:val="00F12CE2"/>
    <w:rsid w:val="00F13043"/>
    <w:rsid w:val="00F13142"/>
    <w:rsid w:val="00F13556"/>
    <w:rsid w:val="00F1377B"/>
    <w:rsid w:val="00F13969"/>
    <w:rsid w:val="00F13A88"/>
    <w:rsid w:val="00F13FF9"/>
    <w:rsid w:val="00F140F0"/>
    <w:rsid w:val="00F14112"/>
    <w:rsid w:val="00F1412B"/>
    <w:rsid w:val="00F14197"/>
    <w:rsid w:val="00F1446F"/>
    <w:rsid w:val="00F14502"/>
    <w:rsid w:val="00F146EE"/>
    <w:rsid w:val="00F14EC6"/>
    <w:rsid w:val="00F150DD"/>
    <w:rsid w:val="00F1512E"/>
    <w:rsid w:val="00F1541F"/>
    <w:rsid w:val="00F156DA"/>
    <w:rsid w:val="00F168C2"/>
    <w:rsid w:val="00F16A4F"/>
    <w:rsid w:val="00F16BAF"/>
    <w:rsid w:val="00F16FD5"/>
    <w:rsid w:val="00F16FE8"/>
    <w:rsid w:val="00F17071"/>
    <w:rsid w:val="00F171AE"/>
    <w:rsid w:val="00F17324"/>
    <w:rsid w:val="00F174E6"/>
    <w:rsid w:val="00F179AF"/>
    <w:rsid w:val="00F17A12"/>
    <w:rsid w:val="00F17C5A"/>
    <w:rsid w:val="00F17F47"/>
    <w:rsid w:val="00F20247"/>
    <w:rsid w:val="00F2099D"/>
    <w:rsid w:val="00F20D1A"/>
    <w:rsid w:val="00F2134B"/>
    <w:rsid w:val="00F213C4"/>
    <w:rsid w:val="00F21409"/>
    <w:rsid w:val="00F214BF"/>
    <w:rsid w:val="00F216B6"/>
    <w:rsid w:val="00F21B4C"/>
    <w:rsid w:val="00F21EDA"/>
    <w:rsid w:val="00F2200C"/>
    <w:rsid w:val="00F22293"/>
    <w:rsid w:val="00F226AB"/>
    <w:rsid w:val="00F2273B"/>
    <w:rsid w:val="00F22E20"/>
    <w:rsid w:val="00F231EF"/>
    <w:rsid w:val="00F2367A"/>
    <w:rsid w:val="00F23B19"/>
    <w:rsid w:val="00F23B29"/>
    <w:rsid w:val="00F24166"/>
    <w:rsid w:val="00F241B1"/>
    <w:rsid w:val="00F24318"/>
    <w:rsid w:val="00F24704"/>
    <w:rsid w:val="00F24775"/>
    <w:rsid w:val="00F24E4F"/>
    <w:rsid w:val="00F24EA4"/>
    <w:rsid w:val="00F25129"/>
    <w:rsid w:val="00F251DD"/>
    <w:rsid w:val="00F25646"/>
    <w:rsid w:val="00F25BAF"/>
    <w:rsid w:val="00F25D1B"/>
    <w:rsid w:val="00F26043"/>
    <w:rsid w:val="00F2620D"/>
    <w:rsid w:val="00F2667E"/>
    <w:rsid w:val="00F26AE0"/>
    <w:rsid w:val="00F26BB8"/>
    <w:rsid w:val="00F275BD"/>
    <w:rsid w:val="00F278A7"/>
    <w:rsid w:val="00F278BF"/>
    <w:rsid w:val="00F27A0B"/>
    <w:rsid w:val="00F27A54"/>
    <w:rsid w:val="00F30163"/>
    <w:rsid w:val="00F301B2"/>
    <w:rsid w:val="00F30254"/>
    <w:rsid w:val="00F30429"/>
    <w:rsid w:val="00F3080B"/>
    <w:rsid w:val="00F30B76"/>
    <w:rsid w:val="00F30E0F"/>
    <w:rsid w:val="00F3170C"/>
    <w:rsid w:val="00F31730"/>
    <w:rsid w:val="00F31841"/>
    <w:rsid w:val="00F3187A"/>
    <w:rsid w:val="00F318C0"/>
    <w:rsid w:val="00F320D0"/>
    <w:rsid w:val="00F3214F"/>
    <w:rsid w:val="00F322BE"/>
    <w:rsid w:val="00F3248D"/>
    <w:rsid w:val="00F3296C"/>
    <w:rsid w:val="00F32E28"/>
    <w:rsid w:val="00F32EF0"/>
    <w:rsid w:val="00F3310C"/>
    <w:rsid w:val="00F3311D"/>
    <w:rsid w:val="00F335B1"/>
    <w:rsid w:val="00F336C4"/>
    <w:rsid w:val="00F33750"/>
    <w:rsid w:val="00F3386E"/>
    <w:rsid w:val="00F33B45"/>
    <w:rsid w:val="00F33C21"/>
    <w:rsid w:val="00F33E7A"/>
    <w:rsid w:val="00F34059"/>
    <w:rsid w:val="00F34417"/>
    <w:rsid w:val="00F347C6"/>
    <w:rsid w:val="00F34A09"/>
    <w:rsid w:val="00F34C59"/>
    <w:rsid w:val="00F351CD"/>
    <w:rsid w:val="00F3563B"/>
    <w:rsid w:val="00F35688"/>
    <w:rsid w:val="00F358ED"/>
    <w:rsid w:val="00F35B10"/>
    <w:rsid w:val="00F35C98"/>
    <w:rsid w:val="00F36141"/>
    <w:rsid w:val="00F36224"/>
    <w:rsid w:val="00F36337"/>
    <w:rsid w:val="00F36506"/>
    <w:rsid w:val="00F3650A"/>
    <w:rsid w:val="00F36C73"/>
    <w:rsid w:val="00F36DF0"/>
    <w:rsid w:val="00F36E24"/>
    <w:rsid w:val="00F36F50"/>
    <w:rsid w:val="00F371AC"/>
    <w:rsid w:val="00F374F6"/>
    <w:rsid w:val="00F37879"/>
    <w:rsid w:val="00F3788E"/>
    <w:rsid w:val="00F37905"/>
    <w:rsid w:val="00F37CDF"/>
    <w:rsid w:val="00F37E0C"/>
    <w:rsid w:val="00F40013"/>
    <w:rsid w:val="00F40155"/>
    <w:rsid w:val="00F40284"/>
    <w:rsid w:val="00F40879"/>
    <w:rsid w:val="00F40C27"/>
    <w:rsid w:val="00F40C28"/>
    <w:rsid w:val="00F40C9A"/>
    <w:rsid w:val="00F40D72"/>
    <w:rsid w:val="00F4113D"/>
    <w:rsid w:val="00F41407"/>
    <w:rsid w:val="00F42245"/>
    <w:rsid w:val="00F42268"/>
    <w:rsid w:val="00F422A1"/>
    <w:rsid w:val="00F422AA"/>
    <w:rsid w:val="00F42AE2"/>
    <w:rsid w:val="00F42B21"/>
    <w:rsid w:val="00F42B76"/>
    <w:rsid w:val="00F42DFD"/>
    <w:rsid w:val="00F4329F"/>
    <w:rsid w:val="00F432E2"/>
    <w:rsid w:val="00F43482"/>
    <w:rsid w:val="00F434CD"/>
    <w:rsid w:val="00F436DD"/>
    <w:rsid w:val="00F4382A"/>
    <w:rsid w:val="00F43C87"/>
    <w:rsid w:val="00F442B4"/>
    <w:rsid w:val="00F44388"/>
    <w:rsid w:val="00F44958"/>
    <w:rsid w:val="00F44F13"/>
    <w:rsid w:val="00F4506A"/>
    <w:rsid w:val="00F45110"/>
    <w:rsid w:val="00F453FC"/>
    <w:rsid w:val="00F455B1"/>
    <w:rsid w:val="00F456D0"/>
    <w:rsid w:val="00F458AC"/>
    <w:rsid w:val="00F45BE4"/>
    <w:rsid w:val="00F45DA2"/>
    <w:rsid w:val="00F45EE6"/>
    <w:rsid w:val="00F45EF7"/>
    <w:rsid w:val="00F45FB1"/>
    <w:rsid w:val="00F46023"/>
    <w:rsid w:val="00F4610F"/>
    <w:rsid w:val="00F462EC"/>
    <w:rsid w:val="00F46311"/>
    <w:rsid w:val="00F4670E"/>
    <w:rsid w:val="00F46954"/>
    <w:rsid w:val="00F47092"/>
    <w:rsid w:val="00F47449"/>
    <w:rsid w:val="00F478CD"/>
    <w:rsid w:val="00F478F9"/>
    <w:rsid w:val="00F47983"/>
    <w:rsid w:val="00F47FA2"/>
    <w:rsid w:val="00F50514"/>
    <w:rsid w:val="00F506E0"/>
    <w:rsid w:val="00F508CC"/>
    <w:rsid w:val="00F5095A"/>
    <w:rsid w:val="00F50B12"/>
    <w:rsid w:val="00F51265"/>
    <w:rsid w:val="00F5128E"/>
    <w:rsid w:val="00F514C5"/>
    <w:rsid w:val="00F5170B"/>
    <w:rsid w:val="00F51D4F"/>
    <w:rsid w:val="00F51FA3"/>
    <w:rsid w:val="00F5224E"/>
    <w:rsid w:val="00F5245F"/>
    <w:rsid w:val="00F52BAA"/>
    <w:rsid w:val="00F532AD"/>
    <w:rsid w:val="00F53AE6"/>
    <w:rsid w:val="00F53EF7"/>
    <w:rsid w:val="00F541A5"/>
    <w:rsid w:val="00F542A0"/>
    <w:rsid w:val="00F54597"/>
    <w:rsid w:val="00F5483F"/>
    <w:rsid w:val="00F54B60"/>
    <w:rsid w:val="00F54E23"/>
    <w:rsid w:val="00F55181"/>
    <w:rsid w:val="00F5521A"/>
    <w:rsid w:val="00F553F1"/>
    <w:rsid w:val="00F55514"/>
    <w:rsid w:val="00F5571E"/>
    <w:rsid w:val="00F55BBE"/>
    <w:rsid w:val="00F55D06"/>
    <w:rsid w:val="00F56333"/>
    <w:rsid w:val="00F5677F"/>
    <w:rsid w:val="00F5682E"/>
    <w:rsid w:val="00F56A4E"/>
    <w:rsid w:val="00F56C4C"/>
    <w:rsid w:val="00F56CF0"/>
    <w:rsid w:val="00F57074"/>
    <w:rsid w:val="00F57180"/>
    <w:rsid w:val="00F57212"/>
    <w:rsid w:val="00F572F2"/>
    <w:rsid w:val="00F57428"/>
    <w:rsid w:val="00F5776A"/>
    <w:rsid w:val="00F5797D"/>
    <w:rsid w:val="00F603DC"/>
    <w:rsid w:val="00F60AE2"/>
    <w:rsid w:val="00F60B5C"/>
    <w:rsid w:val="00F60BD0"/>
    <w:rsid w:val="00F60D62"/>
    <w:rsid w:val="00F61394"/>
    <w:rsid w:val="00F613CF"/>
    <w:rsid w:val="00F61585"/>
    <w:rsid w:val="00F61C51"/>
    <w:rsid w:val="00F61D33"/>
    <w:rsid w:val="00F61EB8"/>
    <w:rsid w:val="00F61F09"/>
    <w:rsid w:val="00F62504"/>
    <w:rsid w:val="00F62707"/>
    <w:rsid w:val="00F627AF"/>
    <w:rsid w:val="00F62D50"/>
    <w:rsid w:val="00F62ECE"/>
    <w:rsid w:val="00F62F88"/>
    <w:rsid w:val="00F6302D"/>
    <w:rsid w:val="00F632A0"/>
    <w:rsid w:val="00F6374B"/>
    <w:rsid w:val="00F64071"/>
    <w:rsid w:val="00F640DC"/>
    <w:rsid w:val="00F6414C"/>
    <w:rsid w:val="00F64407"/>
    <w:rsid w:val="00F6443A"/>
    <w:rsid w:val="00F646BE"/>
    <w:rsid w:val="00F647E4"/>
    <w:rsid w:val="00F6495D"/>
    <w:rsid w:val="00F649E7"/>
    <w:rsid w:val="00F64B85"/>
    <w:rsid w:val="00F64C0E"/>
    <w:rsid w:val="00F651AF"/>
    <w:rsid w:val="00F6536E"/>
    <w:rsid w:val="00F65500"/>
    <w:rsid w:val="00F6585E"/>
    <w:rsid w:val="00F658F7"/>
    <w:rsid w:val="00F65C4D"/>
    <w:rsid w:val="00F65F4F"/>
    <w:rsid w:val="00F662DB"/>
    <w:rsid w:val="00F66DE2"/>
    <w:rsid w:val="00F67603"/>
    <w:rsid w:val="00F70538"/>
    <w:rsid w:val="00F705D9"/>
    <w:rsid w:val="00F70A05"/>
    <w:rsid w:val="00F7105D"/>
    <w:rsid w:val="00F71089"/>
    <w:rsid w:val="00F71519"/>
    <w:rsid w:val="00F71B3C"/>
    <w:rsid w:val="00F71BDC"/>
    <w:rsid w:val="00F71BF0"/>
    <w:rsid w:val="00F71CFE"/>
    <w:rsid w:val="00F71DEE"/>
    <w:rsid w:val="00F71F68"/>
    <w:rsid w:val="00F72460"/>
    <w:rsid w:val="00F726F5"/>
    <w:rsid w:val="00F727A8"/>
    <w:rsid w:val="00F72C0C"/>
    <w:rsid w:val="00F72C53"/>
    <w:rsid w:val="00F72CD4"/>
    <w:rsid w:val="00F72D16"/>
    <w:rsid w:val="00F72F6F"/>
    <w:rsid w:val="00F73E09"/>
    <w:rsid w:val="00F742AA"/>
    <w:rsid w:val="00F745CE"/>
    <w:rsid w:val="00F74E8B"/>
    <w:rsid w:val="00F751FF"/>
    <w:rsid w:val="00F7530B"/>
    <w:rsid w:val="00F753E4"/>
    <w:rsid w:val="00F754DA"/>
    <w:rsid w:val="00F75562"/>
    <w:rsid w:val="00F76252"/>
    <w:rsid w:val="00F7696D"/>
    <w:rsid w:val="00F76ABE"/>
    <w:rsid w:val="00F771BD"/>
    <w:rsid w:val="00F771C4"/>
    <w:rsid w:val="00F77822"/>
    <w:rsid w:val="00F77A00"/>
    <w:rsid w:val="00F77C20"/>
    <w:rsid w:val="00F77C5A"/>
    <w:rsid w:val="00F77C9D"/>
    <w:rsid w:val="00F77F05"/>
    <w:rsid w:val="00F80096"/>
    <w:rsid w:val="00F80BC0"/>
    <w:rsid w:val="00F80DCA"/>
    <w:rsid w:val="00F80E6A"/>
    <w:rsid w:val="00F81E69"/>
    <w:rsid w:val="00F82013"/>
    <w:rsid w:val="00F82099"/>
    <w:rsid w:val="00F8273C"/>
    <w:rsid w:val="00F827B8"/>
    <w:rsid w:val="00F827EF"/>
    <w:rsid w:val="00F8288D"/>
    <w:rsid w:val="00F8297A"/>
    <w:rsid w:val="00F82E19"/>
    <w:rsid w:val="00F8313F"/>
    <w:rsid w:val="00F83627"/>
    <w:rsid w:val="00F8376D"/>
    <w:rsid w:val="00F8378F"/>
    <w:rsid w:val="00F8390A"/>
    <w:rsid w:val="00F8392E"/>
    <w:rsid w:val="00F83F49"/>
    <w:rsid w:val="00F83FD2"/>
    <w:rsid w:val="00F84A16"/>
    <w:rsid w:val="00F84A1A"/>
    <w:rsid w:val="00F84BCF"/>
    <w:rsid w:val="00F84EAB"/>
    <w:rsid w:val="00F851AB"/>
    <w:rsid w:val="00F85574"/>
    <w:rsid w:val="00F855F4"/>
    <w:rsid w:val="00F855FB"/>
    <w:rsid w:val="00F85C00"/>
    <w:rsid w:val="00F8634E"/>
    <w:rsid w:val="00F867E3"/>
    <w:rsid w:val="00F86898"/>
    <w:rsid w:val="00F869A0"/>
    <w:rsid w:val="00F86A83"/>
    <w:rsid w:val="00F871AC"/>
    <w:rsid w:val="00F874AA"/>
    <w:rsid w:val="00F875D8"/>
    <w:rsid w:val="00F87706"/>
    <w:rsid w:val="00F87ED3"/>
    <w:rsid w:val="00F90429"/>
    <w:rsid w:val="00F90819"/>
    <w:rsid w:val="00F90C1B"/>
    <w:rsid w:val="00F90DB0"/>
    <w:rsid w:val="00F90DB2"/>
    <w:rsid w:val="00F91064"/>
    <w:rsid w:val="00F9112F"/>
    <w:rsid w:val="00F9148C"/>
    <w:rsid w:val="00F91BC9"/>
    <w:rsid w:val="00F91C90"/>
    <w:rsid w:val="00F91D55"/>
    <w:rsid w:val="00F92161"/>
    <w:rsid w:val="00F92395"/>
    <w:rsid w:val="00F92F59"/>
    <w:rsid w:val="00F931CD"/>
    <w:rsid w:val="00F93217"/>
    <w:rsid w:val="00F9323C"/>
    <w:rsid w:val="00F9334F"/>
    <w:rsid w:val="00F93C5B"/>
    <w:rsid w:val="00F93F86"/>
    <w:rsid w:val="00F94441"/>
    <w:rsid w:val="00F945A5"/>
    <w:rsid w:val="00F94683"/>
    <w:rsid w:val="00F94845"/>
    <w:rsid w:val="00F949DA"/>
    <w:rsid w:val="00F94DE0"/>
    <w:rsid w:val="00F9502A"/>
    <w:rsid w:val="00F9517F"/>
    <w:rsid w:val="00F951DC"/>
    <w:rsid w:val="00F9540C"/>
    <w:rsid w:val="00F95468"/>
    <w:rsid w:val="00F954DA"/>
    <w:rsid w:val="00F95522"/>
    <w:rsid w:val="00F95573"/>
    <w:rsid w:val="00F95CAD"/>
    <w:rsid w:val="00F95CBB"/>
    <w:rsid w:val="00F95D5F"/>
    <w:rsid w:val="00F96010"/>
    <w:rsid w:val="00F9606A"/>
    <w:rsid w:val="00F962FD"/>
    <w:rsid w:val="00F9664F"/>
    <w:rsid w:val="00F96712"/>
    <w:rsid w:val="00F9675E"/>
    <w:rsid w:val="00F96AB4"/>
    <w:rsid w:val="00F96B31"/>
    <w:rsid w:val="00F96BCE"/>
    <w:rsid w:val="00F96D2C"/>
    <w:rsid w:val="00F97166"/>
    <w:rsid w:val="00F97416"/>
    <w:rsid w:val="00F9788C"/>
    <w:rsid w:val="00F978B9"/>
    <w:rsid w:val="00F979CD"/>
    <w:rsid w:val="00F97EC6"/>
    <w:rsid w:val="00FA0184"/>
    <w:rsid w:val="00FA01BA"/>
    <w:rsid w:val="00FA025F"/>
    <w:rsid w:val="00FA02E1"/>
    <w:rsid w:val="00FA031B"/>
    <w:rsid w:val="00FA0374"/>
    <w:rsid w:val="00FA0621"/>
    <w:rsid w:val="00FA0743"/>
    <w:rsid w:val="00FA1004"/>
    <w:rsid w:val="00FA10D2"/>
    <w:rsid w:val="00FA1133"/>
    <w:rsid w:val="00FA12CF"/>
    <w:rsid w:val="00FA13EC"/>
    <w:rsid w:val="00FA1753"/>
    <w:rsid w:val="00FA17E1"/>
    <w:rsid w:val="00FA1C03"/>
    <w:rsid w:val="00FA1C04"/>
    <w:rsid w:val="00FA1C14"/>
    <w:rsid w:val="00FA1EC7"/>
    <w:rsid w:val="00FA2065"/>
    <w:rsid w:val="00FA22BE"/>
    <w:rsid w:val="00FA2320"/>
    <w:rsid w:val="00FA2483"/>
    <w:rsid w:val="00FA2F21"/>
    <w:rsid w:val="00FA2FA4"/>
    <w:rsid w:val="00FA2FA9"/>
    <w:rsid w:val="00FA30DA"/>
    <w:rsid w:val="00FA3146"/>
    <w:rsid w:val="00FA3C0B"/>
    <w:rsid w:val="00FA403A"/>
    <w:rsid w:val="00FA4303"/>
    <w:rsid w:val="00FA4368"/>
    <w:rsid w:val="00FA43CD"/>
    <w:rsid w:val="00FA4429"/>
    <w:rsid w:val="00FA4796"/>
    <w:rsid w:val="00FA4E81"/>
    <w:rsid w:val="00FA4FDF"/>
    <w:rsid w:val="00FA512F"/>
    <w:rsid w:val="00FA5135"/>
    <w:rsid w:val="00FA51E5"/>
    <w:rsid w:val="00FA5334"/>
    <w:rsid w:val="00FA56FE"/>
    <w:rsid w:val="00FA5B4D"/>
    <w:rsid w:val="00FA63EF"/>
    <w:rsid w:val="00FA69C5"/>
    <w:rsid w:val="00FA6B2E"/>
    <w:rsid w:val="00FA6F7F"/>
    <w:rsid w:val="00FA6FD9"/>
    <w:rsid w:val="00FA703A"/>
    <w:rsid w:val="00FA7364"/>
    <w:rsid w:val="00FA738E"/>
    <w:rsid w:val="00FA7621"/>
    <w:rsid w:val="00FA7937"/>
    <w:rsid w:val="00FB0020"/>
    <w:rsid w:val="00FB0263"/>
    <w:rsid w:val="00FB0353"/>
    <w:rsid w:val="00FB0488"/>
    <w:rsid w:val="00FB0645"/>
    <w:rsid w:val="00FB07E0"/>
    <w:rsid w:val="00FB0B38"/>
    <w:rsid w:val="00FB0CDE"/>
    <w:rsid w:val="00FB1271"/>
    <w:rsid w:val="00FB143C"/>
    <w:rsid w:val="00FB146C"/>
    <w:rsid w:val="00FB15E4"/>
    <w:rsid w:val="00FB192E"/>
    <w:rsid w:val="00FB194B"/>
    <w:rsid w:val="00FB1AA1"/>
    <w:rsid w:val="00FB22D1"/>
    <w:rsid w:val="00FB28CF"/>
    <w:rsid w:val="00FB2D2C"/>
    <w:rsid w:val="00FB2D9F"/>
    <w:rsid w:val="00FB2ED9"/>
    <w:rsid w:val="00FB2F0D"/>
    <w:rsid w:val="00FB3273"/>
    <w:rsid w:val="00FB3513"/>
    <w:rsid w:val="00FB3A87"/>
    <w:rsid w:val="00FB3ABB"/>
    <w:rsid w:val="00FB3DF9"/>
    <w:rsid w:val="00FB45D7"/>
    <w:rsid w:val="00FB49B3"/>
    <w:rsid w:val="00FB525C"/>
    <w:rsid w:val="00FB5554"/>
    <w:rsid w:val="00FB5564"/>
    <w:rsid w:val="00FB5CBF"/>
    <w:rsid w:val="00FB627F"/>
    <w:rsid w:val="00FB643A"/>
    <w:rsid w:val="00FB6639"/>
    <w:rsid w:val="00FB6780"/>
    <w:rsid w:val="00FB6BD7"/>
    <w:rsid w:val="00FB6ECD"/>
    <w:rsid w:val="00FB6F93"/>
    <w:rsid w:val="00FB7197"/>
    <w:rsid w:val="00FB71E5"/>
    <w:rsid w:val="00FB74BA"/>
    <w:rsid w:val="00FB7981"/>
    <w:rsid w:val="00FB7D52"/>
    <w:rsid w:val="00FB7DD0"/>
    <w:rsid w:val="00FB7F66"/>
    <w:rsid w:val="00FC0324"/>
    <w:rsid w:val="00FC035C"/>
    <w:rsid w:val="00FC0936"/>
    <w:rsid w:val="00FC0A11"/>
    <w:rsid w:val="00FC0B4C"/>
    <w:rsid w:val="00FC0F1F"/>
    <w:rsid w:val="00FC1421"/>
    <w:rsid w:val="00FC1512"/>
    <w:rsid w:val="00FC17FF"/>
    <w:rsid w:val="00FC1F01"/>
    <w:rsid w:val="00FC262C"/>
    <w:rsid w:val="00FC26EE"/>
    <w:rsid w:val="00FC29A7"/>
    <w:rsid w:val="00FC2ED8"/>
    <w:rsid w:val="00FC311D"/>
    <w:rsid w:val="00FC340B"/>
    <w:rsid w:val="00FC390B"/>
    <w:rsid w:val="00FC3B70"/>
    <w:rsid w:val="00FC3FA1"/>
    <w:rsid w:val="00FC41B4"/>
    <w:rsid w:val="00FC4353"/>
    <w:rsid w:val="00FC4D64"/>
    <w:rsid w:val="00FC547E"/>
    <w:rsid w:val="00FC5A13"/>
    <w:rsid w:val="00FC610C"/>
    <w:rsid w:val="00FC61AD"/>
    <w:rsid w:val="00FC69BF"/>
    <w:rsid w:val="00FC6DD2"/>
    <w:rsid w:val="00FC6F61"/>
    <w:rsid w:val="00FC73BF"/>
    <w:rsid w:val="00FC7483"/>
    <w:rsid w:val="00FC76BD"/>
    <w:rsid w:val="00FC77D2"/>
    <w:rsid w:val="00FC7927"/>
    <w:rsid w:val="00FC7936"/>
    <w:rsid w:val="00FC7A39"/>
    <w:rsid w:val="00FC7C69"/>
    <w:rsid w:val="00FC7D08"/>
    <w:rsid w:val="00FD023D"/>
    <w:rsid w:val="00FD0302"/>
    <w:rsid w:val="00FD074E"/>
    <w:rsid w:val="00FD0F1B"/>
    <w:rsid w:val="00FD12AA"/>
    <w:rsid w:val="00FD146C"/>
    <w:rsid w:val="00FD1487"/>
    <w:rsid w:val="00FD1674"/>
    <w:rsid w:val="00FD1AB0"/>
    <w:rsid w:val="00FD2087"/>
    <w:rsid w:val="00FD21EF"/>
    <w:rsid w:val="00FD23C4"/>
    <w:rsid w:val="00FD24BA"/>
    <w:rsid w:val="00FD2501"/>
    <w:rsid w:val="00FD26E5"/>
    <w:rsid w:val="00FD2B31"/>
    <w:rsid w:val="00FD2C82"/>
    <w:rsid w:val="00FD2F10"/>
    <w:rsid w:val="00FD31AB"/>
    <w:rsid w:val="00FD3370"/>
    <w:rsid w:val="00FD34BD"/>
    <w:rsid w:val="00FD3927"/>
    <w:rsid w:val="00FD39C6"/>
    <w:rsid w:val="00FD39DF"/>
    <w:rsid w:val="00FD3A64"/>
    <w:rsid w:val="00FD3C1F"/>
    <w:rsid w:val="00FD3FAF"/>
    <w:rsid w:val="00FD461A"/>
    <w:rsid w:val="00FD464B"/>
    <w:rsid w:val="00FD49B2"/>
    <w:rsid w:val="00FD4B86"/>
    <w:rsid w:val="00FD4D22"/>
    <w:rsid w:val="00FD4D6B"/>
    <w:rsid w:val="00FD4E05"/>
    <w:rsid w:val="00FD5279"/>
    <w:rsid w:val="00FD572C"/>
    <w:rsid w:val="00FD5BFD"/>
    <w:rsid w:val="00FD5D82"/>
    <w:rsid w:val="00FD654C"/>
    <w:rsid w:val="00FD6A4A"/>
    <w:rsid w:val="00FD6B67"/>
    <w:rsid w:val="00FD6C9D"/>
    <w:rsid w:val="00FD6E4A"/>
    <w:rsid w:val="00FD7000"/>
    <w:rsid w:val="00FD750D"/>
    <w:rsid w:val="00FD761E"/>
    <w:rsid w:val="00FD766D"/>
    <w:rsid w:val="00FD7A5B"/>
    <w:rsid w:val="00FD7BD8"/>
    <w:rsid w:val="00FE00AA"/>
    <w:rsid w:val="00FE0152"/>
    <w:rsid w:val="00FE04A2"/>
    <w:rsid w:val="00FE05F0"/>
    <w:rsid w:val="00FE0721"/>
    <w:rsid w:val="00FE0776"/>
    <w:rsid w:val="00FE0ABB"/>
    <w:rsid w:val="00FE1229"/>
    <w:rsid w:val="00FE1648"/>
    <w:rsid w:val="00FE1710"/>
    <w:rsid w:val="00FE1BBF"/>
    <w:rsid w:val="00FE1CA1"/>
    <w:rsid w:val="00FE25A5"/>
    <w:rsid w:val="00FE260F"/>
    <w:rsid w:val="00FE2640"/>
    <w:rsid w:val="00FE2E14"/>
    <w:rsid w:val="00FE3301"/>
    <w:rsid w:val="00FE3385"/>
    <w:rsid w:val="00FE3AE0"/>
    <w:rsid w:val="00FE3D4B"/>
    <w:rsid w:val="00FE46A7"/>
    <w:rsid w:val="00FE4B21"/>
    <w:rsid w:val="00FE51B6"/>
    <w:rsid w:val="00FE54C5"/>
    <w:rsid w:val="00FE54CC"/>
    <w:rsid w:val="00FE5513"/>
    <w:rsid w:val="00FE5565"/>
    <w:rsid w:val="00FE56F2"/>
    <w:rsid w:val="00FE578E"/>
    <w:rsid w:val="00FE5B55"/>
    <w:rsid w:val="00FE5C30"/>
    <w:rsid w:val="00FE5C32"/>
    <w:rsid w:val="00FE5CE4"/>
    <w:rsid w:val="00FE5E01"/>
    <w:rsid w:val="00FE626A"/>
    <w:rsid w:val="00FE63D2"/>
    <w:rsid w:val="00FE64BA"/>
    <w:rsid w:val="00FE6549"/>
    <w:rsid w:val="00FE6DF9"/>
    <w:rsid w:val="00FE6F43"/>
    <w:rsid w:val="00FE7044"/>
    <w:rsid w:val="00FE7076"/>
    <w:rsid w:val="00FE730D"/>
    <w:rsid w:val="00FE7E58"/>
    <w:rsid w:val="00FE7EB5"/>
    <w:rsid w:val="00FE7FF5"/>
    <w:rsid w:val="00FF096D"/>
    <w:rsid w:val="00FF0BD6"/>
    <w:rsid w:val="00FF0D9D"/>
    <w:rsid w:val="00FF1116"/>
    <w:rsid w:val="00FF1908"/>
    <w:rsid w:val="00FF1AAD"/>
    <w:rsid w:val="00FF1BB2"/>
    <w:rsid w:val="00FF2500"/>
    <w:rsid w:val="00FF254C"/>
    <w:rsid w:val="00FF257A"/>
    <w:rsid w:val="00FF25DC"/>
    <w:rsid w:val="00FF296C"/>
    <w:rsid w:val="00FF2CA4"/>
    <w:rsid w:val="00FF2CEA"/>
    <w:rsid w:val="00FF2EC6"/>
    <w:rsid w:val="00FF2F3E"/>
    <w:rsid w:val="00FF318E"/>
    <w:rsid w:val="00FF3396"/>
    <w:rsid w:val="00FF3557"/>
    <w:rsid w:val="00FF391E"/>
    <w:rsid w:val="00FF4023"/>
    <w:rsid w:val="00FF420F"/>
    <w:rsid w:val="00FF42B9"/>
    <w:rsid w:val="00FF42EA"/>
    <w:rsid w:val="00FF436D"/>
    <w:rsid w:val="00FF4789"/>
    <w:rsid w:val="00FF485E"/>
    <w:rsid w:val="00FF48A8"/>
    <w:rsid w:val="00FF4AE3"/>
    <w:rsid w:val="00FF4AF6"/>
    <w:rsid w:val="00FF540B"/>
    <w:rsid w:val="00FF548D"/>
    <w:rsid w:val="00FF54CE"/>
    <w:rsid w:val="00FF556E"/>
    <w:rsid w:val="00FF55A0"/>
    <w:rsid w:val="00FF55F7"/>
    <w:rsid w:val="00FF5907"/>
    <w:rsid w:val="00FF59AC"/>
    <w:rsid w:val="00FF5B11"/>
    <w:rsid w:val="00FF5DF8"/>
    <w:rsid w:val="00FF60AA"/>
    <w:rsid w:val="00FF66CC"/>
    <w:rsid w:val="00FF6B74"/>
    <w:rsid w:val="00FF6BE5"/>
    <w:rsid w:val="00FF6D2A"/>
    <w:rsid w:val="00FF6ECA"/>
    <w:rsid w:val="00FF7421"/>
    <w:rsid w:val="00FF74DA"/>
    <w:rsid w:val="00FF751E"/>
    <w:rsid w:val="00FF7AF4"/>
    <w:rsid w:val="00FF7C46"/>
    <w:rsid w:val="00FF7F8A"/>
    <w:rsid w:val="01AF4DBC"/>
    <w:rsid w:val="01E0D443"/>
    <w:rsid w:val="0449FD80"/>
    <w:rsid w:val="0D24D947"/>
    <w:rsid w:val="0E518806"/>
    <w:rsid w:val="0ED64675"/>
    <w:rsid w:val="0F32C520"/>
    <w:rsid w:val="0F378ADB"/>
    <w:rsid w:val="10E2057F"/>
    <w:rsid w:val="160BFFB1"/>
    <w:rsid w:val="162B8EDD"/>
    <w:rsid w:val="173BD3E9"/>
    <w:rsid w:val="185C5A44"/>
    <w:rsid w:val="1AB0A849"/>
    <w:rsid w:val="1CA001D7"/>
    <w:rsid w:val="1CFAB62B"/>
    <w:rsid w:val="1E1FF563"/>
    <w:rsid w:val="226C6900"/>
    <w:rsid w:val="2572FACF"/>
    <w:rsid w:val="2E54E7DC"/>
    <w:rsid w:val="2E56E58F"/>
    <w:rsid w:val="2EDB65F7"/>
    <w:rsid w:val="32D36814"/>
    <w:rsid w:val="350A77E8"/>
    <w:rsid w:val="374DDC06"/>
    <w:rsid w:val="38E092AB"/>
    <w:rsid w:val="3A9F2170"/>
    <w:rsid w:val="3AEBB722"/>
    <w:rsid w:val="3C41ACA0"/>
    <w:rsid w:val="3CD00C70"/>
    <w:rsid w:val="451150D7"/>
    <w:rsid w:val="45833B3A"/>
    <w:rsid w:val="45958CE2"/>
    <w:rsid w:val="482F2384"/>
    <w:rsid w:val="48EAA995"/>
    <w:rsid w:val="49E9CDF9"/>
    <w:rsid w:val="4AA0FA80"/>
    <w:rsid w:val="4BB62485"/>
    <w:rsid w:val="4E35596D"/>
    <w:rsid w:val="4EF02478"/>
    <w:rsid w:val="5296CDE6"/>
    <w:rsid w:val="52E69162"/>
    <w:rsid w:val="558E1660"/>
    <w:rsid w:val="58EEC803"/>
    <w:rsid w:val="5A9C51E3"/>
    <w:rsid w:val="5F18923A"/>
    <w:rsid w:val="5FFCBD14"/>
    <w:rsid w:val="63038837"/>
    <w:rsid w:val="6722821C"/>
    <w:rsid w:val="6AF31494"/>
    <w:rsid w:val="71190E9D"/>
    <w:rsid w:val="728A4730"/>
    <w:rsid w:val="754401D1"/>
    <w:rsid w:val="75E58C7D"/>
    <w:rsid w:val="762D89BC"/>
    <w:rsid w:val="78059074"/>
    <w:rsid w:val="7B7CD687"/>
    <w:rsid w:val="7CF0D6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EE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3"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6"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DD677C"/>
    <w:pPr>
      <w:spacing w:after="0" w:line="240" w:lineRule="auto"/>
    </w:pPr>
    <w:rPr>
      <w:rFonts w:ascii="Arial" w:eastAsiaTheme="minorHAnsi" w:hAnsi="Arial"/>
      <w:sz w:val="20"/>
      <w:szCs w:val="18"/>
    </w:rPr>
  </w:style>
  <w:style w:type="paragraph" w:styleId="Heading1">
    <w:name w:val="heading 1"/>
    <w:basedOn w:val="Normal"/>
    <w:next w:val="Body"/>
    <w:link w:val="Heading1Char"/>
    <w:uiPriority w:val="9"/>
    <w:qFormat/>
    <w:rsid w:val="00A60A4E"/>
    <w:pPr>
      <w:pageBreakBefore/>
      <w:numPr>
        <w:numId w:val="4"/>
      </w:numPr>
      <w:spacing w:after="240"/>
      <w:outlineLvl w:val="0"/>
    </w:pPr>
    <w:rPr>
      <w:color w:val="005A5D" w:themeColor="text2" w:themeShade="BF"/>
      <w:sz w:val="40"/>
      <w:szCs w:val="40"/>
    </w:rPr>
  </w:style>
  <w:style w:type="paragraph" w:styleId="Heading2">
    <w:name w:val="heading 2"/>
    <w:basedOn w:val="Normal"/>
    <w:next w:val="Body"/>
    <w:link w:val="Heading2Char"/>
    <w:uiPriority w:val="9"/>
    <w:qFormat/>
    <w:rsid w:val="00A60A4E"/>
    <w:pPr>
      <w:keepNext/>
      <w:keepLines/>
      <w:numPr>
        <w:ilvl w:val="1"/>
        <w:numId w:val="4"/>
      </w:numPr>
      <w:spacing w:before="240" w:after="120"/>
      <w:outlineLvl w:val="1"/>
    </w:pPr>
    <w:rPr>
      <w:rFonts w:eastAsiaTheme="majorEastAsia" w:cs="Arial"/>
      <w:color w:val="007A7D" w:themeColor="text2"/>
      <w:sz w:val="32"/>
      <w:szCs w:val="32"/>
    </w:rPr>
  </w:style>
  <w:style w:type="paragraph" w:styleId="Heading3">
    <w:name w:val="heading 3"/>
    <w:basedOn w:val="Normal"/>
    <w:next w:val="Body"/>
    <w:link w:val="Heading3Char"/>
    <w:uiPriority w:val="9"/>
    <w:qFormat/>
    <w:rsid w:val="00A60A4E"/>
    <w:pPr>
      <w:keepNext/>
      <w:keepLines/>
      <w:numPr>
        <w:ilvl w:val="2"/>
        <w:numId w:val="4"/>
      </w:numPr>
      <w:spacing w:before="240" w:after="120"/>
      <w:outlineLvl w:val="2"/>
    </w:pPr>
    <w:rPr>
      <w:rFonts w:eastAsiaTheme="majorEastAsia" w:cs="Arial"/>
      <w:color w:val="007A7D" w:themeColor="text2"/>
      <w:sz w:val="28"/>
      <w:szCs w:val="28"/>
    </w:rPr>
  </w:style>
  <w:style w:type="paragraph" w:styleId="Heading4">
    <w:name w:val="heading 4"/>
    <w:basedOn w:val="Normal"/>
    <w:next w:val="Body"/>
    <w:link w:val="Heading4Char"/>
    <w:uiPriority w:val="3"/>
    <w:qFormat/>
    <w:rsid w:val="00DD677C"/>
    <w:pPr>
      <w:keepNext/>
      <w:spacing w:before="240" w:after="120"/>
      <w:outlineLvl w:val="3"/>
    </w:pPr>
    <w:rPr>
      <w:color w:val="4FBFBE" w:themeColor="accent1"/>
      <w:sz w:val="22"/>
      <w:szCs w:val="21"/>
      <w:u w:val="single"/>
    </w:rPr>
  </w:style>
  <w:style w:type="paragraph" w:styleId="Heading5">
    <w:name w:val="heading 5"/>
    <w:basedOn w:val="Normal"/>
    <w:next w:val="Body"/>
    <w:link w:val="Heading5Char"/>
    <w:uiPriority w:val="3"/>
    <w:qFormat/>
    <w:rsid w:val="00DD677C"/>
    <w:pPr>
      <w:keepNext/>
      <w:spacing w:before="240" w:after="120"/>
      <w:outlineLvl w:val="4"/>
    </w:pPr>
    <w:rPr>
      <w:color w:val="4FBFBE" w:themeColor="accent1"/>
      <w:szCs w:val="20"/>
    </w:rPr>
  </w:style>
  <w:style w:type="paragraph" w:styleId="Heading6">
    <w:name w:val="heading 6"/>
    <w:basedOn w:val="Normal"/>
    <w:next w:val="Normal"/>
    <w:link w:val="Heading6Char"/>
    <w:uiPriority w:val="9"/>
    <w:unhideWhenUsed/>
    <w:rsid w:val="00DD677C"/>
    <w:pPr>
      <w:keepNext/>
      <w:keepLines/>
      <w:spacing w:before="40"/>
      <w:outlineLvl w:val="5"/>
    </w:pPr>
    <w:rPr>
      <w:rFonts w:asciiTheme="majorHAnsi" w:eastAsiaTheme="majorEastAsia" w:hAnsiTheme="majorHAnsi" w:cstheme="majorBidi"/>
      <w:i/>
      <w:iCs/>
      <w:caps/>
      <w:color w:val="246362" w:themeColor="accent1" w:themeShade="80"/>
    </w:rPr>
  </w:style>
  <w:style w:type="paragraph" w:styleId="Heading7">
    <w:name w:val="heading 7"/>
    <w:basedOn w:val="Normal"/>
    <w:next w:val="Normal"/>
    <w:link w:val="Heading7Char"/>
    <w:uiPriority w:val="9"/>
    <w:unhideWhenUsed/>
    <w:rsid w:val="00DD677C"/>
    <w:pPr>
      <w:keepNext/>
      <w:keepLines/>
      <w:spacing w:before="40"/>
      <w:outlineLvl w:val="6"/>
    </w:pPr>
    <w:rPr>
      <w:rFonts w:asciiTheme="majorHAnsi" w:eastAsiaTheme="majorEastAsia" w:hAnsiTheme="majorHAnsi" w:cstheme="majorBidi"/>
      <w:b/>
      <w:bCs/>
      <w:color w:val="246362" w:themeColor="accent1" w:themeShade="80"/>
    </w:rPr>
  </w:style>
  <w:style w:type="paragraph" w:styleId="Heading8">
    <w:name w:val="heading 8"/>
    <w:basedOn w:val="Normal"/>
    <w:next w:val="Normal"/>
    <w:link w:val="Heading8Char"/>
    <w:uiPriority w:val="9"/>
    <w:semiHidden/>
    <w:unhideWhenUsed/>
    <w:rsid w:val="00DD677C"/>
    <w:pPr>
      <w:keepNext/>
      <w:keepLines/>
      <w:spacing w:before="40"/>
      <w:outlineLvl w:val="7"/>
    </w:pPr>
    <w:rPr>
      <w:rFonts w:asciiTheme="majorHAnsi" w:eastAsiaTheme="majorEastAsia" w:hAnsiTheme="majorHAnsi" w:cstheme="majorBidi"/>
      <w:b/>
      <w:bCs/>
      <w:i/>
      <w:iCs/>
      <w:color w:val="246362" w:themeColor="accent1" w:themeShade="80"/>
    </w:rPr>
  </w:style>
  <w:style w:type="paragraph" w:styleId="Heading9">
    <w:name w:val="heading 9"/>
    <w:basedOn w:val="Normal"/>
    <w:next w:val="Normal"/>
    <w:link w:val="Heading9Char"/>
    <w:uiPriority w:val="9"/>
    <w:semiHidden/>
    <w:unhideWhenUsed/>
    <w:qFormat/>
    <w:rsid w:val="00DD677C"/>
    <w:pPr>
      <w:keepNext/>
      <w:keepLines/>
      <w:spacing w:before="40"/>
      <w:outlineLvl w:val="8"/>
    </w:pPr>
    <w:rPr>
      <w:rFonts w:asciiTheme="majorHAnsi" w:eastAsiaTheme="majorEastAsia" w:hAnsiTheme="majorHAnsi" w:cstheme="majorBidi"/>
      <w:i/>
      <w:iCs/>
      <w:color w:val="24636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DD677C"/>
    <w:pPr>
      <w:ind w:left="851"/>
    </w:pPr>
  </w:style>
  <w:style w:type="paragraph" w:styleId="BodyText">
    <w:name w:val="Body Text"/>
    <w:basedOn w:val="Normal"/>
    <w:link w:val="BodyTextChar"/>
    <w:uiPriority w:val="99"/>
    <w:qFormat/>
    <w:rsid w:val="001F6957"/>
    <w:pPr>
      <w:spacing w:before="140" w:after="140" w:line="276" w:lineRule="auto"/>
    </w:pPr>
  </w:style>
  <w:style w:type="paragraph" w:styleId="Title">
    <w:name w:val="Title"/>
    <w:basedOn w:val="Body"/>
    <w:next w:val="Body"/>
    <w:link w:val="TitleChar"/>
    <w:uiPriority w:val="10"/>
    <w:qFormat/>
    <w:rsid w:val="00A60A4E"/>
    <w:pPr>
      <w:spacing w:before="0" w:after="0" w:line="240" w:lineRule="auto"/>
      <w:ind w:left="397"/>
    </w:pPr>
    <w:rPr>
      <w:color w:val="005A5D" w:themeColor="text2" w:themeShade="BF"/>
      <w:sz w:val="76"/>
      <w:szCs w:val="76"/>
    </w:rPr>
  </w:style>
  <w:style w:type="character" w:customStyle="1" w:styleId="TitleChar">
    <w:name w:val="Title Char"/>
    <w:basedOn w:val="DefaultParagraphFont"/>
    <w:link w:val="Title"/>
    <w:uiPriority w:val="10"/>
    <w:rsid w:val="00A60A4E"/>
    <w:rPr>
      <w:rFonts w:ascii="Arial" w:eastAsia="Times New Roman" w:hAnsi="Arial" w:cs="Times New Roman"/>
      <w:color w:val="005A5D" w:themeColor="text2" w:themeShade="BF"/>
      <w:sz w:val="76"/>
      <w:szCs w:val="76"/>
    </w:rPr>
  </w:style>
  <w:style w:type="paragraph" w:customStyle="1" w:styleId="MajorHeading">
    <w:name w:val="Major Heading"/>
    <w:basedOn w:val="Normal"/>
    <w:next w:val="Normal"/>
    <w:link w:val="MajorHeadingChar"/>
    <w:uiPriority w:val="3"/>
    <w:qFormat/>
    <w:rsid w:val="00A60A4E"/>
    <w:pPr>
      <w:pageBreakBefore/>
      <w:spacing w:after="240"/>
      <w:outlineLvl w:val="0"/>
    </w:pPr>
    <w:rPr>
      <w:color w:val="005A5D" w:themeColor="text2" w:themeShade="BF"/>
      <w:sz w:val="40"/>
      <w:szCs w:val="40"/>
    </w:rPr>
  </w:style>
  <w:style w:type="character" w:customStyle="1" w:styleId="MajorHeadingChar">
    <w:name w:val="Major Heading Char"/>
    <w:basedOn w:val="DefaultParagraphFont"/>
    <w:link w:val="MajorHeading"/>
    <w:uiPriority w:val="3"/>
    <w:rsid w:val="00A60A4E"/>
    <w:rPr>
      <w:rFonts w:ascii="Arial" w:eastAsiaTheme="minorHAnsi" w:hAnsi="Arial"/>
      <w:color w:val="005A5D" w:themeColor="text2" w:themeShade="BF"/>
      <w:sz w:val="40"/>
      <w:szCs w:val="40"/>
    </w:rPr>
  </w:style>
  <w:style w:type="paragraph" w:styleId="NoSpacing">
    <w:name w:val="No Spacing"/>
    <w:uiPriority w:val="1"/>
    <w:qFormat/>
    <w:rsid w:val="00DD677C"/>
    <w:pPr>
      <w:spacing w:after="0" w:line="240" w:lineRule="auto"/>
    </w:pPr>
    <w:rPr>
      <w:rFonts w:ascii="Arial" w:eastAsiaTheme="minorHAnsi" w:hAnsi="Arial"/>
      <w:sz w:val="20"/>
      <w:szCs w:val="18"/>
    </w:rPr>
  </w:style>
  <w:style w:type="paragraph" w:styleId="Header">
    <w:name w:val="header"/>
    <w:basedOn w:val="Normal"/>
    <w:link w:val="HeaderChar"/>
    <w:uiPriority w:val="99"/>
    <w:unhideWhenUsed/>
    <w:rsid w:val="00DD677C"/>
    <w:pPr>
      <w:tabs>
        <w:tab w:val="center" w:pos="4513"/>
        <w:tab w:val="right" w:pos="9026"/>
      </w:tabs>
    </w:pPr>
  </w:style>
  <w:style w:type="character" w:customStyle="1" w:styleId="HeaderChar">
    <w:name w:val="Header Char"/>
    <w:basedOn w:val="DefaultParagraphFont"/>
    <w:link w:val="Header"/>
    <w:uiPriority w:val="99"/>
    <w:rsid w:val="00DD677C"/>
    <w:rPr>
      <w:rFonts w:ascii="Arial" w:eastAsiaTheme="minorHAnsi" w:hAnsi="Arial"/>
      <w:sz w:val="20"/>
      <w:szCs w:val="18"/>
    </w:rPr>
  </w:style>
  <w:style w:type="paragraph" w:styleId="Footer">
    <w:name w:val="footer"/>
    <w:basedOn w:val="Normal"/>
    <w:link w:val="FooterChar"/>
    <w:uiPriority w:val="99"/>
    <w:unhideWhenUsed/>
    <w:rsid w:val="00DD677C"/>
    <w:pPr>
      <w:tabs>
        <w:tab w:val="center" w:pos="4513"/>
        <w:tab w:val="right" w:pos="9026"/>
      </w:tabs>
    </w:pPr>
  </w:style>
  <w:style w:type="character" w:customStyle="1" w:styleId="FooterChar">
    <w:name w:val="Footer Char"/>
    <w:basedOn w:val="DefaultParagraphFont"/>
    <w:link w:val="Footer"/>
    <w:uiPriority w:val="99"/>
    <w:rsid w:val="00DD677C"/>
    <w:rPr>
      <w:rFonts w:ascii="Arial" w:eastAsiaTheme="minorHAnsi" w:hAnsi="Arial"/>
      <w:sz w:val="20"/>
      <w:szCs w:val="18"/>
    </w:rPr>
  </w:style>
  <w:style w:type="paragraph" w:customStyle="1" w:styleId="SubHeading1">
    <w:name w:val="Sub Heading 1"/>
    <w:basedOn w:val="Normal"/>
    <w:next w:val="Body"/>
    <w:link w:val="SubHeading1Char"/>
    <w:uiPriority w:val="3"/>
    <w:qFormat/>
    <w:rsid w:val="00A60A4E"/>
    <w:pPr>
      <w:keepNext/>
      <w:spacing w:before="120" w:after="120"/>
    </w:pPr>
    <w:rPr>
      <w:bCs/>
      <w:color w:val="007A7D" w:themeColor="text2"/>
      <w:sz w:val="32"/>
      <w:szCs w:val="32"/>
    </w:rPr>
  </w:style>
  <w:style w:type="character" w:customStyle="1" w:styleId="SubHeading1Char">
    <w:name w:val="Sub Heading 1 Char"/>
    <w:basedOn w:val="DefaultParagraphFont"/>
    <w:link w:val="SubHeading1"/>
    <w:uiPriority w:val="3"/>
    <w:rsid w:val="00A60A4E"/>
    <w:rPr>
      <w:rFonts w:ascii="Arial" w:eastAsiaTheme="minorHAnsi" w:hAnsi="Arial"/>
      <w:bCs/>
      <w:color w:val="007A7D" w:themeColor="text2"/>
      <w:sz w:val="32"/>
      <w:szCs w:val="32"/>
    </w:rPr>
  </w:style>
  <w:style w:type="paragraph" w:styleId="TOC1">
    <w:name w:val="toc 1"/>
    <w:basedOn w:val="Normal"/>
    <w:next w:val="Normal"/>
    <w:autoRedefine/>
    <w:uiPriority w:val="39"/>
    <w:unhideWhenUsed/>
    <w:qFormat/>
    <w:rsid w:val="00DD677C"/>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DD677C"/>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DD677C"/>
    <w:rPr>
      <w:rFonts w:ascii="Arial" w:eastAsia="Times New Roman" w:hAnsi="Arial" w:cs="Times New Roman"/>
      <w:noProof/>
      <w:sz w:val="20"/>
      <w:szCs w:val="20"/>
    </w:rPr>
  </w:style>
  <w:style w:type="paragraph" w:styleId="TOC3">
    <w:name w:val="toc 3"/>
    <w:basedOn w:val="Normal"/>
    <w:next w:val="Normal"/>
    <w:uiPriority w:val="39"/>
    <w:unhideWhenUsed/>
    <w:qFormat/>
    <w:rsid w:val="00DD677C"/>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rsid w:val="00DD677C"/>
    <w:rPr>
      <w:color w:val="000000" w:themeColor="text1"/>
      <w:u w:val="single"/>
    </w:rPr>
  </w:style>
  <w:style w:type="paragraph" w:styleId="TableofFigures">
    <w:name w:val="table of figures"/>
    <w:basedOn w:val="Normal"/>
    <w:next w:val="Normal"/>
    <w:uiPriority w:val="99"/>
    <w:unhideWhenUsed/>
    <w:rsid w:val="00DD677C"/>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A60A4E"/>
    <w:rPr>
      <w:color w:val="369492" w:themeColor="accent1" w:themeShade="BF"/>
      <w:sz w:val="24"/>
      <w:szCs w:val="24"/>
    </w:rPr>
  </w:style>
  <w:style w:type="character" w:customStyle="1" w:styleId="Subheading2Char">
    <w:name w:val="Sub heading 2 Char"/>
    <w:basedOn w:val="SubHeading1Char"/>
    <w:link w:val="Subheading2"/>
    <w:uiPriority w:val="3"/>
    <w:rsid w:val="00A60A4E"/>
    <w:rPr>
      <w:rFonts w:ascii="Arial" w:eastAsiaTheme="minorHAnsi" w:hAnsi="Arial"/>
      <w:bCs/>
      <w:color w:val="369492" w:themeColor="accent1" w:themeShade="BF"/>
      <w:sz w:val="24"/>
      <w:szCs w:val="24"/>
    </w:rPr>
  </w:style>
  <w:style w:type="paragraph" w:styleId="Subtitle">
    <w:name w:val="Subtitle"/>
    <w:basedOn w:val="Body"/>
    <w:next w:val="Body"/>
    <w:link w:val="SubtitleChar"/>
    <w:uiPriority w:val="10"/>
    <w:qFormat/>
    <w:rsid w:val="00A60A4E"/>
    <w:pPr>
      <w:spacing w:before="0" w:after="0" w:line="240" w:lineRule="auto"/>
      <w:ind w:left="397"/>
    </w:pPr>
    <w:rPr>
      <w:color w:val="007A7D" w:themeColor="text2"/>
      <w:sz w:val="36"/>
      <w:szCs w:val="36"/>
    </w:rPr>
  </w:style>
  <w:style w:type="character" w:customStyle="1" w:styleId="SubtitleChar">
    <w:name w:val="Subtitle Char"/>
    <w:basedOn w:val="DefaultParagraphFont"/>
    <w:link w:val="Subtitle"/>
    <w:uiPriority w:val="10"/>
    <w:rsid w:val="00A60A4E"/>
    <w:rPr>
      <w:rFonts w:ascii="Arial" w:eastAsia="Times New Roman" w:hAnsi="Arial" w:cs="Times New Roman"/>
      <w:color w:val="007A7D" w:themeColor="text2"/>
      <w:sz w:val="36"/>
      <w:szCs w:val="36"/>
    </w:rPr>
  </w:style>
  <w:style w:type="paragraph" w:customStyle="1" w:styleId="BaseFigureNotes">
    <w:name w:val="Base Figure Notes"/>
    <w:basedOn w:val="Normal"/>
    <w:next w:val="Normal"/>
    <w:uiPriority w:val="7"/>
    <w:qFormat/>
    <w:rsid w:val="00DD677C"/>
    <w:pPr>
      <w:spacing w:before="60"/>
    </w:pPr>
    <w:rPr>
      <w:sz w:val="18"/>
    </w:rPr>
  </w:style>
  <w:style w:type="character" w:customStyle="1" w:styleId="Heading1Char">
    <w:name w:val="Heading 1 Char"/>
    <w:basedOn w:val="DefaultParagraphFont"/>
    <w:link w:val="Heading1"/>
    <w:uiPriority w:val="9"/>
    <w:rsid w:val="00A60A4E"/>
    <w:rPr>
      <w:rFonts w:ascii="Arial" w:eastAsiaTheme="minorHAnsi" w:hAnsi="Arial"/>
      <w:color w:val="005A5D" w:themeColor="text2" w:themeShade="BF"/>
      <w:sz w:val="40"/>
      <w:szCs w:val="40"/>
    </w:rPr>
  </w:style>
  <w:style w:type="character" w:customStyle="1" w:styleId="Heading2Char">
    <w:name w:val="Heading 2 Char"/>
    <w:basedOn w:val="DefaultParagraphFont"/>
    <w:link w:val="Heading2"/>
    <w:uiPriority w:val="9"/>
    <w:rsid w:val="00A60A4E"/>
    <w:rPr>
      <w:rFonts w:ascii="Arial" w:eastAsiaTheme="majorEastAsia" w:hAnsi="Arial" w:cs="Arial"/>
      <w:color w:val="007A7D" w:themeColor="text2"/>
      <w:sz w:val="32"/>
      <w:szCs w:val="32"/>
    </w:rPr>
  </w:style>
  <w:style w:type="character" w:customStyle="1" w:styleId="Heading3Char">
    <w:name w:val="Heading 3 Char"/>
    <w:basedOn w:val="DefaultParagraphFont"/>
    <w:link w:val="Heading3"/>
    <w:uiPriority w:val="9"/>
    <w:rsid w:val="00A60A4E"/>
    <w:rPr>
      <w:rFonts w:ascii="Arial" w:eastAsiaTheme="majorEastAsia" w:hAnsi="Arial" w:cs="Arial"/>
      <w:color w:val="007A7D" w:themeColor="text2"/>
      <w:sz w:val="28"/>
      <w:szCs w:val="28"/>
    </w:rPr>
  </w:style>
  <w:style w:type="paragraph" w:styleId="Caption">
    <w:name w:val="caption"/>
    <w:basedOn w:val="Quote2"/>
    <w:next w:val="Body"/>
    <w:link w:val="CaptionChar"/>
    <w:uiPriority w:val="35"/>
    <w:qFormat/>
    <w:rsid w:val="00A60A4E"/>
    <w:pPr>
      <w:keepNext/>
      <w:tabs>
        <w:tab w:val="left" w:pos="1134"/>
      </w:tabs>
      <w:spacing w:after="120"/>
      <w:ind w:right="0" w:hanging="1134"/>
      <w:jc w:val="left"/>
    </w:pPr>
    <w:rPr>
      <w:rFonts w:ascii="Arial" w:hAnsi="Arial" w:cs="Arial"/>
      <w:b/>
      <w:sz w:val="21"/>
      <w:szCs w:val="21"/>
    </w:rPr>
  </w:style>
  <w:style w:type="table" w:styleId="GridTable2-Accent1">
    <w:name w:val="Grid Table 2 Accent 1"/>
    <w:basedOn w:val="TableNormal"/>
    <w:uiPriority w:val="47"/>
    <w:locked/>
    <w:rsid w:val="00DD677C"/>
    <w:pPr>
      <w:spacing w:after="0" w:line="240" w:lineRule="auto"/>
    </w:pPr>
    <w:rPr>
      <w:rFonts w:ascii="Arial" w:eastAsiaTheme="minorHAnsi" w:hAnsi="Arial"/>
    </w:rPr>
    <w:tblPr>
      <w:tblStyleRowBandSize w:val="1"/>
      <w:tblStyleColBandSize w:val="1"/>
      <w:tblBorders>
        <w:top w:val="single" w:sz="2" w:space="0" w:color="95D8D7" w:themeColor="accent1" w:themeTint="99"/>
        <w:bottom w:val="single" w:sz="2" w:space="0" w:color="95D8D7" w:themeColor="accent1" w:themeTint="99"/>
        <w:insideH w:val="single" w:sz="2" w:space="0" w:color="95D8D7" w:themeColor="accent1" w:themeTint="99"/>
        <w:insideV w:val="single" w:sz="2" w:space="0" w:color="95D8D7" w:themeColor="accent1" w:themeTint="99"/>
      </w:tblBorders>
    </w:tblPr>
    <w:tblStylePr w:type="firstRow">
      <w:pPr>
        <w:jc w:val="left"/>
      </w:pPr>
      <w:rPr>
        <w:b/>
        <w:bCs/>
      </w:rPr>
      <w:tblPr/>
      <w:tcPr>
        <w:tcBorders>
          <w:top w:val="nil"/>
          <w:bottom w:val="single" w:sz="12" w:space="0" w:color="95D8D7" w:themeColor="accent1" w:themeTint="99"/>
          <w:insideH w:val="nil"/>
          <w:insideV w:val="nil"/>
        </w:tcBorders>
        <w:shd w:val="clear" w:color="auto" w:fill="FFFFFF" w:themeFill="background1"/>
        <w:vAlign w:val="bottom"/>
      </w:tcPr>
    </w:tblStylePr>
    <w:tblStylePr w:type="lastRow">
      <w:rPr>
        <w:b/>
        <w:bCs/>
      </w:rPr>
      <w:tblPr/>
      <w:tcPr>
        <w:tcBorders>
          <w:top w:val="double" w:sz="2" w:space="0" w:color="95D8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F2" w:themeFill="accent1" w:themeFillTint="33"/>
      </w:tcPr>
    </w:tblStylePr>
    <w:tblStylePr w:type="band1Horz">
      <w:tblPr/>
      <w:tcPr>
        <w:shd w:val="clear" w:color="auto" w:fill="DBF2F2" w:themeFill="accent1" w:themeFillTint="33"/>
      </w:tcPr>
    </w:tblStylePr>
  </w:style>
  <w:style w:type="paragraph" w:styleId="FootnoteText">
    <w:name w:val="footnote text"/>
    <w:aliases w:val="Char, Char"/>
    <w:basedOn w:val="Normal"/>
    <w:link w:val="FootnoteTextChar"/>
    <w:uiPriority w:val="99"/>
    <w:rsid w:val="001F6957"/>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1F6957"/>
    <w:rPr>
      <w:rFonts w:ascii="Arial" w:eastAsia="Times New Roman" w:hAnsi="Arial" w:cs="Times New Roman"/>
      <w:sz w:val="16"/>
      <w:szCs w:val="20"/>
      <w:lang w:val="en-US"/>
    </w:rPr>
  </w:style>
  <w:style w:type="character" w:styleId="FootnoteReference">
    <w:name w:val="footnote reference"/>
    <w:uiPriority w:val="99"/>
    <w:rsid w:val="001F6957"/>
    <w:rPr>
      <w:rFonts w:ascii="Arial" w:hAnsi="Arial"/>
      <w:sz w:val="16"/>
      <w:vertAlign w:val="superscript"/>
    </w:rPr>
  </w:style>
  <w:style w:type="table" w:styleId="GridTable2-Accent2">
    <w:name w:val="Grid Table 2 Accent 2"/>
    <w:basedOn w:val="TableNormal"/>
    <w:uiPriority w:val="47"/>
    <w:locked/>
    <w:rsid w:val="00DD677C"/>
    <w:pPr>
      <w:spacing w:after="0" w:line="240" w:lineRule="auto"/>
    </w:pPr>
    <w:rPr>
      <w:rFonts w:ascii="Arial" w:eastAsiaTheme="minorHAnsi" w:hAnsi="Arial"/>
      <w:sz w:val="18"/>
    </w:rPr>
    <w:tblPr>
      <w:tblStyleRowBandSize w:val="1"/>
      <w:tblStyleColBandSize w:val="1"/>
      <w:tblBorders>
        <w:top w:val="single" w:sz="2" w:space="0" w:color="D3E583" w:themeColor="accent2" w:themeTint="99"/>
        <w:bottom w:val="single" w:sz="2" w:space="0" w:color="D3E583" w:themeColor="accent2" w:themeTint="99"/>
        <w:insideH w:val="single" w:sz="2" w:space="0" w:color="D3E583" w:themeColor="accent2" w:themeTint="99"/>
        <w:insideV w:val="single" w:sz="2" w:space="0" w:color="D3E583" w:themeColor="accent2" w:themeTint="99"/>
      </w:tblBorders>
    </w:tblPr>
    <w:tblStylePr w:type="firstRow">
      <w:pPr>
        <w:jc w:val="left"/>
      </w:pPr>
      <w:rPr>
        <w:b/>
        <w:bCs/>
      </w:rPr>
      <w:tblPr/>
      <w:tcPr>
        <w:tcBorders>
          <w:top w:val="nil"/>
          <w:bottom w:val="single" w:sz="12" w:space="0" w:color="D3E583" w:themeColor="accent2" w:themeTint="99"/>
          <w:insideH w:val="nil"/>
          <w:insideV w:val="nil"/>
        </w:tcBorders>
        <w:shd w:val="clear" w:color="auto" w:fill="FFFFFF" w:themeFill="background1"/>
        <w:vAlign w:val="bottom"/>
      </w:tcPr>
    </w:tblStylePr>
    <w:tblStylePr w:type="lastRow">
      <w:rPr>
        <w:b/>
        <w:bCs/>
      </w:rPr>
      <w:tblPr/>
      <w:tcPr>
        <w:tcBorders>
          <w:top w:val="double" w:sz="2" w:space="0" w:color="D3E5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character" w:customStyle="1" w:styleId="CaptionChar">
    <w:name w:val="Caption Char"/>
    <w:basedOn w:val="DefaultParagraphFont"/>
    <w:link w:val="Caption"/>
    <w:uiPriority w:val="35"/>
    <w:rsid w:val="00A60A4E"/>
    <w:rPr>
      <w:rFonts w:ascii="Arial" w:eastAsia="Times New Roman" w:hAnsi="Arial" w:cs="Arial"/>
      <w:b/>
      <w:bCs/>
      <w:color w:val="007A7D" w:themeColor="text2"/>
      <w:sz w:val="21"/>
      <w:szCs w:val="21"/>
      <w:lang w:eastAsia="en-AU"/>
    </w:rPr>
  </w:style>
  <w:style w:type="table" w:styleId="GridTable2-Accent3">
    <w:name w:val="Grid Table 2 Accent 3"/>
    <w:basedOn w:val="TableNormal"/>
    <w:uiPriority w:val="47"/>
    <w:locked/>
    <w:rsid w:val="00DD677C"/>
    <w:pPr>
      <w:spacing w:after="0" w:line="240" w:lineRule="auto"/>
    </w:pPr>
    <w:rPr>
      <w:rFonts w:ascii="Arial" w:eastAsiaTheme="minorHAnsi" w:hAnsi="Arial"/>
      <w:sz w:val="18"/>
    </w:rPr>
    <w:tblPr>
      <w:tblStyleRowBandSize w:val="1"/>
      <w:tblStyleColBandSize w:val="1"/>
      <w:tblBorders>
        <w:top w:val="single" w:sz="2" w:space="0" w:color="F7AD80" w:themeColor="accent3" w:themeTint="99"/>
        <w:bottom w:val="single" w:sz="2" w:space="0" w:color="F7AD80" w:themeColor="accent3" w:themeTint="99"/>
        <w:insideH w:val="single" w:sz="2" w:space="0" w:color="F7AD80" w:themeColor="accent3" w:themeTint="99"/>
        <w:insideV w:val="single" w:sz="2" w:space="0" w:color="F7AD80" w:themeColor="accent3" w:themeTint="99"/>
      </w:tblBorders>
    </w:tblPr>
    <w:tblStylePr w:type="firstRow">
      <w:pPr>
        <w:jc w:val="left"/>
      </w:pPr>
      <w:rPr>
        <w:b/>
        <w:bCs/>
      </w:rPr>
      <w:tblPr/>
      <w:tcPr>
        <w:tcBorders>
          <w:top w:val="nil"/>
          <w:bottom w:val="single" w:sz="12" w:space="0" w:color="F7AD80" w:themeColor="accent3" w:themeTint="99"/>
          <w:insideH w:val="nil"/>
          <w:insideV w:val="nil"/>
        </w:tcBorders>
        <w:shd w:val="clear" w:color="auto" w:fill="FFFFFF" w:themeFill="background1"/>
        <w:vAlign w:val="bottom"/>
      </w:tcPr>
    </w:tblStylePr>
    <w:tblStylePr w:type="lastRow">
      <w:rPr>
        <w:b/>
        <w:bCs/>
      </w:rPr>
      <w:tblPr/>
      <w:tcPr>
        <w:tcBorders>
          <w:top w:val="double" w:sz="2" w:space="0" w:color="F7AD8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character" w:customStyle="1" w:styleId="Heading4Char">
    <w:name w:val="Heading 4 Char"/>
    <w:basedOn w:val="DefaultParagraphFont"/>
    <w:link w:val="Heading4"/>
    <w:uiPriority w:val="3"/>
    <w:rsid w:val="00DD677C"/>
    <w:rPr>
      <w:rFonts w:ascii="Arial" w:eastAsiaTheme="minorHAnsi" w:hAnsi="Arial"/>
      <w:color w:val="4FBFBE" w:themeColor="accent1"/>
      <w:szCs w:val="21"/>
      <w:u w:val="single"/>
    </w:rPr>
  </w:style>
  <w:style w:type="character" w:customStyle="1" w:styleId="Heading5Char">
    <w:name w:val="Heading 5 Char"/>
    <w:basedOn w:val="DefaultParagraphFont"/>
    <w:link w:val="Heading5"/>
    <w:uiPriority w:val="3"/>
    <w:rsid w:val="00DD677C"/>
    <w:rPr>
      <w:rFonts w:ascii="Arial" w:eastAsiaTheme="minorHAnsi" w:hAnsi="Arial"/>
      <w:color w:val="4FBFBE" w:themeColor="accent1"/>
      <w:sz w:val="20"/>
      <w:szCs w:val="20"/>
    </w:rPr>
  </w:style>
  <w:style w:type="table" w:styleId="GridTable3-Accent1">
    <w:name w:val="Grid Table 3 Accent 1"/>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95D8D7" w:themeColor="accent1" w:themeTint="99"/>
        <w:left w:val="single" w:sz="4" w:space="0" w:color="95D8D7" w:themeColor="accent1" w:themeTint="99"/>
        <w:bottom w:val="single" w:sz="4" w:space="0" w:color="95D8D7" w:themeColor="accent1" w:themeTint="99"/>
        <w:right w:val="single" w:sz="4" w:space="0" w:color="95D8D7" w:themeColor="accent1" w:themeTint="99"/>
        <w:insideH w:val="single" w:sz="4" w:space="0" w:color="95D8D7" w:themeColor="accent1" w:themeTint="99"/>
        <w:insideV w:val="single" w:sz="4" w:space="0" w:color="95D8D7"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F2" w:themeFill="accent1" w:themeFillTint="33"/>
      </w:tcPr>
    </w:tblStylePr>
    <w:tblStylePr w:type="band1Horz">
      <w:tblPr/>
      <w:tcPr>
        <w:shd w:val="clear" w:color="auto" w:fill="DBF2F2" w:themeFill="accent1" w:themeFillTint="33"/>
      </w:tcPr>
    </w:tblStylePr>
    <w:tblStylePr w:type="neCell">
      <w:tblPr/>
      <w:tcPr>
        <w:tcBorders>
          <w:bottom w:val="single" w:sz="4" w:space="0" w:color="95D8D7" w:themeColor="accent1" w:themeTint="99"/>
        </w:tcBorders>
      </w:tcPr>
    </w:tblStylePr>
    <w:tblStylePr w:type="nwCell">
      <w:tblPr/>
      <w:tcPr>
        <w:tcBorders>
          <w:bottom w:val="single" w:sz="4" w:space="0" w:color="95D8D7" w:themeColor="accent1" w:themeTint="99"/>
        </w:tcBorders>
      </w:tcPr>
    </w:tblStylePr>
    <w:tblStylePr w:type="seCell">
      <w:tblPr/>
      <w:tcPr>
        <w:tcBorders>
          <w:top w:val="single" w:sz="4" w:space="0" w:color="95D8D7" w:themeColor="accent1" w:themeTint="99"/>
        </w:tcBorders>
      </w:tcPr>
    </w:tblStylePr>
    <w:tblStylePr w:type="swCell">
      <w:tblPr/>
      <w:tcPr>
        <w:tcBorders>
          <w:top w:val="single" w:sz="4" w:space="0" w:color="95D8D7" w:themeColor="accent1" w:themeTint="99"/>
        </w:tcBorders>
      </w:tcPr>
    </w:tblStylePr>
  </w:style>
  <w:style w:type="table" w:styleId="GridTable3-Accent2">
    <w:name w:val="Grid Table 3 Accent 2"/>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D5" w:themeFill="accent2" w:themeFillTint="33"/>
      </w:tcPr>
    </w:tblStylePr>
    <w:tblStylePr w:type="band1Horz">
      <w:tblPr/>
      <w:tcPr>
        <w:shd w:val="clear" w:color="auto" w:fill="F0F6D5" w:themeFill="accent2" w:themeFillTint="33"/>
      </w:tcPr>
    </w:tblStylePr>
    <w:tblStylePr w:type="neCell">
      <w:tblPr/>
      <w:tcPr>
        <w:tcBorders>
          <w:bottom w:val="single" w:sz="4" w:space="0" w:color="D3E583" w:themeColor="accent2" w:themeTint="99"/>
        </w:tcBorders>
      </w:tcPr>
    </w:tblStylePr>
    <w:tblStylePr w:type="nwCell">
      <w:tblPr/>
      <w:tcPr>
        <w:tcBorders>
          <w:bottom w:val="single" w:sz="4" w:space="0" w:color="D3E583" w:themeColor="accent2" w:themeTint="99"/>
        </w:tcBorders>
      </w:tcPr>
    </w:tblStylePr>
    <w:tblStylePr w:type="seCell">
      <w:tblPr/>
      <w:tcPr>
        <w:tcBorders>
          <w:top w:val="single" w:sz="4" w:space="0" w:color="D3E583" w:themeColor="accent2" w:themeTint="99"/>
        </w:tcBorders>
      </w:tcPr>
    </w:tblStylePr>
    <w:tblStylePr w:type="swCell">
      <w:tblPr/>
      <w:tcPr>
        <w:tcBorders>
          <w:top w:val="single" w:sz="4" w:space="0" w:color="D3E583" w:themeColor="accent2" w:themeTint="99"/>
        </w:tcBorders>
      </w:tcPr>
    </w:tblStylePr>
  </w:style>
  <w:style w:type="table" w:styleId="GridTable3-Accent6">
    <w:name w:val="Grid Table 3 Accent 6"/>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bottom w:val="single" w:sz="4" w:space="0" w:color="DBCBBF" w:themeColor="accent6" w:themeTint="99"/>
        </w:tcBorders>
      </w:tcPr>
    </w:tblStylePr>
    <w:tblStylePr w:type="nwCell">
      <w:tblPr/>
      <w:tcPr>
        <w:tcBorders>
          <w:bottom w:val="single" w:sz="4" w:space="0" w:color="DBCBBF" w:themeColor="accent6" w:themeTint="99"/>
        </w:tcBorders>
      </w:tcPr>
    </w:tblStylePr>
    <w:tblStylePr w:type="seCell">
      <w:tblPr/>
      <w:tcPr>
        <w:tcBorders>
          <w:top w:val="single" w:sz="4" w:space="0" w:color="DBCBBF" w:themeColor="accent6" w:themeTint="99"/>
        </w:tcBorders>
      </w:tcPr>
    </w:tblStylePr>
    <w:tblStylePr w:type="swCell">
      <w:tblPr/>
      <w:tcPr>
        <w:tcBorders>
          <w:top w:val="single" w:sz="4" w:space="0" w:color="DBCBBF" w:themeColor="accent6" w:themeTint="99"/>
        </w:tcBorders>
      </w:tcPr>
    </w:tblStylePr>
  </w:style>
  <w:style w:type="character" w:styleId="BookTitle">
    <w:name w:val="Book Title"/>
    <w:basedOn w:val="DefaultParagraphFont"/>
    <w:uiPriority w:val="33"/>
    <w:qFormat/>
    <w:rsid w:val="00DD677C"/>
    <w:rPr>
      <w:rFonts w:ascii="Arial" w:hAnsi="Arial"/>
      <w:iCs/>
      <w:color w:val="auto"/>
      <w:spacing w:val="5"/>
      <w:sz w:val="20"/>
      <w:szCs w:val="20"/>
    </w:rPr>
  </w:style>
  <w:style w:type="paragraph" w:styleId="ListBullet">
    <w:name w:val="List Bullet"/>
    <w:basedOn w:val="Normal"/>
    <w:uiPriority w:val="1"/>
    <w:qFormat/>
    <w:rsid w:val="00DD677C"/>
    <w:pPr>
      <w:numPr>
        <w:numId w:val="5"/>
      </w:numPr>
      <w:spacing w:before="60" w:after="60" w:line="300" w:lineRule="auto"/>
    </w:pPr>
  </w:style>
  <w:style w:type="paragraph" w:styleId="ListBullet2">
    <w:name w:val="List Bullet 2"/>
    <w:basedOn w:val="Normal"/>
    <w:uiPriority w:val="1"/>
    <w:qFormat/>
    <w:rsid w:val="00DD677C"/>
    <w:pPr>
      <w:numPr>
        <w:numId w:val="6"/>
      </w:numPr>
      <w:spacing w:before="60" w:after="60" w:line="300" w:lineRule="auto"/>
    </w:pPr>
  </w:style>
  <w:style w:type="table" w:styleId="GridTable4">
    <w:name w:val="Grid Table 4"/>
    <w:basedOn w:val="TableNormal"/>
    <w:uiPriority w:val="49"/>
    <w:rsid w:val="00DD677C"/>
    <w:pPr>
      <w:spacing w:after="0" w:line="240" w:lineRule="auto"/>
    </w:pPr>
    <w:rPr>
      <w:rFonts w:ascii="Arial" w:eastAsiaTheme="minorHAnsi" w:hAnsi="Arial"/>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1"/>
    <w:qFormat/>
    <w:rsid w:val="00DD677C"/>
    <w:pPr>
      <w:numPr>
        <w:numId w:val="7"/>
      </w:numPr>
      <w:spacing w:before="60" w:after="60" w:line="300" w:lineRule="auto"/>
    </w:pPr>
  </w:style>
  <w:style w:type="table" w:styleId="GridTable4-Accent1">
    <w:name w:val="Grid Table 4 Accent 1"/>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B8E5E4" w:themeColor="accent1" w:themeTint="66"/>
        <w:left w:val="single" w:sz="4" w:space="0" w:color="B8E5E4" w:themeColor="accent1" w:themeTint="66"/>
        <w:bottom w:val="single" w:sz="4" w:space="0" w:color="B8E5E4" w:themeColor="accent1" w:themeTint="66"/>
        <w:right w:val="single" w:sz="4" w:space="0" w:color="B8E5E4" w:themeColor="accent1" w:themeTint="66"/>
        <w:insideH w:val="single" w:sz="4" w:space="0" w:color="B8E5E4" w:themeColor="accent1" w:themeTint="66"/>
        <w:insideV w:val="single" w:sz="4" w:space="0" w:color="B8E5E4" w:themeColor="accent1" w:themeTint="66"/>
      </w:tblBorders>
    </w:tblPr>
    <w:tcPr>
      <w:vAlign w:val="bottom"/>
    </w:tcPr>
    <w:tblStylePr w:type="firstRow">
      <w:pPr>
        <w:jc w:val="left"/>
      </w:pPr>
      <w:rPr>
        <w:b/>
        <w:bCs/>
        <w:color w:val="FFFFFF" w:themeColor="background1"/>
      </w:rPr>
      <w:tblPr/>
      <w:tcPr>
        <w:shd w:val="clear" w:color="auto" w:fill="4FBFBE" w:themeFill="accent1"/>
      </w:tcPr>
    </w:tblStylePr>
    <w:tblStylePr w:type="lastRow">
      <w:rPr>
        <w:b/>
        <w:bCs/>
      </w:rPr>
      <w:tblPr/>
      <w:tcPr>
        <w:tcBorders>
          <w:top w:val="double" w:sz="4" w:space="0" w:color="4FBFBE" w:themeColor="accent1"/>
        </w:tcBorders>
      </w:tcPr>
    </w:tblStylePr>
    <w:tblStylePr w:type="firstCol">
      <w:rPr>
        <w:b/>
        <w:bCs/>
      </w:rPr>
    </w:tblStylePr>
    <w:tblStylePr w:type="lastCol">
      <w:rPr>
        <w:b/>
        <w:bCs/>
      </w:rPr>
    </w:tblStylePr>
    <w:tblStylePr w:type="band1Vert">
      <w:tblPr/>
      <w:tcPr>
        <w:shd w:val="clear" w:color="auto" w:fill="DBF2F2" w:themeFill="accent1" w:themeFillTint="33"/>
      </w:tcPr>
    </w:tblStylePr>
    <w:tblStylePr w:type="band1Horz">
      <w:tblPr/>
      <w:tcPr>
        <w:shd w:val="clear" w:color="auto" w:fill="DBF2F2" w:themeFill="accent1" w:themeFillTint="33"/>
      </w:tcPr>
    </w:tblStylePr>
  </w:style>
  <w:style w:type="table" w:styleId="GridTable4-Accent2">
    <w:name w:val="Grid Table 4 Accent 2"/>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color w:val="FFFFFF" w:themeColor="background1"/>
      </w:rPr>
      <w:tblPr/>
      <w:tcPr>
        <w:tcBorders>
          <w:top w:val="single" w:sz="4" w:space="0" w:color="B7D432" w:themeColor="accent2"/>
          <w:left w:val="single" w:sz="4" w:space="0" w:color="B7D432" w:themeColor="accent2"/>
          <w:bottom w:val="single" w:sz="4" w:space="0" w:color="B7D432" w:themeColor="accent2"/>
          <w:right w:val="single" w:sz="4" w:space="0" w:color="B7D432" w:themeColor="accent2"/>
          <w:insideH w:val="nil"/>
          <w:insideV w:val="nil"/>
        </w:tcBorders>
        <w:shd w:val="clear" w:color="auto" w:fill="B7D432" w:themeFill="accent2"/>
        <w:vAlign w:val="bottom"/>
      </w:tcPr>
    </w:tblStylePr>
    <w:tblStylePr w:type="lastRow">
      <w:rPr>
        <w:b/>
        <w:bCs/>
      </w:rPr>
      <w:tblPr/>
      <w:tcPr>
        <w:tcBorders>
          <w:top w:val="double" w:sz="4" w:space="0" w:color="B7D432" w:themeColor="accent2"/>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GridTable4-Accent3">
    <w:name w:val="Grid Table 4 Accent 3"/>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color w:val="FFFFFF" w:themeColor="background1"/>
      </w:rPr>
      <w:tblPr/>
      <w:tcPr>
        <w:tcBorders>
          <w:top w:val="single" w:sz="4" w:space="0" w:color="F3772C" w:themeColor="accent3"/>
          <w:left w:val="single" w:sz="4" w:space="0" w:color="F3772C" w:themeColor="accent3"/>
          <w:bottom w:val="single" w:sz="4" w:space="0" w:color="F3772C" w:themeColor="accent3"/>
          <w:right w:val="single" w:sz="4" w:space="0" w:color="F3772C" w:themeColor="accent3"/>
          <w:insideH w:val="nil"/>
          <w:insideV w:val="nil"/>
        </w:tcBorders>
        <w:shd w:val="clear" w:color="auto" w:fill="F3772C" w:themeFill="accent3"/>
        <w:vAlign w:val="bottom"/>
      </w:tcPr>
    </w:tblStylePr>
    <w:tblStylePr w:type="lastRow">
      <w:rPr>
        <w:b/>
        <w:bCs/>
      </w:rPr>
      <w:tblPr/>
      <w:tcPr>
        <w:tcBorders>
          <w:top w:val="double" w:sz="4" w:space="0" w:color="F3772C" w:themeColor="accent3"/>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GridTable4-Accent4">
    <w:name w:val="Grid Table 4 Accent 4"/>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color w:val="FFFFFF" w:themeColor="background1"/>
      </w:rPr>
      <w:tblPr/>
      <w:tcPr>
        <w:tcBorders>
          <w:top w:val="single" w:sz="4" w:space="0" w:color="EE3B6F" w:themeColor="accent4"/>
          <w:left w:val="single" w:sz="4" w:space="0" w:color="EE3B6F" w:themeColor="accent4"/>
          <w:bottom w:val="single" w:sz="4" w:space="0" w:color="EE3B6F" w:themeColor="accent4"/>
          <w:right w:val="single" w:sz="4" w:space="0" w:color="EE3B6F" w:themeColor="accent4"/>
          <w:insideH w:val="nil"/>
          <w:insideV w:val="nil"/>
        </w:tcBorders>
        <w:shd w:val="clear" w:color="auto" w:fill="EE3B6F" w:themeFill="accent4"/>
        <w:vAlign w:val="bottom"/>
      </w:tcPr>
    </w:tblStylePr>
    <w:tblStylePr w:type="lastRow">
      <w:rPr>
        <w:b/>
        <w:bCs/>
      </w:rPr>
      <w:tblPr/>
      <w:tcPr>
        <w:tcBorders>
          <w:top w:val="double" w:sz="4" w:space="0" w:color="EE3B6F" w:themeColor="accent4"/>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4-Accent5">
    <w:name w:val="Grid Table 4 Accent 5"/>
    <w:basedOn w:val="TableNormal"/>
    <w:uiPriority w:val="49"/>
    <w:rsid w:val="00DD677C"/>
    <w:pPr>
      <w:spacing w:after="0" w:line="240" w:lineRule="auto"/>
    </w:pPr>
    <w:rPr>
      <w:rFonts w:ascii="Arial" w:eastAsiaTheme="minorHAnsi" w:hAnsi="Arial"/>
      <w:sz w:val="18"/>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color w:val="FFFFFF" w:themeColor="background1"/>
      </w:rPr>
      <w:tblPr/>
      <w:tcPr>
        <w:tcBorders>
          <w:top w:val="single" w:sz="4" w:space="0" w:color="FCB942" w:themeColor="accent5"/>
          <w:left w:val="single" w:sz="4" w:space="0" w:color="FCB942" w:themeColor="accent5"/>
          <w:bottom w:val="single" w:sz="4" w:space="0" w:color="FCB942" w:themeColor="accent5"/>
          <w:right w:val="single" w:sz="4" w:space="0" w:color="FCB942" w:themeColor="accent5"/>
          <w:insideH w:val="nil"/>
          <w:insideV w:val="nil"/>
        </w:tcBorders>
        <w:shd w:val="clear" w:color="auto" w:fill="FCB942" w:themeFill="accent5"/>
        <w:vAlign w:val="bottom"/>
      </w:tcPr>
    </w:tblStylePr>
    <w:tblStylePr w:type="lastRow">
      <w:rPr>
        <w:b/>
        <w:bCs/>
      </w:rPr>
      <w:tblPr/>
      <w:tcPr>
        <w:tcBorders>
          <w:top w:val="double" w:sz="4" w:space="0" w:color="FCB942" w:themeColor="accent5"/>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4-Accent6">
    <w:name w:val="Grid Table 4 Accent 6"/>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color w:val="FFFFFF" w:themeColor="background1"/>
      </w:rPr>
      <w:tblPr/>
      <w:tcPr>
        <w:tcBorders>
          <w:top w:val="single" w:sz="4" w:space="0" w:color="C3AA95" w:themeColor="accent6"/>
          <w:left w:val="single" w:sz="4" w:space="0" w:color="C3AA95" w:themeColor="accent6"/>
          <w:bottom w:val="single" w:sz="4" w:space="0" w:color="C3AA95" w:themeColor="accent6"/>
          <w:right w:val="single" w:sz="4" w:space="0" w:color="C3AA95" w:themeColor="accent6"/>
          <w:insideH w:val="nil"/>
          <w:insideV w:val="nil"/>
        </w:tcBorders>
        <w:shd w:val="clear" w:color="auto" w:fill="C3AA95" w:themeFill="accent6"/>
        <w:vAlign w:val="bottom"/>
      </w:tcPr>
    </w:tblStylePr>
    <w:tblStylePr w:type="lastRow">
      <w:rPr>
        <w:b/>
        <w:bCs/>
      </w:rPr>
      <w:tblPr/>
      <w:tcPr>
        <w:tcBorders>
          <w:top w:val="double" w:sz="4" w:space="0" w:color="C3AA95" w:themeColor="accent6"/>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paragraph" w:styleId="NormalWeb">
    <w:name w:val="Normal (Web)"/>
    <w:basedOn w:val="Normal"/>
    <w:uiPriority w:val="99"/>
    <w:unhideWhenUsed/>
    <w:rsid w:val="001F6957"/>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styleId="CommentReference">
    <w:name w:val="annotation reference"/>
    <w:basedOn w:val="DefaultParagraphFont"/>
    <w:uiPriority w:val="99"/>
    <w:semiHidden/>
    <w:unhideWhenUsed/>
    <w:rsid w:val="001F6957"/>
    <w:rPr>
      <w:sz w:val="16"/>
      <w:szCs w:val="16"/>
    </w:rPr>
  </w:style>
  <w:style w:type="paragraph" w:styleId="CommentText">
    <w:name w:val="annotation text"/>
    <w:basedOn w:val="Normal"/>
    <w:link w:val="CommentTextChar"/>
    <w:uiPriority w:val="99"/>
    <w:unhideWhenUsed/>
    <w:rsid w:val="001F6957"/>
    <w:rPr>
      <w:szCs w:val="20"/>
    </w:rPr>
  </w:style>
  <w:style w:type="character" w:customStyle="1" w:styleId="CommentTextChar">
    <w:name w:val="Comment Text Char"/>
    <w:basedOn w:val="DefaultParagraphFont"/>
    <w:link w:val="CommentText"/>
    <w:uiPriority w:val="99"/>
    <w:rsid w:val="001F6957"/>
    <w:rPr>
      <w:rFonts w:ascii="Arial" w:eastAsiaTheme="minorHAnsi" w:hAnsi="Arial"/>
      <w:sz w:val="20"/>
      <w:szCs w:val="20"/>
    </w:rPr>
  </w:style>
  <w:style w:type="paragraph" w:styleId="CommentSubject">
    <w:name w:val="annotation subject"/>
    <w:basedOn w:val="CommentText"/>
    <w:next w:val="CommentText"/>
    <w:link w:val="CommentSubjectChar"/>
    <w:uiPriority w:val="99"/>
    <w:semiHidden/>
    <w:unhideWhenUsed/>
    <w:rsid w:val="001F6957"/>
    <w:rPr>
      <w:b/>
      <w:bCs/>
    </w:rPr>
  </w:style>
  <w:style w:type="character" w:customStyle="1" w:styleId="CommentSubjectChar">
    <w:name w:val="Comment Subject Char"/>
    <w:basedOn w:val="CommentTextChar"/>
    <w:link w:val="CommentSubject"/>
    <w:uiPriority w:val="99"/>
    <w:semiHidden/>
    <w:rsid w:val="001F6957"/>
    <w:rPr>
      <w:rFonts w:ascii="Arial" w:eastAsiaTheme="minorHAnsi" w:hAnsi="Arial"/>
      <w:b/>
      <w:bCs/>
      <w:sz w:val="20"/>
      <w:szCs w:val="20"/>
    </w:rPr>
  </w:style>
  <w:style w:type="table" w:styleId="GridTable5Dark-Accent2">
    <w:name w:val="Grid Table 5 Dark Accent 2"/>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6D5"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D4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D4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7D4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D432"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3D4"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772C"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772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772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772C"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styleId="PlaceholderText">
    <w:name w:val="Placeholder Text"/>
    <w:basedOn w:val="DefaultParagraphFont"/>
    <w:uiPriority w:val="99"/>
    <w:semiHidden/>
    <w:rsid w:val="001F6957"/>
    <w:rPr>
      <w:color w:val="808080"/>
    </w:rPr>
  </w:style>
  <w:style w:type="paragraph" w:styleId="ListParagraph">
    <w:name w:val="List Paragraph"/>
    <w:aliases w:val="Recommendation,L,0Bullet,Bullet point,Indented bullet,List Paragraph1,List Paragraph11,List Paragraph2,bullet point list"/>
    <w:basedOn w:val="Normal"/>
    <w:uiPriority w:val="34"/>
    <w:qFormat/>
    <w:rsid w:val="001F6957"/>
    <w:pPr>
      <w:ind w:left="720"/>
      <w:contextualSpacing/>
    </w:pPr>
  </w:style>
  <w:style w:type="paragraph" w:styleId="Quote">
    <w:name w:val="Quote"/>
    <w:aliases w:val="Quote 1"/>
    <w:basedOn w:val="Normal"/>
    <w:next w:val="Body"/>
    <w:link w:val="QuoteChar"/>
    <w:uiPriority w:val="7"/>
    <w:qFormat/>
    <w:rsid w:val="00DD677C"/>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7"/>
    <w:rsid w:val="00DD677C"/>
    <w:rPr>
      <w:rFonts w:eastAsiaTheme="minorHAnsi" w:cstheme="minorHAnsi"/>
    </w:rPr>
  </w:style>
  <w:style w:type="table" w:styleId="GridTable5Dark-Accent4">
    <w:name w:val="Grid Table 5 Dark Accent 4"/>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7E2"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3B6F"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3B6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3B6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3B6F"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0D8"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942"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9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9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942"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DE9"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AA95"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AA9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AA9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AA95" w:themeFill="accent6"/>
      </w:tcPr>
    </w:tblStylePr>
    <w:tblStylePr w:type="band1Vert">
      <w:tblPr/>
      <w:tcPr>
        <w:shd w:val="clear" w:color="auto" w:fill="E7DCD4"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DD677C"/>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DD677C"/>
    <w:pPr>
      <w:spacing w:after="0" w:line="240" w:lineRule="auto"/>
    </w:pPr>
    <w:rPr>
      <w:rFonts w:ascii="Arial" w:eastAsiaTheme="minorHAnsi" w:hAnsi="Arial"/>
      <w:color w:val="369492" w:themeColor="accent1" w:themeShade="BF"/>
      <w:sz w:val="18"/>
    </w:rPr>
    <w:tblPr>
      <w:tblStyleRowBandSize w:val="1"/>
      <w:tblStyleColBandSize w:val="1"/>
      <w:tblBorders>
        <w:top w:val="single" w:sz="4" w:space="0" w:color="95D8D7" w:themeColor="accent1" w:themeTint="99"/>
        <w:left w:val="single" w:sz="4" w:space="0" w:color="95D8D7" w:themeColor="accent1" w:themeTint="99"/>
        <w:bottom w:val="single" w:sz="4" w:space="0" w:color="95D8D7" w:themeColor="accent1" w:themeTint="99"/>
        <w:right w:val="single" w:sz="4" w:space="0" w:color="95D8D7" w:themeColor="accent1" w:themeTint="99"/>
        <w:insideH w:val="single" w:sz="4" w:space="0" w:color="95D8D7" w:themeColor="accent1" w:themeTint="99"/>
        <w:insideV w:val="single" w:sz="4" w:space="0" w:color="95D8D7" w:themeColor="accent1" w:themeTint="99"/>
      </w:tblBorders>
    </w:tblPr>
    <w:tblStylePr w:type="firstRow">
      <w:pPr>
        <w:jc w:val="left"/>
      </w:pPr>
      <w:rPr>
        <w:b/>
        <w:bCs/>
      </w:rPr>
      <w:tblPr/>
      <w:tcPr>
        <w:tcBorders>
          <w:bottom w:val="single" w:sz="12" w:space="0" w:color="95D8D7" w:themeColor="accent1" w:themeTint="99"/>
        </w:tcBorders>
        <w:vAlign w:val="bottom"/>
      </w:tcPr>
    </w:tblStylePr>
    <w:tblStylePr w:type="lastRow">
      <w:rPr>
        <w:b/>
        <w:bCs/>
      </w:rPr>
      <w:tblPr/>
      <w:tcPr>
        <w:tcBorders>
          <w:top w:val="double" w:sz="4" w:space="0" w:color="95D8D7" w:themeColor="accent1" w:themeTint="99"/>
        </w:tcBorders>
      </w:tcPr>
    </w:tblStylePr>
    <w:tblStylePr w:type="firstCol">
      <w:rPr>
        <w:b/>
        <w:bCs/>
      </w:rPr>
    </w:tblStylePr>
    <w:tblStylePr w:type="lastCol">
      <w:rPr>
        <w:b/>
        <w:bCs/>
      </w:rPr>
    </w:tblStylePr>
    <w:tblStylePr w:type="band1Vert">
      <w:tblPr/>
      <w:tcPr>
        <w:shd w:val="clear" w:color="auto" w:fill="DBF2F2" w:themeFill="accent1" w:themeFillTint="33"/>
      </w:tcPr>
    </w:tblStylePr>
    <w:tblStylePr w:type="band1Horz">
      <w:tblPr/>
      <w:tcPr>
        <w:shd w:val="clear" w:color="auto" w:fill="DBF2F2" w:themeFill="accent1" w:themeFillTint="33"/>
      </w:tcPr>
    </w:tblStylePr>
  </w:style>
  <w:style w:type="table" w:styleId="GridTable6Colorful-Accent2">
    <w:name w:val="Grid Table 6 Colorful Accent 2"/>
    <w:basedOn w:val="TableNormal"/>
    <w:uiPriority w:val="51"/>
    <w:locked/>
    <w:rsid w:val="00DD677C"/>
    <w:pPr>
      <w:spacing w:after="0" w:line="240" w:lineRule="auto"/>
    </w:pPr>
    <w:rPr>
      <w:rFonts w:ascii="Arial" w:eastAsiaTheme="minorHAnsi" w:hAnsi="Arial"/>
      <w:color w:val="8AA122" w:themeColor="accent2" w:themeShade="BF"/>
      <w:sz w:val="18"/>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rPr>
      <w:tblPr/>
      <w:tcPr>
        <w:tcBorders>
          <w:bottom w:val="single" w:sz="12" w:space="0" w:color="D3E583" w:themeColor="accent2" w:themeTint="99"/>
        </w:tcBorders>
        <w:vAlign w:val="bottom"/>
      </w:tcPr>
    </w:tblStylePr>
    <w:tblStylePr w:type="lastRow">
      <w:rPr>
        <w:b/>
        <w:bCs/>
      </w:rPr>
      <w:tblPr/>
      <w:tcPr>
        <w:tcBorders>
          <w:top w:val="double" w:sz="4" w:space="0" w:color="D3E583" w:themeColor="accent2" w:themeTint="99"/>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GridTable6Colorful-Accent3">
    <w:name w:val="Grid Table 6 Colorful Accent 3"/>
    <w:basedOn w:val="TableNormal"/>
    <w:uiPriority w:val="51"/>
    <w:locked/>
    <w:rsid w:val="00DD677C"/>
    <w:pPr>
      <w:spacing w:after="0" w:line="240" w:lineRule="auto"/>
    </w:pPr>
    <w:rPr>
      <w:rFonts w:ascii="Arial" w:eastAsiaTheme="minorHAnsi" w:hAnsi="Arial"/>
      <w:color w:val="CB530B" w:themeColor="accent3" w:themeShade="BF"/>
      <w:sz w:val="18"/>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rPr>
      <w:tblPr/>
      <w:tcPr>
        <w:tcBorders>
          <w:bottom w:val="single" w:sz="12" w:space="0" w:color="F7AD80" w:themeColor="accent3" w:themeTint="99"/>
        </w:tcBorders>
        <w:vAlign w:val="bottom"/>
      </w:tcPr>
    </w:tblStylePr>
    <w:tblStylePr w:type="lastRow">
      <w:rPr>
        <w:b/>
        <w:bCs/>
      </w:rPr>
      <w:tblPr/>
      <w:tcPr>
        <w:tcBorders>
          <w:top w:val="double" w:sz="4" w:space="0" w:color="F7AD80" w:themeColor="accent3" w:themeTint="99"/>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GridTable6Colorful-Accent4">
    <w:name w:val="Grid Table 6 Colorful Accent 4"/>
    <w:basedOn w:val="TableNormal"/>
    <w:uiPriority w:val="51"/>
    <w:locked/>
    <w:rsid w:val="00DD677C"/>
    <w:pPr>
      <w:spacing w:after="0" w:line="240" w:lineRule="auto"/>
    </w:pPr>
    <w:rPr>
      <w:rFonts w:ascii="Arial" w:eastAsiaTheme="minorHAnsi" w:hAnsi="Arial"/>
      <w:color w:val="CC1148" w:themeColor="accent4" w:themeShade="BF"/>
      <w:sz w:val="18"/>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bottom w:val="single" w:sz="12" w:space="0" w:color="F489A8" w:themeColor="accent4" w:themeTint="99"/>
        </w:tcBorders>
        <w:vAlign w:val="bottom"/>
      </w:tcPr>
    </w:tblStylePr>
    <w:tblStylePr w:type="lastRow">
      <w:rPr>
        <w:b/>
        <w:bCs/>
      </w:rPr>
      <w:tblPr/>
      <w:tcPr>
        <w:tcBorders>
          <w:top w:val="doub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6Colorful-Accent5">
    <w:name w:val="Grid Table 6 Colorful Accent 5"/>
    <w:basedOn w:val="TableNormal"/>
    <w:uiPriority w:val="51"/>
    <w:rsid w:val="00DD677C"/>
    <w:pPr>
      <w:spacing w:after="0" w:line="240" w:lineRule="auto"/>
    </w:pPr>
    <w:rPr>
      <w:rFonts w:ascii="Arial" w:eastAsiaTheme="minorHAnsi" w:hAnsi="Arial"/>
      <w:color w:val="EA9703" w:themeColor="accent5" w:themeShade="BF"/>
      <w:sz w:val="18"/>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bottom w:val="single" w:sz="12" w:space="0" w:color="FDD48D" w:themeColor="accent5" w:themeTint="99"/>
        </w:tcBorders>
        <w:vAlign w:val="bottom"/>
      </w:tcPr>
    </w:tblStylePr>
    <w:tblStylePr w:type="lastRow">
      <w:rPr>
        <w:b/>
        <w:bCs/>
      </w:rPr>
      <w:tblPr/>
      <w:tcPr>
        <w:tcBorders>
          <w:top w:val="doub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6Colorful-Accent6">
    <w:name w:val="Grid Table 6 Colorful Accent 6"/>
    <w:basedOn w:val="TableNormal"/>
    <w:uiPriority w:val="51"/>
    <w:locked/>
    <w:rsid w:val="00DD677C"/>
    <w:pPr>
      <w:spacing w:after="0" w:line="240" w:lineRule="auto"/>
    </w:pPr>
    <w:rPr>
      <w:rFonts w:eastAsiaTheme="minorHAnsi"/>
      <w:color w:val="A37D5D" w:themeColor="accent6" w:themeShade="BF"/>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bottom w:val="single" w:sz="12" w:space="0" w:color="DBCBBF" w:themeColor="accent6" w:themeTint="99"/>
        </w:tcBorders>
        <w:vAlign w:val="bottom"/>
      </w:tcPr>
    </w:tblStylePr>
    <w:tblStylePr w:type="lastRow">
      <w:rPr>
        <w:b/>
        <w:bCs/>
      </w:rPr>
      <w:tblPr/>
      <w:tcPr>
        <w:tcBorders>
          <w:top w:val="doub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GridTable7Colorful">
    <w:name w:val="Grid Table 7 Colorful"/>
    <w:basedOn w:val="TableNormal"/>
    <w:uiPriority w:val="52"/>
    <w:rsid w:val="00DD677C"/>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DD677C"/>
    <w:pPr>
      <w:spacing w:after="0" w:line="240" w:lineRule="auto"/>
    </w:pPr>
    <w:rPr>
      <w:rFonts w:eastAsiaTheme="minorHAnsi"/>
      <w:color w:val="369492" w:themeColor="accent1" w:themeShade="BF"/>
    </w:rPr>
    <w:tblPr>
      <w:tblStyleRowBandSize w:val="1"/>
      <w:tblStyleColBandSize w:val="1"/>
      <w:tblBorders>
        <w:top w:val="single" w:sz="4" w:space="0" w:color="95D8D7" w:themeColor="accent1" w:themeTint="99"/>
        <w:left w:val="single" w:sz="4" w:space="0" w:color="95D8D7" w:themeColor="accent1" w:themeTint="99"/>
        <w:bottom w:val="single" w:sz="4" w:space="0" w:color="95D8D7" w:themeColor="accent1" w:themeTint="99"/>
        <w:right w:val="single" w:sz="4" w:space="0" w:color="95D8D7" w:themeColor="accent1" w:themeTint="99"/>
        <w:insideH w:val="single" w:sz="4" w:space="0" w:color="95D8D7" w:themeColor="accent1" w:themeTint="99"/>
        <w:insideV w:val="single" w:sz="4" w:space="0" w:color="95D8D7"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F2" w:themeFill="accent1" w:themeFillTint="33"/>
      </w:tcPr>
    </w:tblStylePr>
    <w:tblStylePr w:type="band1Horz">
      <w:tblPr/>
      <w:tcPr>
        <w:shd w:val="clear" w:color="auto" w:fill="DBF2F2" w:themeFill="accent1" w:themeFillTint="33"/>
      </w:tcPr>
    </w:tblStylePr>
    <w:tblStylePr w:type="neCell">
      <w:tblPr/>
      <w:tcPr>
        <w:tcBorders>
          <w:bottom w:val="single" w:sz="4" w:space="0" w:color="95D8D7" w:themeColor="accent1" w:themeTint="99"/>
        </w:tcBorders>
      </w:tcPr>
    </w:tblStylePr>
    <w:tblStylePr w:type="nwCell">
      <w:tblPr/>
      <w:tcPr>
        <w:tcBorders>
          <w:bottom w:val="single" w:sz="4" w:space="0" w:color="95D8D7" w:themeColor="accent1" w:themeTint="99"/>
        </w:tcBorders>
      </w:tcPr>
    </w:tblStylePr>
    <w:tblStylePr w:type="seCell">
      <w:tblPr/>
      <w:tcPr>
        <w:tcBorders>
          <w:top w:val="single" w:sz="4" w:space="0" w:color="95D8D7" w:themeColor="accent1" w:themeTint="99"/>
        </w:tcBorders>
      </w:tcPr>
    </w:tblStylePr>
    <w:tblStylePr w:type="swCell">
      <w:tblPr/>
      <w:tcPr>
        <w:tcBorders>
          <w:top w:val="single" w:sz="4" w:space="0" w:color="95D8D7" w:themeColor="accent1" w:themeTint="99"/>
        </w:tcBorders>
      </w:tcPr>
    </w:tblStylePr>
  </w:style>
  <w:style w:type="table" w:styleId="GridTable7Colorful-Accent2">
    <w:name w:val="Grid Table 7 Colorful Accent 2"/>
    <w:basedOn w:val="TableNormal"/>
    <w:uiPriority w:val="52"/>
    <w:locked/>
    <w:rsid w:val="00DD677C"/>
    <w:pPr>
      <w:spacing w:after="0" w:line="240" w:lineRule="auto"/>
    </w:pPr>
    <w:rPr>
      <w:rFonts w:eastAsiaTheme="minorHAnsi"/>
      <w:color w:val="8AA122" w:themeColor="accent2" w:themeShade="BF"/>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D5" w:themeFill="accent2" w:themeFillTint="33"/>
      </w:tcPr>
    </w:tblStylePr>
    <w:tblStylePr w:type="band1Horz">
      <w:tblPr/>
      <w:tcPr>
        <w:shd w:val="clear" w:color="auto" w:fill="F0F6D5" w:themeFill="accent2" w:themeFillTint="33"/>
      </w:tcPr>
    </w:tblStylePr>
    <w:tblStylePr w:type="neCell">
      <w:tblPr/>
      <w:tcPr>
        <w:tcBorders>
          <w:bottom w:val="single" w:sz="4" w:space="0" w:color="D3E583" w:themeColor="accent2" w:themeTint="99"/>
        </w:tcBorders>
      </w:tcPr>
    </w:tblStylePr>
    <w:tblStylePr w:type="nwCell">
      <w:tblPr/>
      <w:tcPr>
        <w:tcBorders>
          <w:bottom w:val="single" w:sz="4" w:space="0" w:color="D3E583" w:themeColor="accent2" w:themeTint="99"/>
        </w:tcBorders>
      </w:tcPr>
    </w:tblStylePr>
    <w:tblStylePr w:type="seCell">
      <w:tblPr/>
      <w:tcPr>
        <w:tcBorders>
          <w:top w:val="single" w:sz="4" w:space="0" w:color="D3E583" w:themeColor="accent2" w:themeTint="99"/>
        </w:tcBorders>
      </w:tcPr>
    </w:tblStylePr>
    <w:tblStylePr w:type="swCell">
      <w:tblPr/>
      <w:tcPr>
        <w:tcBorders>
          <w:top w:val="single" w:sz="4" w:space="0" w:color="D3E583" w:themeColor="accent2" w:themeTint="99"/>
        </w:tcBorders>
      </w:tcPr>
    </w:tblStylePr>
  </w:style>
  <w:style w:type="table" w:styleId="GridTable7Colorful-Accent3">
    <w:name w:val="Grid Table 7 Colorful Accent 3"/>
    <w:basedOn w:val="TableNormal"/>
    <w:uiPriority w:val="52"/>
    <w:locked/>
    <w:rsid w:val="00DD677C"/>
    <w:pPr>
      <w:spacing w:after="0" w:line="240" w:lineRule="auto"/>
    </w:pPr>
    <w:rPr>
      <w:rFonts w:eastAsiaTheme="minorHAnsi"/>
      <w:color w:val="CB530B" w:themeColor="accent3" w:themeShade="BF"/>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4" w:themeFill="accent3" w:themeFillTint="33"/>
      </w:tcPr>
    </w:tblStylePr>
    <w:tblStylePr w:type="band1Horz">
      <w:tblPr/>
      <w:tcPr>
        <w:shd w:val="clear" w:color="auto" w:fill="FCE3D4" w:themeFill="accent3" w:themeFillTint="33"/>
      </w:tcPr>
    </w:tblStylePr>
    <w:tblStylePr w:type="neCell">
      <w:tblPr/>
      <w:tcPr>
        <w:tcBorders>
          <w:bottom w:val="single" w:sz="4" w:space="0" w:color="F7AD80" w:themeColor="accent3" w:themeTint="99"/>
        </w:tcBorders>
      </w:tcPr>
    </w:tblStylePr>
    <w:tblStylePr w:type="nwCell">
      <w:tblPr/>
      <w:tcPr>
        <w:tcBorders>
          <w:bottom w:val="single" w:sz="4" w:space="0" w:color="F7AD80" w:themeColor="accent3" w:themeTint="99"/>
        </w:tcBorders>
      </w:tcPr>
    </w:tblStylePr>
    <w:tblStylePr w:type="seCell">
      <w:tblPr/>
      <w:tcPr>
        <w:tcBorders>
          <w:top w:val="single" w:sz="4" w:space="0" w:color="F7AD80" w:themeColor="accent3" w:themeTint="99"/>
        </w:tcBorders>
      </w:tcPr>
    </w:tblStylePr>
    <w:tblStylePr w:type="swCell">
      <w:tblPr/>
      <w:tcPr>
        <w:tcBorders>
          <w:top w:val="single" w:sz="4" w:space="0" w:color="F7AD80" w:themeColor="accent3" w:themeTint="99"/>
        </w:tcBorders>
      </w:tcPr>
    </w:tblStylePr>
  </w:style>
  <w:style w:type="table" w:styleId="GridTable7Colorful-Accent4">
    <w:name w:val="Grid Table 7 Colorful Accent 4"/>
    <w:basedOn w:val="TableNormal"/>
    <w:uiPriority w:val="52"/>
    <w:locked/>
    <w:rsid w:val="00DD677C"/>
    <w:pPr>
      <w:spacing w:after="0" w:line="240" w:lineRule="auto"/>
    </w:pPr>
    <w:rPr>
      <w:rFonts w:eastAsiaTheme="minorHAnsi"/>
      <w:color w:val="CC1148" w:themeColor="accent4" w:themeShade="BF"/>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bottom w:val="single" w:sz="4" w:space="0" w:color="F489A8" w:themeColor="accent4" w:themeTint="99"/>
        </w:tcBorders>
      </w:tcPr>
    </w:tblStylePr>
    <w:tblStylePr w:type="nwCell">
      <w:tblPr/>
      <w:tcPr>
        <w:tcBorders>
          <w:bottom w:val="single" w:sz="4" w:space="0" w:color="F489A8" w:themeColor="accent4" w:themeTint="99"/>
        </w:tcBorders>
      </w:tcPr>
    </w:tblStylePr>
    <w:tblStylePr w:type="seCell">
      <w:tblPr/>
      <w:tcPr>
        <w:tcBorders>
          <w:top w:val="single" w:sz="4" w:space="0" w:color="F489A8" w:themeColor="accent4" w:themeTint="99"/>
        </w:tcBorders>
      </w:tcPr>
    </w:tblStylePr>
    <w:tblStylePr w:type="swCell">
      <w:tblPr/>
      <w:tcPr>
        <w:tcBorders>
          <w:top w:val="single" w:sz="4" w:space="0" w:color="F489A8" w:themeColor="accent4" w:themeTint="99"/>
        </w:tcBorders>
      </w:tcPr>
    </w:tblStylePr>
  </w:style>
  <w:style w:type="table" w:styleId="GridTable7Colorful-Accent5">
    <w:name w:val="Grid Table 7 Colorful Accent 5"/>
    <w:basedOn w:val="TableNormal"/>
    <w:uiPriority w:val="52"/>
    <w:rsid w:val="00DD677C"/>
    <w:pPr>
      <w:spacing w:after="0" w:line="240" w:lineRule="auto"/>
    </w:pPr>
    <w:rPr>
      <w:rFonts w:eastAsiaTheme="minorHAnsi"/>
      <w:color w:val="EA9703" w:themeColor="accent5" w:themeShade="BF"/>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bottom w:val="single" w:sz="4" w:space="0" w:color="FDD48D" w:themeColor="accent5" w:themeTint="99"/>
        </w:tcBorders>
      </w:tcPr>
    </w:tblStylePr>
    <w:tblStylePr w:type="nwCell">
      <w:tblPr/>
      <w:tcPr>
        <w:tcBorders>
          <w:bottom w:val="single" w:sz="4" w:space="0" w:color="FDD48D" w:themeColor="accent5" w:themeTint="99"/>
        </w:tcBorders>
      </w:tcPr>
    </w:tblStylePr>
    <w:tblStylePr w:type="seCell">
      <w:tblPr/>
      <w:tcPr>
        <w:tcBorders>
          <w:top w:val="single" w:sz="4" w:space="0" w:color="FDD48D" w:themeColor="accent5" w:themeTint="99"/>
        </w:tcBorders>
      </w:tcPr>
    </w:tblStylePr>
    <w:tblStylePr w:type="swCell">
      <w:tblPr/>
      <w:tcPr>
        <w:tcBorders>
          <w:top w:val="single" w:sz="4" w:space="0" w:color="FDD48D" w:themeColor="accent5" w:themeTint="99"/>
        </w:tcBorders>
      </w:tcPr>
    </w:tblStylePr>
  </w:style>
  <w:style w:type="table" w:styleId="ListTable4-Accent1">
    <w:name w:val="List Table 4 Accent 1"/>
    <w:basedOn w:val="TableNormal"/>
    <w:uiPriority w:val="49"/>
    <w:locked/>
    <w:rsid w:val="00DD677C"/>
    <w:pPr>
      <w:spacing w:after="0" w:line="240" w:lineRule="auto"/>
    </w:pPr>
    <w:rPr>
      <w:rFonts w:ascii="Arial" w:eastAsiaTheme="minorHAnsi" w:hAnsi="Arial"/>
      <w:sz w:val="18"/>
    </w:rPr>
    <w:tblPr>
      <w:tblStyleRowBandSize w:val="1"/>
      <w:tblStyleColBandSize w:val="1"/>
      <w:tblBorders>
        <w:bottom w:val="single" w:sz="4" w:space="0" w:color="95D8D7" w:themeColor="accent1" w:themeTint="99"/>
      </w:tblBorders>
    </w:tblPr>
    <w:tblStylePr w:type="firstRow">
      <w:pPr>
        <w:jc w:val="left"/>
      </w:pPr>
      <w:rPr>
        <w:b/>
        <w:bCs/>
        <w:color w:val="FFFFFF" w:themeColor="background1"/>
      </w:rPr>
      <w:tblPr/>
      <w:tcPr>
        <w:shd w:val="clear" w:color="auto" w:fill="4FBFBE" w:themeFill="accent1"/>
        <w:vAlign w:val="bottom"/>
      </w:tcPr>
    </w:tblStylePr>
    <w:tblStylePr w:type="lastRow">
      <w:rPr>
        <w:b/>
        <w:bCs/>
      </w:rPr>
      <w:tblPr/>
      <w:tcPr>
        <w:tcBorders>
          <w:top w:val="double" w:sz="4" w:space="0" w:color="95D8D7" w:themeColor="accent1" w:themeTint="99"/>
        </w:tcBorders>
      </w:tcPr>
    </w:tblStylePr>
    <w:tblStylePr w:type="firstCol">
      <w:rPr>
        <w:b/>
        <w:bCs/>
      </w:rPr>
    </w:tblStylePr>
    <w:tblStylePr w:type="lastCol">
      <w:rPr>
        <w:b/>
        <w:bCs/>
      </w:rPr>
    </w:tblStylePr>
    <w:tblStylePr w:type="band1Vert">
      <w:tblPr/>
      <w:tcPr>
        <w:shd w:val="clear" w:color="auto" w:fill="DBF2F2" w:themeFill="accent1" w:themeFillTint="33"/>
      </w:tcPr>
    </w:tblStylePr>
    <w:tblStylePr w:type="band1Horz">
      <w:tblPr/>
      <w:tcPr>
        <w:shd w:val="clear" w:color="auto" w:fill="DBF2F2" w:themeFill="accent1" w:themeFillTint="33"/>
      </w:tcPr>
    </w:tblStylePr>
  </w:style>
  <w:style w:type="table" w:styleId="ListTable4-Accent2">
    <w:name w:val="List Table 4 Accent 2"/>
    <w:basedOn w:val="TableNormal"/>
    <w:uiPriority w:val="49"/>
    <w:locked/>
    <w:rsid w:val="00DD677C"/>
    <w:pPr>
      <w:spacing w:after="0" w:line="240" w:lineRule="auto"/>
    </w:pPr>
    <w:rPr>
      <w:rFonts w:ascii="Arial" w:eastAsiaTheme="minorHAnsi" w:hAnsi="Arial"/>
      <w:sz w:val="18"/>
    </w:rPr>
    <w:tblPr>
      <w:tblStyleRowBandSize w:val="1"/>
      <w:tblStyleColBandSize w:val="1"/>
      <w:tblBorders>
        <w:bottom w:val="single" w:sz="4" w:space="0" w:color="D3E583" w:themeColor="accent2" w:themeTint="99"/>
      </w:tblBorders>
    </w:tblPr>
    <w:tblStylePr w:type="firstRow">
      <w:pPr>
        <w:jc w:val="left"/>
      </w:pPr>
      <w:rPr>
        <w:b/>
        <w:bCs/>
        <w:color w:val="FFFFFF" w:themeColor="background1"/>
      </w:rPr>
      <w:tblPr/>
      <w:tcPr>
        <w:tcBorders>
          <w:top w:val="single" w:sz="4" w:space="0" w:color="B7D432" w:themeColor="accent2"/>
          <w:left w:val="single" w:sz="4" w:space="0" w:color="B7D432" w:themeColor="accent2"/>
          <w:bottom w:val="single" w:sz="4" w:space="0" w:color="B7D432" w:themeColor="accent2"/>
          <w:right w:val="single" w:sz="4" w:space="0" w:color="B7D432" w:themeColor="accent2"/>
          <w:insideH w:val="nil"/>
        </w:tcBorders>
        <w:shd w:val="clear" w:color="auto" w:fill="B7D432" w:themeFill="accent2"/>
        <w:vAlign w:val="bottom"/>
      </w:tcPr>
    </w:tblStylePr>
    <w:tblStylePr w:type="lastRow">
      <w:rPr>
        <w:b/>
        <w:bCs/>
      </w:rPr>
      <w:tblPr/>
      <w:tcPr>
        <w:tcBorders>
          <w:top w:val="double" w:sz="4" w:space="0" w:color="D3E583" w:themeColor="accent2" w:themeTint="99"/>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4-Accent5">
    <w:name w:val="List Table 4 Accent 5"/>
    <w:basedOn w:val="TableNormal"/>
    <w:uiPriority w:val="49"/>
    <w:rsid w:val="00DD677C"/>
    <w:pPr>
      <w:spacing w:after="0" w:line="240" w:lineRule="auto"/>
    </w:pPr>
    <w:rPr>
      <w:rFonts w:ascii="Arial" w:eastAsiaTheme="minorHAnsi" w:hAnsi="Arial"/>
      <w:sz w:val="18"/>
    </w:rPr>
    <w:tblPr>
      <w:tblStyleRowBandSize w:val="1"/>
      <w:tblStyleColBandSize w:val="1"/>
      <w:tblBorders>
        <w:bottom w:val="single" w:sz="4" w:space="0" w:color="FDD48D" w:themeColor="accent5" w:themeTint="99"/>
      </w:tblBorders>
    </w:tblPr>
    <w:tblStylePr w:type="firstRow">
      <w:pPr>
        <w:jc w:val="left"/>
      </w:pPr>
      <w:rPr>
        <w:b/>
        <w:bCs/>
        <w:color w:val="FFFFFF" w:themeColor="background1"/>
      </w:rPr>
      <w:tblPr/>
      <w:tcPr>
        <w:tcBorders>
          <w:top w:val="single" w:sz="4" w:space="0" w:color="FCB942" w:themeColor="accent5"/>
          <w:left w:val="single" w:sz="4" w:space="0" w:color="FCB942" w:themeColor="accent5"/>
          <w:bottom w:val="single" w:sz="4" w:space="0" w:color="FCB942" w:themeColor="accent5"/>
          <w:right w:val="single" w:sz="4" w:space="0" w:color="FCB942" w:themeColor="accent5"/>
          <w:insideH w:val="nil"/>
        </w:tcBorders>
        <w:shd w:val="clear" w:color="auto" w:fill="FCB942" w:themeFill="accent5"/>
        <w:vAlign w:val="bottom"/>
      </w:tcPr>
    </w:tblStylePr>
    <w:tblStylePr w:type="lastRow">
      <w:rPr>
        <w:b/>
        <w:bCs/>
      </w:rPr>
      <w:tblPr/>
      <w:tcPr>
        <w:tcBorders>
          <w:top w:val="doub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7Colorful-Accent3">
    <w:name w:val="List Table 7 Colorful Accent 3"/>
    <w:basedOn w:val="TableNormal"/>
    <w:uiPriority w:val="52"/>
    <w:locked/>
    <w:rsid w:val="00DD677C"/>
    <w:pPr>
      <w:spacing w:after="0" w:line="240" w:lineRule="auto"/>
    </w:pPr>
    <w:rPr>
      <w:rFonts w:eastAsiaTheme="minorHAnsi"/>
      <w:color w:val="CB530B" w:themeColor="accent3"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F3772C"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3772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772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772C" w:themeColor="accent3"/>
        </w:tcBorders>
        <w:shd w:val="clear" w:color="auto" w:fill="FFFFFF" w:themeFill="background1"/>
      </w:tcPr>
    </w:tblStylePr>
    <w:tblStylePr w:type="band1Vert">
      <w:tblPr/>
      <w:tcPr>
        <w:shd w:val="clear" w:color="auto" w:fill="FCE3D4" w:themeFill="accent3" w:themeFillTint="33"/>
      </w:tcPr>
    </w:tblStylePr>
    <w:tblStylePr w:type="band1Horz">
      <w:tblPr/>
      <w:tcPr>
        <w:shd w:val="clear" w:color="auto" w:fill="FCE3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D677C"/>
    <w:pPr>
      <w:spacing w:after="0" w:line="240" w:lineRule="auto"/>
    </w:pPr>
    <w:rPr>
      <w:rFonts w:eastAsiaTheme="minorHAnsi"/>
      <w:color w:val="CC1148" w:themeColor="accent4"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EE3B6F"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EE3B6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3B6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3B6F" w:themeColor="accent4"/>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D677C"/>
    <w:pPr>
      <w:spacing w:after="0" w:line="240" w:lineRule="auto"/>
    </w:pPr>
    <w:rPr>
      <w:rFonts w:eastAsiaTheme="minorHAnsi"/>
      <w:color w:val="EA9703" w:themeColor="accent5"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FCB942"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CB9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B9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B942" w:themeColor="accent5"/>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D677C"/>
    <w:pPr>
      <w:spacing w:after="0" w:line="240" w:lineRule="auto"/>
    </w:pPr>
    <w:rPr>
      <w:rFonts w:eastAsiaTheme="minorHAnsi"/>
      <w:color w:val="A37D5D" w:themeColor="accent6"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C3AA95"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C3AA9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AA9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AA95" w:themeColor="accent6"/>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DD677C"/>
    <w:pPr>
      <w:spacing w:after="0" w:line="240" w:lineRule="auto"/>
    </w:pPr>
    <w:rPr>
      <w:rFonts w:ascii="Arial" w:eastAsiaTheme="minorHAnsi" w:hAnsi="Arial" w:cs="Times New Roman"/>
      <w:sz w:val="18"/>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D677C"/>
    <w:pPr>
      <w:spacing w:after="0" w:line="240" w:lineRule="auto"/>
    </w:pPr>
    <w:rPr>
      <w:rFonts w:ascii="Arial" w:eastAsiaTheme="minorHAnsi" w:hAnsi="Arial" w:cs="Times New Roman"/>
      <w:sz w:val="18"/>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D677C"/>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D677C"/>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D677C"/>
    <w:pPr>
      <w:spacing w:after="0" w:line="240" w:lineRule="auto"/>
    </w:pPr>
    <w:rPr>
      <w:rFonts w:ascii="Arial" w:eastAsiaTheme="minorHAnsi"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39"/>
    <w:rsid w:val="00DD677C"/>
    <w:pPr>
      <w:spacing w:after="0" w:line="240" w:lineRule="auto"/>
    </w:pPr>
    <w:rPr>
      <w:rFonts w:ascii="Arial" w:eastAsiaTheme="minorHAnsi" w:hAnsi="Arial"/>
      <w:color w:val="0D0D0D" w:themeColor="text1" w:themeTint="F2"/>
      <w:sz w:val="18"/>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F2" w:themeFill="accent1" w:themeFillTint="33"/>
    </w:tcPr>
    <w:tblStylePr w:type="firstRow">
      <w:pPr>
        <w:jc w:val="left"/>
      </w:pPr>
      <w:rPr>
        <w:b/>
        <w:bCs/>
        <w:color w:val="FFFFFF" w:themeColor="background1"/>
      </w:rPr>
      <w:tblPr/>
      <w:tcPr>
        <w:shd w:val="clear" w:color="auto" w:fill="4FBFBE"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BFBE" w:themeFill="accent1"/>
      </w:tcPr>
    </w:tblStylePr>
    <w:tblStylePr w:type="firstCol">
      <w:rPr>
        <w:b/>
        <w:bCs/>
        <w:color w:val="FFFFFF" w:themeColor="background1"/>
      </w:rPr>
      <w:tblPr/>
      <w:tcPr>
        <w:shd w:val="clear" w:color="auto" w:fill="4FBFBE"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DBF2F2" w:themeFill="accent1" w:themeFillTint="33"/>
      </w:tcPr>
    </w:tblStylePr>
    <w:tblStylePr w:type="band2Vert">
      <w:tblPr/>
      <w:tcPr>
        <w:shd w:val="clear" w:color="auto" w:fill="FFFFFF" w:themeFill="background1"/>
      </w:tcPr>
    </w:tblStylePr>
    <w:tblStylePr w:type="band1Horz">
      <w:tblPr/>
      <w:tcPr>
        <w:shd w:val="clear" w:color="auto" w:fill="DBF2F2"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DD677C"/>
    <w:pPr>
      <w:spacing w:before="60" w:after="0" w:line="240" w:lineRule="auto"/>
    </w:pPr>
    <w:rPr>
      <w:rFonts w:eastAsiaTheme="minorHAnsi"/>
      <w:sz w:val="18"/>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4FBFBE" w:themeColor="accent1"/>
        <w:left w:val="single" w:sz="4" w:space="0" w:color="4FBFBE" w:themeColor="accent1"/>
        <w:bottom w:val="single" w:sz="4" w:space="0" w:color="4FBFBE" w:themeColor="accent1"/>
        <w:right w:val="single" w:sz="4" w:space="0" w:color="4FBFBE" w:themeColor="accent1"/>
      </w:tblBorders>
    </w:tblPr>
    <w:tcPr>
      <w:vAlign w:val="bottom"/>
    </w:tcPr>
    <w:tblStylePr w:type="firstRow">
      <w:pPr>
        <w:jc w:val="left"/>
      </w:pPr>
      <w:rPr>
        <w:b/>
        <w:bCs/>
        <w:color w:val="FFFFFF" w:themeColor="background1"/>
      </w:rPr>
      <w:tblPr/>
      <w:tcPr>
        <w:shd w:val="clear" w:color="auto" w:fill="4FBFBE" w:themeFill="accent1"/>
      </w:tcPr>
    </w:tblStylePr>
    <w:tblStylePr w:type="lastRow">
      <w:rPr>
        <w:b/>
        <w:bCs/>
      </w:rPr>
      <w:tblPr/>
      <w:tcPr>
        <w:tcBorders>
          <w:top w:val="double" w:sz="4" w:space="0" w:color="4FBFB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BFBE" w:themeColor="accent1"/>
          <w:right w:val="single" w:sz="4" w:space="0" w:color="4FBFBE" w:themeColor="accent1"/>
        </w:tcBorders>
      </w:tcPr>
    </w:tblStylePr>
    <w:tblStylePr w:type="band1Horz">
      <w:tblPr/>
      <w:tcPr>
        <w:tcBorders>
          <w:top w:val="single" w:sz="4" w:space="0" w:color="4FBFBE" w:themeColor="accent1"/>
          <w:bottom w:val="single" w:sz="4" w:space="0" w:color="4FBFB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BFBE" w:themeColor="accent1"/>
          <w:left w:val="nil"/>
        </w:tcBorders>
      </w:tcPr>
    </w:tblStylePr>
    <w:tblStylePr w:type="swCell">
      <w:tblPr/>
      <w:tcPr>
        <w:tcBorders>
          <w:top w:val="double" w:sz="4" w:space="0" w:color="4FBFBE" w:themeColor="accent1"/>
          <w:right w:val="nil"/>
        </w:tcBorders>
      </w:tcPr>
    </w:tblStylePr>
  </w:style>
  <w:style w:type="table" w:styleId="ListTable3-Accent2">
    <w:name w:val="List Table 3 Accent 2"/>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B7D432" w:themeColor="accent2"/>
        <w:left w:val="single" w:sz="4" w:space="0" w:color="B7D432" w:themeColor="accent2"/>
        <w:bottom w:val="single" w:sz="4" w:space="0" w:color="B7D432" w:themeColor="accent2"/>
        <w:right w:val="single" w:sz="4" w:space="0" w:color="B7D432" w:themeColor="accent2"/>
      </w:tblBorders>
    </w:tblPr>
    <w:tblStylePr w:type="firstRow">
      <w:pPr>
        <w:jc w:val="left"/>
      </w:pPr>
      <w:rPr>
        <w:b/>
        <w:bCs/>
        <w:color w:val="FFFFFF" w:themeColor="background1"/>
      </w:rPr>
      <w:tblPr/>
      <w:tcPr>
        <w:shd w:val="clear" w:color="auto" w:fill="B7D432" w:themeFill="accent2"/>
        <w:vAlign w:val="bottom"/>
      </w:tcPr>
    </w:tblStylePr>
    <w:tblStylePr w:type="lastRow">
      <w:rPr>
        <w:b/>
        <w:bCs/>
      </w:rPr>
      <w:tblPr/>
      <w:tcPr>
        <w:tcBorders>
          <w:top w:val="double" w:sz="4" w:space="0" w:color="B7D4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D432" w:themeColor="accent2"/>
          <w:right w:val="single" w:sz="4" w:space="0" w:color="B7D432" w:themeColor="accent2"/>
        </w:tcBorders>
      </w:tcPr>
    </w:tblStylePr>
    <w:tblStylePr w:type="band1Horz">
      <w:tblPr/>
      <w:tcPr>
        <w:tcBorders>
          <w:top w:val="single" w:sz="4" w:space="0" w:color="B7D432" w:themeColor="accent2"/>
          <w:bottom w:val="single" w:sz="4" w:space="0" w:color="B7D4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D432" w:themeColor="accent2"/>
          <w:left w:val="nil"/>
        </w:tcBorders>
      </w:tcPr>
    </w:tblStylePr>
    <w:tblStylePr w:type="swCell">
      <w:tblPr/>
      <w:tcPr>
        <w:tcBorders>
          <w:top w:val="double" w:sz="4" w:space="0" w:color="B7D432" w:themeColor="accent2"/>
          <w:right w:val="nil"/>
        </w:tcBorders>
      </w:tcPr>
    </w:tblStylePr>
  </w:style>
  <w:style w:type="table" w:styleId="ListTable3-Accent3">
    <w:name w:val="List Table 3 Accent 3"/>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F3772C" w:themeColor="accent3"/>
        <w:left w:val="single" w:sz="4" w:space="0" w:color="F3772C" w:themeColor="accent3"/>
        <w:bottom w:val="single" w:sz="4" w:space="0" w:color="F3772C" w:themeColor="accent3"/>
        <w:right w:val="single" w:sz="4" w:space="0" w:color="F3772C" w:themeColor="accent3"/>
      </w:tblBorders>
    </w:tblPr>
    <w:tblStylePr w:type="firstRow">
      <w:pPr>
        <w:jc w:val="left"/>
      </w:pPr>
      <w:rPr>
        <w:b/>
        <w:bCs/>
        <w:color w:val="FFFFFF" w:themeColor="background1"/>
      </w:rPr>
      <w:tblPr/>
      <w:tcPr>
        <w:shd w:val="clear" w:color="auto" w:fill="F3772C" w:themeFill="accent3"/>
        <w:vAlign w:val="bottom"/>
      </w:tcPr>
    </w:tblStylePr>
    <w:tblStylePr w:type="lastRow">
      <w:rPr>
        <w:b/>
        <w:bCs/>
      </w:rPr>
      <w:tblPr/>
      <w:tcPr>
        <w:tcBorders>
          <w:top w:val="double" w:sz="4" w:space="0" w:color="F377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772C" w:themeColor="accent3"/>
          <w:right w:val="single" w:sz="4" w:space="0" w:color="F3772C" w:themeColor="accent3"/>
        </w:tcBorders>
      </w:tcPr>
    </w:tblStylePr>
    <w:tblStylePr w:type="band1Horz">
      <w:tblPr/>
      <w:tcPr>
        <w:tcBorders>
          <w:top w:val="single" w:sz="4" w:space="0" w:color="F3772C" w:themeColor="accent3"/>
          <w:bottom w:val="single" w:sz="4" w:space="0" w:color="F377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772C" w:themeColor="accent3"/>
          <w:left w:val="nil"/>
        </w:tcBorders>
      </w:tcPr>
    </w:tblStylePr>
    <w:tblStylePr w:type="swCell">
      <w:tblPr/>
      <w:tcPr>
        <w:tcBorders>
          <w:top w:val="double" w:sz="4" w:space="0" w:color="F3772C" w:themeColor="accent3"/>
          <w:right w:val="nil"/>
        </w:tcBorders>
      </w:tcPr>
    </w:tblStylePr>
  </w:style>
  <w:style w:type="table" w:styleId="ListTable3-Accent4">
    <w:name w:val="List Table 3 Accent 4"/>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EE3B6F" w:themeColor="accent4"/>
        <w:left w:val="single" w:sz="4" w:space="0" w:color="EE3B6F" w:themeColor="accent4"/>
        <w:bottom w:val="single" w:sz="4" w:space="0" w:color="EE3B6F" w:themeColor="accent4"/>
        <w:right w:val="single" w:sz="4" w:space="0" w:color="EE3B6F" w:themeColor="accent4"/>
      </w:tblBorders>
    </w:tblPr>
    <w:tblStylePr w:type="firstRow">
      <w:pPr>
        <w:jc w:val="left"/>
      </w:pPr>
      <w:rPr>
        <w:b/>
        <w:bCs/>
        <w:color w:val="FFFFFF" w:themeColor="background1"/>
      </w:rPr>
      <w:tblPr/>
      <w:tcPr>
        <w:shd w:val="clear" w:color="auto" w:fill="EE3B6F" w:themeFill="accent4"/>
        <w:vAlign w:val="bottom"/>
      </w:tcPr>
    </w:tblStylePr>
    <w:tblStylePr w:type="lastRow">
      <w:rPr>
        <w:b/>
        <w:bCs/>
      </w:rPr>
      <w:tblPr/>
      <w:tcPr>
        <w:tcBorders>
          <w:top w:val="double" w:sz="4" w:space="0" w:color="EE3B6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3B6F" w:themeColor="accent4"/>
          <w:right w:val="single" w:sz="4" w:space="0" w:color="EE3B6F" w:themeColor="accent4"/>
        </w:tcBorders>
      </w:tcPr>
    </w:tblStylePr>
    <w:tblStylePr w:type="band1Horz">
      <w:tblPr/>
      <w:tcPr>
        <w:tcBorders>
          <w:top w:val="single" w:sz="4" w:space="0" w:color="EE3B6F" w:themeColor="accent4"/>
          <w:bottom w:val="single" w:sz="4" w:space="0" w:color="EE3B6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3B6F" w:themeColor="accent4"/>
          <w:left w:val="nil"/>
        </w:tcBorders>
      </w:tcPr>
    </w:tblStylePr>
    <w:tblStylePr w:type="swCell">
      <w:tblPr/>
      <w:tcPr>
        <w:tcBorders>
          <w:top w:val="double" w:sz="4" w:space="0" w:color="EE3B6F" w:themeColor="accent4"/>
          <w:right w:val="nil"/>
        </w:tcBorders>
      </w:tcPr>
    </w:tblStylePr>
  </w:style>
  <w:style w:type="table" w:styleId="ListTable3-Accent5">
    <w:name w:val="List Table 3 Accent 5"/>
    <w:basedOn w:val="TableNormal"/>
    <w:uiPriority w:val="48"/>
    <w:rsid w:val="00DD677C"/>
    <w:pPr>
      <w:spacing w:before="60" w:after="0" w:line="240" w:lineRule="auto"/>
    </w:pPr>
    <w:rPr>
      <w:rFonts w:eastAsiaTheme="minorHAnsi"/>
      <w:sz w:val="18"/>
      <w:szCs w:val="18"/>
    </w:rPr>
    <w:tblPr>
      <w:tblStyleRowBandSize w:val="1"/>
      <w:tblStyleColBandSize w:val="1"/>
      <w:tblBorders>
        <w:top w:val="single" w:sz="4" w:space="0" w:color="FCB942" w:themeColor="accent5"/>
        <w:left w:val="single" w:sz="4" w:space="0" w:color="FCB942" w:themeColor="accent5"/>
        <w:bottom w:val="single" w:sz="4" w:space="0" w:color="FCB942" w:themeColor="accent5"/>
        <w:right w:val="single" w:sz="4" w:space="0" w:color="FCB942" w:themeColor="accent5"/>
      </w:tblBorders>
    </w:tblPr>
    <w:tblStylePr w:type="firstRow">
      <w:pPr>
        <w:jc w:val="left"/>
      </w:pPr>
      <w:rPr>
        <w:b/>
        <w:bCs/>
        <w:color w:val="FFFFFF" w:themeColor="background1"/>
      </w:rPr>
      <w:tblPr/>
      <w:tcPr>
        <w:shd w:val="clear" w:color="auto" w:fill="FCB942" w:themeFill="accent5"/>
        <w:vAlign w:val="bottom"/>
      </w:tcPr>
    </w:tblStylePr>
    <w:tblStylePr w:type="lastRow">
      <w:rPr>
        <w:b/>
        <w:bCs/>
      </w:rPr>
      <w:tblPr/>
      <w:tcPr>
        <w:tcBorders>
          <w:top w:val="double" w:sz="4" w:space="0" w:color="FCB9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942" w:themeColor="accent5"/>
          <w:right w:val="single" w:sz="4" w:space="0" w:color="FCB942" w:themeColor="accent5"/>
        </w:tcBorders>
      </w:tcPr>
    </w:tblStylePr>
    <w:tblStylePr w:type="band1Horz">
      <w:tblPr/>
      <w:tcPr>
        <w:tcBorders>
          <w:top w:val="single" w:sz="4" w:space="0" w:color="FCB942" w:themeColor="accent5"/>
          <w:bottom w:val="single" w:sz="4" w:space="0" w:color="FCB9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942" w:themeColor="accent5"/>
          <w:left w:val="nil"/>
        </w:tcBorders>
      </w:tcPr>
    </w:tblStylePr>
    <w:tblStylePr w:type="swCell">
      <w:tblPr/>
      <w:tcPr>
        <w:tcBorders>
          <w:top w:val="double" w:sz="4" w:space="0" w:color="FCB942" w:themeColor="accent5"/>
          <w:right w:val="nil"/>
        </w:tcBorders>
      </w:tcPr>
    </w:tblStylePr>
  </w:style>
  <w:style w:type="table" w:styleId="ListTable3-Accent6">
    <w:name w:val="List Table 3 Accent 6"/>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C3AA95" w:themeColor="accent6"/>
        <w:left w:val="single" w:sz="4" w:space="0" w:color="C3AA95" w:themeColor="accent6"/>
        <w:bottom w:val="single" w:sz="4" w:space="0" w:color="C3AA95" w:themeColor="accent6"/>
        <w:right w:val="single" w:sz="4" w:space="0" w:color="C3AA95" w:themeColor="accent6"/>
      </w:tblBorders>
    </w:tblPr>
    <w:tblStylePr w:type="firstRow">
      <w:pPr>
        <w:jc w:val="left"/>
      </w:pPr>
      <w:rPr>
        <w:b/>
        <w:bCs/>
        <w:color w:val="FFFFFF" w:themeColor="background1"/>
      </w:rPr>
      <w:tblPr/>
      <w:tcPr>
        <w:shd w:val="clear" w:color="auto" w:fill="C3AA95" w:themeFill="accent6"/>
        <w:vAlign w:val="bottom"/>
      </w:tcPr>
    </w:tblStylePr>
    <w:tblStylePr w:type="lastRow">
      <w:rPr>
        <w:b/>
        <w:bCs/>
      </w:rPr>
      <w:tblPr/>
      <w:tcPr>
        <w:tcBorders>
          <w:top w:val="double" w:sz="4" w:space="0" w:color="C3AA9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AA95" w:themeColor="accent6"/>
          <w:right w:val="single" w:sz="4" w:space="0" w:color="C3AA95" w:themeColor="accent6"/>
        </w:tcBorders>
      </w:tcPr>
    </w:tblStylePr>
    <w:tblStylePr w:type="band1Horz">
      <w:tblPr/>
      <w:tcPr>
        <w:tcBorders>
          <w:top w:val="single" w:sz="4" w:space="0" w:color="C3AA95" w:themeColor="accent6"/>
          <w:bottom w:val="single" w:sz="4" w:space="0" w:color="C3AA9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AA95" w:themeColor="accent6"/>
          <w:left w:val="nil"/>
        </w:tcBorders>
      </w:tcPr>
    </w:tblStylePr>
    <w:tblStylePr w:type="swCell">
      <w:tblPr/>
      <w:tcPr>
        <w:tcBorders>
          <w:top w:val="double" w:sz="4" w:space="0" w:color="C3AA95" w:themeColor="accent6"/>
          <w:right w:val="nil"/>
        </w:tcBorders>
      </w:tcPr>
    </w:tblStylePr>
  </w:style>
  <w:style w:type="table" w:styleId="ListTable4">
    <w:name w:val="List Table 4"/>
    <w:basedOn w:val="TableNormal"/>
    <w:uiPriority w:val="49"/>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F7AD80" w:themeColor="accent3" w:themeTint="99"/>
      </w:tblBorders>
    </w:tblPr>
    <w:tblStylePr w:type="firstRow">
      <w:pPr>
        <w:jc w:val="left"/>
      </w:pPr>
      <w:rPr>
        <w:b/>
        <w:bCs/>
        <w:color w:val="FFFFFF" w:themeColor="background1"/>
      </w:rPr>
      <w:tblPr/>
      <w:tcPr>
        <w:tcBorders>
          <w:top w:val="single" w:sz="4" w:space="0" w:color="F3772C" w:themeColor="accent3"/>
          <w:left w:val="single" w:sz="4" w:space="0" w:color="F3772C" w:themeColor="accent3"/>
          <w:bottom w:val="single" w:sz="4" w:space="0" w:color="F3772C" w:themeColor="accent3"/>
          <w:right w:val="single" w:sz="4" w:space="0" w:color="F3772C" w:themeColor="accent3"/>
          <w:insideH w:val="nil"/>
        </w:tcBorders>
        <w:shd w:val="clear" w:color="auto" w:fill="F3772C" w:themeFill="accent3"/>
        <w:vAlign w:val="bottom"/>
      </w:tcPr>
    </w:tblStylePr>
    <w:tblStylePr w:type="lastRow">
      <w:rPr>
        <w:b/>
        <w:bCs/>
      </w:rPr>
      <w:tblPr/>
      <w:tcPr>
        <w:tcBorders>
          <w:top w:val="double" w:sz="4" w:space="0" w:color="F7AD80" w:themeColor="accent3" w:themeTint="99"/>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4-Accent4">
    <w:name w:val="List Table 4 Accent 4"/>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F489A8" w:themeColor="accent4" w:themeTint="99"/>
      </w:tblBorders>
    </w:tblPr>
    <w:tblStylePr w:type="firstRow">
      <w:pPr>
        <w:jc w:val="left"/>
      </w:pPr>
      <w:rPr>
        <w:b/>
        <w:bCs/>
        <w:color w:val="FFFFFF" w:themeColor="background1"/>
      </w:rPr>
      <w:tblPr/>
      <w:tcPr>
        <w:tcBorders>
          <w:top w:val="single" w:sz="4" w:space="0" w:color="EE3B6F" w:themeColor="accent4"/>
          <w:left w:val="single" w:sz="4" w:space="0" w:color="EE3B6F" w:themeColor="accent4"/>
          <w:bottom w:val="single" w:sz="4" w:space="0" w:color="EE3B6F" w:themeColor="accent4"/>
          <w:right w:val="single" w:sz="4" w:space="0" w:color="EE3B6F" w:themeColor="accent4"/>
          <w:insideH w:val="nil"/>
        </w:tcBorders>
        <w:shd w:val="clear" w:color="auto" w:fill="EE3B6F" w:themeFill="accent4"/>
        <w:vAlign w:val="bottom"/>
      </w:tcPr>
    </w:tblStylePr>
    <w:tblStylePr w:type="lastRow">
      <w:rPr>
        <w:b/>
        <w:bCs/>
      </w:rPr>
      <w:tblPr/>
      <w:tcPr>
        <w:tcBorders>
          <w:top w:val="doub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4-Accent6">
    <w:name w:val="List Table 4 Accent 6"/>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DBCBBF" w:themeColor="accent6" w:themeTint="99"/>
      </w:tblBorders>
    </w:tblPr>
    <w:tblStylePr w:type="firstRow">
      <w:pPr>
        <w:jc w:val="left"/>
      </w:pPr>
      <w:rPr>
        <w:b/>
        <w:bCs/>
        <w:color w:val="FFFFFF" w:themeColor="background1"/>
      </w:rPr>
      <w:tblPr/>
      <w:tcPr>
        <w:tcBorders>
          <w:top w:val="single" w:sz="4" w:space="0" w:color="C3AA95" w:themeColor="accent6"/>
          <w:left w:val="single" w:sz="4" w:space="0" w:color="C3AA95" w:themeColor="accent6"/>
          <w:bottom w:val="single" w:sz="4" w:space="0" w:color="C3AA95" w:themeColor="accent6"/>
          <w:right w:val="single" w:sz="4" w:space="0" w:color="C3AA95" w:themeColor="accent6"/>
          <w:insideH w:val="nil"/>
        </w:tcBorders>
        <w:shd w:val="clear" w:color="auto" w:fill="C3AA95" w:themeFill="accent6"/>
        <w:vAlign w:val="bottom"/>
      </w:tcPr>
    </w:tblStylePr>
    <w:tblStylePr w:type="lastRow">
      <w:rPr>
        <w:b/>
        <w:bCs/>
      </w:rPr>
      <w:tblPr/>
      <w:tcPr>
        <w:tcBorders>
          <w:top w:val="doub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5Dark">
    <w:name w:val="List Table 5 Dark"/>
    <w:basedOn w:val="TableNormal"/>
    <w:uiPriority w:val="50"/>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4FBFBE" w:themeColor="accent1"/>
        <w:left w:val="single" w:sz="24" w:space="0" w:color="4FBFBE" w:themeColor="accent1"/>
        <w:bottom w:val="single" w:sz="24" w:space="0" w:color="4FBFBE" w:themeColor="accent1"/>
        <w:right w:val="single" w:sz="24" w:space="0" w:color="4FBFBE" w:themeColor="accent1"/>
      </w:tblBorders>
    </w:tblPr>
    <w:tcPr>
      <w:shd w:val="clear" w:color="auto" w:fill="4FBFBE"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B7D432" w:themeColor="accent2"/>
        <w:left w:val="single" w:sz="24" w:space="0" w:color="B7D432" w:themeColor="accent2"/>
        <w:bottom w:val="single" w:sz="24" w:space="0" w:color="B7D432" w:themeColor="accent2"/>
        <w:right w:val="single" w:sz="24" w:space="0" w:color="B7D432" w:themeColor="accent2"/>
      </w:tblBorders>
    </w:tblPr>
    <w:tcPr>
      <w:shd w:val="clear" w:color="auto" w:fill="B7D432"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F3772C" w:themeColor="accent3"/>
        <w:left w:val="single" w:sz="24" w:space="0" w:color="F3772C" w:themeColor="accent3"/>
        <w:bottom w:val="single" w:sz="24" w:space="0" w:color="F3772C" w:themeColor="accent3"/>
        <w:right w:val="single" w:sz="24" w:space="0" w:color="F3772C" w:themeColor="accent3"/>
      </w:tblBorders>
    </w:tblPr>
    <w:tcPr>
      <w:shd w:val="clear" w:color="auto" w:fill="F3772C"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EE3B6F" w:themeColor="accent4"/>
        <w:left w:val="single" w:sz="24" w:space="0" w:color="EE3B6F" w:themeColor="accent4"/>
        <w:bottom w:val="single" w:sz="24" w:space="0" w:color="EE3B6F" w:themeColor="accent4"/>
        <w:right w:val="single" w:sz="24" w:space="0" w:color="EE3B6F" w:themeColor="accent4"/>
      </w:tblBorders>
    </w:tblPr>
    <w:tcPr>
      <w:shd w:val="clear" w:color="auto" w:fill="EE3B6F"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FCB942" w:themeColor="accent5"/>
        <w:left w:val="single" w:sz="24" w:space="0" w:color="FCB942" w:themeColor="accent5"/>
        <w:bottom w:val="single" w:sz="24" w:space="0" w:color="FCB942" w:themeColor="accent5"/>
        <w:right w:val="single" w:sz="24" w:space="0" w:color="FCB942" w:themeColor="accent5"/>
      </w:tblBorders>
    </w:tblPr>
    <w:tcPr>
      <w:shd w:val="clear" w:color="auto" w:fill="FCB942"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C3AA95" w:themeColor="accent6"/>
        <w:left w:val="single" w:sz="24" w:space="0" w:color="C3AA95" w:themeColor="accent6"/>
        <w:bottom w:val="single" w:sz="24" w:space="0" w:color="C3AA95" w:themeColor="accent6"/>
        <w:right w:val="single" w:sz="24" w:space="0" w:color="C3AA95" w:themeColor="accent6"/>
      </w:tblBorders>
    </w:tblPr>
    <w:tcPr>
      <w:shd w:val="clear" w:color="auto" w:fill="C3AA95"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D677C"/>
    <w:pPr>
      <w:spacing w:before="60" w:after="0" w:line="240" w:lineRule="auto"/>
    </w:pPr>
    <w:rPr>
      <w:rFonts w:eastAsiaTheme="minorHAnsi"/>
      <w:color w:val="000000" w:themeColor="text1"/>
      <w:sz w:val="18"/>
      <w:szCs w:val="18"/>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DD677C"/>
    <w:pPr>
      <w:spacing w:before="60" w:after="0" w:line="240" w:lineRule="auto"/>
    </w:pPr>
    <w:rPr>
      <w:rFonts w:eastAsiaTheme="minorHAnsi"/>
      <w:color w:val="369492" w:themeColor="accent1" w:themeShade="BF"/>
      <w:sz w:val="18"/>
      <w:szCs w:val="18"/>
    </w:rPr>
    <w:tblPr>
      <w:tblStyleRowBandSize w:val="1"/>
      <w:tblStyleColBandSize w:val="1"/>
      <w:tblBorders>
        <w:top w:val="single" w:sz="4" w:space="0" w:color="4FBFBE" w:themeColor="accent1"/>
        <w:bottom w:val="single" w:sz="4" w:space="0" w:color="4FBFBE" w:themeColor="accent1"/>
      </w:tblBorders>
    </w:tblPr>
    <w:tblStylePr w:type="firstRow">
      <w:pPr>
        <w:jc w:val="left"/>
      </w:pPr>
      <w:rPr>
        <w:b/>
        <w:bCs/>
      </w:rPr>
      <w:tblPr/>
      <w:tcPr>
        <w:tcBorders>
          <w:bottom w:val="single" w:sz="4" w:space="0" w:color="4FBFBE" w:themeColor="accent1"/>
        </w:tcBorders>
        <w:vAlign w:val="bottom"/>
      </w:tcPr>
    </w:tblStylePr>
    <w:tblStylePr w:type="lastRow">
      <w:rPr>
        <w:b/>
        <w:bCs/>
      </w:rPr>
      <w:tblPr/>
      <w:tcPr>
        <w:tcBorders>
          <w:top w:val="double" w:sz="4" w:space="0" w:color="4FBFBE" w:themeColor="accent1"/>
        </w:tcBorders>
      </w:tcPr>
    </w:tblStylePr>
    <w:tblStylePr w:type="firstCol">
      <w:rPr>
        <w:b/>
        <w:bCs/>
      </w:rPr>
    </w:tblStylePr>
    <w:tblStylePr w:type="lastCol">
      <w:rPr>
        <w:b/>
        <w:bCs/>
      </w:rPr>
    </w:tblStylePr>
    <w:tblStylePr w:type="band1Vert">
      <w:tblPr/>
      <w:tcPr>
        <w:shd w:val="clear" w:color="auto" w:fill="DBF2F2" w:themeFill="accent1" w:themeFillTint="33"/>
      </w:tcPr>
    </w:tblStylePr>
    <w:tblStylePr w:type="band1Horz">
      <w:tblPr/>
      <w:tcPr>
        <w:shd w:val="clear" w:color="auto" w:fill="DBF2F2" w:themeFill="accent1" w:themeFillTint="33"/>
      </w:tcPr>
    </w:tblStylePr>
  </w:style>
  <w:style w:type="table" w:styleId="ListTable6Colorful-Accent2">
    <w:name w:val="List Table 6 Colorful Accent 2"/>
    <w:basedOn w:val="TableNormal"/>
    <w:uiPriority w:val="51"/>
    <w:locked/>
    <w:rsid w:val="00DD677C"/>
    <w:pPr>
      <w:spacing w:before="60" w:after="0" w:line="240" w:lineRule="auto"/>
    </w:pPr>
    <w:rPr>
      <w:rFonts w:eastAsiaTheme="minorHAnsi"/>
      <w:color w:val="8AA122" w:themeColor="accent2" w:themeShade="BF"/>
      <w:sz w:val="18"/>
      <w:szCs w:val="18"/>
    </w:rPr>
    <w:tblPr>
      <w:tblStyleRowBandSize w:val="1"/>
      <w:tblStyleColBandSize w:val="1"/>
      <w:tblBorders>
        <w:top w:val="single" w:sz="4" w:space="0" w:color="B7D432" w:themeColor="accent2"/>
        <w:bottom w:val="single" w:sz="4" w:space="0" w:color="B7D432" w:themeColor="accent2"/>
      </w:tblBorders>
    </w:tblPr>
    <w:tblStylePr w:type="firstRow">
      <w:pPr>
        <w:jc w:val="left"/>
      </w:pPr>
      <w:rPr>
        <w:b/>
        <w:bCs/>
      </w:rPr>
      <w:tblPr/>
      <w:tcPr>
        <w:tcBorders>
          <w:bottom w:val="single" w:sz="4" w:space="0" w:color="B7D432" w:themeColor="accent2"/>
        </w:tcBorders>
        <w:vAlign w:val="bottom"/>
      </w:tcPr>
    </w:tblStylePr>
    <w:tblStylePr w:type="lastRow">
      <w:rPr>
        <w:b/>
        <w:bCs/>
      </w:rPr>
      <w:tblPr/>
      <w:tcPr>
        <w:tcBorders>
          <w:top w:val="double" w:sz="4" w:space="0" w:color="B7D432" w:themeColor="accent2"/>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6Colorful-Accent3">
    <w:name w:val="List Table 6 Colorful Accent 3"/>
    <w:basedOn w:val="TableNormal"/>
    <w:uiPriority w:val="51"/>
    <w:locked/>
    <w:rsid w:val="00DD677C"/>
    <w:pPr>
      <w:spacing w:before="60" w:after="0" w:line="240" w:lineRule="auto"/>
    </w:pPr>
    <w:rPr>
      <w:rFonts w:eastAsiaTheme="minorHAnsi"/>
      <w:color w:val="CB530B" w:themeColor="accent3" w:themeShade="BF"/>
      <w:sz w:val="18"/>
      <w:szCs w:val="18"/>
    </w:rPr>
    <w:tblPr>
      <w:tblStyleRowBandSize w:val="1"/>
      <w:tblStyleColBandSize w:val="1"/>
      <w:tblBorders>
        <w:top w:val="single" w:sz="4" w:space="0" w:color="F3772C" w:themeColor="accent3"/>
        <w:bottom w:val="single" w:sz="4" w:space="0" w:color="F3772C" w:themeColor="accent3"/>
      </w:tblBorders>
    </w:tblPr>
    <w:tblStylePr w:type="firstRow">
      <w:pPr>
        <w:jc w:val="left"/>
      </w:pPr>
      <w:rPr>
        <w:b/>
        <w:bCs/>
      </w:rPr>
      <w:tblPr/>
      <w:tcPr>
        <w:tcBorders>
          <w:bottom w:val="single" w:sz="4" w:space="0" w:color="F3772C" w:themeColor="accent3"/>
        </w:tcBorders>
        <w:vAlign w:val="bottom"/>
      </w:tcPr>
    </w:tblStylePr>
    <w:tblStylePr w:type="lastRow">
      <w:rPr>
        <w:b/>
        <w:bCs/>
      </w:rPr>
      <w:tblPr/>
      <w:tcPr>
        <w:tcBorders>
          <w:top w:val="double" w:sz="4" w:space="0" w:color="F3772C" w:themeColor="accent3"/>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6Colorful-Accent4">
    <w:name w:val="List Table 6 Colorful Accent 4"/>
    <w:basedOn w:val="TableNormal"/>
    <w:uiPriority w:val="51"/>
    <w:locked/>
    <w:rsid w:val="00DD677C"/>
    <w:pPr>
      <w:spacing w:before="60" w:after="0" w:line="240" w:lineRule="auto"/>
    </w:pPr>
    <w:rPr>
      <w:rFonts w:eastAsiaTheme="minorHAnsi"/>
      <w:color w:val="CC1148" w:themeColor="accent4" w:themeShade="BF"/>
      <w:sz w:val="18"/>
      <w:szCs w:val="18"/>
    </w:rPr>
    <w:tblPr>
      <w:tblStyleRowBandSize w:val="1"/>
      <w:tblStyleColBandSize w:val="1"/>
      <w:tblBorders>
        <w:top w:val="single" w:sz="4" w:space="0" w:color="EE3B6F" w:themeColor="accent4"/>
        <w:bottom w:val="single" w:sz="4" w:space="0" w:color="EE3B6F" w:themeColor="accent4"/>
      </w:tblBorders>
    </w:tblPr>
    <w:tblStylePr w:type="firstRow">
      <w:pPr>
        <w:jc w:val="left"/>
      </w:pPr>
      <w:rPr>
        <w:b/>
        <w:bCs/>
      </w:rPr>
      <w:tblPr/>
      <w:tcPr>
        <w:tcBorders>
          <w:bottom w:val="single" w:sz="4" w:space="0" w:color="EE3B6F" w:themeColor="accent4"/>
        </w:tcBorders>
        <w:vAlign w:val="bottom"/>
      </w:tcPr>
    </w:tblStylePr>
    <w:tblStylePr w:type="lastRow">
      <w:rPr>
        <w:b/>
        <w:bCs/>
      </w:rPr>
      <w:tblPr/>
      <w:tcPr>
        <w:tcBorders>
          <w:top w:val="double" w:sz="4" w:space="0" w:color="EE3B6F" w:themeColor="accent4"/>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6Colorful-Accent5">
    <w:name w:val="List Table 6 Colorful Accent 5"/>
    <w:basedOn w:val="TableNormal"/>
    <w:uiPriority w:val="51"/>
    <w:rsid w:val="00DD677C"/>
    <w:pPr>
      <w:spacing w:before="60" w:after="0" w:line="240" w:lineRule="auto"/>
    </w:pPr>
    <w:rPr>
      <w:rFonts w:eastAsiaTheme="minorHAnsi"/>
      <w:color w:val="EA9703" w:themeColor="accent5" w:themeShade="BF"/>
      <w:sz w:val="18"/>
      <w:szCs w:val="18"/>
    </w:rPr>
    <w:tblPr>
      <w:tblStyleRowBandSize w:val="1"/>
      <w:tblStyleColBandSize w:val="1"/>
      <w:tblBorders>
        <w:top w:val="single" w:sz="4" w:space="0" w:color="FCB942" w:themeColor="accent5"/>
        <w:bottom w:val="single" w:sz="4" w:space="0" w:color="FCB942" w:themeColor="accent5"/>
      </w:tblBorders>
    </w:tblPr>
    <w:tblStylePr w:type="firstRow">
      <w:pPr>
        <w:jc w:val="left"/>
      </w:pPr>
      <w:rPr>
        <w:b/>
        <w:bCs/>
      </w:rPr>
      <w:tblPr/>
      <w:tcPr>
        <w:tcBorders>
          <w:bottom w:val="single" w:sz="4" w:space="0" w:color="FCB942" w:themeColor="accent5"/>
        </w:tcBorders>
        <w:vAlign w:val="bottom"/>
      </w:tcPr>
    </w:tblStylePr>
    <w:tblStylePr w:type="lastRow">
      <w:rPr>
        <w:b/>
        <w:bCs/>
      </w:rPr>
      <w:tblPr/>
      <w:tcPr>
        <w:tcBorders>
          <w:top w:val="double" w:sz="4" w:space="0" w:color="FCB942" w:themeColor="accent5"/>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6Colorful-Accent6">
    <w:name w:val="List Table 6 Colorful Accent 6"/>
    <w:basedOn w:val="TableNormal"/>
    <w:uiPriority w:val="51"/>
    <w:locked/>
    <w:rsid w:val="00DD677C"/>
    <w:pPr>
      <w:spacing w:before="60" w:after="0" w:line="240" w:lineRule="auto"/>
    </w:pPr>
    <w:rPr>
      <w:rFonts w:eastAsiaTheme="minorHAnsi"/>
      <w:color w:val="A37D5D" w:themeColor="accent6" w:themeShade="BF"/>
      <w:sz w:val="18"/>
      <w:szCs w:val="18"/>
    </w:rPr>
    <w:tblPr>
      <w:tblStyleRowBandSize w:val="1"/>
      <w:tblStyleColBandSize w:val="1"/>
      <w:tblBorders>
        <w:top w:val="single" w:sz="4" w:space="0" w:color="C3AA95" w:themeColor="accent6"/>
        <w:bottom w:val="single" w:sz="4" w:space="0" w:color="C3AA95" w:themeColor="accent6"/>
      </w:tblBorders>
    </w:tblPr>
    <w:tblStylePr w:type="firstRow">
      <w:pPr>
        <w:jc w:val="left"/>
      </w:pPr>
      <w:rPr>
        <w:b/>
        <w:bCs/>
      </w:rPr>
      <w:tblPr/>
      <w:tcPr>
        <w:tcBorders>
          <w:bottom w:val="single" w:sz="4" w:space="0" w:color="C3AA95" w:themeColor="accent6"/>
        </w:tcBorders>
        <w:vAlign w:val="bottom"/>
      </w:tcPr>
    </w:tblStylePr>
    <w:tblStylePr w:type="lastRow">
      <w:rPr>
        <w:b/>
        <w:bCs/>
      </w:rPr>
      <w:tblPr/>
      <w:tcPr>
        <w:tcBorders>
          <w:top w:val="double" w:sz="4" w:space="0" w:color="C3AA95" w:themeColor="accent6"/>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7Colorful">
    <w:name w:val="List Table 7 Colorful"/>
    <w:basedOn w:val="TableNormal"/>
    <w:uiPriority w:val="52"/>
    <w:rsid w:val="00DD677C"/>
    <w:pPr>
      <w:spacing w:before="60" w:after="0" w:line="240" w:lineRule="auto"/>
    </w:pPr>
    <w:rPr>
      <w:rFonts w:eastAsiaTheme="minorHAnsi"/>
      <w:color w:val="000000" w:themeColor="text1"/>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D677C"/>
    <w:pPr>
      <w:spacing w:before="60" w:after="0" w:line="240" w:lineRule="auto"/>
    </w:pPr>
    <w:rPr>
      <w:rFonts w:eastAsiaTheme="minorHAnsi"/>
      <w:color w:val="369492" w:themeColor="accent1"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4FBFBE"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FBFB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BFB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BFBE" w:themeColor="accent1"/>
        </w:tcBorders>
        <w:shd w:val="clear" w:color="auto" w:fill="FFFFFF" w:themeFill="background1"/>
      </w:tcPr>
    </w:tblStylePr>
    <w:tblStylePr w:type="band1Vert">
      <w:tblPr/>
      <w:tcPr>
        <w:shd w:val="clear" w:color="auto" w:fill="DBF2F2" w:themeFill="accent1" w:themeFillTint="33"/>
      </w:tcPr>
    </w:tblStylePr>
    <w:tblStylePr w:type="band1Horz">
      <w:tblPr/>
      <w:tcPr>
        <w:shd w:val="clear" w:color="auto" w:fill="DBF2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D677C"/>
    <w:pPr>
      <w:spacing w:before="60" w:after="0" w:line="240" w:lineRule="auto"/>
    </w:pPr>
    <w:rPr>
      <w:rFonts w:eastAsiaTheme="minorHAnsi"/>
      <w:color w:val="8AA122" w:themeColor="accent2"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B7D432"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B7D4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7D4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7D432" w:themeColor="accent2"/>
        </w:tcBorders>
        <w:shd w:val="clear" w:color="auto" w:fill="FFFFFF" w:themeFill="background1"/>
      </w:tcPr>
    </w:tblStylePr>
    <w:tblStylePr w:type="band1Vert">
      <w:tblPr/>
      <w:tcPr>
        <w:shd w:val="clear" w:color="auto" w:fill="F0F6D5" w:themeFill="accent2" w:themeFillTint="33"/>
      </w:tcPr>
    </w:tblStylePr>
    <w:tblStylePr w:type="band1Horz">
      <w:tblPr/>
      <w:tcPr>
        <w:shd w:val="clear" w:color="auto" w:fill="F0F6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DD677C"/>
    <w:pPr>
      <w:spacing w:before="60" w:after="0" w:line="240" w:lineRule="auto"/>
    </w:pPr>
    <w:rPr>
      <w:rFonts w:ascii="Arial" w:eastAsiaTheme="minorHAnsi" w:hAnsi="Arial"/>
      <w:sz w:val="18"/>
      <w:szCs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65FAFF" w:themeColor="text2" w:themeTint="66"/>
        <w:left w:val="single" w:sz="4" w:space="0" w:color="65FAFF" w:themeColor="text2" w:themeTint="66"/>
        <w:bottom w:val="single" w:sz="4" w:space="0" w:color="65FAFF" w:themeColor="text2" w:themeTint="66"/>
        <w:right w:val="single" w:sz="4" w:space="0" w:color="65FAFF" w:themeColor="text2" w:themeTint="66"/>
        <w:insideH w:val="single" w:sz="4" w:space="0" w:color="65FAFF" w:themeColor="text2" w:themeTint="66"/>
        <w:insideV w:val="single" w:sz="4" w:space="0" w:color="65FAFF" w:themeColor="text2" w:themeTint="66"/>
      </w:tblBorders>
    </w:tblPr>
    <w:tblStylePr w:type="firstRow">
      <w:pPr>
        <w:jc w:val="left"/>
      </w:pPr>
      <w:rPr>
        <w:b/>
        <w:bCs/>
      </w:rPr>
      <w:tblPr/>
      <w:tcPr>
        <w:tcBorders>
          <w:bottom w:val="single" w:sz="12" w:space="0" w:color="4FBFBE" w:themeColor="accent1"/>
        </w:tcBorders>
      </w:tcPr>
    </w:tblStylePr>
    <w:tblStylePr w:type="lastRow">
      <w:rPr>
        <w:b/>
        <w:bCs/>
      </w:rPr>
      <w:tblPr/>
      <w:tcPr>
        <w:tcBorders>
          <w:top w:val="double" w:sz="2" w:space="0" w:color="18F8FF" w:themeColor="text2" w:themeTint="99"/>
        </w:tcBorders>
      </w:tcPr>
    </w:tblStylePr>
    <w:tblStylePr w:type="firstCol">
      <w:rPr>
        <w:b/>
        <w:bCs/>
      </w:rPr>
    </w:tblStylePr>
    <w:tblStylePr w:type="lastCol">
      <w:rPr>
        <w:b/>
        <w:bCs/>
      </w:rPr>
    </w:tblStylePr>
    <w:tblStylePr w:type="band1Horz">
      <w:tblPr/>
      <w:tcPr>
        <w:tcBorders>
          <w:top w:val="single" w:sz="2" w:space="0" w:color="18F8FF" w:themeColor="text2" w:themeTint="99"/>
          <w:left w:val="single" w:sz="2" w:space="0" w:color="18F8FF" w:themeColor="text2" w:themeTint="99"/>
          <w:bottom w:val="single" w:sz="2" w:space="0" w:color="18F8FF" w:themeColor="text2" w:themeTint="99"/>
          <w:right w:val="single" w:sz="2" w:space="0" w:color="18F8FF" w:themeColor="text2" w:themeTint="99"/>
          <w:insideH w:val="single" w:sz="2" w:space="0" w:color="18F8FF" w:themeColor="text2" w:themeTint="99"/>
          <w:insideV w:val="single" w:sz="2" w:space="0" w:color="18F8FF" w:themeColor="text2" w:themeTint="99"/>
          <w:tl2br w:val="nil"/>
          <w:tr2bl w:val="nil"/>
        </w:tcBorders>
      </w:tcPr>
    </w:tblStylePr>
    <w:tblStylePr w:type="band2Horz">
      <w:tblPr/>
      <w:tcPr>
        <w:tcBorders>
          <w:top w:val="single" w:sz="4" w:space="0" w:color="18F8FF" w:themeColor="text2" w:themeTint="99"/>
          <w:left w:val="single" w:sz="4" w:space="0" w:color="18F8FF" w:themeColor="text2" w:themeTint="99"/>
          <w:bottom w:val="single" w:sz="4" w:space="0" w:color="18F8FF" w:themeColor="text2" w:themeTint="99"/>
          <w:right w:val="single" w:sz="4" w:space="0" w:color="18F8FF" w:themeColor="text2" w:themeTint="99"/>
          <w:insideH w:val="single" w:sz="4" w:space="0" w:color="18F8FF" w:themeColor="text2" w:themeTint="99"/>
          <w:insideV w:val="single" w:sz="4" w:space="0" w:color="18F8FF" w:themeColor="text2" w:themeTint="99"/>
          <w:tl2br w:val="nil"/>
          <w:tr2bl w:val="nil"/>
        </w:tcBorders>
      </w:tcPr>
    </w:tblStylePr>
  </w:style>
  <w:style w:type="table" w:styleId="GridTable1Light-Accent2">
    <w:name w:val="Grid Table 1 Light Accent 2"/>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E2EDAC" w:themeColor="accent2" w:themeTint="66"/>
        <w:left w:val="single" w:sz="4" w:space="0" w:color="E2EDAC" w:themeColor="accent2" w:themeTint="66"/>
        <w:bottom w:val="single" w:sz="4" w:space="0" w:color="E2EDAC" w:themeColor="accent2" w:themeTint="66"/>
        <w:right w:val="single" w:sz="4" w:space="0" w:color="E2EDAC" w:themeColor="accent2" w:themeTint="66"/>
        <w:insideH w:val="single" w:sz="4" w:space="0" w:color="E2EDAC" w:themeColor="accent2" w:themeTint="66"/>
        <w:insideV w:val="single" w:sz="4" w:space="0" w:color="E2EDAC" w:themeColor="accent2" w:themeTint="66"/>
      </w:tblBorders>
    </w:tblPr>
    <w:tblStylePr w:type="firstRow">
      <w:pPr>
        <w:jc w:val="left"/>
      </w:pPr>
      <w:rPr>
        <w:b/>
        <w:bCs/>
      </w:rPr>
      <w:tblPr/>
      <w:tcPr>
        <w:tcBorders>
          <w:bottom w:val="single" w:sz="12" w:space="0" w:color="D3E583" w:themeColor="accent2" w:themeTint="99"/>
        </w:tcBorders>
        <w:vAlign w:val="bottom"/>
      </w:tcPr>
    </w:tblStylePr>
    <w:tblStylePr w:type="lastRow">
      <w:rPr>
        <w:b/>
        <w:bCs/>
      </w:rPr>
      <w:tblPr/>
      <w:tcPr>
        <w:tcBorders>
          <w:top w:val="double" w:sz="2" w:space="0" w:color="D3E5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AC8AA" w:themeColor="accent3" w:themeTint="66"/>
        <w:left w:val="single" w:sz="4" w:space="0" w:color="FAC8AA" w:themeColor="accent3" w:themeTint="66"/>
        <w:bottom w:val="single" w:sz="4" w:space="0" w:color="FAC8AA" w:themeColor="accent3" w:themeTint="66"/>
        <w:right w:val="single" w:sz="4" w:space="0" w:color="FAC8AA" w:themeColor="accent3" w:themeTint="66"/>
        <w:insideH w:val="single" w:sz="4" w:space="0" w:color="FAC8AA" w:themeColor="accent3" w:themeTint="66"/>
        <w:insideV w:val="single" w:sz="4" w:space="0" w:color="FAC8AA" w:themeColor="accent3" w:themeTint="66"/>
      </w:tblBorders>
    </w:tblPr>
    <w:tblStylePr w:type="firstRow">
      <w:pPr>
        <w:jc w:val="left"/>
      </w:pPr>
      <w:rPr>
        <w:b/>
        <w:bCs/>
      </w:rPr>
      <w:tblPr/>
      <w:tcPr>
        <w:tcBorders>
          <w:bottom w:val="single" w:sz="12" w:space="0" w:color="F7AD80" w:themeColor="accent3" w:themeTint="99"/>
        </w:tcBorders>
        <w:vAlign w:val="bottom"/>
      </w:tcPr>
    </w:tblStylePr>
    <w:tblStylePr w:type="lastRow">
      <w:rPr>
        <w:b/>
        <w:bCs/>
      </w:rPr>
      <w:tblPr/>
      <w:tcPr>
        <w:tcBorders>
          <w:top w:val="double" w:sz="2" w:space="0" w:color="F7AD8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8B0C5" w:themeColor="accent4" w:themeTint="66"/>
        <w:left w:val="single" w:sz="4" w:space="0" w:color="F8B0C5" w:themeColor="accent4" w:themeTint="66"/>
        <w:bottom w:val="single" w:sz="4" w:space="0" w:color="F8B0C5" w:themeColor="accent4" w:themeTint="66"/>
        <w:right w:val="single" w:sz="4" w:space="0" w:color="F8B0C5" w:themeColor="accent4" w:themeTint="66"/>
        <w:insideH w:val="single" w:sz="4" w:space="0" w:color="F8B0C5" w:themeColor="accent4" w:themeTint="66"/>
        <w:insideV w:val="single" w:sz="4" w:space="0" w:color="F8B0C5" w:themeColor="accent4" w:themeTint="66"/>
      </w:tblBorders>
    </w:tblPr>
    <w:tblStylePr w:type="firstRow">
      <w:pPr>
        <w:jc w:val="left"/>
      </w:pPr>
      <w:rPr>
        <w:b/>
        <w:bCs/>
      </w:rPr>
      <w:tblPr/>
      <w:tcPr>
        <w:tcBorders>
          <w:bottom w:val="single" w:sz="12" w:space="0" w:color="F489A8" w:themeColor="accent4" w:themeTint="99"/>
        </w:tcBorders>
        <w:vAlign w:val="bottom"/>
      </w:tcPr>
    </w:tblStylePr>
    <w:tblStylePr w:type="lastRow">
      <w:rPr>
        <w:b/>
        <w:bCs/>
      </w:rPr>
      <w:tblPr/>
      <w:tcPr>
        <w:tcBorders>
          <w:top w:val="double" w:sz="2" w:space="0" w:color="F489A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DE2B3" w:themeColor="accent5" w:themeTint="66"/>
        <w:left w:val="single" w:sz="4" w:space="0" w:color="FDE2B3" w:themeColor="accent5" w:themeTint="66"/>
        <w:bottom w:val="single" w:sz="4" w:space="0" w:color="FDE2B3" w:themeColor="accent5" w:themeTint="66"/>
        <w:right w:val="single" w:sz="4" w:space="0" w:color="FDE2B3" w:themeColor="accent5" w:themeTint="66"/>
        <w:insideH w:val="single" w:sz="4" w:space="0" w:color="FDE2B3" w:themeColor="accent5" w:themeTint="66"/>
        <w:insideV w:val="single" w:sz="4" w:space="0" w:color="FDE2B3" w:themeColor="accent5" w:themeTint="66"/>
      </w:tblBorders>
    </w:tblPr>
    <w:tblStylePr w:type="firstRow">
      <w:pPr>
        <w:jc w:val="left"/>
      </w:pPr>
      <w:rPr>
        <w:b/>
        <w:bCs/>
      </w:rPr>
      <w:tblPr/>
      <w:tcPr>
        <w:tcBorders>
          <w:bottom w:val="single" w:sz="12" w:space="0" w:color="FDD48D" w:themeColor="accent5" w:themeTint="99"/>
        </w:tcBorders>
        <w:vAlign w:val="bottom"/>
      </w:tcPr>
    </w:tblStylePr>
    <w:tblStylePr w:type="lastRow">
      <w:rPr>
        <w:b/>
        <w:bCs/>
      </w:rPr>
      <w:tblPr/>
      <w:tcPr>
        <w:tcBorders>
          <w:top w:val="double" w:sz="2" w:space="0" w:color="FDD4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E7DCD4" w:themeColor="accent6" w:themeTint="66"/>
        <w:left w:val="single" w:sz="4" w:space="0" w:color="E7DCD4" w:themeColor="accent6" w:themeTint="66"/>
        <w:bottom w:val="single" w:sz="4" w:space="0" w:color="E7DCD4" w:themeColor="accent6" w:themeTint="66"/>
        <w:right w:val="single" w:sz="4" w:space="0" w:color="E7DCD4" w:themeColor="accent6" w:themeTint="66"/>
        <w:insideH w:val="single" w:sz="4" w:space="0" w:color="E7DCD4" w:themeColor="accent6" w:themeTint="66"/>
        <w:insideV w:val="single" w:sz="4" w:space="0" w:color="E7DCD4" w:themeColor="accent6" w:themeTint="66"/>
      </w:tblBorders>
    </w:tblPr>
    <w:tblStylePr w:type="firstRow">
      <w:pPr>
        <w:jc w:val="left"/>
      </w:pPr>
      <w:rPr>
        <w:b/>
        <w:bCs/>
      </w:rPr>
      <w:tblPr/>
      <w:tcPr>
        <w:tcBorders>
          <w:bottom w:val="single" w:sz="12" w:space="0" w:color="DBCBBF" w:themeColor="accent6" w:themeTint="99"/>
        </w:tcBorders>
        <w:vAlign w:val="bottom"/>
      </w:tcPr>
    </w:tblStylePr>
    <w:tblStylePr w:type="lastRow">
      <w:rPr>
        <w:b/>
        <w:bCs/>
      </w:rPr>
      <w:tblPr/>
      <w:tcPr>
        <w:tcBorders>
          <w:top w:val="double" w:sz="2" w:space="0" w:color="DBCBBF"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DD677C"/>
    <w:pPr>
      <w:spacing w:before="60" w:after="0" w:line="240" w:lineRule="auto"/>
    </w:pPr>
    <w:rPr>
      <w:rFonts w:ascii="Arial" w:eastAsiaTheme="minorHAnsi" w:hAnsi="Arial"/>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DD677C"/>
    <w:pPr>
      <w:spacing w:before="60" w:after="0" w:line="240" w:lineRule="auto"/>
    </w:pPr>
    <w:rPr>
      <w:rFonts w:ascii="Arial" w:eastAsiaTheme="minorHAnsi" w:hAnsi="Arial"/>
      <w:sz w:val="18"/>
      <w:szCs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locked/>
    <w:rsid w:val="00DD677C"/>
    <w:pPr>
      <w:spacing w:before="60" w:after="0" w:line="240" w:lineRule="auto"/>
    </w:pPr>
    <w:rPr>
      <w:rFonts w:ascii="Arial" w:eastAsiaTheme="minorHAnsi" w:hAnsi="Arial"/>
      <w:sz w:val="18"/>
      <w:szCs w:val="18"/>
    </w:rPr>
    <w:tblPr>
      <w:tblStyleRowBandSize w:val="1"/>
      <w:tblStyleColBandSize w:val="1"/>
      <w:tblBorders>
        <w:top w:val="single" w:sz="2" w:space="0" w:color="F489A8" w:themeColor="accent4" w:themeTint="99"/>
        <w:bottom w:val="single" w:sz="2" w:space="0" w:color="F489A8" w:themeColor="accent4" w:themeTint="99"/>
        <w:insideH w:val="single" w:sz="2" w:space="0" w:color="F489A8" w:themeColor="accent4" w:themeTint="99"/>
        <w:insideV w:val="single" w:sz="2" w:space="0" w:color="F489A8" w:themeColor="accent4" w:themeTint="99"/>
      </w:tblBorders>
    </w:tblPr>
    <w:tblStylePr w:type="firstRow">
      <w:pPr>
        <w:jc w:val="left"/>
      </w:pPr>
      <w:rPr>
        <w:b/>
        <w:bCs/>
      </w:rPr>
      <w:tblPr/>
      <w:tcPr>
        <w:tcBorders>
          <w:top w:val="nil"/>
          <w:bottom w:val="single" w:sz="12" w:space="0" w:color="F489A8" w:themeColor="accent4" w:themeTint="99"/>
          <w:insideH w:val="nil"/>
          <w:insideV w:val="nil"/>
        </w:tcBorders>
        <w:shd w:val="clear" w:color="auto" w:fill="FFFFFF" w:themeFill="background1"/>
        <w:vAlign w:val="bottom"/>
      </w:tcPr>
    </w:tblStylePr>
    <w:tblStylePr w:type="lastRow">
      <w:rPr>
        <w:b/>
        <w:bCs/>
      </w:rPr>
      <w:tblPr/>
      <w:tcPr>
        <w:tcBorders>
          <w:top w:val="double" w:sz="2" w:space="0" w:color="F489A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2-Accent5">
    <w:name w:val="Grid Table 2 Accent 5"/>
    <w:basedOn w:val="TableNormal"/>
    <w:uiPriority w:val="47"/>
    <w:rsid w:val="00DD677C"/>
    <w:pPr>
      <w:spacing w:before="60" w:after="0" w:line="240" w:lineRule="auto"/>
    </w:pPr>
    <w:rPr>
      <w:rFonts w:ascii="Arial" w:eastAsiaTheme="minorHAnsi" w:hAnsi="Arial"/>
      <w:sz w:val="18"/>
      <w:szCs w:val="18"/>
    </w:rPr>
    <w:tblPr>
      <w:tblStyleRowBandSize w:val="1"/>
      <w:tblStyleColBandSize w:val="1"/>
      <w:tblBorders>
        <w:top w:val="single" w:sz="2" w:space="0" w:color="FDD48D" w:themeColor="accent5" w:themeTint="99"/>
        <w:bottom w:val="single" w:sz="2" w:space="0" w:color="FDD48D" w:themeColor="accent5" w:themeTint="99"/>
        <w:insideH w:val="single" w:sz="2" w:space="0" w:color="FDD48D" w:themeColor="accent5" w:themeTint="99"/>
        <w:insideV w:val="single" w:sz="2" w:space="0" w:color="FDD48D" w:themeColor="accent5" w:themeTint="99"/>
      </w:tblBorders>
    </w:tblPr>
    <w:tblStylePr w:type="firstRow">
      <w:pPr>
        <w:jc w:val="left"/>
      </w:pPr>
      <w:rPr>
        <w:b/>
        <w:bCs/>
      </w:rPr>
      <w:tblPr/>
      <w:tcPr>
        <w:tcBorders>
          <w:top w:val="nil"/>
          <w:bottom w:val="single" w:sz="12" w:space="0" w:color="FDD48D" w:themeColor="accent5" w:themeTint="99"/>
          <w:insideH w:val="nil"/>
          <w:insideV w:val="nil"/>
        </w:tcBorders>
        <w:shd w:val="clear" w:color="auto" w:fill="FFFFFF" w:themeFill="background1"/>
        <w:vAlign w:val="bottom"/>
      </w:tcPr>
    </w:tblStylePr>
    <w:tblStylePr w:type="lastRow">
      <w:rPr>
        <w:b/>
        <w:bCs/>
      </w:rPr>
      <w:tblPr/>
      <w:tcPr>
        <w:tcBorders>
          <w:top w:val="double" w:sz="2" w:space="0" w:color="FDD4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2-Accent6">
    <w:name w:val="Grid Table 2 Accent 6"/>
    <w:basedOn w:val="TableNormal"/>
    <w:uiPriority w:val="47"/>
    <w:locked/>
    <w:rsid w:val="00DD677C"/>
    <w:pPr>
      <w:spacing w:before="60" w:after="0" w:line="240" w:lineRule="auto"/>
    </w:pPr>
    <w:rPr>
      <w:rFonts w:ascii="Arial" w:eastAsiaTheme="minorHAnsi" w:hAnsi="Arial"/>
      <w:sz w:val="18"/>
      <w:szCs w:val="18"/>
    </w:rPr>
    <w:tblPr>
      <w:tblStyleRowBandSize w:val="1"/>
      <w:tblStyleColBandSize w:val="1"/>
      <w:tblBorders>
        <w:top w:val="single" w:sz="2" w:space="0" w:color="DBCBBF" w:themeColor="accent6" w:themeTint="99"/>
        <w:bottom w:val="single" w:sz="2" w:space="0" w:color="DBCBBF" w:themeColor="accent6" w:themeTint="99"/>
        <w:insideH w:val="single" w:sz="2" w:space="0" w:color="DBCBBF" w:themeColor="accent6" w:themeTint="99"/>
        <w:insideV w:val="single" w:sz="2" w:space="0" w:color="DBCBBF" w:themeColor="accent6" w:themeTint="99"/>
      </w:tblBorders>
    </w:tblPr>
    <w:tblStylePr w:type="firstRow">
      <w:pPr>
        <w:jc w:val="left"/>
      </w:pPr>
      <w:rPr>
        <w:b/>
        <w:bCs/>
      </w:rPr>
      <w:tblPr/>
      <w:tcPr>
        <w:tcBorders>
          <w:top w:val="nil"/>
          <w:bottom w:val="single" w:sz="12" w:space="0" w:color="DBCBBF" w:themeColor="accent6" w:themeTint="99"/>
          <w:insideH w:val="nil"/>
          <w:insideV w:val="nil"/>
        </w:tcBorders>
        <w:shd w:val="clear" w:color="auto" w:fill="FFFFFF" w:themeFill="background1"/>
        <w:vAlign w:val="bottom"/>
      </w:tcPr>
    </w:tblStylePr>
    <w:tblStylePr w:type="lastRow">
      <w:rPr>
        <w:b/>
        <w:bCs/>
      </w:rPr>
      <w:tblPr/>
      <w:tcPr>
        <w:tcBorders>
          <w:top w:val="double" w:sz="2" w:space="0" w:color="DBCBB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GridTable3-Accent3">
    <w:name w:val="Grid Table 3 Accent 3"/>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4" w:themeFill="accent3" w:themeFillTint="33"/>
      </w:tcPr>
    </w:tblStylePr>
    <w:tblStylePr w:type="band1Horz">
      <w:tblPr/>
      <w:tcPr>
        <w:shd w:val="clear" w:color="auto" w:fill="FCE3D4" w:themeFill="accent3" w:themeFillTint="33"/>
      </w:tcPr>
    </w:tblStylePr>
    <w:tblStylePr w:type="neCell">
      <w:tblPr/>
      <w:tcPr>
        <w:tcBorders>
          <w:bottom w:val="single" w:sz="4" w:space="0" w:color="F7AD80" w:themeColor="accent3" w:themeTint="99"/>
        </w:tcBorders>
      </w:tcPr>
    </w:tblStylePr>
    <w:tblStylePr w:type="nwCell">
      <w:tblPr/>
      <w:tcPr>
        <w:tcBorders>
          <w:bottom w:val="single" w:sz="4" w:space="0" w:color="F7AD80" w:themeColor="accent3" w:themeTint="99"/>
        </w:tcBorders>
      </w:tcPr>
    </w:tblStylePr>
    <w:tblStylePr w:type="seCell">
      <w:tblPr/>
      <w:tcPr>
        <w:tcBorders>
          <w:top w:val="single" w:sz="4" w:space="0" w:color="F7AD80" w:themeColor="accent3" w:themeTint="99"/>
        </w:tcBorders>
      </w:tcPr>
    </w:tblStylePr>
    <w:tblStylePr w:type="swCell">
      <w:tblPr/>
      <w:tcPr>
        <w:tcBorders>
          <w:top w:val="single" w:sz="4" w:space="0" w:color="F7AD80" w:themeColor="accent3" w:themeTint="99"/>
        </w:tcBorders>
      </w:tcPr>
    </w:tblStylePr>
  </w:style>
  <w:style w:type="table" w:styleId="GridTable3-Accent4">
    <w:name w:val="Grid Table 3 Accent 4"/>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bottom w:val="single" w:sz="4" w:space="0" w:color="F489A8" w:themeColor="accent4" w:themeTint="99"/>
        </w:tcBorders>
      </w:tcPr>
    </w:tblStylePr>
    <w:tblStylePr w:type="nwCell">
      <w:tblPr/>
      <w:tcPr>
        <w:tcBorders>
          <w:bottom w:val="single" w:sz="4" w:space="0" w:color="F489A8" w:themeColor="accent4" w:themeTint="99"/>
        </w:tcBorders>
      </w:tcPr>
    </w:tblStylePr>
    <w:tblStylePr w:type="seCell">
      <w:tblPr/>
      <w:tcPr>
        <w:tcBorders>
          <w:top w:val="single" w:sz="4" w:space="0" w:color="F489A8" w:themeColor="accent4" w:themeTint="99"/>
        </w:tcBorders>
      </w:tcPr>
    </w:tblStylePr>
    <w:tblStylePr w:type="swCell">
      <w:tblPr/>
      <w:tcPr>
        <w:tcBorders>
          <w:top w:val="single" w:sz="4" w:space="0" w:color="F489A8" w:themeColor="accent4" w:themeTint="99"/>
        </w:tcBorders>
      </w:tcPr>
    </w:tblStylePr>
  </w:style>
  <w:style w:type="table" w:styleId="GridTable3-Accent5">
    <w:name w:val="Grid Table 3 Accent 5"/>
    <w:basedOn w:val="TableNormal"/>
    <w:uiPriority w:val="48"/>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bottom w:val="single" w:sz="4" w:space="0" w:color="FDD48D" w:themeColor="accent5" w:themeTint="99"/>
        </w:tcBorders>
      </w:tcPr>
    </w:tblStylePr>
    <w:tblStylePr w:type="nwCell">
      <w:tblPr/>
      <w:tcPr>
        <w:tcBorders>
          <w:bottom w:val="single" w:sz="4" w:space="0" w:color="FDD48D" w:themeColor="accent5" w:themeTint="99"/>
        </w:tcBorders>
      </w:tcPr>
    </w:tblStylePr>
    <w:tblStylePr w:type="seCell">
      <w:tblPr/>
      <w:tcPr>
        <w:tcBorders>
          <w:top w:val="single" w:sz="4" w:space="0" w:color="FDD48D" w:themeColor="accent5" w:themeTint="99"/>
        </w:tcBorders>
      </w:tcPr>
    </w:tblStylePr>
    <w:tblStylePr w:type="swCell">
      <w:tblPr/>
      <w:tcPr>
        <w:tcBorders>
          <w:top w:val="single" w:sz="4" w:space="0" w:color="FDD48D" w:themeColor="accent5" w:themeTint="99"/>
        </w:tcBorders>
      </w:tcPr>
    </w:tblStylePr>
  </w:style>
  <w:style w:type="table" w:styleId="PlainTable5">
    <w:name w:val="Plain Table 5"/>
    <w:basedOn w:val="TableNormal"/>
    <w:uiPriority w:val="45"/>
    <w:rsid w:val="00DD677C"/>
    <w:pPr>
      <w:spacing w:before="60" w:after="0" w:line="240" w:lineRule="auto"/>
    </w:pPr>
    <w:rPr>
      <w:rFonts w:ascii="Arial" w:eastAsiaTheme="minorHAnsi" w:hAnsi="Arial"/>
      <w:sz w:val="18"/>
      <w:szCs w:val="18"/>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95D8D7" w:themeColor="accent1" w:themeTint="99"/>
        </w:tcBorders>
        <w:vAlign w:val="bottom"/>
      </w:tcPr>
    </w:tblStylePr>
    <w:tblStylePr w:type="lastRow">
      <w:rPr>
        <w:b/>
        <w:bCs/>
      </w:rPr>
      <w:tblPr/>
      <w:tcPr>
        <w:tcBorders>
          <w:top w:val="single" w:sz="4" w:space="0" w:color="95D8D7" w:themeColor="accent1" w:themeTint="99"/>
        </w:tcBorders>
      </w:tcPr>
    </w:tblStylePr>
    <w:tblStylePr w:type="firstCol">
      <w:rPr>
        <w:b/>
        <w:bCs/>
      </w:rPr>
    </w:tblStylePr>
    <w:tblStylePr w:type="lastCol">
      <w:rPr>
        <w:b/>
        <w:bCs/>
      </w:rPr>
    </w:tblStylePr>
    <w:tblStylePr w:type="band1Vert">
      <w:tblPr/>
      <w:tcPr>
        <w:shd w:val="clear" w:color="auto" w:fill="DBF2F2" w:themeFill="accent1" w:themeFillTint="33"/>
      </w:tcPr>
    </w:tblStylePr>
    <w:tblStylePr w:type="band1Horz">
      <w:tblPr/>
      <w:tcPr>
        <w:shd w:val="clear" w:color="auto" w:fill="DBF2F2" w:themeFill="accent1" w:themeFillTint="33"/>
      </w:tcPr>
    </w:tblStylePr>
  </w:style>
  <w:style w:type="table" w:styleId="ListTable1Light-Accent2">
    <w:name w:val="List Table 1 Light Accent 2"/>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D3E583" w:themeColor="accent2" w:themeTint="99"/>
        </w:tcBorders>
        <w:vAlign w:val="bottom"/>
      </w:tcPr>
    </w:tblStylePr>
    <w:tblStylePr w:type="lastRow">
      <w:rPr>
        <w:b/>
        <w:bCs/>
      </w:rPr>
      <w:tblPr/>
      <w:tcPr>
        <w:tcBorders>
          <w:top w:val="single" w:sz="4" w:space="0" w:color="D3E583" w:themeColor="accent2" w:themeTint="99"/>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1Light-Accent3">
    <w:name w:val="List Table 1 Light Accent 3"/>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F7AD80" w:themeColor="accent3" w:themeTint="99"/>
        </w:tcBorders>
        <w:vAlign w:val="bottom"/>
      </w:tcPr>
    </w:tblStylePr>
    <w:tblStylePr w:type="lastRow">
      <w:rPr>
        <w:b/>
        <w:bCs/>
      </w:rPr>
      <w:tblPr/>
      <w:tcPr>
        <w:tcBorders>
          <w:top w:val="single" w:sz="4" w:space="0" w:color="F7AD80" w:themeColor="accent3" w:themeTint="99"/>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1Light-Accent4">
    <w:name w:val="List Table 1 Light Accent 4"/>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F489A8" w:themeColor="accent4" w:themeTint="99"/>
        </w:tcBorders>
        <w:vAlign w:val="bottom"/>
      </w:tcPr>
    </w:tblStylePr>
    <w:tblStylePr w:type="lastRow">
      <w:rPr>
        <w:b/>
        <w:bCs/>
      </w:rPr>
      <w:tblPr/>
      <w:tcPr>
        <w:tcBorders>
          <w:top w:val="sing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1Light-Accent5">
    <w:name w:val="List Table 1 Light Accent 5"/>
    <w:basedOn w:val="TableNormal"/>
    <w:uiPriority w:val="46"/>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FDD48D" w:themeColor="accent5" w:themeTint="99"/>
        </w:tcBorders>
        <w:vAlign w:val="bottom"/>
      </w:tcPr>
    </w:tblStylePr>
    <w:tblStylePr w:type="lastRow">
      <w:rPr>
        <w:b/>
        <w:bCs/>
      </w:rPr>
      <w:tblPr/>
      <w:tcPr>
        <w:tcBorders>
          <w:top w:val="sing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1Light-Accent6">
    <w:name w:val="List Table 1 Light Accent 6"/>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DBCBBF" w:themeColor="accent6" w:themeTint="99"/>
        </w:tcBorders>
        <w:vAlign w:val="bottom"/>
      </w:tcPr>
    </w:tblStylePr>
    <w:tblStylePr w:type="lastRow">
      <w:rPr>
        <w:b/>
        <w:bCs/>
      </w:rPr>
      <w:tblPr/>
      <w:tcPr>
        <w:tcBorders>
          <w:top w:val="sing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2">
    <w:name w:val="List Table 2"/>
    <w:basedOn w:val="TableNormal"/>
    <w:uiPriority w:val="47"/>
    <w:rsid w:val="00DD677C"/>
    <w:pPr>
      <w:spacing w:before="60" w:after="0" w:line="240" w:lineRule="auto"/>
    </w:pPr>
    <w:rPr>
      <w:rFonts w:eastAsiaTheme="minorHAnsi"/>
      <w:sz w:val="18"/>
      <w:szCs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95D8D7" w:themeColor="accent1" w:themeTint="99"/>
        <w:bottom w:val="single" w:sz="4" w:space="0" w:color="95D8D7" w:themeColor="accent1" w:themeTint="99"/>
        <w:insideH w:val="single" w:sz="4" w:space="0" w:color="95D8D7"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BF2F2" w:themeFill="accent1" w:themeFillTint="33"/>
      </w:tcPr>
    </w:tblStylePr>
    <w:tblStylePr w:type="band1Horz">
      <w:tblPr/>
      <w:tcPr>
        <w:shd w:val="clear" w:color="auto" w:fill="DBF2F2" w:themeFill="accent1" w:themeFillTint="33"/>
      </w:tcPr>
    </w:tblStylePr>
  </w:style>
  <w:style w:type="table" w:styleId="ListTable2-Accent2">
    <w:name w:val="List Table 2 Accent 2"/>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D3E583" w:themeColor="accent2" w:themeTint="99"/>
        <w:bottom w:val="single" w:sz="4" w:space="0" w:color="D3E583" w:themeColor="accent2" w:themeTint="99"/>
        <w:insideH w:val="single" w:sz="4" w:space="0" w:color="D3E583"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2-Accent3">
    <w:name w:val="List Table 2 Accent 3"/>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F7AD80" w:themeColor="accent3" w:themeTint="99"/>
        <w:bottom w:val="single" w:sz="4" w:space="0" w:color="F7AD80" w:themeColor="accent3" w:themeTint="99"/>
        <w:insideH w:val="single" w:sz="4" w:space="0" w:color="F7AD80"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2-Accent4">
    <w:name w:val="List Table 2 Accent 4"/>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F489A8" w:themeColor="accent4" w:themeTint="99"/>
        <w:bottom w:val="single" w:sz="4" w:space="0" w:color="F489A8" w:themeColor="accent4" w:themeTint="99"/>
        <w:insideH w:val="single" w:sz="4" w:space="0" w:color="F489A8"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2-Accent5">
    <w:name w:val="List Table 2 Accent 5"/>
    <w:basedOn w:val="TableNormal"/>
    <w:uiPriority w:val="47"/>
    <w:rsid w:val="00DD677C"/>
    <w:pPr>
      <w:spacing w:before="60" w:after="0" w:line="240" w:lineRule="auto"/>
    </w:pPr>
    <w:rPr>
      <w:rFonts w:eastAsiaTheme="minorHAnsi"/>
      <w:sz w:val="18"/>
      <w:szCs w:val="18"/>
    </w:rPr>
    <w:tblPr>
      <w:tblStyleRowBandSize w:val="1"/>
      <w:tblStyleColBandSize w:val="1"/>
      <w:tblBorders>
        <w:top w:val="single" w:sz="4" w:space="0" w:color="FDD48D" w:themeColor="accent5" w:themeTint="99"/>
        <w:bottom w:val="single" w:sz="4" w:space="0" w:color="FDD48D" w:themeColor="accent5" w:themeTint="99"/>
        <w:insideH w:val="single" w:sz="4" w:space="0" w:color="FDD48D"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character" w:customStyle="1" w:styleId="BodyTextChar">
    <w:name w:val="Body Text Char"/>
    <w:basedOn w:val="DefaultParagraphFont"/>
    <w:link w:val="BodyText"/>
    <w:uiPriority w:val="99"/>
    <w:rsid w:val="001F6957"/>
    <w:rPr>
      <w:rFonts w:ascii="Arial" w:eastAsiaTheme="minorHAnsi" w:hAnsi="Arial"/>
      <w:sz w:val="20"/>
      <w:szCs w:val="18"/>
    </w:rPr>
  </w:style>
  <w:style w:type="paragraph" w:customStyle="1" w:styleId="Quote2">
    <w:name w:val="Quote 2"/>
    <w:basedOn w:val="Subtitle"/>
    <w:next w:val="Normal"/>
    <w:link w:val="Quote2Char"/>
    <w:uiPriority w:val="7"/>
    <w:qFormat/>
    <w:rsid w:val="00DD677C"/>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DD677C"/>
    <w:rPr>
      <w:rFonts w:ascii="Calibri" w:eastAsia="Times New Roman" w:hAnsi="Calibri" w:cs="Times New Roman"/>
      <w:bCs/>
      <w:color w:val="4FBFBE" w:themeColor="accent1"/>
      <w:sz w:val="20"/>
      <w:szCs w:val="20"/>
      <w:lang w:eastAsia="en-AU"/>
    </w:rPr>
  </w:style>
  <w:style w:type="paragraph" w:customStyle="1" w:styleId="Bullets1">
    <w:name w:val="Bullets 1"/>
    <w:basedOn w:val="Normal"/>
    <w:qFormat/>
    <w:rsid w:val="00DD677C"/>
    <w:pPr>
      <w:numPr>
        <w:numId w:val="3"/>
      </w:numPr>
      <w:spacing w:before="60" w:after="60" w:line="300" w:lineRule="auto"/>
    </w:pPr>
    <w:rPr>
      <w:rFonts w:eastAsia="Times New Roman" w:cs="Times New Roman"/>
      <w:szCs w:val="20"/>
    </w:rPr>
  </w:style>
  <w:style w:type="paragraph" w:customStyle="1" w:styleId="TableFormat">
    <w:name w:val="Table Format"/>
    <w:basedOn w:val="Body"/>
    <w:next w:val="Body"/>
    <w:uiPriority w:val="1"/>
    <w:qFormat/>
    <w:rsid w:val="00DD677C"/>
    <w:pPr>
      <w:spacing w:before="60" w:after="60" w:line="240" w:lineRule="auto"/>
      <w:jc w:val="right"/>
    </w:pPr>
    <w:rPr>
      <w:sz w:val="18"/>
    </w:rPr>
  </w:style>
  <w:style w:type="paragraph" w:styleId="Revision">
    <w:name w:val="Revision"/>
    <w:hidden/>
    <w:uiPriority w:val="99"/>
    <w:semiHidden/>
    <w:rsid w:val="00AD2ACB"/>
    <w:pPr>
      <w:spacing w:after="0"/>
    </w:pPr>
    <w:rPr>
      <w:rFonts w:ascii="Arial" w:hAnsi="Arial"/>
      <w:sz w:val="20"/>
    </w:rPr>
  </w:style>
  <w:style w:type="paragraph" w:customStyle="1" w:styleId="Body">
    <w:name w:val="Body"/>
    <w:basedOn w:val="Normal"/>
    <w:link w:val="BodyChar"/>
    <w:qFormat/>
    <w:rsid w:val="00E458CC"/>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E458CC"/>
    <w:rPr>
      <w:rFonts w:ascii="Arial" w:eastAsia="Times New Roman" w:hAnsi="Arial" w:cs="Times New Roman"/>
      <w:sz w:val="20"/>
      <w:szCs w:val="20"/>
    </w:rPr>
  </w:style>
  <w:style w:type="paragraph" w:customStyle="1" w:styleId="Bullets2">
    <w:name w:val="Bullets 2"/>
    <w:basedOn w:val="Normal"/>
    <w:qFormat/>
    <w:rsid w:val="00DD677C"/>
    <w:pPr>
      <w:numPr>
        <w:ilvl w:val="1"/>
        <w:numId w:val="3"/>
      </w:numPr>
      <w:spacing w:before="60" w:after="60" w:line="300" w:lineRule="auto"/>
    </w:pPr>
    <w:rPr>
      <w:rFonts w:eastAsia="Times New Roman" w:cs="Times New Roman"/>
      <w:szCs w:val="20"/>
    </w:rPr>
  </w:style>
  <w:style w:type="paragraph" w:customStyle="1" w:styleId="Bullets3">
    <w:name w:val="Bullets 3"/>
    <w:basedOn w:val="Normal"/>
    <w:qFormat/>
    <w:rsid w:val="00DD677C"/>
    <w:pPr>
      <w:numPr>
        <w:ilvl w:val="2"/>
        <w:numId w:val="3"/>
      </w:numPr>
      <w:spacing w:before="60" w:after="60" w:line="300" w:lineRule="auto"/>
    </w:pPr>
    <w:rPr>
      <w:rFonts w:eastAsia="Times New Roman" w:cs="Times New Roman"/>
      <w:szCs w:val="20"/>
    </w:rPr>
  </w:style>
  <w:style w:type="table" w:styleId="ListTable2-Accent6">
    <w:name w:val="List Table 2 Accent 6"/>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DBCBBF" w:themeColor="accent6" w:themeTint="99"/>
        <w:bottom w:val="single" w:sz="4" w:space="0" w:color="DBCBBF" w:themeColor="accent6" w:themeTint="99"/>
        <w:insideH w:val="single" w:sz="4" w:space="0" w:color="DBCBBF"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paragraph" w:customStyle="1" w:styleId="AppendixHeading">
    <w:name w:val="Appendix Heading"/>
    <w:basedOn w:val="MajorHeading"/>
    <w:next w:val="Body"/>
    <w:link w:val="AppendixHeadingChar"/>
    <w:qFormat/>
    <w:rsid w:val="00A60A4E"/>
    <w:pPr>
      <w:numPr>
        <w:numId w:val="10"/>
      </w:numPr>
    </w:pPr>
    <w:rPr>
      <w:rFonts w:cstheme="majorBidi"/>
    </w:rPr>
  </w:style>
  <w:style w:type="character" w:customStyle="1" w:styleId="AppendixHeadingChar">
    <w:name w:val="Appendix Heading Char"/>
    <w:basedOn w:val="Heading1Char"/>
    <w:link w:val="AppendixHeading"/>
    <w:rsid w:val="00A60A4E"/>
    <w:rPr>
      <w:rFonts w:ascii="Arial" w:eastAsiaTheme="minorHAnsi" w:hAnsi="Arial" w:cstheme="majorBidi"/>
      <w:color w:val="005A5D" w:themeColor="text2" w:themeShade="BF"/>
      <w:sz w:val="40"/>
      <w:szCs w:val="40"/>
    </w:rPr>
  </w:style>
  <w:style w:type="paragraph" w:styleId="TableofAuthorities">
    <w:name w:val="table of authorities"/>
    <w:basedOn w:val="Normal"/>
    <w:next w:val="Normal"/>
    <w:uiPriority w:val="99"/>
    <w:semiHidden/>
    <w:unhideWhenUsed/>
    <w:rsid w:val="00044F13"/>
    <w:pPr>
      <w:ind w:left="284" w:hanging="284"/>
    </w:pPr>
    <w:rPr>
      <w:rFonts w:ascii="Arial Nova" w:hAnsi="Arial Nova"/>
    </w:rPr>
  </w:style>
  <w:style w:type="paragraph" w:styleId="Bibliography">
    <w:name w:val="Bibliography"/>
    <w:basedOn w:val="Normal"/>
    <w:next w:val="Normal"/>
    <w:uiPriority w:val="37"/>
    <w:qFormat/>
    <w:rsid w:val="00DD677C"/>
    <w:pPr>
      <w:spacing w:before="120" w:after="120"/>
      <w:ind w:left="284" w:hanging="284"/>
    </w:pPr>
    <w:rPr>
      <w:rFonts w:cs="Arial"/>
    </w:rPr>
  </w:style>
  <w:style w:type="table" w:styleId="GridTable7Colorful-Accent6">
    <w:name w:val="Grid Table 7 Colorful Accent 6"/>
    <w:basedOn w:val="TableNormal"/>
    <w:uiPriority w:val="52"/>
    <w:locked/>
    <w:rsid w:val="00DD677C"/>
    <w:pPr>
      <w:spacing w:before="60" w:after="0" w:line="240" w:lineRule="auto"/>
    </w:pPr>
    <w:rPr>
      <w:rFonts w:eastAsiaTheme="minorHAnsi"/>
      <w:color w:val="A37D5D" w:themeColor="accent6" w:themeShade="BF"/>
      <w:sz w:val="18"/>
      <w:szCs w:val="18"/>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bottom w:val="single" w:sz="4" w:space="0" w:color="DBCBBF" w:themeColor="accent6" w:themeTint="99"/>
        </w:tcBorders>
      </w:tcPr>
    </w:tblStylePr>
    <w:tblStylePr w:type="nwCell">
      <w:tblPr/>
      <w:tcPr>
        <w:tcBorders>
          <w:bottom w:val="single" w:sz="4" w:space="0" w:color="DBCBBF" w:themeColor="accent6" w:themeTint="99"/>
        </w:tcBorders>
      </w:tcPr>
    </w:tblStylePr>
    <w:tblStylePr w:type="seCell">
      <w:tblPr/>
      <w:tcPr>
        <w:tcBorders>
          <w:top w:val="single" w:sz="4" w:space="0" w:color="DBCBBF" w:themeColor="accent6" w:themeTint="99"/>
        </w:tcBorders>
      </w:tcPr>
    </w:tblStylePr>
    <w:tblStylePr w:type="swCell">
      <w:tblPr/>
      <w:tcPr>
        <w:tcBorders>
          <w:top w:val="single" w:sz="4" w:space="0" w:color="DBCBBF" w:themeColor="accent6" w:themeTint="99"/>
        </w:tcBorders>
      </w:tcPr>
    </w:tblStylePr>
  </w:style>
  <w:style w:type="table" w:customStyle="1" w:styleId="SRC2ndPage">
    <w:name w:val="SRC 2nd Page"/>
    <w:basedOn w:val="TableNormal"/>
    <w:uiPriority w:val="99"/>
    <w:rsid w:val="002038DE"/>
    <w:pPr>
      <w:spacing w:after="0" w:line="240" w:lineRule="auto"/>
    </w:pPr>
    <w:rPr>
      <w:rFonts w:ascii="Arial" w:eastAsiaTheme="minorHAnsi" w:hAnsi="Arial"/>
      <w:sz w:val="18"/>
      <w:szCs w:val="18"/>
    </w:rPr>
    <w:tblPr/>
    <w:tblStylePr w:type="firstRow">
      <w:pPr>
        <w:jc w:val="left"/>
      </w:pPr>
      <w:tblPr/>
      <w:tcPr>
        <w:vAlign w:val="bottom"/>
      </w:tcPr>
    </w:tblStylePr>
  </w:style>
  <w:style w:type="character" w:customStyle="1" w:styleId="Heading6Char">
    <w:name w:val="Heading 6 Char"/>
    <w:basedOn w:val="DefaultParagraphFont"/>
    <w:link w:val="Heading6"/>
    <w:uiPriority w:val="9"/>
    <w:rsid w:val="00DD677C"/>
    <w:rPr>
      <w:rFonts w:asciiTheme="majorHAnsi" w:eastAsiaTheme="majorEastAsia" w:hAnsiTheme="majorHAnsi" w:cstheme="majorBidi"/>
      <w:i/>
      <w:iCs/>
      <w:caps/>
      <w:color w:val="246362" w:themeColor="accent1" w:themeShade="80"/>
      <w:sz w:val="20"/>
      <w:szCs w:val="18"/>
    </w:rPr>
  </w:style>
  <w:style w:type="character" w:customStyle="1" w:styleId="Heading7Char">
    <w:name w:val="Heading 7 Char"/>
    <w:basedOn w:val="DefaultParagraphFont"/>
    <w:link w:val="Heading7"/>
    <w:uiPriority w:val="9"/>
    <w:rsid w:val="00DD677C"/>
    <w:rPr>
      <w:rFonts w:asciiTheme="majorHAnsi" w:eastAsiaTheme="majorEastAsia" w:hAnsiTheme="majorHAnsi" w:cstheme="majorBidi"/>
      <w:b/>
      <w:bCs/>
      <w:color w:val="246362" w:themeColor="accent1" w:themeShade="80"/>
      <w:sz w:val="20"/>
      <w:szCs w:val="18"/>
    </w:rPr>
  </w:style>
  <w:style w:type="character" w:customStyle="1" w:styleId="Heading8Char">
    <w:name w:val="Heading 8 Char"/>
    <w:basedOn w:val="DefaultParagraphFont"/>
    <w:link w:val="Heading8"/>
    <w:uiPriority w:val="9"/>
    <w:semiHidden/>
    <w:rsid w:val="00DD677C"/>
    <w:rPr>
      <w:rFonts w:asciiTheme="majorHAnsi" w:eastAsiaTheme="majorEastAsia" w:hAnsiTheme="majorHAnsi" w:cstheme="majorBidi"/>
      <w:b/>
      <w:bCs/>
      <w:i/>
      <w:iCs/>
      <w:color w:val="246362" w:themeColor="accent1" w:themeShade="80"/>
      <w:sz w:val="20"/>
      <w:szCs w:val="18"/>
    </w:rPr>
  </w:style>
  <w:style w:type="character" w:customStyle="1" w:styleId="Heading9Char">
    <w:name w:val="Heading 9 Char"/>
    <w:basedOn w:val="DefaultParagraphFont"/>
    <w:link w:val="Heading9"/>
    <w:uiPriority w:val="9"/>
    <w:semiHidden/>
    <w:rsid w:val="00DD677C"/>
    <w:rPr>
      <w:rFonts w:asciiTheme="majorHAnsi" w:eastAsiaTheme="majorEastAsia" w:hAnsiTheme="majorHAnsi" w:cstheme="majorBidi"/>
      <w:i/>
      <w:iCs/>
      <w:color w:val="246362" w:themeColor="accent1" w:themeShade="80"/>
      <w:sz w:val="20"/>
      <w:szCs w:val="18"/>
    </w:rPr>
  </w:style>
  <w:style w:type="character" w:styleId="Strong">
    <w:name w:val="Strong"/>
    <w:basedOn w:val="DefaultParagraphFont"/>
    <w:uiPriority w:val="22"/>
    <w:qFormat/>
    <w:rsid w:val="00902782"/>
    <w:rPr>
      <w:b/>
      <w:bCs/>
    </w:rPr>
  </w:style>
  <w:style w:type="character" w:styleId="Emphasis">
    <w:name w:val="Emphasis"/>
    <w:basedOn w:val="DefaultParagraphFont"/>
    <w:uiPriority w:val="20"/>
    <w:qFormat/>
    <w:rsid w:val="00902782"/>
    <w:rPr>
      <w:i/>
      <w:iCs/>
    </w:rPr>
  </w:style>
  <w:style w:type="paragraph" w:styleId="IntenseQuote">
    <w:name w:val="Intense Quote"/>
    <w:basedOn w:val="Normal"/>
    <w:next w:val="Normal"/>
    <w:link w:val="IntenseQuoteChar"/>
    <w:uiPriority w:val="30"/>
    <w:rsid w:val="00902782"/>
    <w:pPr>
      <w:spacing w:before="100" w:beforeAutospacing="1" w:after="240"/>
      <w:ind w:left="720"/>
      <w:jc w:val="center"/>
    </w:pPr>
    <w:rPr>
      <w:rFonts w:asciiTheme="majorHAnsi" w:eastAsiaTheme="majorEastAsia" w:hAnsiTheme="majorHAnsi" w:cstheme="majorBidi"/>
      <w:color w:val="007A7D" w:themeColor="text2"/>
      <w:spacing w:val="-6"/>
      <w:sz w:val="32"/>
      <w:szCs w:val="32"/>
    </w:rPr>
  </w:style>
  <w:style w:type="character" w:customStyle="1" w:styleId="IntenseQuoteChar">
    <w:name w:val="Intense Quote Char"/>
    <w:basedOn w:val="DefaultParagraphFont"/>
    <w:link w:val="IntenseQuote"/>
    <w:uiPriority w:val="30"/>
    <w:rsid w:val="00902782"/>
    <w:rPr>
      <w:rFonts w:asciiTheme="majorHAnsi" w:eastAsiaTheme="majorEastAsia" w:hAnsiTheme="majorHAnsi" w:cstheme="majorBidi"/>
      <w:color w:val="007A7D" w:themeColor="text2"/>
      <w:spacing w:val="-6"/>
      <w:sz w:val="32"/>
      <w:szCs w:val="32"/>
    </w:rPr>
  </w:style>
  <w:style w:type="character" w:styleId="SubtleEmphasis">
    <w:name w:val="Subtle Emphasis"/>
    <w:basedOn w:val="DefaultParagraphFont"/>
    <w:uiPriority w:val="19"/>
    <w:rsid w:val="00902782"/>
    <w:rPr>
      <w:i/>
      <w:iCs/>
      <w:color w:val="595959" w:themeColor="text1" w:themeTint="A6"/>
    </w:rPr>
  </w:style>
  <w:style w:type="character" w:styleId="IntenseEmphasis">
    <w:name w:val="Intense Emphasis"/>
    <w:basedOn w:val="DefaultParagraphFont"/>
    <w:uiPriority w:val="21"/>
    <w:rsid w:val="00902782"/>
    <w:rPr>
      <w:b/>
      <w:bCs/>
      <w:i/>
      <w:iCs/>
    </w:rPr>
  </w:style>
  <w:style w:type="character" w:styleId="SubtleReference">
    <w:name w:val="Subtle Reference"/>
    <w:basedOn w:val="DefaultParagraphFont"/>
    <w:uiPriority w:val="31"/>
    <w:rsid w:val="0090278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902782"/>
    <w:rPr>
      <w:b/>
      <w:bCs/>
      <w:smallCaps/>
      <w:color w:val="007A7D" w:themeColor="text2"/>
      <w:u w:val="single"/>
    </w:rPr>
  </w:style>
  <w:style w:type="paragraph" w:styleId="TOCHeading">
    <w:name w:val="TOC Heading"/>
    <w:basedOn w:val="Heading1"/>
    <w:next w:val="Normal"/>
    <w:uiPriority w:val="39"/>
    <w:unhideWhenUsed/>
    <w:qFormat/>
    <w:rsid w:val="001D7906"/>
    <w:pPr>
      <w:ind w:left="1134" w:hanging="1134"/>
      <w:outlineLvl w:val="9"/>
    </w:pPr>
  </w:style>
  <w:style w:type="paragraph" w:customStyle="1" w:styleId="Bullets-noindent">
    <w:name w:val="Bullets - no indent"/>
    <w:basedOn w:val="Body"/>
    <w:uiPriority w:val="1"/>
    <w:qFormat/>
    <w:rsid w:val="00DD677C"/>
    <w:pPr>
      <w:numPr>
        <w:numId w:val="2"/>
      </w:numPr>
      <w:spacing w:before="60" w:after="60"/>
    </w:pPr>
  </w:style>
  <w:style w:type="table" w:customStyle="1" w:styleId="SRC1">
    <w:name w:val="SRC 1"/>
    <w:basedOn w:val="TableNormal"/>
    <w:uiPriority w:val="99"/>
    <w:rsid w:val="00463C20"/>
    <w:pPr>
      <w:spacing w:before="60" w:after="60" w:line="240" w:lineRule="auto"/>
    </w:pPr>
    <w:rPr>
      <w:rFonts w:ascii="Arial" w:eastAsiaTheme="minorHAnsi" w:hAnsi="Arial"/>
      <w:sz w:val="18"/>
    </w:rPr>
    <w:tblPr>
      <w:tblStyleRowBandSize w:val="1"/>
      <w:tblStyleColBandSize w:val="1"/>
      <w:tblBorders>
        <w:bottom w:val="single" w:sz="4" w:space="0" w:color="4FBFB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4FBFB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DBF2F2"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Appendix1">
    <w:name w:val="Appendix 1"/>
    <w:basedOn w:val="Heading1"/>
    <w:next w:val="Body"/>
    <w:uiPriority w:val="99"/>
    <w:qFormat/>
    <w:rsid w:val="000F1FC6"/>
    <w:pPr>
      <w:numPr>
        <w:numId w:val="1"/>
      </w:numPr>
    </w:pPr>
  </w:style>
  <w:style w:type="paragraph" w:customStyle="1" w:styleId="Appendix2">
    <w:name w:val="Appendix 2"/>
    <w:basedOn w:val="Heading2"/>
    <w:uiPriority w:val="99"/>
    <w:qFormat/>
    <w:rsid w:val="000F1FC6"/>
    <w:pPr>
      <w:numPr>
        <w:ilvl w:val="0"/>
        <w:numId w:val="9"/>
      </w:numPr>
    </w:pPr>
  </w:style>
  <w:style w:type="paragraph" w:customStyle="1" w:styleId="Appendix3">
    <w:name w:val="Appendix 3"/>
    <w:basedOn w:val="Normal"/>
    <w:next w:val="Body"/>
    <w:uiPriority w:val="99"/>
    <w:qFormat/>
    <w:rsid w:val="00A9284B"/>
    <w:pPr>
      <w:keepNext/>
      <w:numPr>
        <w:numId w:val="11"/>
      </w:numPr>
      <w:spacing w:before="240" w:after="120"/>
      <w:outlineLvl w:val="2"/>
    </w:pPr>
    <w:rPr>
      <w:color w:val="007A7D" w:themeColor="text2"/>
      <w:sz w:val="28"/>
    </w:rPr>
  </w:style>
  <w:style w:type="paragraph" w:customStyle="1" w:styleId="SubHeading20">
    <w:name w:val="Sub Heading 2"/>
    <w:basedOn w:val="SubHeading1"/>
    <w:next w:val="Body"/>
    <w:link w:val="SubHeading2Char0"/>
    <w:uiPriority w:val="3"/>
    <w:qFormat/>
    <w:rsid w:val="00DD677C"/>
    <w:rPr>
      <w:sz w:val="24"/>
      <w:szCs w:val="24"/>
    </w:rPr>
  </w:style>
  <w:style w:type="character" w:customStyle="1" w:styleId="SubHeading2Char0">
    <w:name w:val="Sub Heading 2 Char"/>
    <w:basedOn w:val="SubHeading1Char"/>
    <w:link w:val="SubHeading20"/>
    <w:uiPriority w:val="3"/>
    <w:rsid w:val="00DD677C"/>
    <w:rPr>
      <w:rFonts w:ascii="Arial" w:eastAsiaTheme="minorHAnsi" w:hAnsi="Arial"/>
      <w:bCs/>
      <w:color w:val="4FBFBE" w:themeColor="accent1"/>
      <w:sz w:val="24"/>
      <w:szCs w:val="24"/>
    </w:rPr>
  </w:style>
  <w:style w:type="paragraph" w:customStyle="1" w:styleId="NoParagraphStyle">
    <w:name w:val="[No Paragraph Style]"/>
    <w:autoRedefine/>
    <w:qFormat/>
    <w:rsid w:val="005A5905"/>
    <w:pPr>
      <w:widowControl w:val="0"/>
      <w:autoSpaceDE w:val="0"/>
      <w:autoSpaceDN w:val="0"/>
      <w:adjustRightInd w:val="0"/>
      <w:spacing w:after="0" w:line="288" w:lineRule="auto"/>
      <w:textAlignment w:val="center"/>
    </w:pPr>
    <w:rPr>
      <w:rFonts w:ascii="Calibri" w:hAnsi="Calibri" w:cs="MinionPro-Regular"/>
      <w:b/>
      <w:bCs/>
      <w:caps/>
      <w:color w:val="FFFFFF" w:themeColor="background1"/>
      <w:sz w:val="32"/>
      <w:szCs w:val="32"/>
      <w:lang w:val="en-GB"/>
    </w:rPr>
  </w:style>
  <w:style w:type="paragraph" w:customStyle="1" w:styleId="Intropullout">
    <w:name w:val="Intro/pull out"/>
    <w:autoRedefine/>
    <w:uiPriority w:val="99"/>
    <w:qFormat/>
    <w:rsid w:val="005A5905"/>
    <w:pPr>
      <w:widowControl w:val="0"/>
      <w:suppressAutoHyphens/>
      <w:autoSpaceDE w:val="0"/>
      <w:autoSpaceDN w:val="0"/>
      <w:adjustRightInd w:val="0"/>
      <w:spacing w:before="113" w:after="170" w:line="300" w:lineRule="atLeast"/>
      <w:textAlignment w:val="center"/>
    </w:pPr>
    <w:rPr>
      <w:rFonts w:ascii="Calibri" w:hAnsi="Calibri" w:cs="DINOT-Light"/>
      <w:color w:val="004459"/>
      <w:spacing w:val="-2"/>
      <w:sz w:val="23"/>
      <w:szCs w:val="23"/>
      <w:lang w:val="en-GB"/>
    </w:rPr>
  </w:style>
  <w:style w:type="paragraph" w:customStyle="1" w:styleId="Subhead2">
    <w:name w:val="Subhead 2"/>
    <w:autoRedefine/>
    <w:uiPriority w:val="99"/>
    <w:qFormat/>
    <w:rsid w:val="005A5905"/>
    <w:pPr>
      <w:keepNext/>
      <w:widowControl w:val="0"/>
      <w:tabs>
        <w:tab w:val="left" w:pos="170"/>
        <w:tab w:val="left" w:pos="340"/>
        <w:tab w:val="left" w:pos="510"/>
        <w:tab w:val="left" w:pos="680"/>
      </w:tabs>
      <w:suppressAutoHyphens/>
      <w:autoSpaceDE w:val="0"/>
      <w:autoSpaceDN w:val="0"/>
      <w:adjustRightInd w:val="0"/>
      <w:spacing w:before="227" w:after="0" w:line="280" w:lineRule="atLeast"/>
      <w:textAlignment w:val="center"/>
    </w:pPr>
    <w:rPr>
      <w:rFonts w:ascii="DINOT-Medium" w:hAnsi="DINOT-Medium" w:cs="DINOT-Medium"/>
      <w:color w:val="00777B"/>
      <w:spacing w:val="-1"/>
      <w:sz w:val="20"/>
      <w:szCs w:val="20"/>
      <w:lang w:val="en-GB"/>
    </w:rPr>
  </w:style>
  <w:style w:type="paragraph" w:customStyle="1" w:styleId="dashboard">
    <w:name w:val="dashboard #"/>
    <w:qFormat/>
    <w:rsid w:val="005A5905"/>
    <w:pPr>
      <w:spacing w:after="1920" w:line="240" w:lineRule="auto"/>
      <w:ind w:left="425"/>
    </w:pPr>
    <w:rPr>
      <w:rFonts w:asciiTheme="majorHAnsi" w:hAnsiTheme="majorHAnsi" w:cs="Times New Roman"/>
      <w:b/>
      <w:color w:val="FFFFFF"/>
      <w:sz w:val="20"/>
      <w:szCs w:val="20"/>
      <w:lang w:val="en-US"/>
    </w:rPr>
  </w:style>
  <w:style w:type="paragraph" w:customStyle="1" w:styleId="TablecolumnheadAPPX">
    <w:name w:val="Table column head APPX"/>
    <w:basedOn w:val="Normal"/>
    <w:qFormat/>
    <w:rsid w:val="005A5905"/>
    <w:pPr>
      <w:widowControl w:val="0"/>
      <w:suppressAutoHyphens/>
      <w:autoSpaceDE w:val="0"/>
      <w:autoSpaceDN w:val="0"/>
      <w:adjustRightInd w:val="0"/>
      <w:spacing w:before="113" w:line="288" w:lineRule="auto"/>
      <w:textAlignment w:val="center"/>
    </w:pPr>
    <w:rPr>
      <w:rFonts w:ascii="Arial-BoldMT" w:eastAsiaTheme="minorEastAsia" w:hAnsi="Arial-BoldMT" w:cs="Arial-BoldMT"/>
      <w:b/>
      <w:bCs/>
      <w:color w:val="000000"/>
      <w:sz w:val="18"/>
      <w:lang w:val="en-GB"/>
    </w:rPr>
  </w:style>
  <w:style w:type="paragraph" w:customStyle="1" w:styleId="TableAPPXbulletALPHA">
    <w:name w:val="Table APPX bullet ALPHA"/>
    <w:basedOn w:val="Normal"/>
    <w:qFormat/>
    <w:rsid w:val="005A5905"/>
    <w:pPr>
      <w:widowControl w:val="0"/>
      <w:numPr>
        <w:numId w:val="8"/>
      </w:numPr>
      <w:tabs>
        <w:tab w:val="left" w:pos="283"/>
      </w:tabs>
      <w:suppressAutoHyphens/>
      <w:autoSpaceDE w:val="0"/>
      <w:autoSpaceDN w:val="0"/>
      <w:adjustRightInd w:val="0"/>
      <w:spacing w:before="43" w:line="288" w:lineRule="auto"/>
      <w:textAlignment w:val="center"/>
    </w:pPr>
    <w:rPr>
      <w:rFonts w:ascii="ArialMT" w:eastAsiaTheme="minorEastAsia" w:hAnsi="ArialMT" w:cs="ArialMT"/>
      <w:color w:val="000000"/>
      <w:sz w:val="18"/>
      <w:lang w:val="en-GB"/>
    </w:rPr>
  </w:style>
  <w:style w:type="paragraph" w:customStyle="1" w:styleId="Body01">
    <w:name w:val="Body 01"/>
    <w:uiPriority w:val="99"/>
    <w:rsid w:val="005A5905"/>
    <w:pPr>
      <w:spacing w:before="240" w:after="0" w:line="240" w:lineRule="atLeast"/>
    </w:pPr>
    <w:rPr>
      <w:rFonts w:asciiTheme="majorHAnsi" w:hAnsiTheme="majorHAnsi" w:cs="Gotham-Light"/>
      <w:color w:val="000A23"/>
      <w:spacing w:val="-2"/>
      <w:sz w:val="20"/>
      <w:szCs w:val="18"/>
      <w:lang w:val="en-GB"/>
    </w:rPr>
  </w:style>
  <w:style w:type="character" w:customStyle="1" w:styleId="Body02BOLD">
    <w:name w:val="Body 02 BOLD"/>
    <w:uiPriority w:val="1"/>
    <w:qFormat/>
    <w:rsid w:val="005A5905"/>
    <w:rPr>
      <w:rFonts w:ascii="Arial" w:hAnsi="Arial" w:cs="Arial"/>
      <w:b/>
      <w:sz w:val="20"/>
      <w:szCs w:val="20"/>
      <w:lang w:val="en-GB"/>
    </w:rPr>
  </w:style>
  <w:style w:type="paragraph" w:customStyle="1" w:styleId="Bodyruleabove">
    <w:name w:val="Body rule above"/>
    <w:basedOn w:val="Normal"/>
    <w:uiPriority w:val="99"/>
    <w:rsid w:val="005A5905"/>
    <w:pPr>
      <w:widowControl w:val="0"/>
      <w:suppressAutoHyphens/>
      <w:autoSpaceDE w:val="0"/>
      <w:autoSpaceDN w:val="0"/>
      <w:adjustRightInd w:val="0"/>
      <w:spacing w:before="227" w:line="240" w:lineRule="atLeast"/>
      <w:textAlignment w:val="center"/>
    </w:pPr>
    <w:rPr>
      <w:rFonts w:ascii="Gotham-Light" w:eastAsiaTheme="minorEastAsia" w:hAnsi="Gotham-Light" w:cs="Gotham-Light"/>
      <w:color w:val="000A23"/>
      <w:spacing w:val="-2"/>
      <w:sz w:val="18"/>
      <w:lang w:val="en-GB"/>
    </w:rPr>
  </w:style>
  <w:style w:type="paragraph" w:customStyle="1" w:styleId="Bullet01">
    <w:name w:val="Bullet 01"/>
    <w:basedOn w:val="Body01"/>
    <w:uiPriority w:val="99"/>
    <w:rsid w:val="005A5905"/>
    <w:pPr>
      <w:widowControl w:val="0"/>
      <w:tabs>
        <w:tab w:val="left" w:pos="170"/>
      </w:tabs>
      <w:suppressAutoHyphens/>
      <w:autoSpaceDE w:val="0"/>
      <w:autoSpaceDN w:val="0"/>
      <w:adjustRightInd w:val="0"/>
      <w:spacing w:before="57"/>
      <w:ind w:left="170" w:hanging="170"/>
      <w:textAlignment w:val="center"/>
    </w:pPr>
  </w:style>
  <w:style w:type="paragraph" w:customStyle="1" w:styleId="Documenttitle">
    <w:name w:val="Document title"/>
    <w:uiPriority w:val="99"/>
    <w:rsid w:val="005A5905"/>
    <w:pPr>
      <w:widowControl w:val="0"/>
      <w:suppressAutoHyphens/>
      <w:autoSpaceDE w:val="0"/>
      <w:autoSpaceDN w:val="0"/>
      <w:adjustRightInd w:val="0"/>
      <w:spacing w:after="720" w:line="720" w:lineRule="atLeast"/>
      <w:ind w:left="426"/>
      <w:textAlignment w:val="center"/>
    </w:pPr>
    <w:rPr>
      <w:rFonts w:asciiTheme="majorHAnsi" w:hAnsiTheme="majorHAnsi" w:cs="CaeciliaLTStd-Heavy"/>
      <w:color w:val="FFFFFF" w:themeColor="background1"/>
      <w:spacing w:val="-6"/>
      <w:sz w:val="62"/>
      <w:szCs w:val="62"/>
      <w:lang w:val="en-GB"/>
    </w:rPr>
  </w:style>
  <w:style w:type="paragraph" w:customStyle="1" w:styleId="Intropara">
    <w:name w:val="Intro para"/>
    <w:qFormat/>
    <w:rsid w:val="005A5905"/>
    <w:pPr>
      <w:spacing w:after="0" w:line="220" w:lineRule="exact"/>
    </w:pPr>
    <w:rPr>
      <w:rFonts w:asciiTheme="majorHAnsi" w:hAnsiTheme="majorHAnsi" w:cs="CaeciliaLTStd-Heavy"/>
      <w:sz w:val="24"/>
      <w:szCs w:val="21"/>
      <w:lang w:val="en-GB"/>
    </w:rPr>
  </w:style>
  <w:style w:type="paragraph" w:customStyle="1" w:styleId="tablesub01">
    <w:name w:val="table sub 01"/>
    <w:basedOn w:val="Bodyruleabove"/>
    <w:uiPriority w:val="99"/>
    <w:rsid w:val="005A5905"/>
    <w:rPr>
      <w:rFonts w:ascii="Calibri" w:hAnsi="Calibri" w:cs="Gotham-Medium"/>
      <w:sz w:val="22"/>
    </w:rPr>
  </w:style>
  <w:style w:type="paragraph" w:customStyle="1" w:styleId="tablesubhead">
    <w:name w:val="table subhead"/>
    <w:qFormat/>
    <w:rsid w:val="005A5905"/>
    <w:pPr>
      <w:spacing w:after="0" w:line="240" w:lineRule="auto"/>
    </w:pPr>
    <w:rPr>
      <w:rFonts w:asciiTheme="majorHAnsi" w:hAnsiTheme="majorHAnsi" w:cs="Gotham-Book"/>
      <w:b/>
      <w:spacing w:val="-4"/>
      <w:sz w:val="20"/>
      <w:szCs w:val="18"/>
      <w:lang w:val="en-GB"/>
    </w:rPr>
  </w:style>
  <w:style w:type="paragraph" w:customStyle="1" w:styleId="Tabletext">
    <w:name w:val="Table text"/>
    <w:link w:val="TabletextChar"/>
    <w:qFormat/>
    <w:rsid w:val="005A5905"/>
    <w:pPr>
      <w:spacing w:after="0" w:line="240" w:lineRule="auto"/>
    </w:pPr>
    <w:rPr>
      <w:rFonts w:ascii="Arial" w:hAnsi="Arial" w:cs="Gotham-Light"/>
      <w:color w:val="000A23"/>
      <w:spacing w:val="-2"/>
      <w:sz w:val="18"/>
      <w:szCs w:val="18"/>
      <w:lang w:val="en-GB"/>
    </w:rPr>
  </w:style>
  <w:style w:type="paragraph" w:customStyle="1" w:styleId="Sub03">
    <w:name w:val="Sub 03"/>
    <w:basedOn w:val="tablesub01"/>
    <w:qFormat/>
    <w:rsid w:val="005A5905"/>
  </w:style>
  <w:style w:type="paragraph" w:customStyle="1" w:styleId="Sub1">
    <w:name w:val="Sub 1"/>
    <w:basedOn w:val="Normal"/>
    <w:uiPriority w:val="99"/>
    <w:rsid w:val="005A5905"/>
    <w:pPr>
      <w:widowControl w:val="0"/>
      <w:pBdr>
        <w:bottom w:val="dashSmallGap" w:sz="4" w:space="6" w:color="auto"/>
      </w:pBdr>
      <w:suppressAutoHyphens/>
      <w:autoSpaceDE w:val="0"/>
      <w:autoSpaceDN w:val="0"/>
      <w:adjustRightInd w:val="0"/>
      <w:spacing w:before="240" w:after="60" w:line="280" w:lineRule="atLeast"/>
      <w:textAlignment w:val="center"/>
    </w:pPr>
    <w:rPr>
      <w:rFonts w:ascii="Calibri" w:eastAsiaTheme="minorEastAsia" w:hAnsi="Calibri" w:cs="CaeciliaLTStd-Heavy"/>
      <w:b/>
      <w:spacing w:val="-4"/>
      <w:sz w:val="24"/>
      <w:szCs w:val="21"/>
      <w:lang w:val="en-GB"/>
    </w:rPr>
  </w:style>
  <w:style w:type="paragraph" w:customStyle="1" w:styleId="Sub1nounderline">
    <w:name w:val="Sub 1 no underline"/>
    <w:basedOn w:val="Normal"/>
    <w:link w:val="Sub1nounderlineChar"/>
    <w:qFormat/>
    <w:rsid w:val="005A5905"/>
    <w:pPr>
      <w:widowControl w:val="0"/>
      <w:suppressAutoHyphens/>
      <w:autoSpaceDE w:val="0"/>
      <w:autoSpaceDN w:val="0"/>
      <w:adjustRightInd w:val="0"/>
      <w:spacing w:before="240" w:after="60" w:line="260" w:lineRule="atLeast"/>
      <w:textAlignment w:val="center"/>
    </w:pPr>
    <w:rPr>
      <w:rFonts w:asciiTheme="majorHAnsi" w:eastAsiaTheme="minorEastAsia" w:hAnsiTheme="majorHAnsi" w:cs="Gotham-Book"/>
      <w:b/>
      <w:spacing w:val="-4"/>
      <w:sz w:val="24"/>
      <w:szCs w:val="24"/>
      <w:lang w:val="en-GB"/>
    </w:rPr>
  </w:style>
  <w:style w:type="paragraph" w:customStyle="1" w:styleId="Tablecolumnheader">
    <w:name w:val="Table column header"/>
    <w:basedOn w:val="Sub1"/>
    <w:qFormat/>
    <w:rsid w:val="005A5905"/>
    <w:pPr>
      <w:spacing w:before="100" w:beforeAutospacing="1"/>
    </w:pPr>
  </w:style>
  <w:style w:type="paragraph" w:customStyle="1" w:styleId="Programtitle">
    <w:name w:val="Program title"/>
    <w:basedOn w:val="Header"/>
    <w:next w:val="NoParagraphStyle"/>
    <w:qFormat/>
    <w:rsid w:val="005A5905"/>
    <w:pPr>
      <w:tabs>
        <w:tab w:val="clear" w:pos="4513"/>
        <w:tab w:val="clear" w:pos="9026"/>
        <w:tab w:val="center" w:pos="4320"/>
        <w:tab w:val="right" w:pos="8640"/>
      </w:tabs>
      <w:spacing w:after="180"/>
    </w:pPr>
    <w:rPr>
      <w:rFonts w:eastAsiaTheme="minorEastAsia" w:cs="Arial"/>
      <w:caps/>
      <w:color w:val="FFFFFF" w:themeColor="background1"/>
      <w:sz w:val="26"/>
      <w:szCs w:val="26"/>
      <w:lang w:val="en-GB"/>
    </w:rPr>
  </w:style>
  <w:style w:type="paragraph" w:customStyle="1" w:styleId="Featuretext">
    <w:name w:val="Feature text"/>
    <w:basedOn w:val="Normal"/>
    <w:qFormat/>
    <w:rsid w:val="005A5905"/>
    <w:pPr>
      <w:widowControl w:val="0"/>
      <w:tabs>
        <w:tab w:val="left" w:pos="510"/>
        <w:tab w:val="left" w:pos="680"/>
      </w:tabs>
      <w:suppressAutoHyphens/>
      <w:autoSpaceDE w:val="0"/>
      <w:autoSpaceDN w:val="0"/>
      <w:adjustRightInd w:val="0"/>
      <w:spacing w:before="57" w:line="240" w:lineRule="atLeast"/>
      <w:textAlignment w:val="center"/>
    </w:pPr>
    <w:rPr>
      <w:rFonts w:eastAsiaTheme="minorEastAsia" w:cs="VIC-Regular"/>
      <w:color w:val="00455B"/>
      <w:spacing w:val="4"/>
      <w:sz w:val="18"/>
      <w:lang w:val="en-GB"/>
    </w:rPr>
  </w:style>
  <w:style w:type="paragraph" w:customStyle="1" w:styleId="Followerdocumenttitle">
    <w:name w:val="Follower document title"/>
    <w:basedOn w:val="Normal"/>
    <w:qFormat/>
    <w:rsid w:val="005A5905"/>
    <w:pPr>
      <w:keepNext/>
      <w:keepLines/>
      <w:spacing w:after="120"/>
      <w:outlineLvl w:val="0"/>
    </w:pPr>
    <w:rPr>
      <w:rFonts w:eastAsiaTheme="majorEastAsia" w:cs="Arial"/>
      <w:b/>
      <w:bCs/>
      <w:caps/>
      <w:color w:val="00455B"/>
      <w:sz w:val="22"/>
      <w:szCs w:val="32"/>
      <w:lang w:val="en-US"/>
    </w:rPr>
  </w:style>
  <w:style w:type="character" w:customStyle="1" w:styleId="Teal">
    <w:name w:val="Teal"/>
    <w:uiPriority w:val="1"/>
    <w:qFormat/>
    <w:rsid w:val="005A5905"/>
    <w:rPr>
      <w:color w:val="009096"/>
    </w:rPr>
  </w:style>
  <w:style w:type="paragraph" w:customStyle="1" w:styleId="Subtitle03">
    <w:name w:val="Subtitle 03"/>
    <w:basedOn w:val="NoParagraphStyle"/>
    <w:autoRedefine/>
    <w:qFormat/>
    <w:rsid w:val="005A5905"/>
    <w:pPr>
      <w:spacing w:before="80" w:line="240" w:lineRule="exact"/>
    </w:pPr>
    <w:rPr>
      <w:rFonts w:ascii="Arial" w:hAnsi="Arial" w:cs="Arial"/>
      <w:b w:val="0"/>
      <w:color w:val="000000"/>
      <w:sz w:val="19"/>
      <w:szCs w:val="19"/>
    </w:rPr>
  </w:style>
  <w:style w:type="character" w:customStyle="1" w:styleId="Italic">
    <w:name w:val="Italic"/>
    <w:basedOn w:val="DefaultParagraphFont"/>
    <w:uiPriority w:val="1"/>
    <w:qFormat/>
    <w:rsid w:val="005A5905"/>
    <w:rPr>
      <w:i/>
    </w:rPr>
  </w:style>
  <w:style w:type="paragraph" w:customStyle="1" w:styleId="DocumentTitle1">
    <w:name w:val="Document Title 1"/>
    <w:basedOn w:val="NoParagraphStyle"/>
    <w:uiPriority w:val="99"/>
    <w:rsid w:val="005A5905"/>
    <w:pPr>
      <w:suppressAutoHyphens/>
      <w:spacing w:after="181" w:line="1240" w:lineRule="atLeast"/>
    </w:pPr>
    <w:rPr>
      <w:rFonts w:ascii="Arial" w:hAnsi="Arial" w:cs="Arial"/>
      <w:caps w:val="0"/>
      <w:color w:val="auto"/>
      <w:spacing w:val="-10"/>
      <w:sz w:val="48"/>
      <w:szCs w:val="48"/>
    </w:rPr>
  </w:style>
  <w:style w:type="paragraph" w:customStyle="1" w:styleId="DocumentTitle3">
    <w:name w:val="Document Title 3"/>
    <w:basedOn w:val="NoParagraphStyle"/>
    <w:uiPriority w:val="99"/>
    <w:rsid w:val="005A5905"/>
    <w:pPr>
      <w:suppressAutoHyphens/>
      <w:spacing w:after="80" w:line="640" w:lineRule="atLeast"/>
    </w:pPr>
    <w:rPr>
      <w:rFonts w:ascii="ArialMT" w:hAnsi="ArialMT" w:cs="ArialMT"/>
      <w:b w:val="0"/>
      <w:bCs w:val="0"/>
      <w:color w:val="000000"/>
      <w:spacing w:val="2"/>
    </w:rPr>
  </w:style>
  <w:style w:type="paragraph" w:customStyle="1" w:styleId="H0ChapterTitle">
    <w:name w:val="H0 Chapter Title"/>
    <w:basedOn w:val="NoParagraphStyle"/>
    <w:uiPriority w:val="99"/>
    <w:rsid w:val="005A5905"/>
    <w:pPr>
      <w:suppressAutoHyphens/>
      <w:spacing w:after="850" w:line="480" w:lineRule="atLeast"/>
    </w:pPr>
    <w:rPr>
      <w:rFonts w:ascii="Arial-Black" w:hAnsi="Arial-Black" w:cs="Arial-Black"/>
      <w:b w:val="0"/>
      <w:bCs w:val="0"/>
      <w:caps w:val="0"/>
      <w:color w:val="000000"/>
      <w:sz w:val="36"/>
      <w:szCs w:val="36"/>
    </w:rPr>
  </w:style>
  <w:style w:type="paragraph" w:customStyle="1" w:styleId="Bodycopy">
    <w:name w:val="Body copy"/>
    <w:basedOn w:val="NoParagraphStyle"/>
    <w:uiPriority w:val="99"/>
    <w:rsid w:val="005A5905"/>
    <w:pPr>
      <w:suppressAutoHyphens/>
      <w:spacing w:before="142" w:line="290" w:lineRule="atLeast"/>
    </w:pPr>
    <w:rPr>
      <w:rFonts w:ascii="ArialMT" w:hAnsi="ArialMT" w:cs="ArialMT"/>
      <w:b w:val="0"/>
      <w:bCs w:val="0"/>
      <w:caps w:val="0"/>
      <w:color w:val="000000"/>
      <w:sz w:val="20"/>
      <w:szCs w:val="20"/>
    </w:rPr>
  </w:style>
  <w:style w:type="paragraph" w:customStyle="1" w:styleId="H1Bodycopyheader">
    <w:name w:val="H1 Body copy header"/>
    <w:basedOn w:val="NoParagraphStyle"/>
    <w:uiPriority w:val="99"/>
    <w:rsid w:val="005A5905"/>
    <w:pPr>
      <w:keepNext/>
      <w:keepLines/>
      <w:suppressAutoHyphens/>
      <w:spacing w:before="340"/>
      <w:ind w:left="567" w:hanging="567"/>
    </w:pPr>
    <w:rPr>
      <w:rFonts w:ascii="ArialMT" w:hAnsi="ArialMT" w:cs="ArialMT"/>
      <w:b w:val="0"/>
      <w:bCs w:val="0"/>
      <w:caps w:val="0"/>
      <w:color w:val="314753"/>
      <w:sz w:val="26"/>
      <w:szCs w:val="26"/>
    </w:rPr>
  </w:style>
  <w:style w:type="paragraph" w:customStyle="1" w:styleId="TableTITLETABLES">
    <w:name w:val="Table TITLE (TABLES)"/>
    <w:basedOn w:val="NoParagraphStyle"/>
    <w:uiPriority w:val="99"/>
    <w:rsid w:val="005A5905"/>
    <w:pPr>
      <w:keepNext/>
      <w:suppressAutoHyphens/>
      <w:spacing w:before="397"/>
    </w:pPr>
    <w:rPr>
      <w:rFonts w:ascii="ArialMT" w:hAnsi="ArialMT" w:cs="ArialMT"/>
      <w:b w:val="0"/>
      <w:bCs w:val="0"/>
      <w:caps w:val="0"/>
      <w:color w:val="314753"/>
      <w:sz w:val="20"/>
      <w:szCs w:val="20"/>
    </w:rPr>
  </w:style>
  <w:style w:type="paragraph" w:customStyle="1" w:styleId="TableSPACETABLES">
    <w:name w:val="Table SPACE (TABLES)"/>
    <w:basedOn w:val="NoParagraphStyle"/>
    <w:uiPriority w:val="99"/>
    <w:rsid w:val="005A5905"/>
    <w:pPr>
      <w:suppressAutoHyphens/>
      <w:spacing w:before="113" w:after="227"/>
    </w:pPr>
    <w:rPr>
      <w:rFonts w:ascii="Arial-BoldMT" w:hAnsi="Arial-BoldMT" w:cs="Arial-BoldMT"/>
      <w:caps w:val="0"/>
      <w:color w:val="000000"/>
      <w:sz w:val="18"/>
      <w:szCs w:val="18"/>
      <w:lang w:val="en-US"/>
    </w:rPr>
  </w:style>
  <w:style w:type="paragraph" w:customStyle="1" w:styleId="FigTITLE">
    <w:name w:val="Fig TITLE"/>
    <w:basedOn w:val="TableTITLETABLES"/>
    <w:uiPriority w:val="99"/>
    <w:rsid w:val="005A5905"/>
    <w:pPr>
      <w:spacing w:after="57"/>
    </w:pPr>
  </w:style>
  <w:style w:type="paragraph" w:customStyle="1" w:styleId="FigSPACE">
    <w:name w:val="Fig SPACE"/>
    <w:basedOn w:val="NoParagraphStyle"/>
    <w:uiPriority w:val="99"/>
    <w:rsid w:val="005A5905"/>
    <w:pPr>
      <w:suppressAutoHyphens/>
      <w:spacing w:before="170" w:after="227"/>
    </w:pPr>
    <w:rPr>
      <w:rFonts w:ascii="Arial-BoldMT" w:hAnsi="Arial-BoldMT" w:cs="Arial-BoldMT"/>
      <w:caps w:val="0"/>
      <w:color w:val="000000"/>
      <w:sz w:val="18"/>
      <w:szCs w:val="18"/>
      <w:lang w:val="en-US"/>
    </w:rPr>
  </w:style>
  <w:style w:type="paragraph" w:customStyle="1" w:styleId="TableTextTABLES">
    <w:name w:val="Table Text (TABLES)"/>
    <w:basedOn w:val="NoParagraphStyle"/>
    <w:uiPriority w:val="99"/>
    <w:rsid w:val="005A5905"/>
    <w:pPr>
      <w:suppressAutoHyphens/>
      <w:spacing w:before="85"/>
    </w:pPr>
    <w:rPr>
      <w:rFonts w:ascii="ArialMT" w:hAnsi="ArialMT" w:cs="ArialMT"/>
      <w:b w:val="0"/>
      <w:bCs w:val="0"/>
      <w:caps w:val="0"/>
      <w:color w:val="000000"/>
      <w:sz w:val="17"/>
      <w:szCs w:val="17"/>
    </w:rPr>
  </w:style>
  <w:style w:type="paragraph" w:customStyle="1" w:styleId="TablecolumnheadTABLES">
    <w:name w:val="Table column head (TABLES)"/>
    <w:basedOn w:val="TableTextTABLES"/>
    <w:uiPriority w:val="99"/>
    <w:rsid w:val="005A5905"/>
    <w:pPr>
      <w:spacing w:before="0" w:line="240" w:lineRule="auto"/>
    </w:pPr>
    <w:rPr>
      <w:rFonts w:ascii="Arial Black" w:hAnsi="Arial Black" w:cs="Arial-BoldMT"/>
      <w:bCs/>
    </w:rPr>
  </w:style>
  <w:style w:type="paragraph" w:customStyle="1" w:styleId="Footnote">
    <w:name w:val="Footnote"/>
    <w:basedOn w:val="NoParagraphStyle"/>
    <w:uiPriority w:val="99"/>
    <w:rsid w:val="005A5905"/>
    <w:pPr>
      <w:tabs>
        <w:tab w:val="left" w:pos="170"/>
      </w:tabs>
      <w:suppressAutoHyphens/>
      <w:spacing w:before="28"/>
    </w:pPr>
    <w:rPr>
      <w:rFonts w:ascii="ArialMT" w:hAnsi="ArialMT" w:cs="ArialMT"/>
      <w:b w:val="0"/>
      <w:bCs w:val="0"/>
      <w:caps w:val="0"/>
      <w:color w:val="000000"/>
      <w:sz w:val="16"/>
      <w:szCs w:val="16"/>
    </w:rPr>
  </w:style>
  <w:style w:type="character" w:customStyle="1" w:styleId="Kitalic">
    <w:name w:val="K italic"/>
    <w:uiPriority w:val="99"/>
    <w:rsid w:val="005A5905"/>
  </w:style>
  <w:style w:type="paragraph" w:customStyle="1" w:styleId="TabletotalTABLES">
    <w:name w:val="Table total (TABLES)"/>
    <w:basedOn w:val="TableTextTABLES"/>
    <w:uiPriority w:val="99"/>
    <w:rsid w:val="005A5905"/>
    <w:rPr>
      <w:rFonts w:ascii="Arial-BoldMT" w:hAnsi="Arial-BoldMT" w:cs="Arial-BoldMT"/>
      <w:b/>
      <w:bCs/>
    </w:rPr>
  </w:style>
  <w:style w:type="paragraph" w:customStyle="1" w:styleId="TablefooterTABLES">
    <w:name w:val="Table footer (TABLES)"/>
    <w:basedOn w:val="TableTextTABLES"/>
    <w:uiPriority w:val="99"/>
    <w:rsid w:val="005A5905"/>
    <w:pPr>
      <w:tabs>
        <w:tab w:val="left" w:pos="227"/>
      </w:tabs>
      <w:spacing w:before="28"/>
    </w:pPr>
    <w:rPr>
      <w:sz w:val="14"/>
      <w:szCs w:val="14"/>
    </w:rPr>
  </w:style>
  <w:style w:type="paragraph" w:customStyle="1" w:styleId="Tablecolumnhead2TABLES">
    <w:name w:val="Table column head 2 (TABLES)"/>
    <w:basedOn w:val="TablecolumnheadTABLES"/>
    <w:uiPriority w:val="99"/>
    <w:rsid w:val="005A5905"/>
  </w:style>
  <w:style w:type="character" w:customStyle="1" w:styleId="AtleticoMED">
    <w:name w:val="Atletico MED"/>
    <w:uiPriority w:val="99"/>
    <w:rsid w:val="005A5905"/>
  </w:style>
  <w:style w:type="paragraph" w:customStyle="1" w:styleId="ListingsContents">
    <w:name w:val="Listings (Contents)"/>
    <w:basedOn w:val="NoParagraphStyle"/>
    <w:uiPriority w:val="99"/>
    <w:rsid w:val="005A5905"/>
    <w:pPr>
      <w:tabs>
        <w:tab w:val="left" w:pos="283"/>
        <w:tab w:val="left" w:pos="2268"/>
        <w:tab w:val="right" w:pos="7370"/>
      </w:tabs>
      <w:suppressAutoHyphens/>
      <w:spacing w:after="113"/>
    </w:pPr>
    <w:rPr>
      <w:rFonts w:ascii="ArialMT" w:hAnsi="ArialMT" w:cs="ArialMT"/>
      <w:b w:val="0"/>
      <w:bCs w:val="0"/>
      <w:caps w:val="0"/>
      <w:color w:val="000000"/>
      <w:spacing w:val="-1"/>
      <w:sz w:val="20"/>
      <w:szCs w:val="20"/>
    </w:rPr>
  </w:style>
  <w:style w:type="character" w:customStyle="1" w:styleId="KlavikaMED">
    <w:name w:val="Klavika MED"/>
    <w:uiPriority w:val="99"/>
    <w:rsid w:val="005A5905"/>
  </w:style>
  <w:style w:type="paragraph" w:customStyle="1" w:styleId="Bullettier1">
    <w:name w:val="Bullet tier 1"/>
    <w:basedOn w:val="Bodycopy"/>
    <w:uiPriority w:val="99"/>
    <w:rsid w:val="005A5905"/>
    <w:pPr>
      <w:spacing w:before="71"/>
      <w:ind w:left="227" w:hanging="227"/>
    </w:pPr>
  </w:style>
  <w:style w:type="character" w:customStyle="1" w:styleId="Superscript">
    <w:name w:val="Superscript"/>
    <w:uiPriority w:val="99"/>
    <w:rsid w:val="005A5905"/>
    <w:rPr>
      <w:vertAlign w:val="superscript"/>
    </w:rPr>
  </w:style>
  <w:style w:type="paragraph" w:customStyle="1" w:styleId="TableBULLETTABLES">
    <w:name w:val="Table BULLET (TABLES)"/>
    <w:basedOn w:val="TableTextTABLES"/>
    <w:uiPriority w:val="99"/>
    <w:rsid w:val="005A5905"/>
    <w:pPr>
      <w:tabs>
        <w:tab w:val="left" w:pos="170"/>
      </w:tabs>
      <w:spacing w:before="57"/>
      <w:ind w:left="170" w:hanging="170"/>
    </w:pPr>
  </w:style>
  <w:style w:type="character" w:customStyle="1" w:styleId="Aunderline">
    <w:name w:val="A underline"/>
    <w:uiPriority w:val="99"/>
    <w:rsid w:val="005A5905"/>
    <w:rPr>
      <w:u w:val="thick"/>
    </w:rPr>
  </w:style>
  <w:style w:type="character" w:customStyle="1" w:styleId="Aitalic">
    <w:name w:val="A italic"/>
    <w:uiPriority w:val="99"/>
    <w:rsid w:val="005A5905"/>
  </w:style>
  <w:style w:type="paragraph" w:customStyle="1" w:styleId="TableTEXTAPPXTABLES">
    <w:name w:val="Table TEXT APPX (TABLES)"/>
    <w:basedOn w:val="TableTextTABLES"/>
    <w:uiPriority w:val="99"/>
    <w:rsid w:val="005A5905"/>
    <w:pPr>
      <w:tabs>
        <w:tab w:val="left" w:pos="283"/>
      </w:tabs>
      <w:spacing w:before="43"/>
    </w:pPr>
  </w:style>
  <w:style w:type="paragraph" w:customStyle="1" w:styleId="Footerrunning">
    <w:name w:val="Footer (running)"/>
    <w:basedOn w:val="NoParagraphStyle"/>
    <w:uiPriority w:val="99"/>
    <w:rsid w:val="005A5905"/>
    <w:pPr>
      <w:suppressAutoHyphens/>
      <w:spacing w:after="80"/>
    </w:pPr>
    <w:rPr>
      <w:rFonts w:ascii="ArialMT" w:hAnsi="ArialMT" w:cs="ArialMT"/>
      <w:b w:val="0"/>
      <w:bCs w:val="0"/>
      <w:caps w:val="0"/>
      <w:color w:val="000000"/>
      <w:spacing w:val="1"/>
      <w:sz w:val="18"/>
      <w:szCs w:val="18"/>
    </w:rPr>
  </w:style>
  <w:style w:type="paragraph" w:customStyle="1" w:styleId="Tabletitle">
    <w:name w:val="Table title"/>
    <w:basedOn w:val="Normal"/>
    <w:qFormat/>
    <w:rsid w:val="005A5905"/>
    <w:pPr>
      <w:keepNext/>
      <w:widowControl w:val="0"/>
      <w:suppressAutoHyphens/>
      <w:autoSpaceDE w:val="0"/>
      <w:autoSpaceDN w:val="0"/>
      <w:adjustRightInd w:val="0"/>
      <w:spacing w:before="240" w:after="120"/>
      <w:textAlignment w:val="center"/>
    </w:pPr>
    <w:rPr>
      <w:rFonts w:ascii="ArialMT" w:eastAsiaTheme="minorEastAsia" w:hAnsi="ArialMT" w:cs="ArialMT"/>
      <w:b/>
      <w:szCs w:val="20"/>
      <w:lang w:val="en-GB"/>
    </w:rPr>
  </w:style>
  <w:style w:type="character" w:customStyle="1" w:styleId="KlavikaREGDKorange">
    <w:name w:val="Klavika REG DK orange"/>
    <w:uiPriority w:val="99"/>
    <w:rsid w:val="005A5905"/>
    <w:rPr>
      <w:color w:val="000000"/>
    </w:rPr>
  </w:style>
  <w:style w:type="character" w:customStyle="1" w:styleId="TabletextBOLD">
    <w:name w:val="Table text BOLD"/>
    <w:basedOn w:val="DefaultParagraphFont"/>
    <w:uiPriority w:val="1"/>
    <w:qFormat/>
    <w:rsid w:val="005A5905"/>
    <w:rPr>
      <w:rFonts w:ascii="Arial" w:hAnsi="Arial" w:cs="Arial-BoldMT"/>
      <w:b/>
      <w:bCs/>
      <w:i w:val="0"/>
      <w:color w:val="000000"/>
      <w:sz w:val="17"/>
      <w:szCs w:val="17"/>
      <w:lang w:val="en-GB"/>
    </w:rPr>
  </w:style>
  <w:style w:type="paragraph" w:customStyle="1" w:styleId="DocumentTitle2">
    <w:name w:val="Document Title 2"/>
    <w:basedOn w:val="Normal"/>
    <w:qFormat/>
    <w:rsid w:val="005A5905"/>
    <w:rPr>
      <w:rFonts w:ascii="ArialMT" w:eastAsiaTheme="minorEastAsia" w:hAnsi="ArialMT" w:cs="ArialMT"/>
      <w:bCs/>
      <w:color w:val="000000"/>
      <w:sz w:val="48"/>
      <w:szCs w:val="48"/>
      <w:lang w:val="en-US"/>
    </w:rPr>
  </w:style>
  <w:style w:type="paragraph" w:styleId="BalloonText">
    <w:name w:val="Balloon Text"/>
    <w:basedOn w:val="Normal"/>
    <w:link w:val="BalloonTextChar"/>
    <w:uiPriority w:val="99"/>
    <w:semiHidden/>
    <w:unhideWhenUsed/>
    <w:rsid w:val="005A5905"/>
    <w:rPr>
      <w:rFonts w:ascii="Lucida Grande" w:eastAsiaTheme="minorEastAsia" w:hAnsi="Lucida Grande" w:cs="Lucida Grande"/>
      <w:sz w:val="18"/>
      <w:lang w:val="en-US"/>
    </w:rPr>
  </w:style>
  <w:style w:type="character" w:customStyle="1" w:styleId="BalloonTextChar">
    <w:name w:val="Balloon Text Char"/>
    <w:basedOn w:val="DefaultParagraphFont"/>
    <w:link w:val="BalloonText"/>
    <w:uiPriority w:val="99"/>
    <w:semiHidden/>
    <w:rsid w:val="005A5905"/>
    <w:rPr>
      <w:rFonts w:ascii="Lucida Grande" w:hAnsi="Lucida Grande" w:cs="Lucida Grande"/>
      <w:sz w:val="18"/>
      <w:szCs w:val="18"/>
      <w:lang w:val="en-US"/>
    </w:rPr>
  </w:style>
  <w:style w:type="paragraph" w:styleId="TOC4">
    <w:name w:val="toc 4"/>
    <w:basedOn w:val="Normal"/>
    <w:next w:val="Normal"/>
    <w:autoRedefine/>
    <w:uiPriority w:val="39"/>
    <w:unhideWhenUsed/>
    <w:rsid w:val="005A5905"/>
    <w:pPr>
      <w:pBdr>
        <w:between w:val="double" w:sz="6" w:space="0" w:color="auto"/>
      </w:pBdr>
      <w:ind w:left="480"/>
    </w:pPr>
    <w:rPr>
      <w:rFonts w:eastAsiaTheme="minorEastAsia"/>
      <w:szCs w:val="20"/>
      <w:lang w:val="en-US"/>
    </w:rPr>
  </w:style>
  <w:style w:type="paragraph" w:styleId="TOC5">
    <w:name w:val="toc 5"/>
    <w:basedOn w:val="Normal"/>
    <w:next w:val="Normal"/>
    <w:autoRedefine/>
    <w:uiPriority w:val="39"/>
    <w:unhideWhenUsed/>
    <w:rsid w:val="005A5905"/>
    <w:pPr>
      <w:pBdr>
        <w:between w:val="double" w:sz="6" w:space="0" w:color="auto"/>
      </w:pBdr>
      <w:ind w:left="720"/>
    </w:pPr>
    <w:rPr>
      <w:rFonts w:eastAsiaTheme="minorEastAsia"/>
      <w:szCs w:val="20"/>
      <w:lang w:val="en-US"/>
    </w:rPr>
  </w:style>
  <w:style w:type="paragraph" w:styleId="TOC6">
    <w:name w:val="toc 6"/>
    <w:basedOn w:val="Normal"/>
    <w:next w:val="Normal"/>
    <w:autoRedefine/>
    <w:uiPriority w:val="39"/>
    <w:unhideWhenUsed/>
    <w:rsid w:val="005A5905"/>
    <w:pPr>
      <w:pBdr>
        <w:between w:val="double" w:sz="6" w:space="0" w:color="auto"/>
      </w:pBdr>
      <w:ind w:left="960"/>
    </w:pPr>
    <w:rPr>
      <w:rFonts w:eastAsiaTheme="minorEastAsia"/>
      <w:szCs w:val="20"/>
      <w:lang w:val="en-US"/>
    </w:rPr>
  </w:style>
  <w:style w:type="paragraph" w:styleId="TOC7">
    <w:name w:val="toc 7"/>
    <w:basedOn w:val="Normal"/>
    <w:next w:val="Normal"/>
    <w:autoRedefine/>
    <w:uiPriority w:val="39"/>
    <w:unhideWhenUsed/>
    <w:rsid w:val="005A5905"/>
    <w:pPr>
      <w:pBdr>
        <w:between w:val="double" w:sz="6" w:space="0" w:color="auto"/>
      </w:pBdr>
      <w:ind w:left="1200"/>
    </w:pPr>
    <w:rPr>
      <w:rFonts w:eastAsiaTheme="minorEastAsia"/>
      <w:szCs w:val="20"/>
      <w:lang w:val="en-US"/>
    </w:rPr>
  </w:style>
  <w:style w:type="paragraph" w:styleId="TOC8">
    <w:name w:val="toc 8"/>
    <w:basedOn w:val="Normal"/>
    <w:next w:val="Normal"/>
    <w:autoRedefine/>
    <w:uiPriority w:val="39"/>
    <w:unhideWhenUsed/>
    <w:rsid w:val="005A5905"/>
    <w:pPr>
      <w:pBdr>
        <w:between w:val="double" w:sz="6" w:space="0" w:color="auto"/>
      </w:pBdr>
      <w:ind w:left="1440"/>
    </w:pPr>
    <w:rPr>
      <w:rFonts w:eastAsiaTheme="minorEastAsia"/>
      <w:szCs w:val="20"/>
      <w:lang w:val="en-US"/>
    </w:rPr>
  </w:style>
  <w:style w:type="paragraph" w:styleId="TOC9">
    <w:name w:val="toc 9"/>
    <w:basedOn w:val="Normal"/>
    <w:next w:val="Normal"/>
    <w:autoRedefine/>
    <w:uiPriority w:val="39"/>
    <w:unhideWhenUsed/>
    <w:rsid w:val="005A5905"/>
    <w:pPr>
      <w:pBdr>
        <w:between w:val="double" w:sz="6" w:space="0" w:color="auto"/>
      </w:pBdr>
      <w:ind w:left="1680"/>
    </w:pPr>
    <w:rPr>
      <w:rFonts w:eastAsiaTheme="minorEastAsia"/>
      <w:szCs w:val="20"/>
      <w:lang w:val="en-US"/>
    </w:rPr>
  </w:style>
  <w:style w:type="character" w:customStyle="1" w:styleId="Mention1">
    <w:name w:val="Mention1"/>
    <w:basedOn w:val="DefaultParagraphFont"/>
    <w:uiPriority w:val="99"/>
    <w:semiHidden/>
    <w:unhideWhenUsed/>
    <w:rsid w:val="005A5905"/>
    <w:rPr>
      <w:color w:val="2B579A"/>
      <w:shd w:val="clear" w:color="auto" w:fill="E6E6E6"/>
    </w:rPr>
  </w:style>
  <w:style w:type="character" w:styleId="FollowedHyperlink">
    <w:name w:val="FollowedHyperlink"/>
    <w:basedOn w:val="DefaultParagraphFont"/>
    <w:uiPriority w:val="99"/>
    <w:semiHidden/>
    <w:unhideWhenUsed/>
    <w:rsid w:val="005A5905"/>
    <w:rPr>
      <w:color w:val="4B7CCA" w:themeColor="followedHyperlink"/>
      <w:u w:val="single"/>
    </w:rPr>
  </w:style>
  <w:style w:type="paragraph" w:customStyle="1" w:styleId="p1">
    <w:name w:val="p1"/>
    <w:basedOn w:val="Normal"/>
    <w:rsid w:val="005A5905"/>
    <w:pPr>
      <w:spacing w:before="107" w:line="218" w:lineRule="atLeast"/>
    </w:pPr>
    <w:rPr>
      <w:rFonts w:ascii="Klavika Regular" w:hAnsi="Klavika Regular" w:cs="Times New Roman"/>
      <w:sz w:val="15"/>
      <w:szCs w:val="15"/>
      <w:lang w:val="en-GB" w:eastAsia="en-GB"/>
    </w:rPr>
  </w:style>
  <w:style w:type="paragraph" w:customStyle="1" w:styleId="p2">
    <w:name w:val="p2"/>
    <w:basedOn w:val="Normal"/>
    <w:rsid w:val="005A5905"/>
    <w:pPr>
      <w:spacing w:before="255"/>
    </w:pPr>
    <w:rPr>
      <w:rFonts w:ascii="Klavika Regular" w:hAnsi="Klavika Regular" w:cs="Times New Roman"/>
      <w:color w:val="3F5966"/>
      <w:szCs w:val="20"/>
      <w:lang w:val="en-GB" w:eastAsia="en-GB"/>
    </w:rPr>
  </w:style>
  <w:style w:type="paragraph" w:customStyle="1" w:styleId="p3">
    <w:name w:val="p3"/>
    <w:basedOn w:val="Normal"/>
    <w:rsid w:val="005A5905"/>
    <w:pPr>
      <w:spacing w:before="299"/>
    </w:pPr>
    <w:rPr>
      <w:rFonts w:ascii="Atletico" w:hAnsi="Atletico" w:cs="Times New Roman"/>
      <w:color w:val="3F5966"/>
      <w:sz w:val="15"/>
      <w:szCs w:val="15"/>
      <w:lang w:val="en-GB" w:eastAsia="en-GB"/>
    </w:rPr>
  </w:style>
  <w:style w:type="paragraph" w:customStyle="1" w:styleId="p4">
    <w:name w:val="p4"/>
    <w:basedOn w:val="Normal"/>
    <w:rsid w:val="005A5905"/>
    <w:rPr>
      <w:rFonts w:ascii="Klavika Regular" w:hAnsi="Klavika Regular" w:cs="Times New Roman"/>
      <w:sz w:val="18"/>
      <w:lang w:val="en-GB" w:eastAsia="en-GB"/>
    </w:rPr>
  </w:style>
  <w:style w:type="paragraph" w:customStyle="1" w:styleId="p5">
    <w:name w:val="p5"/>
    <w:basedOn w:val="Normal"/>
    <w:rsid w:val="005A5905"/>
    <w:pPr>
      <w:spacing w:before="63"/>
      <w:jc w:val="center"/>
    </w:pPr>
    <w:rPr>
      <w:rFonts w:ascii="Atletico" w:hAnsi="Atletico" w:cs="Times New Roman"/>
      <w:sz w:val="13"/>
      <w:szCs w:val="13"/>
      <w:lang w:val="en-GB" w:eastAsia="en-GB"/>
    </w:rPr>
  </w:style>
  <w:style w:type="paragraph" w:customStyle="1" w:styleId="p6">
    <w:name w:val="p6"/>
    <w:basedOn w:val="Normal"/>
    <w:rsid w:val="005A5905"/>
    <w:pPr>
      <w:spacing w:before="63"/>
    </w:pPr>
    <w:rPr>
      <w:rFonts w:ascii="Atletico" w:hAnsi="Atletico" w:cs="Times New Roman"/>
      <w:sz w:val="13"/>
      <w:szCs w:val="13"/>
      <w:lang w:val="en-GB" w:eastAsia="en-GB"/>
    </w:rPr>
  </w:style>
  <w:style w:type="paragraph" w:customStyle="1" w:styleId="p7">
    <w:name w:val="p7"/>
    <w:basedOn w:val="Normal"/>
    <w:rsid w:val="005A5905"/>
    <w:pPr>
      <w:spacing w:before="86" w:after="170"/>
    </w:pPr>
    <w:rPr>
      <w:rFonts w:ascii="Atletico" w:hAnsi="Atletico" w:cs="Times New Roman"/>
      <w:sz w:val="15"/>
      <w:szCs w:val="15"/>
      <w:lang w:val="en-GB" w:eastAsia="en-GB"/>
    </w:rPr>
  </w:style>
  <w:style w:type="paragraph" w:customStyle="1" w:styleId="p8">
    <w:name w:val="p8"/>
    <w:basedOn w:val="Normal"/>
    <w:rsid w:val="005A5905"/>
    <w:pPr>
      <w:spacing w:before="107" w:line="218" w:lineRule="atLeast"/>
    </w:pPr>
    <w:rPr>
      <w:rFonts w:ascii="Klavika Regular" w:hAnsi="Klavika Regular" w:cs="Times New Roman"/>
      <w:sz w:val="15"/>
      <w:szCs w:val="15"/>
      <w:lang w:val="en-GB" w:eastAsia="en-GB"/>
    </w:rPr>
  </w:style>
  <w:style w:type="paragraph" w:customStyle="1" w:styleId="p9">
    <w:name w:val="p9"/>
    <w:basedOn w:val="Normal"/>
    <w:rsid w:val="005A5905"/>
    <w:pPr>
      <w:spacing w:before="299" w:after="44"/>
    </w:pPr>
    <w:rPr>
      <w:rFonts w:ascii="Atletico" w:hAnsi="Atletico" w:cs="Times New Roman"/>
      <w:color w:val="3F5966"/>
      <w:sz w:val="15"/>
      <w:szCs w:val="15"/>
      <w:lang w:val="en-GB" w:eastAsia="en-GB"/>
    </w:rPr>
  </w:style>
  <w:style w:type="paragraph" w:customStyle="1" w:styleId="p10">
    <w:name w:val="p10"/>
    <w:basedOn w:val="Normal"/>
    <w:rsid w:val="005A5905"/>
    <w:pPr>
      <w:spacing w:before="128" w:after="170"/>
    </w:pPr>
    <w:rPr>
      <w:rFonts w:ascii="Atletico" w:hAnsi="Atletico" w:cs="Times New Roman"/>
      <w:sz w:val="14"/>
      <w:szCs w:val="14"/>
      <w:lang w:val="en-GB" w:eastAsia="en-GB"/>
    </w:rPr>
  </w:style>
  <w:style w:type="character" w:customStyle="1" w:styleId="s1">
    <w:name w:val="s1"/>
    <w:basedOn w:val="DefaultParagraphFont"/>
    <w:rsid w:val="005A5905"/>
    <w:rPr>
      <w:spacing w:val="-2"/>
    </w:rPr>
  </w:style>
  <w:style w:type="character" w:customStyle="1" w:styleId="apple-converted-space">
    <w:name w:val="apple-converted-space"/>
    <w:basedOn w:val="DefaultParagraphFont"/>
    <w:rsid w:val="005A5905"/>
  </w:style>
  <w:style w:type="character" w:customStyle="1" w:styleId="s2">
    <w:name w:val="s2"/>
    <w:basedOn w:val="DefaultParagraphFont"/>
    <w:rsid w:val="005A5905"/>
    <w:rPr>
      <w:spacing w:val="-3"/>
    </w:rPr>
  </w:style>
  <w:style w:type="character" w:customStyle="1" w:styleId="apple-tab-span">
    <w:name w:val="apple-tab-span"/>
    <w:basedOn w:val="DefaultParagraphFont"/>
    <w:rsid w:val="005A5905"/>
  </w:style>
  <w:style w:type="paragraph" w:customStyle="1" w:styleId="p11">
    <w:name w:val="p11"/>
    <w:basedOn w:val="Normal"/>
    <w:rsid w:val="005A5905"/>
    <w:pPr>
      <w:spacing w:before="299" w:after="44"/>
    </w:pPr>
    <w:rPr>
      <w:rFonts w:ascii="Atletico" w:hAnsi="Atletico" w:cs="Times New Roman"/>
      <w:color w:val="3F5966"/>
      <w:sz w:val="15"/>
      <w:szCs w:val="15"/>
      <w:lang w:val="en-GB" w:eastAsia="en-GB"/>
    </w:rPr>
  </w:style>
  <w:style w:type="paragraph" w:customStyle="1" w:styleId="p12">
    <w:name w:val="p12"/>
    <w:basedOn w:val="Normal"/>
    <w:rsid w:val="005A5905"/>
    <w:pPr>
      <w:spacing w:before="128" w:after="170"/>
    </w:pPr>
    <w:rPr>
      <w:rFonts w:ascii="Atletico" w:hAnsi="Atletico" w:cs="Times New Roman"/>
      <w:sz w:val="14"/>
      <w:szCs w:val="14"/>
      <w:lang w:val="en-GB" w:eastAsia="en-GB"/>
    </w:rPr>
  </w:style>
  <w:style w:type="paragraph" w:customStyle="1" w:styleId="p13">
    <w:name w:val="p13"/>
    <w:basedOn w:val="Normal"/>
    <w:rsid w:val="005A5905"/>
    <w:pPr>
      <w:spacing w:before="213" w:after="44"/>
    </w:pPr>
    <w:rPr>
      <w:rFonts w:ascii="Atletico" w:hAnsi="Atletico" w:cs="Times New Roman"/>
      <w:color w:val="3F5966"/>
      <w:sz w:val="15"/>
      <w:szCs w:val="15"/>
      <w:lang w:val="en-GB" w:eastAsia="en-GB"/>
    </w:rPr>
  </w:style>
  <w:style w:type="paragraph" w:customStyle="1" w:styleId="Tabletextcentred">
    <w:name w:val="Table text centred"/>
    <w:basedOn w:val="Tabletext"/>
    <w:autoRedefine/>
    <w:qFormat/>
    <w:rsid w:val="005A5905"/>
    <w:pPr>
      <w:tabs>
        <w:tab w:val="left" w:pos="170"/>
      </w:tabs>
      <w:spacing w:line="190" w:lineRule="exact"/>
      <w:jc w:val="center"/>
    </w:pPr>
    <w:rPr>
      <w:rFonts w:asciiTheme="minorHAnsi" w:eastAsiaTheme="minorHAnsi" w:hAnsiTheme="minorHAnsi" w:cs="Times New Roman"/>
      <w:color w:val="auto"/>
      <w:spacing w:val="0"/>
      <w:szCs w:val="20"/>
      <w:lang w:eastAsia="en-GB"/>
    </w:rPr>
  </w:style>
  <w:style w:type="paragraph" w:customStyle="1" w:styleId="Note">
    <w:name w:val="Note"/>
    <w:basedOn w:val="Normal"/>
    <w:qFormat/>
    <w:rsid w:val="005A5905"/>
    <w:pPr>
      <w:spacing w:before="60"/>
    </w:pPr>
    <w:rPr>
      <w:rFonts w:asciiTheme="minorHAnsi" w:hAnsiTheme="minorHAnsi" w:cs="Times New Roman"/>
      <w:sz w:val="15"/>
      <w:szCs w:val="15"/>
      <w:lang w:val="en-GB" w:eastAsia="en-GB"/>
    </w:rPr>
  </w:style>
  <w:style w:type="paragraph" w:customStyle="1" w:styleId="Figspace0">
    <w:name w:val="Fig space"/>
    <w:qFormat/>
    <w:rsid w:val="005A5905"/>
    <w:pPr>
      <w:spacing w:after="360" w:line="240" w:lineRule="auto"/>
    </w:pPr>
    <w:rPr>
      <w:rFonts w:eastAsiaTheme="minorHAnsi" w:cs="Times New Roman"/>
      <w:b/>
      <w:sz w:val="21"/>
      <w:szCs w:val="20"/>
      <w:lang w:val="en-GB" w:eastAsia="en-GB"/>
    </w:rPr>
  </w:style>
  <w:style w:type="paragraph" w:customStyle="1" w:styleId="Heading31">
    <w:name w:val="Heading 31"/>
    <w:basedOn w:val="Normal"/>
    <w:next w:val="Normal"/>
    <w:uiPriority w:val="9"/>
    <w:unhideWhenUsed/>
    <w:qFormat/>
    <w:rsid w:val="005A5905"/>
    <w:pPr>
      <w:keepNext/>
      <w:keepLines/>
      <w:spacing w:before="360"/>
      <w:outlineLvl w:val="2"/>
    </w:pPr>
    <w:rPr>
      <w:rFonts w:eastAsia="MS Gothic" w:cs="Times New Roman"/>
      <w:b/>
      <w:bCs/>
      <w:szCs w:val="24"/>
      <w:lang w:val="en-US"/>
    </w:rPr>
  </w:style>
  <w:style w:type="paragraph" w:customStyle="1" w:styleId="DocTitle-1">
    <w:name w:val="Doc Title - 1"/>
    <w:basedOn w:val="NoParagraphStyle"/>
    <w:uiPriority w:val="99"/>
    <w:rsid w:val="005A5905"/>
    <w:rPr>
      <w:rFonts w:eastAsia="MS Mincho"/>
      <w:color w:val="FFFFFF"/>
    </w:rPr>
  </w:style>
  <w:style w:type="paragraph" w:customStyle="1" w:styleId="DocTitle-3tier">
    <w:name w:val="Doc Title - 3 tier"/>
    <w:basedOn w:val="NoParagraphStyle"/>
    <w:uiPriority w:val="99"/>
    <w:rsid w:val="005A5905"/>
    <w:rPr>
      <w:rFonts w:eastAsia="MS Mincho"/>
      <w:color w:val="FFFFFF"/>
    </w:rPr>
  </w:style>
  <w:style w:type="paragraph" w:customStyle="1" w:styleId="TablecolumnheadCENTRETABLES">
    <w:name w:val="Table column head CENTRE (TABLES)"/>
    <w:basedOn w:val="TableTextTABLES"/>
    <w:uiPriority w:val="99"/>
    <w:rsid w:val="005A5905"/>
    <w:pPr>
      <w:suppressAutoHyphens w:val="0"/>
      <w:spacing w:before="0"/>
    </w:pPr>
    <w:rPr>
      <w:rFonts w:ascii="Calibri" w:eastAsia="MS Mincho" w:hAnsi="Calibri" w:cs="MinionPro-Regular"/>
      <w:b/>
      <w:bCs/>
      <w:caps/>
      <w:color w:val="FFFFFF"/>
      <w:sz w:val="32"/>
      <w:szCs w:val="32"/>
    </w:rPr>
  </w:style>
  <w:style w:type="character" w:customStyle="1" w:styleId="KlavikaREGDKgreen">
    <w:name w:val="Klavika REG DK green"/>
    <w:uiPriority w:val="99"/>
    <w:rsid w:val="005A5905"/>
    <w:rPr>
      <w:color w:val="000000"/>
    </w:rPr>
  </w:style>
  <w:style w:type="paragraph" w:customStyle="1" w:styleId="H2Bodycopyheader">
    <w:name w:val="H2 Body copy header"/>
    <w:basedOn w:val="NoParagraphStyle"/>
    <w:uiPriority w:val="99"/>
    <w:rsid w:val="005A5905"/>
    <w:rPr>
      <w:rFonts w:eastAsia="MS Mincho"/>
      <w:color w:val="FFFFFF"/>
    </w:rPr>
  </w:style>
  <w:style w:type="paragraph" w:customStyle="1" w:styleId="TableTABLES">
    <w:name w:val="Table # (TABLES)"/>
    <w:basedOn w:val="TableTextTABLES"/>
    <w:uiPriority w:val="99"/>
    <w:rsid w:val="005A5905"/>
    <w:pPr>
      <w:suppressAutoHyphens w:val="0"/>
      <w:spacing w:before="0"/>
    </w:pPr>
    <w:rPr>
      <w:rFonts w:ascii="Calibri" w:eastAsia="MS Mincho" w:hAnsi="Calibri" w:cs="MinionPro-Regular"/>
      <w:b/>
      <w:bCs/>
      <w:caps/>
      <w:color w:val="FFFFFF"/>
      <w:sz w:val="32"/>
      <w:szCs w:val="32"/>
    </w:rPr>
  </w:style>
  <w:style w:type="paragraph" w:customStyle="1" w:styleId="TableTextC">
    <w:name w:val="Table Text C"/>
    <w:basedOn w:val="TableTextTABLES"/>
    <w:qFormat/>
    <w:rsid w:val="005A5905"/>
    <w:pPr>
      <w:suppressAutoHyphens w:val="0"/>
      <w:spacing w:before="0"/>
    </w:pPr>
    <w:rPr>
      <w:rFonts w:ascii="Calibri" w:eastAsia="MS Mincho" w:hAnsi="Calibri" w:cs="MinionPro-Regular"/>
      <w:b/>
      <w:bCs/>
      <w:caps/>
      <w:color w:val="FFFFFF"/>
      <w:sz w:val="32"/>
      <w:szCs w:val="32"/>
    </w:rPr>
  </w:style>
  <w:style w:type="paragraph" w:customStyle="1" w:styleId="CommentText1">
    <w:name w:val="Comment Text1"/>
    <w:basedOn w:val="Normal"/>
    <w:next w:val="CommentText"/>
    <w:uiPriority w:val="99"/>
    <w:semiHidden/>
    <w:unhideWhenUsed/>
    <w:rsid w:val="005A5905"/>
    <w:rPr>
      <w:sz w:val="24"/>
      <w:szCs w:val="24"/>
      <w:lang w:val="en-GB"/>
    </w:rPr>
  </w:style>
  <w:style w:type="paragraph" w:customStyle="1" w:styleId="CommentSubject1">
    <w:name w:val="Comment Subject1"/>
    <w:basedOn w:val="CommentText"/>
    <w:next w:val="CommentText"/>
    <w:uiPriority w:val="99"/>
    <w:semiHidden/>
    <w:unhideWhenUsed/>
    <w:rsid w:val="005A5905"/>
    <w:rPr>
      <w:rFonts w:ascii="Times New Roman" w:hAnsi="Times New Roman" w:cs="Times New Roman"/>
      <w:lang w:val="en-GB" w:eastAsia="en-GB"/>
    </w:rPr>
  </w:style>
  <w:style w:type="paragraph" w:customStyle="1" w:styleId="BalloonText1">
    <w:name w:val="Balloon Text1"/>
    <w:basedOn w:val="Normal"/>
    <w:next w:val="BalloonText"/>
    <w:uiPriority w:val="99"/>
    <w:semiHidden/>
    <w:unhideWhenUsed/>
    <w:rsid w:val="005A5905"/>
    <w:rPr>
      <w:rFonts w:ascii="Times New Roman" w:hAnsi="Times New Roman" w:cs="Times New Roman"/>
      <w:sz w:val="18"/>
      <w:lang w:val="en-GB"/>
    </w:rPr>
  </w:style>
  <w:style w:type="table" w:customStyle="1" w:styleId="QILTTableStylePH">
    <w:name w:val="QILT Table Style PH"/>
    <w:basedOn w:val="TableNormal"/>
    <w:uiPriority w:val="99"/>
    <w:rsid w:val="005A5905"/>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customStyle="1" w:styleId="Revision1">
    <w:name w:val="Revision1"/>
    <w:next w:val="Revision"/>
    <w:hidden/>
    <w:uiPriority w:val="99"/>
    <w:semiHidden/>
    <w:rsid w:val="005A5905"/>
    <w:pPr>
      <w:spacing w:after="0" w:line="240" w:lineRule="auto"/>
    </w:pPr>
    <w:rPr>
      <w:rFonts w:ascii="Arial" w:eastAsia="MS Mincho" w:hAnsi="Arial"/>
      <w:sz w:val="20"/>
      <w:szCs w:val="24"/>
      <w:lang w:val="en-US"/>
    </w:rPr>
  </w:style>
  <w:style w:type="character" w:customStyle="1" w:styleId="Heading3Char1">
    <w:name w:val="Heading 3 Char1"/>
    <w:basedOn w:val="DefaultParagraphFont"/>
    <w:uiPriority w:val="9"/>
    <w:semiHidden/>
    <w:rsid w:val="005A5905"/>
    <w:rPr>
      <w:rFonts w:asciiTheme="majorHAnsi" w:eastAsiaTheme="majorEastAsia" w:hAnsiTheme="majorHAnsi" w:cstheme="majorBidi"/>
      <w:color w:val="236261" w:themeColor="accent1" w:themeShade="7F"/>
      <w:lang w:eastAsia="en-GB"/>
    </w:rPr>
  </w:style>
  <w:style w:type="character" w:customStyle="1" w:styleId="CommentTextChar1">
    <w:name w:val="Comment Text Char1"/>
    <w:basedOn w:val="DefaultParagraphFont"/>
    <w:uiPriority w:val="99"/>
    <w:semiHidden/>
    <w:rsid w:val="005A5905"/>
    <w:rPr>
      <w:rFonts w:ascii="Times New Roman" w:hAnsi="Times New Roman" w:cs="Times New Roman"/>
      <w:sz w:val="20"/>
      <w:szCs w:val="20"/>
      <w:lang w:eastAsia="en-GB"/>
    </w:rPr>
  </w:style>
  <w:style w:type="character" w:customStyle="1" w:styleId="CommentSubjectChar1">
    <w:name w:val="Comment Subject Char1"/>
    <w:basedOn w:val="CommentTextChar1"/>
    <w:uiPriority w:val="99"/>
    <w:semiHidden/>
    <w:rsid w:val="005A5905"/>
    <w:rPr>
      <w:rFonts w:ascii="Times New Roman" w:hAnsi="Times New Roman" w:cs="Times New Roman"/>
      <w:b/>
      <w:bCs/>
      <w:sz w:val="20"/>
      <w:szCs w:val="20"/>
      <w:lang w:eastAsia="en-GB"/>
    </w:rPr>
  </w:style>
  <w:style w:type="character" w:customStyle="1" w:styleId="BalloonTextChar1">
    <w:name w:val="Balloon Text Char1"/>
    <w:basedOn w:val="DefaultParagraphFont"/>
    <w:uiPriority w:val="99"/>
    <w:semiHidden/>
    <w:rsid w:val="005A5905"/>
    <w:rPr>
      <w:rFonts w:ascii="Segoe UI" w:hAnsi="Segoe UI" w:cs="Segoe UI"/>
      <w:sz w:val="18"/>
      <w:szCs w:val="18"/>
      <w:lang w:eastAsia="en-GB"/>
    </w:rPr>
  </w:style>
  <w:style w:type="table" w:customStyle="1" w:styleId="QILTTableStylePH1">
    <w:name w:val="QILT Table Style PH1"/>
    <w:basedOn w:val="TableNormal"/>
    <w:uiPriority w:val="99"/>
    <w:rsid w:val="005A5905"/>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TableGrid1">
    <w:name w:val="Table Grid1"/>
    <w:basedOn w:val="TableNormal"/>
    <w:next w:val="TableGrid"/>
    <w:uiPriority w:val="39"/>
    <w:rsid w:val="005A5905"/>
    <w:pPr>
      <w:spacing w:after="0" w:line="240" w:lineRule="auto"/>
    </w:pPr>
    <w:rPr>
      <w:rFonts w:eastAsia="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ILTTableStylePH2">
    <w:name w:val="QILT Table Style PH2"/>
    <w:basedOn w:val="TableNormal"/>
    <w:uiPriority w:val="99"/>
    <w:rsid w:val="005A5905"/>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QILTTableStylePH3">
    <w:name w:val="QILT Table Style PH3"/>
    <w:basedOn w:val="TableNormal"/>
    <w:uiPriority w:val="99"/>
    <w:rsid w:val="005A5905"/>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character" w:customStyle="1" w:styleId="UnresolvedMention1">
    <w:name w:val="Unresolved Mention1"/>
    <w:basedOn w:val="DefaultParagraphFont"/>
    <w:uiPriority w:val="99"/>
    <w:unhideWhenUsed/>
    <w:rsid w:val="005A5905"/>
    <w:rPr>
      <w:color w:val="605E5C"/>
      <w:shd w:val="clear" w:color="auto" w:fill="E1DFDD"/>
    </w:rPr>
  </w:style>
  <w:style w:type="paragraph" w:styleId="EndnoteText">
    <w:name w:val="endnote text"/>
    <w:basedOn w:val="Normal"/>
    <w:link w:val="EndnoteTextChar"/>
    <w:uiPriority w:val="99"/>
    <w:semiHidden/>
    <w:unhideWhenUsed/>
    <w:rsid w:val="005A5905"/>
    <w:rPr>
      <w:rFonts w:asciiTheme="minorHAnsi" w:eastAsiaTheme="minorEastAsia" w:hAnsiTheme="minorHAnsi"/>
      <w:szCs w:val="20"/>
      <w:lang w:val="en-US"/>
    </w:rPr>
  </w:style>
  <w:style w:type="character" w:customStyle="1" w:styleId="EndnoteTextChar">
    <w:name w:val="Endnote Text Char"/>
    <w:basedOn w:val="DefaultParagraphFont"/>
    <w:link w:val="EndnoteText"/>
    <w:uiPriority w:val="99"/>
    <w:semiHidden/>
    <w:rsid w:val="005A5905"/>
    <w:rPr>
      <w:sz w:val="20"/>
      <w:szCs w:val="20"/>
      <w:lang w:val="en-US"/>
    </w:rPr>
  </w:style>
  <w:style w:type="character" w:styleId="EndnoteReference">
    <w:name w:val="endnote reference"/>
    <w:basedOn w:val="DefaultParagraphFont"/>
    <w:uiPriority w:val="99"/>
    <w:semiHidden/>
    <w:unhideWhenUsed/>
    <w:rsid w:val="005A5905"/>
    <w:rPr>
      <w:vertAlign w:val="superscript"/>
    </w:rPr>
  </w:style>
  <w:style w:type="character" w:styleId="UnresolvedMention">
    <w:name w:val="Unresolved Mention"/>
    <w:basedOn w:val="DefaultParagraphFont"/>
    <w:uiPriority w:val="99"/>
    <w:unhideWhenUsed/>
    <w:rsid w:val="005A5905"/>
    <w:rPr>
      <w:color w:val="605E5C"/>
      <w:shd w:val="clear" w:color="auto" w:fill="E1DFDD"/>
    </w:rPr>
  </w:style>
  <w:style w:type="paragraph" w:customStyle="1" w:styleId="Style1">
    <w:name w:val="Style1"/>
    <w:basedOn w:val="Sub1nounderline"/>
    <w:link w:val="Style1Char"/>
    <w:qFormat/>
    <w:rsid w:val="005A5905"/>
    <w:rPr>
      <w:rFonts w:ascii="Arial" w:hAnsi="Arial"/>
      <w:b w:val="0"/>
      <w:sz w:val="20"/>
    </w:rPr>
  </w:style>
  <w:style w:type="character" w:customStyle="1" w:styleId="Sub1nounderlineChar">
    <w:name w:val="Sub 1 no underline Char"/>
    <w:basedOn w:val="DefaultParagraphFont"/>
    <w:link w:val="Sub1nounderline"/>
    <w:rsid w:val="005A5905"/>
    <w:rPr>
      <w:rFonts w:asciiTheme="majorHAnsi" w:hAnsiTheme="majorHAnsi" w:cs="Gotham-Book"/>
      <w:b/>
      <w:spacing w:val="-4"/>
      <w:sz w:val="24"/>
      <w:szCs w:val="24"/>
      <w:lang w:val="en-GB"/>
    </w:rPr>
  </w:style>
  <w:style w:type="character" w:customStyle="1" w:styleId="Style1Char">
    <w:name w:val="Style1 Char"/>
    <w:basedOn w:val="Sub1nounderlineChar"/>
    <w:link w:val="Style1"/>
    <w:rsid w:val="005A5905"/>
    <w:rPr>
      <w:rFonts w:ascii="Arial" w:hAnsi="Arial" w:cs="Gotham-Book"/>
      <w:b w:val="0"/>
      <w:spacing w:val="-4"/>
      <w:sz w:val="20"/>
      <w:szCs w:val="24"/>
      <w:lang w:val="en-GB"/>
    </w:rPr>
  </w:style>
  <w:style w:type="paragraph" w:customStyle="1" w:styleId="Footertable">
    <w:name w:val="Footer (table)"/>
    <w:link w:val="FootertableChar"/>
    <w:uiPriority w:val="99"/>
    <w:rsid w:val="005A5905"/>
    <w:pPr>
      <w:widowControl w:val="0"/>
      <w:suppressAutoHyphens/>
      <w:autoSpaceDE w:val="0"/>
      <w:autoSpaceDN w:val="0"/>
      <w:adjustRightInd w:val="0"/>
      <w:spacing w:after="0" w:line="240" w:lineRule="auto"/>
      <w:textAlignment w:val="center"/>
    </w:pPr>
    <w:rPr>
      <w:rFonts w:ascii="ArialMT" w:hAnsi="ArialMT" w:cs="ArialMT"/>
      <w:color w:val="000000"/>
      <w:spacing w:val="1"/>
      <w:sz w:val="16"/>
      <w:szCs w:val="16"/>
      <w:lang w:val="en-GB"/>
    </w:rPr>
  </w:style>
  <w:style w:type="paragraph" w:customStyle="1" w:styleId="Bullet1">
    <w:name w:val="Bullet 1"/>
    <w:basedOn w:val="BodyText"/>
    <w:qFormat/>
    <w:rsid w:val="005A5905"/>
    <w:pPr>
      <w:framePr w:wrap="around" w:hAnchor="text"/>
      <w:tabs>
        <w:tab w:val="left" w:pos="284"/>
        <w:tab w:val="left" w:pos="4872"/>
        <w:tab w:val="left" w:pos="11338"/>
      </w:tabs>
      <w:spacing w:before="120" w:after="0" w:line="230" w:lineRule="exact"/>
      <w:ind w:left="170" w:hanging="170"/>
    </w:pPr>
    <w:rPr>
      <w:rFonts w:ascii="Calibri" w:hAnsi="Calibri" w:cs="Calibri"/>
      <w:color w:val="000000"/>
      <w:sz w:val="18"/>
      <w:lang w:val="en-GB" w:eastAsia="en-GB"/>
    </w:rPr>
  </w:style>
  <w:style w:type="paragraph" w:customStyle="1" w:styleId="TablecolumnheadLTABLES">
    <w:name w:val="Table column head L (TABLES)"/>
    <w:basedOn w:val="Normal"/>
    <w:uiPriority w:val="99"/>
    <w:rsid w:val="005A5905"/>
    <w:pPr>
      <w:suppressAutoHyphens/>
      <w:autoSpaceDE w:val="0"/>
      <w:autoSpaceDN w:val="0"/>
      <w:adjustRightInd w:val="0"/>
      <w:spacing w:line="288" w:lineRule="auto"/>
      <w:textAlignment w:val="center"/>
    </w:pPr>
    <w:rPr>
      <w:rFonts w:ascii="Calibri-Bold" w:hAnsi="Calibri-Bold" w:cs="Calibri-Bold"/>
      <w:b/>
      <w:bCs/>
      <w:color w:val="000000"/>
      <w:sz w:val="18"/>
      <w:lang w:val="en-US"/>
    </w:rPr>
  </w:style>
  <w:style w:type="paragraph" w:customStyle="1" w:styleId="TabletextcentredTABLES">
    <w:name w:val="Table text centred (TABLES)"/>
    <w:basedOn w:val="TableTextTABLES"/>
    <w:uiPriority w:val="99"/>
    <w:rsid w:val="005A5905"/>
    <w:pPr>
      <w:widowControl/>
      <w:jc w:val="center"/>
    </w:pPr>
    <w:rPr>
      <w:rFonts w:ascii="Calibri-Light" w:eastAsiaTheme="minorHAnsi" w:hAnsi="Calibri-Light" w:cs="Calibri-Light"/>
    </w:rPr>
  </w:style>
  <w:style w:type="paragraph" w:customStyle="1" w:styleId="Heading0">
    <w:name w:val="Heading 0"/>
    <w:basedOn w:val="Heading1"/>
    <w:qFormat/>
    <w:rsid w:val="005A5905"/>
    <w:pPr>
      <w:keepNext/>
      <w:keepLines/>
      <w:pageBreakBefore w:val="0"/>
      <w:numPr>
        <w:numId w:val="0"/>
      </w:numPr>
      <w:spacing w:before="240" w:after="0"/>
    </w:pPr>
    <w:rPr>
      <w:rFonts w:asciiTheme="majorHAnsi" w:eastAsiaTheme="majorEastAsia" w:hAnsiTheme="majorHAnsi" w:cstheme="majorBidi"/>
      <w:color w:val="auto"/>
      <w:lang w:val="en-GB" w:eastAsia="en-GB"/>
    </w:rPr>
  </w:style>
  <w:style w:type="paragraph" w:customStyle="1" w:styleId="TabletextRangedLeft">
    <w:name w:val="Table text (Ranged Left)"/>
    <w:qFormat/>
    <w:rsid w:val="005A5905"/>
    <w:pPr>
      <w:spacing w:after="0" w:line="240" w:lineRule="auto"/>
    </w:pPr>
    <w:rPr>
      <w:rFonts w:ascii="ArialMT" w:hAnsi="ArialMT" w:cs="Gotham-Light"/>
      <w:spacing w:val="-2"/>
      <w:sz w:val="20"/>
      <w:szCs w:val="18"/>
      <w:lang w:val="en-GB"/>
    </w:rPr>
  </w:style>
  <w:style w:type="paragraph" w:customStyle="1" w:styleId="TablecolumnheaderL">
    <w:name w:val="Table column header L"/>
    <w:basedOn w:val="Normal"/>
    <w:qFormat/>
    <w:rsid w:val="005A5905"/>
    <w:pPr>
      <w:spacing w:line="190" w:lineRule="exact"/>
    </w:pPr>
    <w:rPr>
      <w:rFonts w:eastAsiaTheme="minorEastAsia" w:cs="Calibri"/>
      <w:b/>
      <w:spacing w:val="-2"/>
      <w:sz w:val="18"/>
      <w:lang w:val="en-US"/>
    </w:rPr>
  </w:style>
  <w:style w:type="paragraph" w:customStyle="1" w:styleId="TableHead-L1-LEFTalign">
    <w:name w:val="Table Head - L1 - LEFT align"/>
    <w:basedOn w:val="Normal"/>
    <w:qFormat/>
    <w:rsid w:val="005A5905"/>
    <w:rPr>
      <w:rFonts w:ascii="ArialMT" w:eastAsiaTheme="minorEastAsia" w:hAnsi="ArialMT" w:cs="Gotham-Light"/>
      <w:b/>
      <w:spacing w:val="-2"/>
      <w:lang w:val="en-GB"/>
    </w:rPr>
  </w:style>
  <w:style w:type="paragraph" w:customStyle="1" w:styleId="TablebulletALPHATABLES">
    <w:name w:val="Table bullet ALPHA (TABLES)"/>
    <w:basedOn w:val="Normal"/>
    <w:uiPriority w:val="99"/>
    <w:rsid w:val="005A5905"/>
    <w:pPr>
      <w:tabs>
        <w:tab w:val="left" w:pos="170"/>
      </w:tabs>
      <w:suppressAutoHyphens/>
      <w:autoSpaceDE w:val="0"/>
      <w:autoSpaceDN w:val="0"/>
      <w:adjustRightInd w:val="0"/>
      <w:spacing w:before="57" w:line="288" w:lineRule="auto"/>
      <w:ind w:left="227" w:hanging="227"/>
      <w:textAlignment w:val="center"/>
    </w:pPr>
    <w:rPr>
      <w:rFonts w:ascii="Calibri-Light" w:hAnsi="Calibri-Light" w:cs="Calibri-Light"/>
      <w:color w:val="000000"/>
      <w:sz w:val="17"/>
      <w:szCs w:val="17"/>
      <w:lang w:val="en-GB"/>
    </w:rPr>
  </w:style>
  <w:style w:type="paragraph" w:customStyle="1" w:styleId="Default">
    <w:name w:val="Default"/>
    <w:rsid w:val="005A5905"/>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FirstParagraph">
    <w:name w:val="First Paragraph"/>
    <w:basedOn w:val="BodyText"/>
    <w:next w:val="BodyText"/>
    <w:qFormat/>
    <w:rsid w:val="005A5905"/>
    <w:pPr>
      <w:framePr w:wrap="around" w:hAnchor="text"/>
      <w:spacing w:before="180" w:after="180" w:line="240" w:lineRule="auto"/>
    </w:pPr>
    <w:rPr>
      <w:rFonts w:ascii="Calibri" w:hAnsi="Calibri"/>
      <w:color w:val="000000"/>
      <w:sz w:val="24"/>
      <w:szCs w:val="24"/>
      <w:lang w:val="en-US"/>
    </w:rPr>
  </w:style>
  <w:style w:type="character" w:customStyle="1" w:styleId="UnresolvedMention2">
    <w:name w:val="Unresolved Mention2"/>
    <w:basedOn w:val="DefaultParagraphFont"/>
    <w:uiPriority w:val="99"/>
    <w:semiHidden/>
    <w:unhideWhenUsed/>
    <w:rsid w:val="005A5905"/>
    <w:rPr>
      <w:color w:val="605E5C"/>
      <w:shd w:val="clear" w:color="auto" w:fill="E1DFDD"/>
    </w:rPr>
  </w:style>
  <w:style w:type="paragraph" w:customStyle="1" w:styleId="Syntaxfont">
    <w:name w:val="Syntax font"/>
    <w:basedOn w:val="Body"/>
    <w:link w:val="SyntaxfontChar"/>
    <w:qFormat/>
    <w:rsid w:val="005A5905"/>
    <w:pPr>
      <w:spacing w:line="240" w:lineRule="auto"/>
      <w:contextualSpacing/>
    </w:pPr>
    <w:rPr>
      <w:lang w:bidi="en-US"/>
    </w:rPr>
  </w:style>
  <w:style w:type="character" w:customStyle="1" w:styleId="SyntaxfontChar">
    <w:name w:val="Syntax font Char"/>
    <w:basedOn w:val="BodyChar"/>
    <w:link w:val="Syntaxfont"/>
    <w:rsid w:val="005A5905"/>
    <w:rPr>
      <w:rFonts w:ascii="Arial" w:eastAsia="Times New Roman" w:hAnsi="Arial" w:cs="Times New Roman"/>
      <w:sz w:val="20"/>
      <w:szCs w:val="20"/>
      <w:lang w:bidi="en-US"/>
    </w:rPr>
  </w:style>
  <w:style w:type="table" w:customStyle="1" w:styleId="GridTable4-Accent21">
    <w:name w:val="Grid Table 4 - Accent 21"/>
    <w:basedOn w:val="TableNormal"/>
    <w:uiPriority w:val="49"/>
    <w:rsid w:val="005A5905"/>
    <w:pPr>
      <w:spacing w:after="0" w:line="240" w:lineRule="auto"/>
    </w:pPr>
    <w:rPr>
      <w:rFonts w:eastAsiaTheme="minorHAnsi"/>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heme="minorHAnsi" w:hAnsiTheme="minorHAnsi"/>
        <w:b/>
        <w:bCs/>
        <w:color w:val="FFFFFF" w:themeColor="background1"/>
        <w:sz w:val="20"/>
      </w:rPr>
      <w:tblPr/>
      <w:tcPr>
        <w:shd w:val="clear" w:color="auto" w:fill="EE3B6F" w:themeFill="accent4"/>
      </w:tcPr>
    </w:tblStylePr>
    <w:tblStylePr w:type="lastRow">
      <w:rPr>
        <w:rFonts w:asciiTheme="minorHAnsi" w:hAnsiTheme="minorHAnsi"/>
        <w:b/>
        <w:bCs/>
        <w:sz w:val="20"/>
      </w:rPr>
      <w:tblPr/>
      <w:tcPr>
        <w:tcBorders>
          <w:top w:val="double" w:sz="4" w:space="0" w:color="B7D432" w:themeColor="accent2"/>
        </w:tcBorders>
      </w:tcPr>
    </w:tblStylePr>
    <w:tblStylePr w:type="firstCol">
      <w:rPr>
        <w:rFonts w:asciiTheme="minorHAnsi" w:hAnsiTheme="minorHAnsi"/>
        <w:b/>
        <w:bCs/>
        <w:sz w:val="20"/>
      </w:rPr>
    </w:tblStylePr>
    <w:tblStylePr w:type="lastCol">
      <w:rPr>
        <w:rFonts w:asciiTheme="minorHAnsi" w:hAnsiTheme="minorHAnsi"/>
        <w:b/>
        <w:bCs/>
        <w:sz w:val="20"/>
      </w:rPr>
    </w:tblStylePr>
    <w:tblStylePr w:type="band1Vert">
      <w:rPr>
        <w:rFonts w:asciiTheme="minorHAnsi" w:hAnsiTheme="minorHAnsi"/>
        <w:sz w:val="20"/>
      </w:rPr>
      <w:tblPr/>
      <w:tcPr>
        <w:shd w:val="clear" w:color="auto" w:fill="FBD7E2" w:themeFill="accent4" w:themeFillTint="33"/>
      </w:tcPr>
    </w:tblStylePr>
    <w:tblStylePr w:type="band2Vert">
      <w:rPr>
        <w:rFonts w:asciiTheme="minorHAnsi" w:hAnsiTheme="minorHAnsi"/>
        <w:sz w:val="20"/>
      </w:rPr>
      <w:tblPr/>
      <w:tcPr>
        <w:tcBorders>
          <w:top w:val="nil"/>
          <w:left w:val="nil"/>
          <w:bottom w:val="nil"/>
          <w:right w:val="nil"/>
          <w:insideH w:val="nil"/>
          <w:insideV w:val="nil"/>
        </w:tcBorders>
        <w:shd w:val="clear" w:color="auto" w:fill="FFFFFF" w:themeFill="background1"/>
      </w:tcPr>
    </w:tblStylePr>
    <w:tblStylePr w:type="band1Horz">
      <w:rPr>
        <w:rFonts w:asciiTheme="minorHAnsi" w:hAnsiTheme="minorHAnsi"/>
        <w:sz w:val="20"/>
      </w:rPr>
      <w:tblPr/>
      <w:tcPr>
        <w:shd w:val="clear" w:color="auto" w:fill="FBD7E2" w:themeFill="accent4" w:themeFillTint="33"/>
      </w:tcPr>
    </w:tblStylePr>
    <w:tblStylePr w:type="band2Horz">
      <w:rPr>
        <w:rFonts w:asciiTheme="minorHAnsi" w:hAnsiTheme="minorHAnsi"/>
        <w:sz w:val="20"/>
      </w:rPr>
      <w:tblPr/>
      <w:tcPr>
        <w:shd w:val="clear" w:color="auto" w:fill="FFFFFF" w:themeFill="background1"/>
      </w:tcPr>
    </w:tblStylePr>
  </w:style>
  <w:style w:type="character" w:customStyle="1" w:styleId="TableHeadCharStyle">
    <w:name w:val="Table – Head Char Style"/>
    <w:uiPriority w:val="99"/>
    <w:rsid w:val="005A5905"/>
    <w:rPr>
      <w:sz w:val="18"/>
      <w:szCs w:val="18"/>
    </w:rPr>
  </w:style>
  <w:style w:type="paragraph" w:customStyle="1" w:styleId="Tabletitleupdate">
    <w:name w:val="Table title update"/>
    <w:basedOn w:val="Caption"/>
    <w:link w:val="TabletitleupdateChar"/>
    <w:qFormat/>
    <w:rsid w:val="005A5905"/>
    <w:pPr>
      <w:tabs>
        <w:tab w:val="clear" w:pos="1134"/>
      </w:tabs>
      <w:spacing w:before="0" w:after="200"/>
      <w:ind w:left="0" w:firstLine="0"/>
    </w:pPr>
    <w:rPr>
      <w:b w:val="0"/>
      <w:bCs w:val="0"/>
      <w:sz w:val="20"/>
      <w:szCs w:val="20"/>
      <w:lang w:val="en-US"/>
    </w:rPr>
  </w:style>
  <w:style w:type="paragraph" w:customStyle="1" w:styleId="Noteupdate">
    <w:name w:val="Note update"/>
    <w:basedOn w:val="Footertable"/>
    <w:link w:val="NoteupdateChar"/>
    <w:qFormat/>
    <w:rsid w:val="005A5905"/>
    <w:rPr>
      <w:rFonts w:ascii="Arial" w:hAnsi="Arial" w:cs="Arial"/>
    </w:rPr>
  </w:style>
  <w:style w:type="character" w:customStyle="1" w:styleId="TabletitleupdateChar">
    <w:name w:val="Table title update Char"/>
    <w:basedOn w:val="CaptionChar"/>
    <w:link w:val="Tabletitleupdate"/>
    <w:rsid w:val="005A5905"/>
    <w:rPr>
      <w:rFonts w:ascii="Arial" w:eastAsia="Times New Roman" w:hAnsi="Arial" w:cs="Arial"/>
      <w:b w:val="0"/>
      <w:bCs w:val="0"/>
      <w:color w:val="007A7D" w:themeColor="text2"/>
      <w:sz w:val="20"/>
      <w:szCs w:val="20"/>
      <w:lang w:val="en-US" w:eastAsia="en-AU"/>
    </w:rPr>
  </w:style>
  <w:style w:type="paragraph" w:customStyle="1" w:styleId="zz">
    <w:name w:val="zz"/>
    <w:basedOn w:val="BodyText"/>
    <w:link w:val="zzChar"/>
    <w:qFormat/>
    <w:rsid w:val="005A5905"/>
    <w:pPr>
      <w:framePr w:wrap="around" w:hAnchor="text"/>
      <w:tabs>
        <w:tab w:val="left" w:pos="284"/>
      </w:tabs>
      <w:spacing w:before="120" w:after="0" w:line="230" w:lineRule="exact"/>
      <w:jc w:val="center"/>
    </w:pPr>
    <w:rPr>
      <w:rFonts w:ascii="Calibri" w:hAnsi="Calibri" w:cs="Calibri"/>
      <w:b/>
      <w:bCs/>
      <w:color w:val="000000"/>
      <w:sz w:val="18"/>
      <w:lang w:val="en-GB" w:eastAsia="en-GB"/>
    </w:rPr>
  </w:style>
  <w:style w:type="character" w:customStyle="1" w:styleId="FootertableChar">
    <w:name w:val="Footer (table) Char"/>
    <w:basedOn w:val="DefaultParagraphFont"/>
    <w:link w:val="Footertable"/>
    <w:uiPriority w:val="99"/>
    <w:rsid w:val="005A5905"/>
    <w:rPr>
      <w:rFonts w:ascii="ArialMT" w:hAnsi="ArialMT" w:cs="ArialMT"/>
      <w:color w:val="000000"/>
      <w:spacing w:val="1"/>
      <w:sz w:val="16"/>
      <w:szCs w:val="16"/>
      <w:lang w:val="en-GB"/>
    </w:rPr>
  </w:style>
  <w:style w:type="character" w:customStyle="1" w:styleId="NoteupdateChar">
    <w:name w:val="Note update Char"/>
    <w:basedOn w:val="FootertableChar"/>
    <w:link w:val="Noteupdate"/>
    <w:rsid w:val="005A5905"/>
    <w:rPr>
      <w:rFonts w:ascii="Arial" w:hAnsi="Arial" w:cs="Arial"/>
      <w:color w:val="000000"/>
      <w:spacing w:val="1"/>
      <w:sz w:val="16"/>
      <w:szCs w:val="16"/>
      <w:lang w:val="en-GB"/>
    </w:rPr>
  </w:style>
  <w:style w:type="paragraph" w:customStyle="1" w:styleId="Tabletextupdate">
    <w:name w:val="Table text update"/>
    <w:basedOn w:val="BodyText"/>
    <w:link w:val="TabletextupdateChar"/>
    <w:qFormat/>
    <w:rsid w:val="005A5905"/>
    <w:pPr>
      <w:framePr w:wrap="around" w:hAnchor="text"/>
      <w:tabs>
        <w:tab w:val="left" w:pos="284"/>
      </w:tabs>
      <w:spacing w:before="120" w:after="0" w:line="230" w:lineRule="exact"/>
    </w:pPr>
    <w:rPr>
      <w:rFonts w:ascii="Calibri" w:hAnsi="Calibri" w:cs="Calibri"/>
      <w:color w:val="000000"/>
      <w:lang w:val="en-GB" w:eastAsia="en-GB"/>
    </w:rPr>
  </w:style>
  <w:style w:type="character" w:customStyle="1" w:styleId="zzChar">
    <w:name w:val="zz Char"/>
    <w:basedOn w:val="BodyTextChar"/>
    <w:link w:val="zz"/>
    <w:rsid w:val="005A5905"/>
    <w:rPr>
      <w:rFonts w:ascii="Calibri" w:eastAsiaTheme="minorHAnsi" w:hAnsi="Calibri" w:cs="Calibri"/>
      <w:b/>
      <w:bCs/>
      <w:color w:val="000000"/>
      <w:sz w:val="18"/>
      <w:szCs w:val="18"/>
      <w:lang w:val="en-GB" w:eastAsia="en-GB"/>
    </w:rPr>
  </w:style>
  <w:style w:type="paragraph" w:customStyle="1" w:styleId="Z">
    <w:name w:val="Z"/>
    <w:basedOn w:val="Tabletext"/>
    <w:link w:val="ZChar"/>
    <w:qFormat/>
    <w:rsid w:val="005A5905"/>
    <w:rPr>
      <w:rFonts w:cs="Arial"/>
      <w:szCs w:val="20"/>
    </w:rPr>
  </w:style>
  <w:style w:type="character" w:customStyle="1" w:styleId="TabletextupdateChar">
    <w:name w:val="Table text update Char"/>
    <w:basedOn w:val="BodyTextChar"/>
    <w:link w:val="Tabletextupdate"/>
    <w:rsid w:val="005A5905"/>
    <w:rPr>
      <w:rFonts w:ascii="Calibri" w:eastAsiaTheme="minorHAnsi" w:hAnsi="Calibri" w:cs="Calibri"/>
      <w:color w:val="000000"/>
      <w:sz w:val="20"/>
      <w:szCs w:val="18"/>
      <w:lang w:val="en-GB" w:eastAsia="en-GB"/>
    </w:rPr>
  </w:style>
  <w:style w:type="character" w:customStyle="1" w:styleId="TabletextChar">
    <w:name w:val="Table text Char"/>
    <w:basedOn w:val="DefaultParagraphFont"/>
    <w:link w:val="Tabletext"/>
    <w:rsid w:val="005A5905"/>
    <w:rPr>
      <w:rFonts w:ascii="Arial" w:hAnsi="Arial" w:cs="Gotham-Light"/>
      <w:color w:val="000A23"/>
      <w:spacing w:val="-2"/>
      <w:sz w:val="18"/>
      <w:szCs w:val="18"/>
      <w:lang w:val="en-GB"/>
    </w:rPr>
  </w:style>
  <w:style w:type="character" w:customStyle="1" w:styleId="ZChar">
    <w:name w:val="Z Char"/>
    <w:basedOn w:val="TabletextChar"/>
    <w:link w:val="Z"/>
    <w:rsid w:val="005A5905"/>
    <w:rPr>
      <w:rFonts w:ascii="Arial" w:hAnsi="Arial" w:cs="Arial"/>
      <w:color w:val="000A23"/>
      <w:spacing w:val="-2"/>
      <w:sz w:val="18"/>
      <w:szCs w:val="20"/>
      <w:lang w:val="en-GB"/>
    </w:rPr>
  </w:style>
  <w:style w:type="character" w:customStyle="1" w:styleId="cf01">
    <w:name w:val="cf01"/>
    <w:basedOn w:val="DefaultParagraphFont"/>
    <w:rsid w:val="005A5905"/>
    <w:rPr>
      <w:rFonts w:ascii="Segoe UI" w:hAnsi="Segoe UI" w:cs="Segoe UI" w:hint="default"/>
      <w:sz w:val="18"/>
      <w:szCs w:val="18"/>
    </w:rPr>
  </w:style>
  <w:style w:type="character" w:styleId="Mention">
    <w:name w:val="Mention"/>
    <w:basedOn w:val="DefaultParagraphFont"/>
    <w:uiPriority w:val="99"/>
    <w:unhideWhenUsed/>
    <w:rsid w:val="005A5905"/>
    <w:rPr>
      <w:color w:val="2B579A"/>
      <w:shd w:val="clear" w:color="auto" w:fill="E1DFDD"/>
    </w:rPr>
  </w:style>
  <w:style w:type="character" w:customStyle="1" w:styleId="A4">
    <w:name w:val="A4"/>
    <w:basedOn w:val="DefaultParagraphFont"/>
    <w:uiPriority w:val="99"/>
    <w:rsid w:val="005A5905"/>
    <w:rPr>
      <w:rFonts w:ascii="Lato" w:hAnsi="Lato" w:hint="default"/>
      <w:color w:val="000000"/>
    </w:rPr>
  </w:style>
  <w:style w:type="paragraph" w:customStyle="1" w:styleId="BasicParagraph">
    <w:name w:val="[Basic Paragraph]"/>
    <w:basedOn w:val="NoParagraphStyle"/>
    <w:uiPriority w:val="99"/>
    <w:rsid w:val="005A5905"/>
    <w:pPr>
      <w:widowControl/>
    </w:pPr>
    <w:rPr>
      <w:rFonts w:ascii="MinionPro-Regular" w:hAnsi="MinionPro-Regular"/>
      <w:b w:val="0"/>
      <w:bCs w:val="0"/>
      <w:caps w:val="0"/>
      <w:color w:val="000000"/>
      <w:sz w:val="24"/>
      <w:szCs w:val="24"/>
      <w:lang w:val="en-US"/>
    </w:rPr>
  </w:style>
  <w:style w:type="character" w:customStyle="1" w:styleId="Tableandchartnumber">
    <w:name w:val="Table and chart number"/>
    <w:uiPriority w:val="99"/>
    <w:rsid w:val="005A5905"/>
    <w:rPr>
      <w:rFonts w:ascii="Quicksand SemiBold" w:hAnsi="Quicksand SemiBold" w:cs="Quicksand SemiBold"/>
      <w:b/>
      <w:bCs/>
      <w:sz w:val="18"/>
      <w:szCs w:val="18"/>
    </w:rPr>
  </w:style>
  <w:style w:type="character" w:customStyle="1" w:styleId="Tableandchartdescription">
    <w:name w:val="Table and chart description"/>
    <w:basedOn w:val="Tableandchartnumber"/>
    <w:uiPriority w:val="99"/>
    <w:rsid w:val="005A5905"/>
    <w:rPr>
      <w:rFonts w:ascii="Quicksand" w:hAnsi="Quicksand" w:cs="Quicksand"/>
      <w:b/>
      <w:bCs/>
      <w:sz w:val="18"/>
      <w:szCs w:val="18"/>
    </w:rPr>
  </w:style>
  <w:style w:type="character" w:customStyle="1" w:styleId="normaltextrun">
    <w:name w:val="normaltextrun"/>
    <w:basedOn w:val="DefaultParagraphFont"/>
    <w:rsid w:val="005A5905"/>
  </w:style>
  <w:style w:type="character" w:customStyle="1" w:styleId="eop">
    <w:name w:val="eop"/>
    <w:basedOn w:val="DefaultParagraphFont"/>
    <w:rsid w:val="005A5905"/>
  </w:style>
  <w:style w:type="paragraph" w:customStyle="1" w:styleId="paragraph">
    <w:name w:val="paragraph"/>
    <w:basedOn w:val="Normal"/>
    <w:rsid w:val="005A590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msonormal0">
    <w:name w:val="msonormal"/>
    <w:basedOn w:val="Normal"/>
    <w:rsid w:val="005A590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5">
    <w:name w:val="xl65"/>
    <w:basedOn w:val="Normal"/>
    <w:rsid w:val="005A5905"/>
    <w:pPr>
      <w:pBdr>
        <w:left w:val="single" w:sz="12" w:space="0" w:color="FFFFFF"/>
        <w:right w:val="single" w:sz="12" w:space="0" w:color="FFFFFF"/>
      </w:pBdr>
      <w:shd w:val="clear" w:color="000000" w:fill="1F698E"/>
      <w:spacing w:before="100" w:beforeAutospacing="1" w:after="100" w:afterAutospacing="1"/>
      <w:jc w:val="center"/>
      <w:textAlignment w:val="center"/>
    </w:pPr>
    <w:rPr>
      <w:rFonts w:ascii="Calibri" w:eastAsia="Times New Roman" w:hAnsi="Calibri" w:cs="Calibri"/>
      <w:b/>
      <w:bCs/>
      <w:color w:val="FFFFFF"/>
      <w:sz w:val="24"/>
      <w:szCs w:val="24"/>
      <w:lang w:eastAsia="en-AU"/>
    </w:rPr>
  </w:style>
  <w:style w:type="table" w:customStyle="1" w:styleId="SRC">
    <w:name w:val="SRC"/>
    <w:basedOn w:val="TableNormal"/>
    <w:uiPriority w:val="99"/>
    <w:rsid w:val="005A5905"/>
    <w:pPr>
      <w:spacing w:before="60" w:after="60" w:line="240" w:lineRule="auto"/>
    </w:pPr>
    <w:rPr>
      <w:rFonts w:ascii="Arial" w:eastAsiaTheme="minorHAnsi" w:hAnsi="Arial"/>
      <w:sz w:val="18"/>
    </w:rPr>
    <w:tblPr>
      <w:tblStyleRowBandSize w:val="1"/>
      <w:tblStyleColBandSize w:val="1"/>
      <w:tblBorders>
        <w:bottom w:val="single" w:sz="4" w:space="0" w:color="EE3B6F" w:themeColor="accent4"/>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shd w:val="clear" w:color="auto" w:fill="4FBFBE" w:themeFill="accent1"/>
      </w:tcPr>
    </w:tblStylePr>
    <w:tblStylePr w:type="lastRow">
      <w:pPr>
        <w:wordWrap/>
        <w:spacing w:beforeLines="0" w:before="60" w:beforeAutospacing="0" w:afterLines="0" w:after="60" w:afterAutospacing="0" w:line="240" w:lineRule="auto"/>
        <w:contextualSpacing w:val="0"/>
      </w:pPr>
    </w:tblStylePr>
    <w:tblStylePr w:type="firstCol">
      <w:pPr>
        <w:wordWrap/>
        <w:spacing w:beforeLines="0" w:before="60" w:beforeAutospacing="0" w:afterLines="0" w:after="60" w:afterAutospacing="0" w:line="240" w:lineRule="auto"/>
        <w:contextualSpacing w:val="0"/>
        <w:jc w:val="left"/>
      </w:pPr>
      <w:tblPr/>
      <w:tcPr>
        <w:vAlign w:val="center"/>
      </w:tc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right"/>
      </w:pPr>
      <w:rPr>
        <w:rFonts w:ascii="Arial" w:hAnsi="Arial"/>
        <w:sz w:val="18"/>
      </w:rPr>
      <w:tblPr/>
      <w:tcPr>
        <w:shd w:val="clear" w:color="auto" w:fill="FBD7E2" w:themeFill="accent4" w:themeFillTint="33"/>
      </w:tcPr>
    </w:tblStylePr>
    <w:tblStylePr w:type="band2Horz">
      <w:pPr>
        <w:wordWrap/>
        <w:spacing w:beforeLines="0" w:before="60" w:beforeAutospacing="0" w:afterLines="0" w:after="60" w:afterAutospacing="0"/>
        <w:contextualSpacing w:val="0"/>
        <w:jc w:val="right"/>
      </w:pPr>
      <w:tblPr/>
      <w:tcPr>
        <w:vAlign w:val="center"/>
      </w:tcPr>
    </w:tblStylePr>
  </w:style>
  <w:style w:type="paragraph" w:customStyle="1" w:styleId="1ResponseFrame">
    <w:name w:val="1. Response Frame"/>
    <w:basedOn w:val="Normal"/>
    <w:rsid w:val="005A5905"/>
    <w:pPr>
      <w:ind w:left="1701" w:hanging="567"/>
    </w:pPr>
    <w:rPr>
      <w:rFonts w:cs="Arial"/>
      <w:szCs w:val="20"/>
    </w:rPr>
  </w:style>
  <w:style w:type="paragraph" w:customStyle="1" w:styleId="QNameText">
    <w:name w:val="Q Name &amp; Text"/>
    <w:basedOn w:val="Normal"/>
    <w:next w:val="Normal"/>
    <w:qFormat/>
    <w:rsid w:val="005A5905"/>
    <w:pPr>
      <w:spacing w:after="120"/>
      <w:ind w:left="1134" w:hanging="1134"/>
    </w:pPr>
    <w:rPr>
      <w:szCs w:val="22"/>
    </w:rPr>
  </w:style>
  <w:style w:type="paragraph" w:customStyle="1" w:styleId="FigureNote">
    <w:name w:val="Figure Note"/>
    <w:basedOn w:val="Normal"/>
    <w:link w:val="FigureNoteChar"/>
    <w:qFormat/>
    <w:rsid w:val="005A5905"/>
    <w:pPr>
      <w:spacing w:before="120"/>
      <w:jc w:val="both"/>
    </w:pPr>
    <w:rPr>
      <w:rFonts w:eastAsia="Calibri" w:cs="Times New Roman"/>
      <w:sz w:val="16"/>
      <w:szCs w:val="22"/>
      <w:lang w:val="en-GB"/>
    </w:rPr>
  </w:style>
  <w:style w:type="character" w:customStyle="1" w:styleId="FigureNoteChar">
    <w:name w:val="Figure Note Char"/>
    <w:basedOn w:val="DefaultParagraphFont"/>
    <w:link w:val="FigureNote"/>
    <w:rsid w:val="005A5905"/>
    <w:rPr>
      <w:rFonts w:ascii="Arial" w:eastAsia="Calibri" w:hAnsi="Arial" w:cs="Times New Roman"/>
      <w:sz w:val="16"/>
      <w:lang w:val="en-GB"/>
    </w:rPr>
  </w:style>
  <w:style w:type="character" w:customStyle="1" w:styleId="ui-provider">
    <w:name w:val="ui-provider"/>
    <w:basedOn w:val="DefaultParagraphFont"/>
    <w:rsid w:val="00B05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234">
      <w:bodyDiv w:val="1"/>
      <w:marLeft w:val="0"/>
      <w:marRight w:val="0"/>
      <w:marTop w:val="0"/>
      <w:marBottom w:val="0"/>
      <w:divBdr>
        <w:top w:val="none" w:sz="0" w:space="0" w:color="auto"/>
        <w:left w:val="none" w:sz="0" w:space="0" w:color="auto"/>
        <w:bottom w:val="none" w:sz="0" w:space="0" w:color="auto"/>
        <w:right w:val="none" w:sz="0" w:space="0" w:color="auto"/>
      </w:divBdr>
    </w:div>
    <w:div w:id="36396499">
      <w:bodyDiv w:val="1"/>
      <w:marLeft w:val="0"/>
      <w:marRight w:val="0"/>
      <w:marTop w:val="0"/>
      <w:marBottom w:val="0"/>
      <w:divBdr>
        <w:top w:val="none" w:sz="0" w:space="0" w:color="auto"/>
        <w:left w:val="none" w:sz="0" w:space="0" w:color="auto"/>
        <w:bottom w:val="none" w:sz="0" w:space="0" w:color="auto"/>
        <w:right w:val="none" w:sz="0" w:space="0" w:color="auto"/>
      </w:divBdr>
    </w:div>
    <w:div w:id="44181537">
      <w:bodyDiv w:val="1"/>
      <w:marLeft w:val="0"/>
      <w:marRight w:val="0"/>
      <w:marTop w:val="0"/>
      <w:marBottom w:val="0"/>
      <w:divBdr>
        <w:top w:val="none" w:sz="0" w:space="0" w:color="auto"/>
        <w:left w:val="none" w:sz="0" w:space="0" w:color="auto"/>
        <w:bottom w:val="none" w:sz="0" w:space="0" w:color="auto"/>
        <w:right w:val="none" w:sz="0" w:space="0" w:color="auto"/>
      </w:divBdr>
    </w:div>
    <w:div w:id="68623114">
      <w:bodyDiv w:val="1"/>
      <w:marLeft w:val="0"/>
      <w:marRight w:val="0"/>
      <w:marTop w:val="0"/>
      <w:marBottom w:val="0"/>
      <w:divBdr>
        <w:top w:val="none" w:sz="0" w:space="0" w:color="auto"/>
        <w:left w:val="none" w:sz="0" w:space="0" w:color="auto"/>
        <w:bottom w:val="none" w:sz="0" w:space="0" w:color="auto"/>
        <w:right w:val="none" w:sz="0" w:space="0" w:color="auto"/>
      </w:divBdr>
    </w:div>
    <w:div w:id="71317213">
      <w:bodyDiv w:val="1"/>
      <w:marLeft w:val="0"/>
      <w:marRight w:val="0"/>
      <w:marTop w:val="0"/>
      <w:marBottom w:val="0"/>
      <w:divBdr>
        <w:top w:val="none" w:sz="0" w:space="0" w:color="auto"/>
        <w:left w:val="none" w:sz="0" w:space="0" w:color="auto"/>
        <w:bottom w:val="none" w:sz="0" w:space="0" w:color="auto"/>
        <w:right w:val="none" w:sz="0" w:space="0" w:color="auto"/>
      </w:divBdr>
    </w:div>
    <w:div w:id="93401305">
      <w:bodyDiv w:val="1"/>
      <w:marLeft w:val="0"/>
      <w:marRight w:val="0"/>
      <w:marTop w:val="0"/>
      <w:marBottom w:val="0"/>
      <w:divBdr>
        <w:top w:val="none" w:sz="0" w:space="0" w:color="auto"/>
        <w:left w:val="none" w:sz="0" w:space="0" w:color="auto"/>
        <w:bottom w:val="none" w:sz="0" w:space="0" w:color="auto"/>
        <w:right w:val="none" w:sz="0" w:space="0" w:color="auto"/>
      </w:divBdr>
    </w:div>
    <w:div w:id="111243653">
      <w:bodyDiv w:val="1"/>
      <w:marLeft w:val="0"/>
      <w:marRight w:val="0"/>
      <w:marTop w:val="0"/>
      <w:marBottom w:val="0"/>
      <w:divBdr>
        <w:top w:val="none" w:sz="0" w:space="0" w:color="auto"/>
        <w:left w:val="none" w:sz="0" w:space="0" w:color="auto"/>
        <w:bottom w:val="none" w:sz="0" w:space="0" w:color="auto"/>
        <w:right w:val="none" w:sz="0" w:space="0" w:color="auto"/>
      </w:divBdr>
    </w:div>
    <w:div w:id="121731514">
      <w:bodyDiv w:val="1"/>
      <w:marLeft w:val="0"/>
      <w:marRight w:val="0"/>
      <w:marTop w:val="0"/>
      <w:marBottom w:val="0"/>
      <w:divBdr>
        <w:top w:val="none" w:sz="0" w:space="0" w:color="auto"/>
        <w:left w:val="none" w:sz="0" w:space="0" w:color="auto"/>
        <w:bottom w:val="none" w:sz="0" w:space="0" w:color="auto"/>
        <w:right w:val="none" w:sz="0" w:space="0" w:color="auto"/>
      </w:divBdr>
    </w:div>
    <w:div w:id="129717099">
      <w:bodyDiv w:val="1"/>
      <w:marLeft w:val="0"/>
      <w:marRight w:val="0"/>
      <w:marTop w:val="0"/>
      <w:marBottom w:val="0"/>
      <w:divBdr>
        <w:top w:val="none" w:sz="0" w:space="0" w:color="auto"/>
        <w:left w:val="none" w:sz="0" w:space="0" w:color="auto"/>
        <w:bottom w:val="none" w:sz="0" w:space="0" w:color="auto"/>
        <w:right w:val="none" w:sz="0" w:space="0" w:color="auto"/>
      </w:divBdr>
    </w:div>
    <w:div w:id="131100302">
      <w:bodyDiv w:val="1"/>
      <w:marLeft w:val="0"/>
      <w:marRight w:val="0"/>
      <w:marTop w:val="0"/>
      <w:marBottom w:val="0"/>
      <w:divBdr>
        <w:top w:val="none" w:sz="0" w:space="0" w:color="auto"/>
        <w:left w:val="none" w:sz="0" w:space="0" w:color="auto"/>
        <w:bottom w:val="none" w:sz="0" w:space="0" w:color="auto"/>
        <w:right w:val="none" w:sz="0" w:space="0" w:color="auto"/>
      </w:divBdr>
    </w:div>
    <w:div w:id="139076341">
      <w:bodyDiv w:val="1"/>
      <w:marLeft w:val="0"/>
      <w:marRight w:val="0"/>
      <w:marTop w:val="0"/>
      <w:marBottom w:val="0"/>
      <w:divBdr>
        <w:top w:val="none" w:sz="0" w:space="0" w:color="auto"/>
        <w:left w:val="none" w:sz="0" w:space="0" w:color="auto"/>
        <w:bottom w:val="none" w:sz="0" w:space="0" w:color="auto"/>
        <w:right w:val="none" w:sz="0" w:space="0" w:color="auto"/>
      </w:divBdr>
    </w:div>
    <w:div w:id="148178137">
      <w:bodyDiv w:val="1"/>
      <w:marLeft w:val="0"/>
      <w:marRight w:val="0"/>
      <w:marTop w:val="0"/>
      <w:marBottom w:val="0"/>
      <w:divBdr>
        <w:top w:val="none" w:sz="0" w:space="0" w:color="auto"/>
        <w:left w:val="none" w:sz="0" w:space="0" w:color="auto"/>
        <w:bottom w:val="none" w:sz="0" w:space="0" w:color="auto"/>
        <w:right w:val="none" w:sz="0" w:space="0" w:color="auto"/>
      </w:divBdr>
    </w:div>
    <w:div w:id="165022036">
      <w:bodyDiv w:val="1"/>
      <w:marLeft w:val="0"/>
      <w:marRight w:val="0"/>
      <w:marTop w:val="0"/>
      <w:marBottom w:val="0"/>
      <w:divBdr>
        <w:top w:val="none" w:sz="0" w:space="0" w:color="auto"/>
        <w:left w:val="none" w:sz="0" w:space="0" w:color="auto"/>
        <w:bottom w:val="none" w:sz="0" w:space="0" w:color="auto"/>
        <w:right w:val="none" w:sz="0" w:space="0" w:color="auto"/>
      </w:divBdr>
    </w:div>
    <w:div w:id="173082646">
      <w:bodyDiv w:val="1"/>
      <w:marLeft w:val="0"/>
      <w:marRight w:val="0"/>
      <w:marTop w:val="0"/>
      <w:marBottom w:val="0"/>
      <w:divBdr>
        <w:top w:val="none" w:sz="0" w:space="0" w:color="auto"/>
        <w:left w:val="none" w:sz="0" w:space="0" w:color="auto"/>
        <w:bottom w:val="none" w:sz="0" w:space="0" w:color="auto"/>
        <w:right w:val="none" w:sz="0" w:space="0" w:color="auto"/>
      </w:divBdr>
    </w:div>
    <w:div w:id="180945165">
      <w:bodyDiv w:val="1"/>
      <w:marLeft w:val="0"/>
      <w:marRight w:val="0"/>
      <w:marTop w:val="0"/>
      <w:marBottom w:val="0"/>
      <w:divBdr>
        <w:top w:val="none" w:sz="0" w:space="0" w:color="auto"/>
        <w:left w:val="none" w:sz="0" w:space="0" w:color="auto"/>
        <w:bottom w:val="none" w:sz="0" w:space="0" w:color="auto"/>
        <w:right w:val="none" w:sz="0" w:space="0" w:color="auto"/>
      </w:divBdr>
    </w:div>
    <w:div w:id="227501207">
      <w:bodyDiv w:val="1"/>
      <w:marLeft w:val="0"/>
      <w:marRight w:val="0"/>
      <w:marTop w:val="0"/>
      <w:marBottom w:val="0"/>
      <w:divBdr>
        <w:top w:val="none" w:sz="0" w:space="0" w:color="auto"/>
        <w:left w:val="none" w:sz="0" w:space="0" w:color="auto"/>
        <w:bottom w:val="none" w:sz="0" w:space="0" w:color="auto"/>
        <w:right w:val="none" w:sz="0" w:space="0" w:color="auto"/>
      </w:divBdr>
    </w:div>
    <w:div w:id="230818643">
      <w:bodyDiv w:val="1"/>
      <w:marLeft w:val="0"/>
      <w:marRight w:val="0"/>
      <w:marTop w:val="0"/>
      <w:marBottom w:val="0"/>
      <w:divBdr>
        <w:top w:val="none" w:sz="0" w:space="0" w:color="auto"/>
        <w:left w:val="none" w:sz="0" w:space="0" w:color="auto"/>
        <w:bottom w:val="none" w:sz="0" w:space="0" w:color="auto"/>
        <w:right w:val="none" w:sz="0" w:space="0" w:color="auto"/>
      </w:divBdr>
    </w:div>
    <w:div w:id="235942065">
      <w:bodyDiv w:val="1"/>
      <w:marLeft w:val="0"/>
      <w:marRight w:val="0"/>
      <w:marTop w:val="0"/>
      <w:marBottom w:val="0"/>
      <w:divBdr>
        <w:top w:val="none" w:sz="0" w:space="0" w:color="auto"/>
        <w:left w:val="none" w:sz="0" w:space="0" w:color="auto"/>
        <w:bottom w:val="none" w:sz="0" w:space="0" w:color="auto"/>
        <w:right w:val="none" w:sz="0" w:space="0" w:color="auto"/>
      </w:divBdr>
    </w:div>
    <w:div w:id="261227673">
      <w:bodyDiv w:val="1"/>
      <w:marLeft w:val="0"/>
      <w:marRight w:val="0"/>
      <w:marTop w:val="0"/>
      <w:marBottom w:val="0"/>
      <w:divBdr>
        <w:top w:val="none" w:sz="0" w:space="0" w:color="auto"/>
        <w:left w:val="none" w:sz="0" w:space="0" w:color="auto"/>
        <w:bottom w:val="none" w:sz="0" w:space="0" w:color="auto"/>
        <w:right w:val="none" w:sz="0" w:space="0" w:color="auto"/>
      </w:divBdr>
    </w:div>
    <w:div w:id="266234605">
      <w:bodyDiv w:val="1"/>
      <w:marLeft w:val="0"/>
      <w:marRight w:val="0"/>
      <w:marTop w:val="0"/>
      <w:marBottom w:val="0"/>
      <w:divBdr>
        <w:top w:val="none" w:sz="0" w:space="0" w:color="auto"/>
        <w:left w:val="none" w:sz="0" w:space="0" w:color="auto"/>
        <w:bottom w:val="none" w:sz="0" w:space="0" w:color="auto"/>
        <w:right w:val="none" w:sz="0" w:space="0" w:color="auto"/>
      </w:divBdr>
    </w:div>
    <w:div w:id="268048860">
      <w:bodyDiv w:val="1"/>
      <w:marLeft w:val="0"/>
      <w:marRight w:val="0"/>
      <w:marTop w:val="0"/>
      <w:marBottom w:val="0"/>
      <w:divBdr>
        <w:top w:val="none" w:sz="0" w:space="0" w:color="auto"/>
        <w:left w:val="none" w:sz="0" w:space="0" w:color="auto"/>
        <w:bottom w:val="none" w:sz="0" w:space="0" w:color="auto"/>
        <w:right w:val="none" w:sz="0" w:space="0" w:color="auto"/>
      </w:divBdr>
    </w:div>
    <w:div w:id="269750385">
      <w:bodyDiv w:val="1"/>
      <w:marLeft w:val="0"/>
      <w:marRight w:val="0"/>
      <w:marTop w:val="0"/>
      <w:marBottom w:val="0"/>
      <w:divBdr>
        <w:top w:val="none" w:sz="0" w:space="0" w:color="auto"/>
        <w:left w:val="none" w:sz="0" w:space="0" w:color="auto"/>
        <w:bottom w:val="none" w:sz="0" w:space="0" w:color="auto"/>
        <w:right w:val="none" w:sz="0" w:space="0" w:color="auto"/>
      </w:divBdr>
    </w:div>
    <w:div w:id="280301833">
      <w:bodyDiv w:val="1"/>
      <w:marLeft w:val="0"/>
      <w:marRight w:val="0"/>
      <w:marTop w:val="0"/>
      <w:marBottom w:val="0"/>
      <w:divBdr>
        <w:top w:val="none" w:sz="0" w:space="0" w:color="auto"/>
        <w:left w:val="none" w:sz="0" w:space="0" w:color="auto"/>
        <w:bottom w:val="none" w:sz="0" w:space="0" w:color="auto"/>
        <w:right w:val="none" w:sz="0" w:space="0" w:color="auto"/>
      </w:divBdr>
    </w:div>
    <w:div w:id="297229710">
      <w:bodyDiv w:val="1"/>
      <w:marLeft w:val="0"/>
      <w:marRight w:val="0"/>
      <w:marTop w:val="0"/>
      <w:marBottom w:val="0"/>
      <w:divBdr>
        <w:top w:val="none" w:sz="0" w:space="0" w:color="auto"/>
        <w:left w:val="none" w:sz="0" w:space="0" w:color="auto"/>
        <w:bottom w:val="none" w:sz="0" w:space="0" w:color="auto"/>
        <w:right w:val="none" w:sz="0" w:space="0" w:color="auto"/>
      </w:divBdr>
    </w:div>
    <w:div w:id="313026232">
      <w:bodyDiv w:val="1"/>
      <w:marLeft w:val="0"/>
      <w:marRight w:val="0"/>
      <w:marTop w:val="0"/>
      <w:marBottom w:val="0"/>
      <w:divBdr>
        <w:top w:val="none" w:sz="0" w:space="0" w:color="auto"/>
        <w:left w:val="none" w:sz="0" w:space="0" w:color="auto"/>
        <w:bottom w:val="none" w:sz="0" w:space="0" w:color="auto"/>
        <w:right w:val="none" w:sz="0" w:space="0" w:color="auto"/>
      </w:divBdr>
    </w:div>
    <w:div w:id="322701194">
      <w:bodyDiv w:val="1"/>
      <w:marLeft w:val="0"/>
      <w:marRight w:val="0"/>
      <w:marTop w:val="0"/>
      <w:marBottom w:val="0"/>
      <w:divBdr>
        <w:top w:val="none" w:sz="0" w:space="0" w:color="auto"/>
        <w:left w:val="none" w:sz="0" w:space="0" w:color="auto"/>
        <w:bottom w:val="none" w:sz="0" w:space="0" w:color="auto"/>
        <w:right w:val="none" w:sz="0" w:space="0" w:color="auto"/>
      </w:divBdr>
    </w:div>
    <w:div w:id="342440778">
      <w:bodyDiv w:val="1"/>
      <w:marLeft w:val="0"/>
      <w:marRight w:val="0"/>
      <w:marTop w:val="0"/>
      <w:marBottom w:val="0"/>
      <w:divBdr>
        <w:top w:val="none" w:sz="0" w:space="0" w:color="auto"/>
        <w:left w:val="none" w:sz="0" w:space="0" w:color="auto"/>
        <w:bottom w:val="none" w:sz="0" w:space="0" w:color="auto"/>
        <w:right w:val="none" w:sz="0" w:space="0" w:color="auto"/>
      </w:divBdr>
    </w:div>
    <w:div w:id="342560388">
      <w:bodyDiv w:val="1"/>
      <w:marLeft w:val="0"/>
      <w:marRight w:val="0"/>
      <w:marTop w:val="0"/>
      <w:marBottom w:val="0"/>
      <w:divBdr>
        <w:top w:val="none" w:sz="0" w:space="0" w:color="auto"/>
        <w:left w:val="none" w:sz="0" w:space="0" w:color="auto"/>
        <w:bottom w:val="none" w:sz="0" w:space="0" w:color="auto"/>
        <w:right w:val="none" w:sz="0" w:space="0" w:color="auto"/>
      </w:divBdr>
    </w:div>
    <w:div w:id="351732734">
      <w:bodyDiv w:val="1"/>
      <w:marLeft w:val="0"/>
      <w:marRight w:val="0"/>
      <w:marTop w:val="0"/>
      <w:marBottom w:val="0"/>
      <w:divBdr>
        <w:top w:val="none" w:sz="0" w:space="0" w:color="auto"/>
        <w:left w:val="none" w:sz="0" w:space="0" w:color="auto"/>
        <w:bottom w:val="none" w:sz="0" w:space="0" w:color="auto"/>
        <w:right w:val="none" w:sz="0" w:space="0" w:color="auto"/>
      </w:divBdr>
    </w:div>
    <w:div w:id="352921859">
      <w:bodyDiv w:val="1"/>
      <w:marLeft w:val="0"/>
      <w:marRight w:val="0"/>
      <w:marTop w:val="0"/>
      <w:marBottom w:val="0"/>
      <w:divBdr>
        <w:top w:val="none" w:sz="0" w:space="0" w:color="auto"/>
        <w:left w:val="none" w:sz="0" w:space="0" w:color="auto"/>
        <w:bottom w:val="none" w:sz="0" w:space="0" w:color="auto"/>
        <w:right w:val="none" w:sz="0" w:space="0" w:color="auto"/>
      </w:divBdr>
      <w:divsChild>
        <w:div w:id="1100103578">
          <w:marLeft w:val="0"/>
          <w:marRight w:val="0"/>
          <w:marTop w:val="0"/>
          <w:marBottom w:val="0"/>
          <w:divBdr>
            <w:top w:val="none" w:sz="0" w:space="0" w:color="auto"/>
            <w:left w:val="none" w:sz="0" w:space="0" w:color="auto"/>
            <w:bottom w:val="none" w:sz="0" w:space="0" w:color="auto"/>
            <w:right w:val="none" w:sz="0" w:space="0" w:color="auto"/>
          </w:divBdr>
        </w:div>
      </w:divsChild>
    </w:div>
    <w:div w:id="366026481">
      <w:bodyDiv w:val="1"/>
      <w:marLeft w:val="0"/>
      <w:marRight w:val="0"/>
      <w:marTop w:val="0"/>
      <w:marBottom w:val="0"/>
      <w:divBdr>
        <w:top w:val="none" w:sz="0" w:space="0" w:color="auto"/>
        <w:left w:val="none" w:sz="0" w:space="0" w:color="auto"/>
        <w:bottom w:val="none" w:sz="0" w:space="0" w:color="auto"/>
        <w:right w:val="none" w:sz="0" w:space="0" w:color="auto"/>
      </w:divBdr>
    </w:div>
    <w:div w:id="382950638">
      <w:bodyDiv w:val="1"/>
      <w:marLeft w:val="0"/>
      <w:marRight w:val="0"/>
      <w:marTop w:val="0"/>
      <w:marBottom w:val="0"/>
      <w:divBdr>
        <w:top w:val="none" w:sz="0" w:space="0" w:color="auto"/>
        <w:left w:val="none" w:sz="0" w:space="0" w:color="auto"/>
        <w:bottom w:val="none" w:sz="0" w:space="0" w:color="auto"/>
        <w:right w:val="none" w:sz="0" w:space="0" w:color="auto"/>
      </w:divBdr>
    </w:div>
    <w:div w:id="395206293">
      <w:bodyDiv w:val="1"/>
      <w:marLeft w:val="0"/>
      <w:marRight w:val="0"/>
      <w:marTop w:val="0"/>
      <w:marBottom w:val="0"/>
      <w:divBdr>
        <w:top w:val="none" w:sz="0" w:space="0" w:color="auto"/>
        <w:left w:val="none" w:sz="0" w:space="0" w:color="auto"/>
        <w:bottom w:val="none" w:sz="0" w:space="0" w:color="auto"/>
        <w:right w:val="none" w:sz="0" w:space="0" w:color="auto"/>
      </w:divBdr>
    </w:div>
    <w:div w:id="404493562">
      <w:bodyDiv w:val="1"/>
      <w:marLeft w:val="0"/>
      <w:marRight w:val="0"/>
      <w:marTop w:val="0"/>
      <w:marBottom w:val="0"/>
      <w:divBdr>
        <w:top w:val="none" w:sz="0" w:space="0" w:color="auto"/>
        <w:left w:val="none" w:sz="0" w:space="0" w:color="auto"/>
        <w:bottom w:val="none" w:sz="0" w:space="0" w:color="auto"/>
        <w:right w:val="none" w:sz="0" w:space="0" w:color="auto"/>
      </w:divBdr>
    </w:div>
    <w:div w:id="416098019">
      <w:bodyDiv w:val="1"/>
      <w:marLeft w:val="0"/>
      <w:marRight w:val="0"/>
      <w:marTop w:val="0"/>
      <w:marBottom w:val="0"/>
      <w:divBdr>
        <w:top w:val="none" w:sz="0" w:space="0" w:color="auto"/>
        <w:left w:val="none" w:sz="0" w:space="0" w:color="auto"/>
        <w:bottom w:val="none" w:sz="0" w:space="0" w:color="auto"/>
        <w:right w:val="none" w:sz="0" w:space="0" w:color="auto"/>
      </w:divBdr>
    </w:div>
    <w:div w:id="417210950">
      <w:bodyDiv w:val="1"/>
      <w:marLeft w:val="0"/>
      <w:marRight w:val="0"/>
      <w:marTop w:val="0"/>
      <w:marBottom w:val="0"/>
      <w:divBdr>
        <w:top w:val="none" w:sz="0" w:space="0" w:color="auto"/>
        <w:left w:val="none" w:sz="0" w:space="0" w:color="auto"/>
        <w:bottom w:val="none" w:sz="0" w:space="0" w:color="auto"/>
        <w:right w:val="none" w:sz="0" w:space="0" w:color="auto"/>
      </w:divBdr>
    </w:div>
    <w:div w:id="437215816">
      <w:bodyDiv w:val="1"/>
      <w:marLeft w:val="0"/>
      <w:marRight w:val="0"/>
      <w:marTop w:val="0"/>
      <w:marBottom w:val="0"/>
      <w:divBdr>
        <w:top w:val="none" w:sz="0" w:space="0" w:color="auto"/>
        <w:left w:val="none" w:sz="0" w:space="0" w:color="auto"/>
        <w:bottom w:val="none" w:sz="0" w:space="0" w:color="auto"/>
        <w:right w:val="none" w:sz="0" w:space="0" w:color="auto"/>
      </w:divBdr>
    </w:div>
    <w:div w:id="441532484">
      <w:bodyDiv w:val="1"/>
      <w:marLeft w:val="0"/>
      <w:marRight w:val="0"/>
      <w:marTop w:val="0"/>
      <w:marBottom w:val="0"/>
      <w:divBdr>
        <w:top w:val="none" w:sz="0" w:space="0" w:color="auto"/>
        <w:left w:val="none" w:sz="0" w:space="0" w:color="auto"/>
        <w:bottom w:val="none" w:sz="0" w:space="0" w:color="auto"/>
        <w:right w:val="none" w:sz="0" w:space="0" w:color="auto"/>
      </w:divBdr>
    </w:div>
    <w:div w:id="454176506">
      <w:bodyDiv w:val="1"/>
      <w:marLeft w:val="0"/>
      <w:marRight w:val="0"/>
      <w:marTop w:val="0"/>
      <w:marBottom w:val="0"/>
      <w:divBdr>
        <w:top w:val="none" w:sz="0" w:space="0" w:color="auto"/>
        <w:left w:val="none" w:sz="0" w:space="0" w:color="auto"/>
        <w:bottom w:val="none" w:sz="0" w:space="0" w:color="auto"/>
        <w:right w:val="none" w:sz="0" w:space="0" w:color="auto"/>
      </w:divBdr>
    </w:div>
    <w:div w:id="460684633">
      <w:bodyDiv w:val="1"/>
      <w:marLeft w:val="0"/>
      <w:marRight w:val="0"/>
      <w:marTop w:val="0"/>
      <w:marBottom w:val="0"/>
      <w:divBdr>
        <w:top w:val="none" w:sz="0" w:space="0" w:color="auto"/>
        <w:left w:val="none" w:sz="0" w:space="0" w:color="auto"/>
        <w:bottom w:val="none" w:sz="0" w:space="0" w:color="auto"/>
        <w:right w:val="none" w:sz="0" w:space="0" w:color="auto"/>
      </w:divBdr>
    </w:div>
    <w:div w:id="510527064">
      <w:bodyDiv w:val="1"/>
      <w:marLeft w:val="0"/>
      <w:marRight w:val="0"/>
      <w:marTop w:val="0"/>
      <w:marBottom w:val="0"/>
      <w:divBdr>
        <w:top w:val="none" w:sz="0" w:space="0" w:color="auto"/>
        <w:left w:val="none" w:sz="0" w:space="0" w:color="auto"/>
        <w:bottom w:val="none" w:sz="0" w:space="0" w:color="auto"/>
        <w:right w:val="none" w:sz="0" w:space="0" w:color="auto"/>
      </w:divBdr>
    </w:div>
    <w:div w:id="513961371">
      <w:bodyDiv w:val="1"/>
      <w:marLeft w:val="0"/>
      <w:marRight w:val="0"/>
      <w:marTop w:val="0"/>
      <w:marBottom w:val="0"/>
      <w:divBdr>
        <w:top w:val="none" w:sz="0" w:space="0" w:color="auto"/>
        <w:left w:val="none" w:sz="0" w:space="0" w:color="auto"/>
        <w:bottom w:val="none" w:sz="0" w:space="0" w:color="auto"/>
        <w:right w:val="none" w:sz="0" w:space="0" w:color="auto"/>
      </w:divBdr>
    </w:div>
    <w:div w:id="518277259">
      <w:bodyDiv w:val="1"/>
      <w:marLeft w:val="0"/>
      <w:marRight w:val="0"/>
      <w:marTop w:val="0"/>
      <w:marBottom w:val="0"/>
      <w:divBdr>
        <w:top w:val="none" w:sz="0" w:space="0" w:color="auto"/>
        <w:left w:val="none" w:sz="0" w:space="0" w:color="auto"/>
        <w:bottom w:val="none" w:sz="0" w:space="0" w:color="auto"/>
        <w:right w:val="none" w:sz="0" w:space="0" w:color="auto"/>
      </w:divBdr>
      <w:divsChild>
        <w:div w:id="1209338928">
          <w:marLeft w:val="0"/>
          <w:marRight w:val="0"/>
          <w:marTop w:val="0"/>
          <w:marBottom w:val="0"/>
          <w:divBdr>
            <w:top w:val="none" w:sz="0" w:space="0" w:color="auto"/>
            <w:left w:val="none" w:sz="0" w:space="0" w:color="auto"/>
            <w:bottom w:val="none" w:sz="0" w:space="0" w:color="auto"/>
            <w:right w:val="none" w:sz="0" w:space="0" w:color="auto"/>
          </w:divBdr>
        </w:div>
      </w:divsChild>
    </w:div>
    <w:div w:id="520511258">
      <w:bodyDiv w:val="1"/>
      <w:marLeft w:val="0"/>
      <w:marRight w:val="0"/>
      <w:marTop w:val="0"/>
      <w:marBottom w:val="0"/>
      <w:divBdr>
        <w:top w:val="none" w:sz="0" w:space="0" w:color="auto"/>
        <w:left w:val="none" w:sz="0" w:space="0" w:color="auto"/>
        <w:bottom w:val="none" w:sz="0" w:space="0" w:color="auto"/>
        <w:right w:val="none" w:sz="0" w:space="0" w:color="auto"/>
      </w:divBdr>
    </w:div>
    <w:div w:id="556402944">
      <w:bodyDiv w:val="1"/>
      <w:marLeft w:val="0"/>
      <w:marRight w:val="0"/>
      <w:marTop w:val="0"/>
      <w:marBottom w:val="0"/>
      <w:divBdr>
        <w:top w:val="none" w:sz="0" w:space="0" w:color="auto"/>
        <w:left w:val="none" w:sz="0" w:space="0" w:color="auto"/>
        <w:bottom w:val="none" w:sz="0" w:space="0" w:color="auto"/>
        <w:right w:val="none" w:sz="0" w:space="0" w:color="auto"/>
      </w:divBdr>
    </w:div>
    <w:div w:id="568417857">
      <w:bodyDiv w:val="1"/>
      <w:marLeft w:val="0"/>
      <w:marRight w:val="0"/>
      <w:marTop w:val="0"/>
      <w:marBottom w:val="0"/>
      <w:divBdr>
        <w:top w:val="none" w:sz="0" w:space="0" w:color="auto"/>
        <w:left w:val="none" w:sz="0" w:space="0" w:color="auto"/>
        <w:bottom w:val="none" w:sz="0" w:space="0" w:color="auto"/>
        <w:right w:val="none" w:sz="0" w:space="0" w:color="auto"/>
      </w:divBdr>
    </w:div>
    <w:div w:id="605314432">
      <w:bodyDiv w:val="1"/>
      <w:marLeft w:val="0"/>
      <w:marRight w:val="0"/>
      <w:marTop w:val="0"/>
      <w:marBottom w:val="0"/>
      <w:divBdr>
        <w:top w:val="none" w:sz="0" w:space="0" w:color="auto"/>
        <w:left w:val="none" w:sz="0" w:space="0" w:color="auto"/>
        <w:bottom w:val="none" w:sz="0" w:space="0" w:color="auto"/>
        <w:right w:val="none" w:sz="0" w:space="0" w:color="auto"/>
      </w:divBdr>
    </w:div>
    <w:div w:id="606930677">
      <w:bodyDiv w:val="1"/>
      <w:marLeft w:val="0"/>
      <w:marRight w:val="0"/>
      <w:marTop w:val="0"/>
      <w:marBottom w:val="0"/>
      <w:divBdr>
        <w:top w:val="none" w:sz="0" w:space="0" w:color="auto"/>
        <w:left w:val="none" w:sz="0" w:space="0" w:color="auto"/>
        <w:bottom w:val="none" w:sz="0" w:space="0" w:color="auto"/>
        <w:right w:val="none" w:sz="0" w:space="0" w:color="auto"/>
      </w:divBdr>
    </w:div>
    <w:div w:id="615717565">
      <w:bodyDiv w:val="1"/>
      <w:marLeft w:val="0"/>
      <w:marRight w:val="0"/>
      <w:marTop w:val="0"/>
      <w:marBottom w:val="0"/>
      <w:divBdr>
        <w:top w:val="none" w:sz="0" w:space="0" w:color="auto"/>
        <w:left w:val="none" w:sz="0" w:space="0" w:color="auto"/>
        <w:bottom w:val="none" w:sz="0" w:space="0" w:color="auto"/>
        <w:right w:val="none" w:sz="0" w:space="0" w:color="auto"/>
      </w:divBdr>
    </w:div>
    <w:div w:id="619073820">
      <w:bodyDiv w:val="1"/>
      <w:marLeft w:val="0"/>
      <w:marRight w:val="0"/>
      <w:marTop w:val="0"/>
      <w:marBottom w:val="0"/>
      <w:divBdr>
        <w:top w:val="none" w:sz="0" w:space="0" w:color="auto"/>
        <w:left w:val="none" w:sz="0" w:space="0" w:color="auto"/>
        <w:bottom w:val="none" w:sz="0" w:space="0" w:color="auto"/>
        <w:right w:val="none" w:sz="0" w:space="0" w:color="auto"/>
      </w:divBdr>
    </w:div>
    <w:div w:id="658465964">
      <w:bodyDiv w:val="1"/>
      <w:marLeft w:val="0"/>
      <w:marRight w:val="0"/>
      <w:marTop w:val="0"/>
      <w:marBottom w:val="0"/>
      <w:divBdr>
        <w:top w:val="none" w:sz="0" w:space="0" w:color="auto"/>
        <w:left w:val="none" w:sz="0" w:space="0" w:color="auto"/>
        <w:bottom w:val="none" w:sz="0" w:space="0" w:color="auto"/>
        <w:right w:val="none" w:sz="0" w:space="0" w:color="auto"/>
      </w:divBdr>
    </w:div>
    <w:div w:id="673605900">
      <w:bodyDiv w:val="1"/>
      <w:marLeft w:val="0"/>
      <w:marRight w:val="0"/>
      <w:marTop w:val="0"/>
      <w:marBottom w:val="0"/>
      <w:divBdr>
        <w:top w:val="none" w:sz="0" w:space="0" w:color="auto"/>
        <w:left w:val="none" w:sz="0" w:space="0" w:color="auto"/>
        <w:bottom w:val="none" w:sz="0" w:space="0" w:color="auto"/>
        <w:right w:val="none" w:sz="0" w:space="0" w:color="auto"/>
      </w:divBdr>
    </w:div>
    <w:div w:id="687099302">
      <w:bodyDiv w:val="1"/>
      <w:marLeft w:val="0"/>
      <w:marRight w:val="0"/>
      <w:marTop w:val="0"/>
      <w:marBottom w:val="0"/>
      <w:divBdr>
        <w:top w:val="none" w:sz="0" w:space="0" w:color="auto"/>
        <w:left w:val="none" w:sz="0" w:space="0" w:color="auto"/>
        <w:bottom w:val="none" w:sz="0" w:space="0" w:color="auto"/>
        <w:right w:val="none" w:sz="0" w:space="0" w:color="auto"/>
      </w:divBdr>
      <w:divsChild>
        <w:div w:id="1540429980">
          <w:marLeft w:val="0"/>
          <w:marRight w:val="0"/>
          <w:marTop w:val="0"/>
          <w:marBottom w:val="0"/>
          <w:divBdr>
            <w:top w:val="none" w:sz="0" w:space="0" w:color="auto"/>
            <w:left w:val="none" w:sz="0" w:space="0" w:color="auto"/>
            <w:bottom w:val="none" w:sz="0" w:space="0" w:color="auto"/>
            <w:right w:val="none" w:sz="0" w:space="0" w:color="auto"/>
          </w:divBdr>
        </w:div>
      </w:divsChild>
    </w:div>
    <w:div w:id="687831528">
      <w:bodyDiv w:val="1"/>
      <w:marLeft w:val="0"/>
      <w:marRight w:val="0"/>
      <w:marTop w:val="0"/>
      <w:marBottom w:val="0"/>
      <w:divBdr>
        <w:top w:val="none" w:sz="0" w:space="0" w:color="auto"/>
        <w:left w:val="none" w:sz="0" w:space="0" w:color="auto"/>
        <w:bottom w:val="none" w:sz="0" w:space="0" w:color="auto"/>
        <w:right w:val="none" w:sz="0" w:space="0" w:color="auto"/>
      </w:divBdr>
    </w:div>
    <w:div w:id="710302958">
      <w:bodyDiv w:val="1"/>
      <w:marLeft w:val="0"/>
      <w:marRight w:val="0"/>
      <w:marTop w:val="0"/>
      <w:marBottom w:val="0"/>
      <w:divBdr>
        <w:top w:val="none" w:sz="0" w:space="0" w:color="auto"/>
        <w:left w:val="none" w:sz="0" w:space="0" w:color="auto"/>
        <w:bottom w:val="none" w:sz="0" w:space="0" w:color="auto"/>
        <w:right w:val="none" w:sz="0" w:space="0" w:color="auto"/>
      </w:divBdr>
      <w:divsChild>
        <w:div w:id="590703504">
          <w:marLeft w:val="0"/>
          <w:marRight w:val="0"/>
          <w:marTop w:val="0"/>
          <w:marBottom w:val="0"/>
          <w:divBdr>
            <w:top w:val="none" w:sz="0" w:space="0" w:color="auto"/>
            <w:left w:val="none" w:sz="0" w:space="0" w:color="auto"/>
            <w:bottom w:val="none" w:sz="0" w:space="0" w:color="auto"/>
            <w:right w:val="none" w:sz="0" w:space="0" w:color="auto"/>
          </w:divBdr>
        </w:div>
      </w:divsChild>
    </w:div>
    <w:div w:id="713315212">
      <w:bodyDiv w:val="1"/>
      <w:marLeft w:val="0"/>
      <w:marRight w:val="0"/>
      <w:marTop w:val="0"/>
      <w:marBottom w:val="0"/>
      <w:divBdr>
        <w:top w:val="none" w:sz="0" w:space="0" w:color="auto"/>
        <w:left w:val="none" w:sz="0" w:space="0" w:color="auto"/>
        <w:bottom w:val="none" w:sz="0" w:space="0" w:color="auto"/>
        <w:right w:val="none" w:sz="0" w:space="0" w:color="auto"/>
      </w:divBdr>
    </w:div>
    <w:div w:id="723334616">
      <w:bodyDiv w:val="1"/>
      <w:marLeft w:val="0"/>
      <w:marRight w:val="0"/>
      <w:marTop w:val="0"/>
      <w:marBottom w:val="0"/>
      <w:divBdr>
        <w:top w:val="none" w:sz="0" w:space="0" w:color="auto"/>
        <w:left w:val="none" w:sz="0" w:space="0" w:color="auto"/>
        <w:bottom w:val="none" w:sz="0" w:space="0" w:color="auto"/>
        <w:right w:val="none" w:sz="0" w:space="0" w:color="auto"/>
      </w:divBdr>
    </w:div>
    <w:div w:id="746611683">
      <w:bodyDiv w:val="1"/>
      <w:marLeft w:val="0"/>
      <w:marRight w:val="0"/>
      <w:marTop w:val="0"/>
      <w:marBottom w:val="0"/>
      <w:divBdr>
        <w:top w:val="none" w:sz="0" w:space="0" w:color="auto"/>
        <w:left w:val="none" w:sz="0" w:space="0" w:color="auto"/>
        <w:bottom w:val="none" w:sz="0" w:space="0" w:color="auto"/>
        <w:right w:val="none" w:sz="0" w:space="0" w:color="auto"/>
      </w:divBdr>
    </w:div>
    <w:div w:id="765885660">
      <w:bodyDiv w:val="1"/>
      <w:marLeft w:val="0"/>
      <w:marRight w:val="0"/>
      <w:marTop w:val="0"/>
      <w:marBottom w:val="0"/>
      <w:divBdr>
        <w:top w:val="none" w:sz="0" w:space="0" w:color="auto"/>
        <w:left w:val="none" w:sz="0" w:space="0" w:color="auto"/>
        <w:bottom w:val="none" w:sz="0" w:space="0" w:color="auto"/>
        <w:right w:val="none" w:sz="0" w:space="0" w:color="auto"/>
      </w:divBdr>
    </w:div>
    <w:div w:id="768236005">
      <w:bodyDiv w:val="1"/>
      <w:marLeft w:val="0"/>
      <w:marRight w:val="0"/>
      <w:marTop w:val="0"/>
      <w:marBottom w:val="0"/>
      <w:divBdr>
        <w:top w:val="none" w:sz="0" w:space="0" w:color="auto"/>
        <w:left w:val="none" w:sz="0" w:space="0" w:color="auto"/>
        <w:bottom w:val="none" w:sz="0" w:space="0" w:color="auto"/>
        <w:right w:val="none" w:sz="0" w:space="0" w:color="auto"/>
      </w:divBdr>
    </w:div>
    <w:div w:id="776368606">
      <w:bodyDiv w:val="1"/>
      <w:marLeft w:val="0"/>
      <w:marRight w:val="0"/>
      <w:marTop w:val="0"/>
      <w:marBottom w:val="0"/>
      <w:divBdr>
        <w:top w:val="none" w:sz="0" w:space="0" w:color="auto"/>
        <w:left w:val="none" w:sz="0" w:space="0" w:color="auto"/>
        <w:bottom w:val="none" w:sz="0" w:space="0" w:color="auto"/>
        <w:right w:val="none" w:sz="0" w:space="0" w:color="auto"/>
      </w:divBdr>
    </w:div>
    <w:div w:id="776414140">
      <w:bodyDiv w:val="1"/>
      <w:marLeft w:val="0"/>
      <w:marRight w:val="0"/>
      <w:marTop w:val="0"/>
      <w:marBottom w:val="0"/>
      <w:divBdr>
        <w:top w:val="none" w:sz="0" w:space="0" w:color="auto"/>
        <w:left w:val="none" w:sz="0" w:space="0" w:color="auto"/>
        <w:bottom w:val="none" w:sz="0" w:space="0" w:color="auto"/>
        <w:right w:val="none" w:sz="0" w:space="0" w:color="auto"/>
      </w:divBdr>
    </w:div>
    <w:div w:id="776632902">
      <w:bodyDiv w:val="1"/>
      <w:marLeft w:val="0"/>
      <w:marRight w:val="0"/>
      <w:marTop w:val="0"/>
      <w:marBottom w:val="0"/>
      <w:divBdr>
        <w:top w:val="none" w:sz="0" w:space="0" w:color="auto"/>
        <w:left w:val="none" w:sz="0" w:space="0" w:color="auto"/>
        <w:bottom w:val="none" w:sz="0" w:space="0" w:color="auto"/>
        <w:right w:val="none" w:sz="0" w:space="0" w:color="auto"/>
      </w:divBdr>
    </w:div>
    <w:div w:id="789938130">
      <w:bodyDiv w:val="1"/>
      <w:marLeft w:val="0"/>
      <w:marRight w:val="0"/>
      <w:marTop w:val="0"/>
      <w:marBottom w:val="0"/>
      <w:divBdr>
        <w:top w:val="none" w:sz="0" w:space="0" w:color="auto"/>
        <w:left w:val="none" w:sz="0" w:space="0" w:color="auto"/>
        <w:bottom w:val="none" w:sz="0" w:space="0" w:color="auto"/>
        <w:right w:val="none" w:sz="0" w:space="0" w:color="auto"/>
      </w:divBdr>
    </w:div>
    <w:div w:id="809707364">
      <w:bodyDiv w:val="1"/>
      <w:marLeft w:val="0"/>
      <w:marRight w:val="0"/>
      <w:marTop w:val="0"/>
      <w:marBottom w:val="0"/>
      <w:divBdr>
        <w:top w:val="none" w:sz="0" w:space="0" w:color="auto"/>
        <w:left w:val="none" w:sz="0" w:space="0" w:color="auto"/>
        <w:bottom w:val="none" w:sz="0" w:space="0" w:color="auto"/>
        <w:right w:val="none" w:sz="0" w:space="0" w:color="auto"/>
      </w:divBdr>
    </w:div>
    <w:div w:id="949824284">
      <w:bodyDiv w:val="1"/>
      <w:marLeft w:val="0"/>
      <w:marRight w:val="0"/>
      <w:marTop w:val="0"/>
      <w:marBottom w:val="0"/>
      <w:divBdr>
        <w:top w:val="none" w:sz="0" w:space="0" w:color="auto"/>
        <w:left w:val="none" w:sz="0" w:space="0" w:color="auto"/>
        <w:bottom w:val="none" w:sz="0" w:space="0" w:color="auto"/>
        <w:right w:val="none" w:sz="0" w:space="0" w:color="auto"/>
      </w:divBdr>
    </w:div>
    <w:div w:id="985090899">
      <w:bodyDiv w:val="1"/>
      <w:marLeft w:val="0"/>
      <w:marRight w:val="0"/>
      <w:marTop w:val="0"/>
      <w:marBottom w:val="0"/>
      <w:divBdr>
        <w:top w:val="none" w:sz="0" w:space="0" w:color="auto"/>
        <w:left w:val="none" w:sz="0" w:space="0" w:color="auto"/>
        <w:bottom w:val="none" w:sz="0" w:space="0" w:color="auto"/>
        <w:right w:val="none" w:sz="0" w:space="0" w:color="auto"/>
      </w:divBdr>
    </w:div>
    <w:div w:id="1002199449">
      <w:bodyDiv w:val="1"/>
      <w:marLeft w:val="0"/>
      <w:marRight w:val="0"/>
      <w:marTop w:val="0"/>
      <w:marBottom w:val="0"/>
      <w:divBdr>
        <w:top w:val="none" w:sz="0" w:space="0" w:color="auto"/>
        <w:left w:val="none" w:sz="0" w:space="0" w:color="auto"/>
        <w:bottom w:val="none" w:sz="0" w:space="0" w:color="auto"/>
        <w:right w:val="none" w:sz="0" w:space="0" w:color="auto"/>
      </w:divBdr>
    </w:div>
    <w:div w:id="1004894961">
      <w:bodyDiv w:val="1"/>
      <w:marLeft w:val="0"/>
      <w:marRight w:val="0"/>
      <w:marTop w:val="0"/>
      <w:marBottom w:val="0"/>
      <w:divBdr>
        <w:top w:val="none" w:sz="0" w:space="0" w:color="auto"/>
        <w:left w:val="none" w:sz="0" w:space="0" w:color="auto"/>
        <w:bottom w:val="none" w:sz="0" w:space="0" w:color="auto"/>
        <w:right w:val="none" w:sz="0" w:space="0" w:color="auto"/>
      </w:divBdr>
    </w:div>
    <w:div w:id="1006984153">
      <w:bodyDiv w:val="1"/>
      <w:marLeft w:val="0"/>
      <w:marRight w:val="0"/>
      <w:marTop w:val="0"/>
      <w:marBottom w:val="0"/>
      <w:divBdr>
        <w:top w:val="none" w:sz="0" w:space="0" w:color="auto"/>
        <w:left w:val="none" w:sz="0" w:space="0" w:color="auto"/>
        <w:bottom w:val="none" w:sz="0" w:space="0" w:color="auto"/>
        <w:right w:val="none" w:sz="0" w:space="0" w:color="auto"/>
      </w:divBdr>
    </w:div>
    <w:div w:id="1031421489">
      <w:bodyDiv w:val="1"/>
      <w:marLeft w:val="0"/>
      <w:marRight w:val="0"/>
      <w:marTop w:val="0"/>
      <w:marBottom w:val="0"/>
      <w:divBdr>
        <w:top w:val="none" w:sz="0" w:space="0" w:color="auto"/>
        <w:left w:val="none" w:sz="0" w:space="0" w:color="auto"/>
        <w:bottom w:val="none" w:sz="0" w:space="0" w:color="auto"/>
        <w:right w:val="none" w:sz="0" w:space="0" w:color="auto"/>
      </w:divBdr>
    </w:div>
    <w:div w:id="1061245510">
      <w:bodyDiv w:val="1"/>
      <w:marLeft w:val="0"/>
      <w:marRight w:val="0"/>
      <w:marTop w:val="0"/>
      <w:marBottom w:val="0"/>
      <w:divBdr>
        <w:top w:val="none" w:sz="0" w:space="0" w:color="auto"/>
        <w:left w:val="none" w:sz="0" w:space="0" w:color="auto"/>
        <w:bottom w:val="none" w:sz="0" w:space="0" w:color="auto"/>
        <w:right w:val="none" w:sz="0" w:space="0" w:color="auto"/>
      </w:divBdr>
    </w:div>
    <w:div w:id="1097599046">
      <w:bodyDiv w:val="1"/>
      <w:marLeft w:val="0"/>
      <w:marRight w:val="0"/>
      <w:marTop w:val="0"/>
      <w:marBottom w:val="0"/>
      <w:divBdr>
        <w:top w:val="none" w:sz="0" w:space="0" w:color="auto"/>
        <w:left w:val="none" w:sz="0" w:space="0" w:color="auto"/>
        <w:bottom w:val="none" w:sz="0" w:space="0" w:color="auto"/>
        <w:right w:val="none" w:sz="0" w:space="0" w:color="auto"/>
      </w:divBdr>
    </w:div>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 w:id="1132871964">
      <w:bodyDiv w:val="1"/>
      <w:marLeft w:val="0"/>
      <w:marRight w:val="0"/>
      <w:marTop w:val="0"/>
      <w:marBottom w:val="0"/>
      <w:divBdr>
        <w:top w:val="none" w:sz="0" w:space="0" w:color="auto"/>
        <w:left w:val="none" w:sz="0" w:space="0" w:color="auto"/>
        <w:bottom w:val="none" w:sz="0" w:space="0" w:color="auto"/>
        <w:right w:val="none" w:sz="0" w:space="0" w:color="auto"/>
      </w:divBdr>
      <w:divsChild>
        <w:div w:id="267858662">
          <w:marLeft w:val="0"/>
          <w:marRight w:val="0"/>
          <w:marTop w:val="0"/>
          <w:marBottom w:val="0"/>
          <w:divBdr>
            <w:top w:val="none" w:sz="0" w:space="0" w:color="auto"/>
            <w:left w:val="none" w:sz="0" w:space="0" w:color="auto"/>
            <w:bottom w:val="none" w:sz="0" w:space="0" w:color="auto"/>
            <w:right w:val="none" w:sz="0" w:space="0" w:color="auto"/>
          </w:divBdr>
        </w:div>
        <w:div w:id="634025678">
          <w:marLeft w:val="0"/>
          <w:marRight w:val="0"/>
          <w:marTop w:val="0"/>
          <w:marBottom w:val="0"/>
          <w:divBdr>
            <w:top w:val="none" w:sz="0" w:space="0" w:color="auto"/>
            <w:left w:val="none" w:sz="0" w:space="0" w:color="auto"/>
            <w:bottom w:val="none" w:sz="0" w:space="0" w:color="auto"/>
            <w:right w:val="none" w:sz="0" w:space="0" w:color="auto"/>
          </w:divBdr>
        </w:div>
        <w:div w:id="846751603">
          <w:marLeft w:val="0"/>
          <w:marRight w:val="0"/>
          <w:marTop w:val="0"/>
          <w:marBottom w:val="0"/>
          <w:divBdr>
            <w:top w:val="none" w:sz="0" w:space="0" w:color="auto"/>
            <w:left w:val="none" w:sz="0" w:space="0" w:color="auto"/>
            <w:bottom w:val="none" w:sz="0" w:space="0" w:color="auto"/>
            <w:right w:val="none" w:sz="0" w:space="0" w:color="auto"/>
          </w:divBdr>
        </w:div>
        <w:div w:id="867528169">
          <w:marLeft w:val="0"/>
          <w:marRight w:val="0"/>
          <w:marTop w:val="0"/>
          <w:marBottom w:val="0"/>
          <w:divBdr>
            <w:top w:val="none" w:sz="0" w:space="0" w:color="auto"/>
            <w:left w:val="none" w:sz="0" w:space="0" w:color="auto"/>
            <w:bottom w:val="none" w:sz="0" w:space="0" w:color="auto"/>
            <w:right w:val="none" w:sz="0" w:space="0" w:color="auto"/>
          </w:divBdr>
        </w:div>
        <w:div w:id="962734298">
          <w:marLeft w:val="0"/>
          <w:marRight w:val="0"/>
          <w:marTop w:val="0"/>
          <w:marBottom w:val="0"/>
          <w:divBdr>
            <w:top w:val="none" w:sz="0" w:space="0" w:color="auto"/>
            <w:left w:val="none" w:sz="0" w:space="0" w:color="auto"/>
            <w:bottom w:val="none" w:sz="0" w:space="0" w:color="auto"/>
            <w:right w:val="none" w:sz="0" w:space="0" w:color="auto"/>
          </w:divBdr>
        </w:div>
        <w:div w:id="1014646801">
          <w:marLeft w:val="0"/>
          <w:marRight w:val="0"/>
          <w:marTop w:val="0"/>
          <w:marBottom w:val="0"/>
          <w:divBdr>
            <w:top w:val="none" w:sz="0" w:space="0" w:color="auto"/>
            <w:left w:val="none" w:sz="0" w:space="0" w:color="auto"/>
            <w:bottom w:val="none" w:sz="0" w:space="0" w:color="auto"/>
            <w:right w:val="none" w:sz="0" w:space="0" w:color="auto"/>
          </w:divBdr>
        </w:div>
        <w:div w:id="1069881288">
          <w:marLeft w:val="0"/>
          <w:marRight w:val="0"/>
          <w:marTop w:val="0"/>
          <w:marBottom w:val="0"/>
          <w:divBdr>
            <w:top w:val="none" w:sz="0" w:space="0" w:color="auto"/>
            <w:left w:val="none" w:sz="0" w:space="0" w:color="auto"/>
            <w:bottom w:val="none" w:sz="0" w:space="0" w:color="auto"/>
            <w:right w:val="none" w:sz="0" w:space="0" w:color="auto"/>
          </w:divBdr>
        </w:div>
        <w:div w:id="1157964721">
          <w:marLeft w:val="0"/>
          <w:marRight w:val="0"/>
          <w:marTop w:val="0"/>
          <w:marBottom w:val="0"/>
          <w:divBdr>
            <w:top w:val="none" w:sz="0" w:space="0" w:color="auto"/>
            <w:left w:val="none" w:sz="0" w:space="0" w:color="auto"/>
            <w:bottom w:val="none" w:sz="0" w:space="0" w:color="auto"/>
            <w:right w:val="none" w:sz="0" w:space="0" w:color="auto"/>
          </w:divBdr>
        </w:div>
        <w:div w:id="1260408204">
          <w:marLeft w:val="0"/>
          <w:marRight w:val="0"/>
          <w:marTop w:val="0"/>
          <w:marBottom w:val="0"/>
          <w:divBdr>
            <w:top w:val="none" w:sz="0" w:space="0" w:color="auto"/>
            <w:left w:val="none" w:sz="0" w:space="0" w:color="auto"/>
            <w:bottom w:val="none" w:sz="0" w:space="0" w:color="auto"/>
            <w:right w:val="none" w:sz="0" w:space="0" w:color="auto"/>
          </w:divBdr>
        </w:div>
        <w:div w:id="1267154403">
          <w:marLeft w:val="0"/>
          <w:marRight w:val="0"/>
          <w:marTop w:val="0"/>
          <w:marBottom w:val="0"/>
          <w:divBdr>
            <w:top w:val="none" w:sz="0" w:space="0" w:color="auto"/>
            <w:left w:val="none" w:sz="0" w:space="0" w:color="auto"/>
            <w:bottom w:val="none" w:sz="0" w:space="0" w:color="auto"/>
            <w:right w:val="none" w:sz="0" w:space="0" w:color="auto"/>
          </w:divBdr>
        </w:div>
        <w:div w:id="1393192092">
          <w:marLeft w:val="0"/>
          <w:marRight w:val="0"/>
          <w:marTop w:val="0"/>
          <w:marBottom w:val="0"/>
          <w:divBdr>
            <w:top w:val="none" w:sz="0" w:space="0" w:color="auto"/>
            <w:left w:val="none" w:sz="0" w:space="0" w:color="auto"/>
            <w:bottom w:val="none" w:sz="0" w:space="0" w:color="auto"/>
            <w:right w:val="none" w:sz="0" w:space="0" w:color="auto"/>
          </w:divBdr>
        </w:div>
        <w:div w:id="1413426019">
          <w:marLeft w:val="0"/>
          <w:marRight w:val="0"/>
          <w:marTop w:val="0"/>
          <w:marBottom w:val="0"/>
          <w:divBdr>
            <w:top w:val="none" w:sz="0" w:space="0" w:color="auto"/>
            <w:left w:val="none" w:sz="0" w:space="0" w:color="auto"/>
            <w:bottom w:val="none" w:sz="0" w:space="0" w:color="auto"/>
            <w:right w:val="none" w:sz="0" w:space="0" w:color="auto"/>
          </w:divBdr>
        </w:div>
        <w:div w:id="1478260727">
          <w:marLeft w:val="0"/>
          <w:marRight w:val="0"/>
          <w:marTop w:val="0"/>
          <w:marBottom w:val="0"/>
          <w:divBdr>
            <w:top w:val="none" w:sz="0" w:space="0" w:color="auto"/>
            <w:left w:val="none" w:sz="0" w:space="0" w:color="auto"/>
            <w:bottom w:val="none" w:sz="0" w:space="0" w:color="auto"/>
            <w:right w:val="none" w:sz="0" w:space="0" w:color="auto"/>
          </w:divBdr>
        </w:div>
        <w:div w:id="1478837128">
          <w:marLeft w:val="0"/>
          <w:marRight w:val="0"/>
          <w:marTop w:val="0"/>
          <w:marBottom w:val="0"/>
          <w:divBdr>
            <w:top w:val="none" w:sz="0" w:space="0" w:color="auto"/>
            <w:left w:val="none" w:sz="0" w:space="0" w:color="auto"/>
            <w:bottom w:val="none" w:sz="0" w:space="0" w:color="auto"/>
            <w:right w:val="none" w:sz="0" w:space="0" w:color="auto"/>
          </w:divBdr>
        </w:div>
        <w:div w:id="1499736680">
          <w:marLeft w:val="0"/>
          <w:marRight w:val="0"/>
          <w:marTop w:val="0"/>
          <w:marBottom w:val="0"/>
          <w:divBdr>
            <w:top w:val="none" w:sz="0" w:space="0" w:color="auto"/>
            <w:left w:val="none" w:sz="0" w:space="0" w:color="auto"/>
            <w:bottom w:val="none" w:sz="0" w:space="0" w:color="auto"/>
            <w:right w:val="none" w:sz="0" w:space="0" w:color="auto"/>
          </w:divBdr>
        </w:div>
        <w:div w:id="1589731224">
          <w:marLeft w:val="0"/>
          <w:marRight w:val="0"/>
          <w:marTop w:val="0"/>
          <w:marBottom w:val="0"/>
          <w:divBdr>
            <w:top w:val="none" w:sz="0" w:space="0" w:color="auto"/>
            <w:left w:val="none" w:sz="0" w:space="0" w:color="auto"/>
            <w:bottom w:val="none" w:sz="0" w:space="0" w:color="auto"/>
            <w:right w:val="none" w:sz="0" w:space="0" w:color="auto"/>
          </w:divBdr>
        </w:div>
        <w:div w:id="1657802935">
          <w:marLeft w:val="0"/>
          <w:marRight w:val="0"/>
          <w:marTop w:val="0"/>
          <w:marBottom w:val="0"/>
          <w:divBdr>
            <w:top w:val="none" w:sz="0" w:space="0" w:color="auto"/>
            <w:left w:val="none" w:sz="0" w:space="0" w:color="auto"/>
            <w:bottom w:val="none" w:sz="0" w:space="0" w:color="auto"/>
            <w:right w:val="none" w:sz="0" w:space="0" w:color="auto"/>
          </w:divBdr>
        </w:div>
        <w:div w:id="1813522585">
          <w:marLeft w:val="0"/>
          <w:marRight w:val="0"/>
          <w:marTop w:val="0"/>
          <w:marBottom w:val="0"/>
          <w:divBdr>
            <w:top w:val="none" w:sz="0" w:space="0" w:color="auto"/>
            <w:left w:val="none" w:sz="0" w:space="0" w:color="auto"/>
            <w:bottom w:val="none" w:sz="0" w:space="0" w:color="auto"/>
            <w:right w:val="none" w:sz="0" w:space="0" w:color="auto"/>
          </w:divBdr>
        </w:div>
        <w:div w:id="1910114063">
          <w:marLeft w:val="0"/>
          <w:marRight w:val="0"/>
          <w:marTop w:val="0"/>
          <w:marBottom w:val="0"/>
          <w:divBdr>
            <w:top w:val="none" w:sz="0" w:space="0" w:color="auto"/>
            <w:left w:val="none" w:sz="0" w:space="0" w:color="auto"/>
            <w:bottom w:val="none" w:sz="0" w:space="0" w:color="auto"/>
            <w:right w:val="none" w:sz="0" w:space="0" w:color="auto"/>
          </w:divBdr>
        </w:div>
        <w:div w:id="2026901997">
          <w:marLeft w:val="0"/>
          <w:marRight w:val="0"/>
          <w:marTop w:val="0"/>
          <w:marBottom w:val="0"/>
          <w:divBdr>
            <w:top w:val="none" w:sz="0" w:space="0" w:color="auto"/>
            <w:left w:val="none" w:sz="0" w:space="0" w:color="auto"/>
            <w:bottom w:val="none" w:sz="0" w:space="0" w:color="auto"/>
            <w:right w:val="none" w:sz="0" w:space="0" w:color="auto"/>
          </w:divBdr>
        </w:div>
        <w:div w:id="2109495334">
          <w:marLeft w:val="0"/>
          <w:marRight w:val="0"/>
          <w:marTop w:val="0"/>
          <w:marBottom w:val="0"/>
          <w:divBdr>
            <w:top w:val="none" w:sz="0" w:space="0" w:color="auto"/>
            <w:left w:val="none" w:sz="0" w:space="0" w:color="auto"/>
            <w:bottom w:val="none" w:sz="0" w:space="0" w:color="auto"/>
            <w:right w:val="none" w:sz="0" w:space="0" w:color="auto"/>
          </w:divBdr>
        </w:div>
      </w:divsChild>
    </w:div>
    <w:div w:id="1138644926">
      <w:bodyDiv w:val="1"/>
      <w:marLeft w:val="0"/>
      <w:marRight w:val="0"/>
      <w:marTop w:val="0"/>
      <w:marBottom w:val="0"/>
      <w:divBdr>
        <w:top w:val="none" w:sz="0" w:space="0" w:color="auto"/>
        <w:left w:val="none" w:sz="0" w:space="0" w:color="auto"/>
        <w:bottom w:val="none" w:sz="0" w:space="0" w:color="auto"/>
        <w:right w:val="none" w:sz="0" w:space="0" w:color="auto"/>
      </w:divBdr>
    </w:div>
    <w:div w:id="1160001575">
      <w:bodyDiv w:val="1"/>
      <w:marLeft w:val="0"/>
      <w:marRight w:val="0"/>
      <w:marTop w:val="0"/>
      <w:marBottom w:val="0"/>
      <w:divBdr>
        <w:top w:val="none" w:sz="0" w:space="0" w:color="auto"/>
        <w:left w:val="none" w:sz="0" w:space="0" w:color="auto"/>
        <w:bottom w:val="none" w:sz="0" w:space="0" w:color="auto"/>
        <w:right w:val="none" w:sz="0" w:space="0" w:color="auto"/>
      </w:divBdr>
    </w:div>
    <w:div w:id="1162887879">
      <w:bodyDiv w:val="1"/>
      <w:marLeft w:val="0"/>
      <w:marRight w:val="0"/>
      <w:marTop w:val="0"/>
      <w:marBottom w:val="0"/>
      <w:divBdr>
        <w:top w:val="none" w:sz="0" w:space="0" w:color="auto"/>
        <w:left w:val="none" w:sz="0" w:space="0" w:color="auto"/>
        <w:bottom w:val="none" w:sz="0" w:space="0" w:color="auto"/>
        <w:right w:val="none" w:sz="0" w:space="0" w:color="auto"/>
      </w:divBdr>
    </w:div>
    <w:div w:id="1180772927">
      <w:bodyDiv w:val="1"/>
      <w:marLeft w:val="0"/>
      <w:marRight w:val="0"/>
      <w:marTop w:val="0"/>
      <w:marBottom w:val="0"/>
      <w:divBdr>
        <w:top w:val="none" w:sz="0" w:space="0" w:color="auto"/>
        <w:left w:val="none" w:sz="0" w:space="0" w:color="auto"/>
        <w:bottom w:val="none" w:sz="0" w:space="0" w:color="auto"/>
        <w:right w:val="none" w:sz="0" w:space="0" w:color="auto"/>
      </w:divBdr>
    </w:div>
    <w:div w:id="1218783372">
      <w:bodyDiv w:val="1"/>
      <w:marLeft w:val="0"/>
      <w:marRight w:val="0"/>
      <w:marTop w:val="0"/>
      <w:marBottom w:val="0"/>
      <w:divBdr>
        <w:top w:val="none" w:sz="0" w:space="0" w:color="auto"/>
        <w:left w:val="none" w:sz="0" w:space="0" w:color="auto"/>
        <w:bottom w:val="none" w:sz="0" w:space="0" w:color="auto"/>
        <w:right w:val="none" w:sz="0" w:space="0" w:color="auto"/>
      </w:divBdr>
      <w:divsChild>
        <w:div w:id="62065629">
          <w:marLeft w:val="0"/>
          <w:marRight w:val="0"/>
          <w:marTop w:val="0"/>
          <w:marBottom w:val="0"/>
          <w:divBdr>
            <w:top w:val="none" w:sz="0" w:space="0" w:color="auto"/>
            <w:left w:val="none" w:sz="0" w:space="0" w:color="auto"/>
            <w:bottom w:val="none" w:sz="0" w:space="0" w:color="auto"/>
            <w:right w:val="none" w:sz="0" w:space="0" w:color="auto"/>
          </w:divBdr>
        </w:div>
        <w:div w:id="245768815">
          <w:marLeft w:val="0"/>
          <w:marRight w:val="0"/>
          <w:marTop w:val="0"/>
          <w:marBottom w:val="0"/>
          <w:divBdr>
            <w:top w:val="none" w:sz="0" w:space="0" w:color="auto"/>
            <w:left w:val="none" w:sz="0" w:space="0" w:color="auto"/>
            <w:bottom w:val="none" w:sz="0" w:space="0" w:color="auto"/>
            <w:right w:val="none" w:sz="0" w:space="0" w:color="auto"/>
          </w:divBdr>
        </w:div>
        <w:div w:id="257832717">
          <w:marLeft w:val="0"/>
          <w:marRight w:val="0"/>
          <w:marTop w:val="0"/>
          <w:marBottom w:val="0"/>
          <w:divBdr>
            <w:top w:val="none" w:sz="0" w:space="0" w:color="auto"/>
            <w:left w:val="none" w:sz="0" w:space="0" w:color="auto"/>
            <w:bottom w:val="none" w:sz="0" w:space="0" w:color="auto"/>
            <w:right w:val="none" w:sz="0" w:space="0" w:color="auto"/>
          </w:divBdr>
        </w:div>
        <w:div w:id="397826050">
          <w:marLeft w:val="0"/>
          <w:marRight w:val="0"/>
          <w:marTop w:val="0"/>
          <w:marBottom w:val="0"/>
          <w:divBdr>
            <w:top w:val="none" w:sz="0" w:space="0" w:color="auto"/>
            <w:left w:val="none" w:sz="0" w:space="0" w:color="auto"/>
            <w:bottom w:val="none" w:sz="0" w:space="0" w:color="auto"/>
            <w:right w:val="none" w:sz="0" w:space="0" w:color="auto"/>
          </w:divBdr>
        </w:div>
        <w:div w:id="477459737">
          <w:marLeft w:val="0"/>
          <w:marRight w:val="0"/>
          <w:marTop w:val="0"/>
          <w:marBottom w:val="0"/>
          <w:divBdr>
            <w:top w:val="none" w:sz="0" w:space="0" w:color="auto"/>
            <w:left w:val="none" w:sz="0" w:space="0" w:color="auto"/>
            <w:bottom w:val="none" w:sz="0" w:space="0" w:color="auto"/>
            <w:right w:val="none" w:sz="0" w:space="0" w:color="auto"/>
          </w:divBdr>
        </w:div>
        <w:div w:id="529147408">
          <w:marLeft w:val="0"/>
          <w:marRight w:val="0"/>
          <w:marTop w:val="0"/>
          <w:marBottom w:val="0"/>
          <w:divBdr>
            <w:top w:val="none" w:sz="0" w:space="0" w:color="auto"/>
            <w:left w:val="none" w:sz="0" w:space="0" w:color="auto"/>
            <w:bottom w:val="none" w:sz="0" w:space="0" w:color="auto"/>
            <w:right w:val="none" w:sz="0" w:space="0" w:color="auto"/>
          </w:divBdr>
        </w:div>
        <w:div w:id="663167169">
          <w:marLeft w:val="0"/>
          <w:marRight w:val="0"/>
          <w:marTop w:val="0"/>
          <w:marBottom w:val="0"/>
          <w:divBdr>
            <w:top w:val="none" w:sz="0" w:space="0" w:color="auto"/>
            <w:left w:val="none" w:sz="0" w:space="0" w:color="auto"/>
            <w:bottom w:val="none" w:sz="0" w:space="0" w:color="auto"/>
            <w:right w:val="none" w:sz="0" w:space="0" w:color="auto"/>
          </w:divBdr>
        </w:div>
        <w:div w:id="786586730">
          <w:marLeft w:val="0"/>
          <w:marRight w:val="0"/>
          <w:marTop w:val="0"/>
          <w:marBottom w:val="0"/>
          <w:divBdr>
            <w:top w:val="none" w:sz="0" w:space="0" w:color="auto"/>
            <w:left w:val="none" w:sz="0" w:space="0" w:color="auto"/>
            <w:bottom w:val="none" w:sz="0" w:space="0" w:color="auto"/>
            <w:right w:val="none" w:sz="0" w:space="0" w:color="auto"/>
          </w:divBdr>
        </w:div>
        <w:div w:id="889728695">
          <w:marLeft w:val="0"/>
          <w:marRight w:val="0"/>
          <w:marTop w:val="0"/>
          <w:marBottom w:val="0"/>
          <w:divBdr>
            <w:top w:val="none" w:sz="0" w:space="0" w:color="auto"/>
            <w:left w:val="none" w:sz="0" w:space="0" w:color="auto"/>
            <w:bottom w:val="none" w:sz="0" w:space="0" w:color="auto"/>
            <w:right w:val="none" w:sz="0" w:space="0" w:color="auto"/>
          </w:divBdr>
        </w:div>
        <w:div w:id="929310300">
          <w:marLeft w:val="0"/>
          <w:marRight w:val="0"/>
          <w:marTop w:val="0"/>
          <w:marBottom w:val="0"/>
          <w:divBdr>
            <w:top w:val="none" w:sz="0" w:space="0" w:color="auto"/>
            <w:left w:val="none" w:sz="0" w:space="0" w:color="auto"/>
            <w:bottom w:val="none" w:sz="0" w:space="0" w:color="auto"/>
            <w:right w:val="none" w:sz="0" w:space="0" w:color="auto"/>
          </w:divBdr>
        </w:div>
        <w:div w:id="1124736714">
          <w:marLeft w:val="0"/>
          <w:marRight w:val="0"/>
          <w:marTop w:val="0"/>
          <w:marBottom w:val="0"/>
          <w:divBdr>
            <w:top w:val="none" w:sz="0" w:space="0" w:color="auto"/>
            <w:left w:val="none" w:sz="0" w:space="0" w:color="auto"/>
            <w:bottom w:val="none" w:sz="0" w:space="0" w:color="auto"/>
            <w:right w:val="none" w:sz="0" w:space="0" w:color="auto"/>
          </w:divBdr>
        </w:div>
        <w:div w:id="1194273221">
          <w:marLeft w:val="0"/>
          <w:marRight w:val="0"/>
          <w:marTop w:val="0"/>
          <w:marBottom w:val="0"/>
          <w:divBdr>
            <w:top w:val="none" w:sz="0" w:space="0" w:color="auto"/>
            <w:left w:val="none" w:sz="0" w:space="0" w:color="auto"/>
            <w:bottom w:val="none" w:sz="0" w:space="0" w:color="auto"/>
            <w:right w:val="none" w:sz="0" w:space="0" w:color="auto"/>
          </w:divBdr>
        </w:div>
        <w:div w:id="1530872202">
          <w:marLeft w:val="0"/>
          <w:marRight w:val="0"/>
          <w:marTop w:val="0"/>
          <w:marBottom w:val="0"/>
          <w:divBdr>
            <w:top w:val="none" w:sz="0" w:space="0" w:color="auto"/>
            <w:left w:val="none" w:sz="0" w:space="0" w:color="auto"/>
            <w:bottom w:val="none" w:sz="0" w:space="0" w:color="auto"/>
            <w:right w:val="none" w:sz="0" w:space="0" w:color="auto"/>
          </w:divBdr>
        </w:div>
        <w:div w:id="1548292954">
          <w:marLeft w:val="0"/>
          <w:marRight w:val="0"/>
          <w:marTop w:val="0"/>
          <w:marBottom w:val="0"/>
          <w:divBdr>
            <w:top w:val="none" w:sz="0" w:space="0" w:color="auto"/>
            <w:left w:val="none" w:sz="0" w:space="0" w:color="auto"/>
            <w:bottom w:val="none" w:sz="0" w:space="0" w:color="auto"/>
            <w:right w:val="none" w:sz="0" w:space="0" w:color="auto"/>
          </w:divBdr>
        </w:div>
        <w:div w:id="1603608986">
          <w:marLeft w:val="0"/>
          <w:marRight w:val="0"/>
          <w:marTop w:val="0"/>
          <w:marBottom w:val="0"/>
          <w:divBdr>
            <w:top w:val="none" w:sz="0" w:space="0" w:color="auto"/>
            <w:left w:val="none" w:sz="0" w:space="0" w:color="auto"/>
            <w:bottom w:val="none" w:sz="0" w:space="0" w:color="auto"/>
            <w:right w:val="none" w:sz="0" w:space="0" w:color="auto"/>
          </w:divBdr>
        </w:div>
        <w:div w:id="1728381948">
          <w:marLeft w:val="0"/>
          <w:marRight w:val="0"/>
          <w:marTop w:val="0"/>
          <w:marBottom w:val="0"/>
          <w:divBdr>
            <w:top w:val="none" w:sz="0" w:space="0" w:color="auto"/>
            <w:left w:val="none" w:sz="0" w:space="0" w:color="auto"/>
            <w:bottom w:val="none" w:sz="0" w:space="0" w:color="auto"/>
            <w:right w:val="none" w:sz="0" w:space="0" w:color="auto"/>
          </w:divBdr>
        </w:div>
        <w:div w:id="1747805195">
          <w:marLeft w:val="0"/>
          <w:marRight w:val="0"/>
          <w:marTop w:val="0"/>
          <w:marBottom w:val="0"/>
          <w:divBdr>
            <w:top w:val="none" w:sz="0" w:space="0" w:color="auto"/>
            <w:left w:val="none" w:sz="0" w:space="0" w:color="auto"/>
            <w:bottom w:val="none" w:sz="0" w:space="0" w:color="auto"/>
            <w:right w:val="none" w:sz="0" w:space="0" w:color="auto"/>
          </w:divBdr>
        </w:div>
        <w:div w:id="2027826931">
          <w:marLeft w:val="0"/>
          <w:marRight w:val="0"/>
          <w:marTop w:val="0"/>
          <w:marBottom w:val="0"/>
          <w:divBdr>
            <w:top w:val="none" w:sz="0" w:space="0" w:color="auto"/>
            <w:left w:val="none" w:sz="0" w:space="0" w:color="auto"/>
            <w:bottom w:val="none" w:sz="0" w:space="0" w:color="auto"/>
            <w:right w:val="none" w:sz="0" w:space="0" w:color="auto"/>
          </w:divBdr>
        </w:div>
        <w:div w:id="2028436774">
          <w:marLeft w:val="0"/>
          <w:marRight w:val="0"/>
          <w:marTop w:val="0"/>
          <w:marBottom w:val="0"/>
          <w:divBdr>
            <w:top w:val="none" w:sz="0" w:space="0" w:color="auto"/>
            <w:left w:val="none" w:sz="0" w:space="0" w:color="auto"/>
            <w:bottom w:val="none" w:sz="0" w:space="0" w:color="auto"/>
            <w:right w:val="none" w:sz="0" w:space="0" w:color="auto"/>
          </w:divBdr>
        </w:div>
        <w:div w:id="2048948485">
          <w:marLeft w:val="0"/>
          <w:marRight w:val="0"/>
          <w:marTop w:val="0"/>
          <w:marBottom w:val="0"/>
          <w:divBdr>
            <w:top w:val="none" w:sz="0" w:space="0" w:color="auto"/>
            <w:left w:val="none" w:sz="0" w:space="0" w:color="auto"/>
            <w:bottom w:val="none" w:sz="0" w:space="0" w:color="auto"/>
            <w:right w:val="none" w:sz="0" w:space="0" w:color="auto"/>
          </w:divBdr>
        </w:div>
        <w:div w:id="2103642424">
          <w:marLeft w:val="0"/>
          <w:marRight w:val="0"/>
          <w:marTop w:val="0"/>
          <w:marBottom w:val="0"/>
          <w:divBdr>
            <w:top w:val="none" w:sz="0" w:space="0" w:color="auto"/>
            <w:left w:val="none" w:sz="0" w:space="0" w:color="auto"/>
            <w:bottom w:val="none" w:sz="0" w:space="0" w:color="auto"/>
            <w:right w:val="none" w:sz="0" w:space="0" w:color="auto"/>
          </w:divBdr>
        </w:div>
      </w:divsChild>
    </w:div>
    <w:div w:id="1232155389">
      <w:bodyDiv w:val="1"/>
      <w:marLeft w:val="0"/>
      <w:marRight w:val="0"/>
      <w:marTop w:val="0"/>
      <w:marBottom w:val="0"/>
      <w:divBdr>
        <w:top w:val="none" w:sz="0" w:space="0" w:color="auto"/>
        <w:left w:val="none" w:sz="0" w:space="0" w:color="auto"/>
        <w:bottom w:val="none" w:sz="0" w:space="0" w:color="auto"/>
        <w:right w:val="none" w:sz="0" w:space="0" w:color="auto"/>
      </w:divBdr>
    </w:div>
    <w:div w:id="1254165260">
      <w:bodyDiv w:val="1"/>
      <w:marLeft w:val="0"/>
      <w:marRight w:val="0"/>
      <w:marTop w:val="0"/>
      <w:marBottom w:val="0"/>
      <w:divBdr>
        <w:top w:val="none" w:sz="0" w:space="0" w:color="auto"/>
        <w:left w:val="none" w:sz="0" w:space="0" w:color="auto"/>
        <w:bottom w:val="none" w:sz="0" w:space="0" w:color="auto"/>
        <w:right w:val="none" w:sz="0" w:space="0" w:color="auto"/>
      </w:divBdr>
    </w:div>
    <w:div w:id="1311014460">
      <w:bodyDiv w:val="1"/>
      <w:marLeft w:val="0"/>
      <w:marRight w:val="0"/>
      <w:marTop w:val="0"/>
      <w:marBottom w:val="0"/>
      <w:divBdr>
        <w:top w:val="none" w:sz="0" w:space="0" w:color="auto"/>
        <w:left w:val="none" w:sz="0" w:space="0" w:color="auto"/>
        <w:bottom w:val="none" w:sz="0" w:space="0" w:color="auto"/>
        <w:right w:val="none" w:sz="0" w:space="0" w:color="auto"/>
      </w:divBdr>
    </w:div>
    <w:div w:id="1327050054">
      <w:bodyDiv w:val="1"/>
      <w:marLeft w:val="0"/>
      <w:marRight w:val="0"/>
      <w:marTop w:val="0"/>
      <w:marBottom w:val="0"/>
      <w:divBdr>
        <w:top w:val="none" w:sz="0" w:space="0" w:color="auto"/>
        <w:left w:val="none" w:sz="0" w:space="0" w:color="auto"/>
        <w:bottom w:val="none" w:sz="0" w:space="0" w:color="auto"/>
        <w:right w:val="none" w:sz="0" w:space="0" w:color="auto"/>
      </w:divBdr>
    </w:div>
    <w:div w:id="1339312563">
      <w:bodyDiv w:val="1"/>
      <w:marLeft w:val="0"/>
      <w:marRight w:val="0"/>
      <w:marTop w:val="0"/>
      <w:marBottom w:val="0"/>
      <w:divBdr>
        <w:top w:val="none" w:sz="0" w:space="0" w:color="auto"/>
        <w:left w:val="none" w:sz="0" w:space="0" w:color="auto"/>
        <w:bottom w:val="none" w:sz="0" w:space="0" w:color="auto"/>
        <w:right w:val="none" w:sz="0" w:space="0" w:color="auto"/>
      </w:divBdr>
    </w:div>
    <w:div w:id="1366251664">
      <w:bodyDiv w:val="1"/>
      <w:marLeft w:val="0"/>
      <w:marRight w:val="0"/>
      <w:marTop w:val="0"/>
      <w:marBottom w:val="0"/>
      <w:divBdr>
        <w:top w:val="none" w:sz="0" w:space="0" w:color="auto"/>
        <w:left w:val="none" w:sz="0" w:space="0" w:color="auto"/>
        <w:bottom w:val="none" w:sz="0" w:space="0" w:color="auto"/>
        <w:right w:val="none" w:sz="0" w:space="0" w:color="auto"/>
      </w:divBdr>
    </w:div>
    <w:div w:id="1370909504">
      <w:bodyDiv w:val="1"/>
      <w:marLeft w:val="0"/>
      <w:marRight w:val="0"/>
      <w:marTop w:val="0"/>
      <w:marBottom w:val="0"/>
      <w:divBdr>
        <w:top w:val="none" w:sz="0" w:space="0" w:color="auto"/>
        <w:left w:val="none" w:sz="0" w:space="0" w:color="auto"/>
        <w:bottom w:val="none" w:sz="0" w:space="0" w:color="auto"/>
        <w:right w:val="none" w:sz="0" w:space="0" w:color="auto"/>
      </w:divBdr>
    </w:div>
    <w:div w:id="1380475671">
      <w:bodyDiv w:val="1"/>
      <w:marLeft w:val="0"/>
      <w:marRight w:val="0"/>
      <w:marTop w:val="0"/>
      <w:marBottom w:val="0"/>
      <w:divBdr>
        <w:top w:val="none" w:sz="0" w:space="0" w:color="auto"/>
        <w:left w:val="none" w:sz="0" w:space="0" w:color="auto"/>
        <w:bottom w:val="none" w:sz="0" w:space="0" w:color="auto"/>
        <w:right w:val="none" w:sz="0" w:space="0" w:color="auto"/>
      </w:divBdr>
    </w:div>
    <w:div w:id="1391033446">
      <w:bodyDiv w:val="1"/>
      <w:marLeft w:val="0"/>
      <w:marRight w:val="0"/>
      <w:marTop w:val="0"/>
      <w:marBottom w:val="0"/>
      <w:divBdr>
        <w:top w:val="none" w:sz="0" w:space="0" w:color="auto"/>
        <w:left w:val="none" w:sz="0" w:space="0" w:color="auto"/>
        <w:bottom w:val="none" w:sz="0" w:space="0" w:color="auto"/>
        <w:right w:val="none" w:sz="0" w:space="0" w:color="auto"/>
      </w:divBdr>
    </w:div>
    <w:div w:id="1414277192">
      <w:bodyDiv w:val="1"/>
      <w:marLeft w:val="0"/>
      <w:marRight w:val="0"/>
      <w:marTop w:val="0"/>
      <w:marBottom w:val="0"/>
      <w:divBdr>
        <w:top w:val="none" w:sz="0" w:space="0" w:color="auto"/>
        <w:left w:val="none" w:sz="0" w:space="0" w:color="auto"/>
        <w:bottom w:val="none" w:sz="0" w:space="0" w:color="auto"/>
        <w:right w:val="none" w:sz="0" w:space="0" w:color="auto"/>
      </w:divBdr>
    </w:div>
    <w:div w:id="1432360237">
      <w:bodyDiv w:val="1"/>
      <w:marLeft w:val="0"/>
      <w:marRight w:val="0"/>
      <w:marTop w:val="0"/>
      <w:marBottom w:val="0"/>
      <w:divBdr>
        <w:top w:val="none" w:sz="0" w:space="0" w:color="auto"/>
        <w:left w:val="none" w:sz="0" w:space="0" w:color="auto"/>
        <w:bottom w:val="none" w:sz="0" w:space="0" w:color="auto"/>
        <w:right w:val="none" w:sz="0" w:space="0" w:color="auto"/>
      </w:divBdr>
    </w:div>
    <w:div w:id="1439790973">
      <w:bodyDiv w:val="1"/>
      <w:marLeft w:val="0"/>
      <w:marRight w:val="0"/>
      <w:marTop w:val="0"/>
      <w:marBottom w:val="0"/>
      <w:divBdr>
        <w:top w:val="none" w:sz="0" w:space="0" w:color="auto"/>
        <w:left w:val="none" w:sz="0" w:space="0" w:color="auto"/>
        <w:bottom w:val="none" w:sz="0" w:space="0" w:color="auto"/>
        <w:right w:val="none" w:sz="0" w:space="0" w:color="auto"/>
      </w:divBdr>
    </w:div>
    <w:div w:id="1466504102">
      <w:bodyDiv w:val="1"/>
      <w:marLeft w:val="0"/>
      <w:marRight w:val="0"/>
      <w:marTop w:val="0"/>
      <w:marBottom w:val="0"/>
      <w:divBdr>
        <w:top w:val="none" w:sz="0" w:space="0" w:color="auto"/>
        <w:left w:val="none" w:sz="0" w:space="0" w:color="auto"/>
        <w:bottom w:val="none" w:sz="0" w:space="0" w:color="auto"/>
        <w:right w:val="none" w:sz="0" w:space="0" w:color="auto"/>
      </w:divBdr>
    </w:div>
    <w:div w:id="1498766854">
      <w:bodyDiv w:val="1"/>
      <w:marLeft w:val="0"/>
      <w:marRight w:val="0"/>
      <w:marTop w:val="0"/>
      <w:marBottom w:val="0"/>
      <w:divBdr>
        <w:top w:val="none" w:sz="0" w:space="0" w:color="auto"/>
        <w:left w:val="none" w:sz="0" w:space="0" w:color="auto"/>
        <w:bottom w:val="none" w:sz="0" w:space="0" w:color="auto"/>
        <w:right w:val="none" w:sz="0" w:space="0" w:color="auto"/>
      </w:divBdr>
    </w:div>
    <w:div w:id="1500803474">
      <w:bodyDiv w:val="1"/>
      <w:marLeft w:val="0"/>
      <w:marRight w:val="0"/>
      <w:marTop w:val="0"/>
      <w:marBottom w:val="0"/>
      <w:divBdr>
        <w:top w:val="none" w:sz="0" w:space="0" w:color="auto"/>
        <w:left w:val="none" w:sz="0" w:space="0" w:color="auto"/>
        <w:bottom w:val="none" w:sz="0" w:space="0" w:color="auto"/>
        <w:right w:val="none" w:sz="0" w:space="0" w:color="auto"/>
      </w:divBdr>
    </w:div>
    <w:div w:id="1502965284">
      <w:bodyDiv w:val="1"/>
      <w:marLeft w:val="0"/>
      <w:marRight w:val="0"/>
      <w:marTop w:val="0"/>
      <w:marBottom w:val="0"/>
      <w:divBdr>
        <w:top w:val="none" w:sz="0" w:space="0" w:color="auto"/>
        <w:left w:val="none" w:sz="0" w:space="0" w:color="auto"/>
        <w:bottom w:val="none" w:sz="0" w:space="0" w:color="auto"/>
        <w:right w:val="none" w:sz="0" w:space="0" w:color="auto"/>
      </w:divBdr>
    </w:div>
    <w:div w:id="1516655264">
      <w:bodyDiv w:val="1"/>
      <w:marLeft w:val="0"/>
      <w:marRight w:val="0"/>
      <w:marTop w:val="0"/>
      <w:marBottom w:val="0"/>
      <w:divBdr>
        <w:top w:val="none" w:sz="0" w:space="0" w:color="auto"/>
        <w:left w:val="none" w:sz="0" w:space="0" w:color="auto"/>
        <w:bottom w:val="none" w:sz="0" w:space="0" w:color="auto"/>
        <w:right w:val="none" w:sz="0" w:space="0" w:color="auto"/>
      </w:divBdr>
    </w:div>
    <w:div w:id="1535339371">
      <w:bodyDiv w:val="1"/>
      <w:marLeft w:val="0"/>
      <w:marRight w:val="0"/>
      <w:marTop w:val="0"/>
      <w:marBottom w:val="0"/>
      <w:divBdr>
        <w:top w:val="none" w:sz="0" w:space="0" w:color="auto"/>
        <w:left w:val="none" w:sz="0" w:space="0" w:color="auto"/>
        <w:bottom w:val="none" w:sz="0" w:space="0" w:color="auto"/>
        <w:right w:val="none" w:sz="0" w:space="0" w:color="auto"/>
      </w:divBdr>
    </w:div>
    <w:div w:id="1550651839">
      <w:bodyDiv w:val="1"/>
      <w:marLeft w:val="0"/>
      <w:marRight w:val="0"/>
      <w:marTop w:val="0"/>
      <w:marBottom w:val="0"/>
      <w:divBdr>
        <w:top w:val="none" w:sz="0" w:space="0" w:color="auto"/>
        <w:left w:val="none" w:sz="0" w:space="0" w:color="auto"/>
        <w:bottom w:val="none" w:sz="0" w:space="0" w:color="auto"/>
        <w:right w:val="none" w:sz="0" w:space="0" w:color="auto"/>
      </w:divBdr>
    </w:div>
    <w:div w:id="1552957788">
      <w:bodyDiv w:val="1"/>
      <w:marLeft w:val="0"/>
      <w:marRight w:val="0"/>
      <w:marTop w:val="0"/>
      <w:marBottom w:val="0"/>
      <w:divBdr>
        <w:top w:val="none" w:sz="0" w:space="0" w:color="auto"/>
        <w:left w:val="none" w:sz="0" w:space="0" w:color="auto"/>
        <w:bottom w:val="none" w:sz="0" w:space="0" w:color="auto"/>
        <w:right w:val="none" w:sz="0" w:space="0" w:color="auto"/>
      </w:divBdr>
    </w:div>
    <w:div w:id="1555698769">
      <w:bodyDiv w:val="1"/>
      <w:marLeft w:val="0"/>
      <w:marRight w:val="0"/>
      <w:marTop w:val="0"/>
      <w:marBottom w:val="0"/>
      <w:divBdr>
        <w:top w:val="none" w:sz="0" w:space="0" w:color="auto"/>
        <w:left w:val="none" w:sz="0" w:space="0" w:color="auto"/>
        <w:bottom w:val="none" w:sz="0" w:space="0" w:color="auto"/>
        <w:right w:val="none" w:sz="0" w:space="0" w:color="auto"/>
      </w:divBdr>
    </w:div>
    <w:div w:id="1562523193">
      <w:bodyDiv w:val="1"/>
      <w:marLeft w:val="0"/>
      <w:marRight w:val="0"/>
      <w:marTop w:val="0"/>
      <w:marBottom w:val="0"/>
      <w:divBdr>
        <w:top w:val="none" w:sz="0" w:space="0" w:color="auto"/>
        <w:left w:val="none" w:sz="0" w:space="0" w:color="auto"/>
        <w:bottom w:val="none" w:sz="0" w:space="0" w:color="auto"/>
        <w:right w:val="none" w:sz="0" w:space="0" w:color="auto"/>
      </w:divBdr>
    </w:div>
    <w:div w:id="1562715679">
      <w:bodyDiv w:val="1"/>
      <w:marLeft w:val="0"/>
      <w:marRight w:val="0"/>
      <w:marTop w:val="0"/>
      <w:marBottom w:val="0"/>
      <w:divBdr>
        <w:top w:val="none" w:sz="0" w:space="0" w:color="auto"/>
        <w:left w:val="none" w:sz="0" w:space="0" w:color="auto"/>
        <w:bottom w:val="none" w:sz="0" w:space="0" w:color="auto"/>
        <w:right w:val="none" w:sz="0" w:space="0" w:color="auto"/>
      </w:divBdr>
    </w:div>
    <w:div w:id="1602227242">
      <w:bodyDiv w:val="1"/>
      <w:marLeft w:val="0"/>
      <w:marRight w:val="0"/>
      <w:marTop w:val="0"/>
      <w:marBottom w:val="0"/>
      <w:divBdr>
        <w:top w:val="none" w:sz="0" w:space="0" w:color="auto"/>
        <w:left w:val="none" w:sz="0" w:space="0" w:color="auto"/>
        <w:bottom w:val="none" w:sz="0" w:space="0" w:color="auto"/>
        <w:right w:val="none" w:sz="0" w:space="0" w:color="auto"/>
      </w:divBdr>
    </w:div>
    <w:div w:id="1603681850">
      <w:bodyDiv w:val="1"/>
      <w:marLeft w:val="0"/>
      <w:marRight w:val="0"/>
      <w:marTop w:val="0"/>
      <w:marBottom w:val="0"/>
      <w:divBdr>
        <w:top w:val="none" w:sz="0" w:space="0" w:color="auto"/>
        <w:left w:val="none" w:sz="0" w:space="0" w:color="auto"/>
        <w:bottom w:val="none" w:sz="0" w:space="0" w:color="auto"/>
        <w:right w:val="none" w:sz="0" w:space="0" w:color="auto"/>
      </w:divBdr>
    </w:div>
    <w:div w:id="1604804018">
      <w:bodyDiv w:val="1"/>
      <w:marLeft w:val="0"/>
      <w:marRight w:val="0"/>
      <w:marTop w:val="0"/>
      <w:marBottom w:val="0"/>
      <w:divBdr>
        <w:top w:val="none" w:sz="0" w:space="0" w:color="auto"/>
        <w:left w:val="none" w:sz="0" w:space="0" w:color="auto"/>
        <w:bottom w:val="none" w:sz="0" w:space="0" w:color="auto"/>
        <w:right w:val="none" w:sz="0" w:space="0" w:color="auto"/>
      </w:divBdr>
    </w:div>
    <w:div w:id="1609703604">
      <w:bodyDiv w:val="1"/>
      <w:marLeft w:val="0"/>
      <w:marRight w:val="0"/>
      <w:marTop w:val="0"/>
      <w:marBottom w:val="0"/>
      <w:divBdr>
        <w:top w:val="none" w:sz="0" w:space="0" w:color="auto"/>
        <w:left w:val="none" w:sz="0" w:space="0" w:color="auto"/>
        <w:bottom w:val="none" w:sz="0" w:space="0" w:color="auto"/>
        <w:right w:val="none" w:sz="0" w:space="0" w:color="auto"/>
      </w:divBdr>
    </w:div>
    <w:div w:id="1613904685">
      <w:bodyDiv w:val="1"/>
      <w:marLeft w:val="0"/>
      <w:marRight w:val="0"/>
      <w:marTop w:val="0"/>
      <w:marBottom w:val="0"/>
      <w:divBdr>
        <w:top w:val="none" w:sz="0" w:space="0" w:color="auto"/>
        <w:left w:val="none" w:sz="0" w:space="0" w:color="auto"/>
        <w:bottom w:val="none" w:sz="0" w:space="0" w:color="auto"/>
        <w:right w:val="none" w:sz="0" w:space="0" w:color="auto"/>
      </w:divBdr>
    </w:div>
    <w:div w:id="1618484617">
      <w:bodyDiv w:val="1"/>
      <w:marLeft w:val="0"/>
      <w:marRight w:val="0"/>
      <w:marTop w:val="0"/>
      <w:marBottom w:val="0"/>
      <w:divBdr>
        <w:top w:val="none" w:sz="0" w:space="0" w:color="auto"/>
        <w:left w:val="none" w:sz="0" w:space="0" w:color="auto"/>
        <w:bottom w:val="none" w:sz="0" w:space="0" w:color="auto"/>
        <w:right w:val="none" w:sz="0" w:space="0" w:color="auto"/>
      </w:divBdr>
    </w:div>
    <w:div w:id="1619986311">
      <w:bodyDiv w:val="1"/>
      <w:marLeft w:val="0"/>
      <w:marRight w:val="0"/>
      <w:marTop w:val="0"/>
      <w:marBottom w:val="0"/>
      <w:divBdr>
        <w:top w:val="none" w:sz="0" w:space="0" w:color="auto"/>
        <w:left w:val="none" w:sz="0" w:space="0" w:color="auto"/>
        <w:bottom w:val="none" w:sz="0" w:space="0" w:color="auto"/>
        <w:right w:val="none" w:sz="0" w:space="0" w:color="auto"/>
      </w:divBdr>
    </w:div>
    <w:div w:id="1632057773">
      <w:bodyDiv w:val="1"/>
      <w:marLeft w:val="0"/>
      <w:marRight w:val="0"/>
      <w:marTop w:val="0"/>
      <w:marBottom w:val="0"/>
      <w:divBdr>
        <w:top w:val="none" w:sz="0" w:space="0" w:color="auto"/>
        <w:left w:val="none" w:sz="0" w:space="0" w:color="auto"/>
        <w:bottom w:val="none" w:sz="0" w:space="0" w:color="auto"/>
        <w:right w:val="none" w:sz="0" w:space="0" w:color="auto"/>
      </w:divBdr>
    </w:div>
    <w:div w:id="1633360474">
      <w:bodyDiv w:val="1"/>
      <w:marLeft w:val="0"/>
      <w:marRight w:val="0"/>
      <w:marTop w:val="0"/>
      <w:marBottom w:val="0"/>
      <w:divBdr>
        <w:top w:val="none" w:sz="0" w:space="0" w:color="auto"/>
        <w:left w:val="none" w:sz="0" w:space="0" w:color="auto"/>
        <w:bottom w:val="none" w:sz="0" w:space="0" w:color="auto"/>
        <w:right w:val="none" w:sz="0" w:space="0" w:color="auto"/>
      </w:divBdr>
    </w:div>
    <w:div w:id="1640381803">
      <w:bodyDiv w:val="1"/>
      <w:marLeft w:val="0"/>
      <w:marRight w:val="0"/>
      <w:marTop w:val="0"/>
      <w:marBottom w:val="0"/>
      <w:divBdr>
        <w:top w:val="none" w:sz="0" w:space="0" w:color="auto"/>
        <w:left w:val="none" w:sz="0" w:space="0" w:color="auto"/>
        <w:bottom w:val="none" w:sz="0" w:space="0" w:color="auto"/>
        <w:right w:val="none" w:sz="0" w:space="0" w:color="auto"/>
      </w:divBdr>
    </w:div>
    <w:div w:id="1678774697">
      <w:bodyDiv w:val="1"/>
      <w:marLeft w:val="0"/>
      <w:marRight w:val="0"/>
      <w:marTop w:val="0"/>
      <w:marBottom w:val="0"/>
      <w:divBdr>
        <w:top w:val="none" w:sz="0" w:space="0" w:color="auto"/>
        <w:left w:val="none" w:sz="0" w:space="0" w:color="auto"/>
        <w:bottom w:val="none" w:sz="0" w:space="0" w:color="auto"/>
        <w:right w:val="none" w:sz="0" w:space="0" w:color="auto"/>
      </w:divBdr>
    </w:div>
    <w:div w:id="1724324671">
      <w:bodyDiv w:val="1"/>
      <w:marLeft w:val="0"/>
      <w:marRight w:val="0"/>
      <w:marTop w:val="0"/>
      <w:marBottom w:val="0"/>
      <w:divBdr>
        <w:top w:val="none" w:sz="0" w:space="0" w:color="auto"/>
        <w:left w:val="none" w:sz="0" w:space="0" w:color="auto"/>
        <w:bottom w:val="none" w:sz="0" w:space="0" w:color="auto"/>
        <w:right w:val="none" w:sz="0" w:space="0" w:color="auto"/>
      </w:divBdr>
    </w:div>
    <w:div w:id="1726030998">
      <w:bodyDiv w:val="1"/>
      <w:marLeft w:val="0"/>
      <w:marRight w:val="0"/>
      <w:marTop w:val="0"/>
      <w:marBottom w:val="0"/>
      <w:divBdr>
        <w:top w:val="none" w:sz="0" w:space="0" w:color="auto"/>
        <w:left w:val="none" w:sz="0" w:space="0" w:color="auto"/>
        <w:bottom w:val="none" w:sz="0" w:space="0" w:color="auto"/>
        <w:right w:val="none" w:sz="0" w:space="0" w:color="auto"/>
      </w:divBdr>
    </w:div>
    <w:div w:id="1750732443">
      <w:bodyDiv w:val="1"/>
      <w:marLeft w:val="0"/>
      <w:marRight w:val="0"/>
      <w:marTop w:val="0"/>
      <w:marBottom w:val="0"/>
      <w:divBdr>
        <w:top w:val="none" w:sz="0" w:space="0" w:color="auto"/>
        <w:left w:val="none" w:sz="0" w:space="0" w:color="auto"/>
        <w:bottom w:val="none" w:sz="0" w:space="0" w:color="auto"/>
        <w:right w:val="none" w:sz="0" w:space="0" w:color="auto"/>
      </w:divBdr>
    </w:div>
    <w:div w:id="1774741733">
      <w:bodyDiv w:val="1"/>
      <w:marLeft w:val="0"/>
      <w:marRight w:val="0"/>
      <w:marTop w:val="0"/>
      <w:marBottom w:val="0"/>
      <w:divBdr>
        <w:top w:val="none" w:sz="0" w:space="0" w:color="auto"/>
        <w:left w:val="none" w:sz="0" w:space="0" w:color="auto"/>
        <w:bottom w:val="none" w:sz="0" w:space="0" w:color="auto"/>
        <w:right w:val="none" w:sz="0" w:space="0" w:color="auto"/>
      </w:divBdr>
    </w:div>
    <w:div w:id="1789545290">
      <w:bodyDiv w:val="1"/>
      <w:marLeft w:val="0"/>
      <w:marRight w:val="0"/>
      <w:marTop w:val="0"/>
      <w:marBottom w:val="0"/>
      <w:divBdr>
        <w:top w:val="none" w:sz="0" w:space="0" w:color="auto"/>
        <w:left w:val="none" w:sz="0" w:space="0" w:color="auto"/>
        <w:bottom w:val="none" w:sz="0" w:space="0" w:color="auto"/>
        <w:right w:val="none" w:sz="0" w:space="0" w:color="auto"/>
      </w:divBdr>
    </w:div>
    <w:div w:id="1818648842">
      <w:bodyDiv w:val="1"/>
      <w:marLeft w:val="0"/>
      <w:marRight w:val="0"/>
      <w:marTop w:val="0"/>
      <w:marBottom w:val="0"/>
      <w:divBdr>
        <w:top w:val="none" w:sz="0" w:space="0" w:color="auto"/>
        <w:left w:val="none" w:sz="0" w:space="0" w:color="auto"/>
        <w:bottom w:val="none" w:sz="0" w:space="0" w:color="auto"/>
        <w:right w:val="none" w:sz="0" w:space="0" w:color="auto"/>
      </w:divBdr>
    </w:div>
    <w:div w:id="1877616301">
      <w:bodyDiv w:val="1"/>
      <w:marLeft w:val="0"/>
      <w:marRight w:val="0"/>
      <w:marTop w:val="0"/>
      <w:marBottom w:val="0"/>
      <w:divBdr>
        <w:top w:val="none" w:sz="0" w:space="0" w:color="auto"/>
        <w:left w:val="none" w:sz="0" w:space="0" w:color="auto"/>
        <w:bottom w:val="none" w:sz="0" w:space="0" w:color="auto"/>
        <w:right w:val="none" w:sz="0" w:space="0" w:color="auto"/>
      </w:divBdr>
    </w:div>
    <w:div w:id="1893881426">
      <w:bodyDiv w:val="1"/>
      <w:marLeft w:val="0"/>
      <w:marRight w:val="0"/>
      <w:marTop w:val="0"/>
      <w:marBottom w:val="0"/>
      <w:divBdr>
        <w:top w:val="none" w:sz="0" w:space="0" w:color="auto"/>
        <w:left w:val="none" w:sz="0" w:space="0" w:color="auto"/>
        <w:bottom w:val="none" w:sz="0" w:space="0" w:color="auto"/>
        <w:right w:val="none" w:sz="0" w:space="0" w:color="auto"/>
      </w:divBdr>
    </w:div>
    <w:div w:id="1900244081">
      <w:bodyDiv w:val="1"/>
      <w:marLeft w:val="0"/>
      <w:marRight w:val="0"/>
      <w:marTop w:val="0"/>
      <w:marBottom w:val="0"/>
      <w:divBdr>
        <w:top w:val="none" w:sz="0" w:space="0" w:color="auto"/>
        <w:left w:val="none" w:sz="0" w:space="0" w:color="auto"/>
        <w:bottom w:val="none" w:sz="0" w:space="0" w:color="auto"/>
        <w:right w:val="none" w:sz="0" w:space="0" w:color="auto"/>
      </w:divBdr>
    </w:div>
    <w:div w:id="1903640918">
      <w:bodyDiv w:val="1"/>
      <w:marLeft w:val="0"/>
      <w:marRight w:val="0"/>
      <w:marTop w:val="0"/>
      <w:marBottom w:val="0"/>
      <w:divBdr>
        <w:top w:val="none" w:sz="0" w:space="0" w:color="auto"/>
        <w:left w:val="none" w:sz="0" w:space="0" w:color="auto"/>
        <w:bottom w:val="none" w:sz="0" w:space="0" w:color="auto"/>
        <w:right w:val="none" w:sz="0" w:space="0" w:color="auto"/>
      </w:divBdr>
    </w:div>
    <w:div w:id="1918661799">
      <w:bodyDiv w:val="1"/>
      <w:marLeft w:val="0"/>
      <w:marRight w:val="0"/>
      <w:marTop w:val="0"/>
      <w:marBottom w:val="0"/>
      <w:divBdr>
        <w:top w:val="none" w:sz="0" w:space="0" w:color="auto"/>
        <w:left w:val="none" w:sz="0" w:space="0" w:color="auto"/>
        <w:bottom w:val="none" w:sz="0" w:space="0" w:color="auto"/>
        <w:right w:val="none" w:sz="0" w:space="0" w:color="auto"/>
      </w:divBdr>
    </w:div>
    <w:div w:id="1993830276">
      <w:bodyDiv w:val="1"/>
      <w:marLeft w:val="0"/>
      <w:marRight w:val="0"/>
      <w:marTop w:val="0"/>
      <w:marBottom w:val="0"/>
      <w:divBdr>
        <w:top w:val="none" w:sz="0" w:space="0" w:color="auto"/>
        <w:left w:val="none" w:sz="0" w:space="0" w:color="auto"/>
        <w:bottom w:val="none" w:sz="0" w:space="0" w:color="auto"/>
        <w:right w:val="none" w:sz="0" w:space="0" w:color="auto"/>
      </w:divBdr>
    </w:div>
    <w:div w:id="2024547561">
      <w:bodyDiv w:val="1"/>
      <w:marLeft w:val="0"/>
      <w:marRight w:val="0"/>
      <w:marTop w:val="0"/>
      <w:marBottom w:val="0"/>
      <w:divBdr>
        <w:top w:val="none" w:sz="0" w:space="0" w:color="auto"/>
        <w:left w:val="none" w:sz="0" w:space="0" w:color="auto"/>
        <w:bottom w:val="none" w:sz="0" w:space="0" w:color="auto"/>
        <w:right w:val="none" w:sz="0" w:space="0" w:color="auto"/>
      </w:divBdr>
    </w:div>
    <w:div w:id="2029986825">
      <w:bodyDiv w:val="1"/>
      <w:marLeft w:val="0"/>
      <w:marRight w:val="0"/>
      <w:marTop w:val="0"/>
      <w:marBottom w:val="0"/>
      <w:divBdr>
        <w:top w:val="none" w:sz="0" w:space="0" w:color="auto"/>
        <w:left w:val="none" w:sz="0" w:space="0" w:color="auto"/>
        <w:bottom w:val="none" w:sz="0" w:space="0" w:color="auto"/>
        <w:right w:val="none" w:sz="0" w:space="0" w:color="auto"/>
      </w:divBdr>
    </w:div>
    <w:div w:id="2045713818">
      <w:bodyDiv w:val="1"/>
      <w:marLeft w:val="0"/>
      <w:marRight w:val="0"/>
      <w:marTop w:val="0"/>
      <w:marBottom w:val="0"/>
      <w:divBdr>
        <w:top w:val="none" w:sz="0" w:space="0" w:color="auto"/>
        <w:left w:val="none" w:sz="0" w:space="0" w:color="auto"/>
        <w:bottom w:val="none" w:sz="0" w:space="0" w:color="auto"/>
        <w:right w:val="none" w:sz="0" w:space="0" w:color="auto"/>
      </w:divBdr>
    </w:div>
    <w:div w:id="2072389097">
      <w:bodyDiv w:val="1"/>
      <w:marLeft w:val="0"/>
      <w:marRight w:val="0"/>
      <w:marTop w:val="0"/>
      <w:marBottom w:val="0"/>
      <w:divBdr>
        <w:top w:val="none" w:sz="0" w:space="0" w:color="auto"/>
        <w:left w:val="none" w:sz="0" w:space="0" w:color="auto"/>
        <w:bottom w:val="none" w:sz="0" w:space="0" w:color="auto"/>
        <w:right w:val="none" w:sz="0" w:space="0" w:color="auto"/>
      </w:divBdr>
    </w:div>
    <w:div w:id="2086298134">
      <w:bodyDiv w:val="1"/>
      <w:marLeft w:val="0"/>
      <w:marRight w:val="0"/>
      <w:marTop w:val="0"/>
      <w:marBottom w:val="0"/>
      <w:divBdr>
        <w:top w:val="none" w:sz="0" w:space="0" w:color="auto"/>
        <w:left w:val="none" w:sz="0" w:space="0" w:color="auto"/>
        <w:bottom w:val="none" w:sz="0" w:space="0" w:color="auto"/>
        <w:right w:val="none" w:sz="0" w:space="0" w:color="auto"/>
      </w:divBdr>
    </w:div>
    <w:div w:id="2101024197">
      <w:bodyDiv w:val="1"/>
      <w:marLeft w:val="0"/>
      <w:marRight w:val="0"/>
      <w:marTop w:val="0"/>
      <w:marBottom w:val="0"/>
      <w:divBdr>
        <w:top w:val="none" w:sz="0" w:space="0" w:color="auto"/>
        <w:left w:val="none" w:sz="0" w:space="0" w:color="auto"/>
        <w:bottom w:val="none" w:sz="0" w:space="0" w:color="auto"/>
        <w:right w:val="none" w:sz="0" w:space="0" w:color="auto"/>
      </w:divBdr>
    </w:div>
    <w:div w:id="2104716619">
      <w:bodyDiv w:val="1"/>
      <w:marLeft w:val="0"/>
      <w:marRight w:val="0"/>
      <w:marTop w:val="0"/>
      <w:marBottom w:val="0"/>
      <w:divBdr>
        <w:top w:val="none" w:sz="0" w:space="0" w:color="auto"/>
        <w:left w:val="none" w:sz="0" w:space="0" w:color="auto"/>
        <w:bottom w:val="none" w:sz="0" w:space="0" w:color="auto"/>
        <w:right w:val="none" w:sz="0" w:space="0" w:color="auto"/>
      </w:divBdr>
    </w:div>
    <w:div w:id="2107577493">
      <w:bodyDiv w:val="1"/>
      <w:marLeft w:val="0"/>
      <w:marRight w:val="0"/>
      <w:marTop w:val="0"/>
      <w:marBottom w:val="0"/>
      <w:divBdr>
        <w:top w:val="none" w:sz="0" w:space="0" w:color="auto"/>
        <w:left w:val="none" w:sz="0" w:space="0" w:color="auto"/>
        <w:bottom w:val="none" w:sz="0" w:space="0" w:color="auto"/>
        <w:right w:val="none" w:sz="0" w:space="0" w:color="auto"/>
      </w:divBdr>
    </w:div>
    <w:div w:id="2110001554">
      <w:bodyDiv w:val="1"/>
      <w:marLeft w:val="0"/>
      <w:marRight w:val="0"/>
      <w:marTop w:val="0"/>
      <w:marBottom w:val="0"/>
      <w:divBdr>
        <w:top w:val="none" w:sz="0" w:space="0" w:color="auto"/>
        <w:left w:val="none" w:sz="0" w:space="0" w:color="auto"/>
        <w:bottom w:val="none" w:sz="0" w:space="0" w:color="auto"/>
        <w:right w:val="none" w:sz="0" w:space="0" w:color="auto"/>
      </w:divBdr>
      <w:divsChild>
        <w:div w:id="1971520155">
          <w:marLeft w:val="0"/>
          <w:marRight w:val="0"/>
          <w:marTop w:val="0"/>
          <w:marBottom w:val="0"/>
          <w:divBdr>
            <w:top w:val="none" w:sz="0" w:space="0" w:color="auto"/>
            <w:left w:val="none" w:sz="0" w:space="0" w:color="auto"/>
            <w:bottom w:val="none" w:sz="0" w:space="0" w:color="auto"/>
            <w:right w:val="none" w:sz="0" w:space="0" w:color="auto"/>
          </w:divBdr>
        </w:div>
      </w:divsChild>
    </w:div>
    <w:div w:id="2128353842">
      <w:bodyDiv w:val="1"/>
      <w:marLeft w:val="0"/>
      <w:marRight w:val="0"/>
      <w:marTop w:val="0"/>
      <w:marBottom w:val="0"/>
      <w:divBdr>
        <w:top w:val="none" w:sz="0" w:space="0" w:color="auto"/>
        <w:left w:val="none" w:sz="0" w:space="0" w:color="auto"/>
        <w:bottom w:val="none" w:sz="0" w:space="0" w:color="auto"/>
        <w:right w:val="none" w:sz="0" w:space="0" w:color="auto"/>
      </w:divBdr>
    </w:div>
    <w:div w:id="2142840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www.qilt.edu.au/docs/default-source/default-document-library/construction-of-confidence-intervals-in-qilt-surveys.pdf?sfvrsn=8d01d58b_1" TargetMode="External"/><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www.qilt.edu.au/surveys/student-experience-survey-(ses)/student-experience-questionnaire-(seq)/" TargetMode="External"/><Relationship Id="rId24" Type="http://schemas.openxmlformats.org/officeDocument/2006/relationships/image" Target="media/image10.png"/><Relationship Id="rId32" Type="http://schemas.openxmlformats.org/officeDocument/2006/relationships/hyperlink" Target="https://www.qilt.edu.au/docs/default-source/default-document-library/construction-of-confidence-intervals-in-qilt-surveys.pdf?sfvrsn=8d01d58b_1" TargetMode="External"/><Relationship Id="rId37" Type="http://schemas.openxmlformats.org/officeDocument/2006/relationships/image" Target="media/image20.png"/><Relationship Id="rId40" Type="http://schemas.openxmlformats.org/officeDocument/2006/relationships/hyperlink" Target="https://www.qilt.edu.au/docs/default-source/default-document-library/construction-of-confidence-intervals-in-qilt-surveys.pdf?sfvrsn=8d01d58b_1" TargetMode="Externa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yperlink" Target="mailto:info@srcentre.com.au" TargetMode="Externa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5.png"/><Relationship Id="rId14" Type="http://schemas.openxmlformats.org/officeDocument/2006/relationships/hyperlink" Target="https://www.qilt.edu.au/surveys/student-experience-survey-(se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qilt.edu.au/docs/default-source/default-document-library/construction-of-confidence-intervals-in-qilt-surveys.pdf?sfvrsn=8d01d58b_1" TargetMode="External"/><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6.svg"/><Relationship Id="rId8" Type="http://schemas.openxmlformats.org/officeDocument/2006/relationships/hyperlink" Target="http://www.qilt.edu.au/" TargetMode="External"/><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qilt.edu.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s://www.qilt.edu.au/docs/default-source/default-document-library/construction-of-confidence-intervals-in-qilt-surveys.pdf?sfvrsn=8d01d58b_1" TargetMode="External"/><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yperlink" Target="https://srcentre.com.au/" TargetMode="External"/><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qilt.edu.au/docs/default-source/default-document-library/construction-of-confidence-intervals-in-qilt-surveys.pdf?sfvrsn=8d01d58b_1" TargetMode="External"/><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www.qilt.edu.au/surveys/student-experience-survey-(ses)/student-experience-questionnaire-(seq)/" TargetMode="External"/><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qilt@srcentre.com.au"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1.png"/><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image" Target="media/image35.png"/></Relationships>
</file>

<file path=word/theme/theme1.xml><?xml version="1.0" encoding="utf-8"?>
<a:theme xmlns:a="http://schemas.openxmlformats.org/drawingml/2006/main" name="QILT theme">
  <a:themeElements>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Custom 1">
      <a:majorFont>
        <a:latin typeface="Quicksand Medium"/>
        <a:ea typeface=""/>
        <a:cs typeface=""/>
      </a:majorFont>
      <a:minorFont>
        <a:latin typeface="Quicksan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96E03-E02A-4B14-91E8-853093FEA444}">
  <ds:schemaRefs>
    <ds:schemaRef ds:uri="http://schemas.openxmlformats.org/officeDocument/2006/bibliography"/>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Template>
  <TotalTime>0</TotalTime>
  <Pages>66</Pages>
  <Words>17732</Words>
  <Characters>101079</Characters>
  <Application>Microsoft Office Word</Application>
  <DocSecurity>0</DocSecurity>
  <Lines>842</Lines>
  <Paragraphs>237</Paragraphs>
  <ScaleCrop>false</ScaleCrop>
  <Company/>
  <LinksUpToDate>false</LinksUpToDate>
  <CharactersWithSpaces>118574</CharactersWithSpaces>
  <SharedDoc>false</SharedDoc>
  <HLinks>
    <vt:vector size="516" baseType="variant">
      <vt:variant>
        <vt:i4>589943</vt:i4>
      </vt:variant>
      <vt:variant>
        <vt:i4>615</vt:i4>
      </vt:variant>
      <vt:variant>
        <vt:i4>0</vt:i4>
      </vt:variant>
      <vt:variant>
        <vt:i4>5</vt:i4>
      </vt:variant>
      <vt:variant>
        <vt:lpwstr>https://www.qilt.edu.au/docs/default-source/default-document-library/construction-of-confidence-intervals-in-qilt-surveys.pdf?sfvrsn=8d01d58b_1</vt:lpwstr>
      </vt:variant>
      <vt:variant>
        <vt:lpwstr/>
      </vt:variant>
      <vt:variant>
        <vt:i4>589943</vt:i4>
      </vt:variant>
      <vt:variant>
        <vt:i4>609</vt:i4>
      </vt:variant>
      <vt:variant>
        <vt:i4>0</vt:i4>
      </vt:variant>
      <vt:variant>
        <vt:i4>5</vt:i4>
      </vt:variant>
      <vt:variant>
        <vt:lpwstr>https://www.qilt.edu.au/docs/default-source/default-document-library/construction-of-confidence-intervals-in-qilt-surveys.pdf?sfvrsn=8d01d58b_1</vt:lpwstr>
      </vt:variant>
      <vt:variant>
        <vt:lpwstr/>
      </vt:variant>
      <vt:variant>
        <vt:i4>589943</vt:i4>
      </vt:variant>
      <vt:variant>
        <vt:i4>591</vt:i4>
      </vt:variant>
      <vt:variant>
        <vt:i4>0</vt:i4>
      </vt:variant>
      <vt:variant>
        <vt:i4>5</vt:i4>
      </vt:variant>
      <vt:variant>
        <vt:lpwstr>https://www.qilt.edu.au/docs/default-source/default-document-library/construction-of-confidence-intervals-in-qilt-surveys.pdf?sfvrsn=8d01d58b_1</vt:lpwstr>
      </vt:variant>
      <vt:variant>
        <vt:lpwstr/>
      </vt:variant>
      <vt:variant>
        <vt:i4>589943</vt:i4>
      </vt:variant>
      <vt:variant>
        <vt:i4>585</vt:i4>
      </vt:variant>
      <vt:variant>
        <vt:i4>0</vt:i4>
      </vt:variant>
      <vt:variant>
        <vt:i4>5</vt:i4>
      </vt:variant>
      <vt:variant>
        <vt:lpwstr>https://www.qilt.edu.au/docs/default-source/default-document-library/construction-of-confidence-intervals-in-qilt-surveys.pdf?sfvrsn=8d01d58b_1</vt:lpwstr>
      </vt:variant>
      <vt:variant>
        <vt:lpwstr/>
      </vt:variant>
      <vt:variant>
        <vt:i4>589943</vt:i4>
      </vt:variant>
      <vt:variant>
        <vt:i4>555</vt:i4>
      </vt:variant>
      <vt:variant>
        <vt:i4>0</vt:i4>
      </vt:variant>
      <vt:variant>
        <vt:i4>5</vt:i4>
      </vt:variant>
      <vt:variant>
        <vt:lpwstr>https://www.qilt.edu.au/docs/default-source/default-document-library/construction-of-confidence-intervals-in-qilt-surveys.pdf?sfvrsn=8d01d58b_1</vt:lpwstr>
      </vt:variant>
      <vt:variant>
        <vt:lpwstr/>
      </vt:variant>
      <vt:variant>
        <vt:i4>589943</vt:i4>
      </vt:variant>
      <vt:variant>
        <vt:i4>549</vt:i4>
      </vt:variant>
      <vt:variant>
        <vt:i4>0</vt:i4>
      </vt:variant>
      <vt:variant>
        <vt:i4>5</vt:i4>
      </vt:variant>
      <vt:variant>
        <vt:lpwstr>https://www.qilt.edu.au/docs/default-source/default-document-library/construction-of-confidence-intervals-in-qilt-surveys.pdf?sfvrsn=8d01d58b_1</vt:lpwstr>
      </vt:variant>
      <vt:variant>
        <vt:lpwstr/>
      </vt:variant>
      <vt:variant>
        <vt:i4>3866679</vt:i4>
      </vt:variant>
      <vt:variant>
        <vt:i4>489</vt:i4>
      </vt:variant>
      <vt:variant>
        <vt:i4>0</vt:i4>
      </vt:variant>
      <vt:variant>
        <vt:i4>5</vt:i4>
      </vt:variant>
      <vt:variant>
        <vt:lpwstr>https://www.qilt.edu.au/surveys/student-experience-survey-(ses)</vt:lpwstr>
      </vt:variant>
      <vt:variant>
        <vt:lpwstr/>
      </vt:variant>
      <vt:variant>
        <vt:i4>720972</vt:i4>
      </vt:variant>
      <vt:variant>
        <vt:i4>474</vt:i4>
      </vt:variant>
      <vt:variant>
        <vt:i4>0</vt:i4>
      </vt:variant>
      <vt:variant>
        <vt:i4>5</vt:i4>
      </vt:variant>
      <vt:variant>
        <vt:lpwstr>https://www.qilt.edu.au/</vt:lpwstr>
      </vt:variant>
      <vt:variant>
        <vt:lpwstr/>
      </vt:variant>
      <vt:variant>
        <vt:i4>3211384</vt:i4>
      </vt:variant>
      <vt:variant>
        <vt:i4>471</vt:i4>
      </vt:variant>
      <vt:variant>
        <vt:i4>0</vt:i4>
      </vt:variant>
      <vt:variant>
        <vt:i4>5</vt:i4>
      </vt:variant>
      <vt:variant>
        <vt:lpwstr>https://www.qilt.edu.au/surveys/student-experience-survey-(ses)/student-experience-questionnaire-(seq)/</vt:lpwstr>
      </vt:variant>
      <vt:variant>
        <vt:lpwstr/>
      </vt:variant>
      <vt:variant>
        <vt:i4>1900602</vt:i4>
      </vt:variant>
      <vt:variant>
        <vt:i4>458</vt:i4>
      </vt:variant>
      <vt:variant>
        <vt:i4>0</vt:i4>
      </vt:variant>
      <vt:variant>
        <vt:i4>5</vt:i4>
      </vt:variant>
      <vt:variant>
        <vt:lpwstr/>
      </vt:variant>
      <vt:variant>
        <vt:lpwstr>_Toc206578975</vt:lpwstr>
      </vt:variant>
      <vt:variant>
        <vt:i4>1900602</vt:i4>
      </vt:variant>
      <vt:variant>
        <vt:i4>452</vt:i4>
      </vt:variant>
      <vt:variant>
        <vt:i4>0</vt:i4>
      </vt:variant>
      <vt:variant>
        <vt:i4>5</vt:i4>
      </vt:variant>
      <vt:variant>
        <vt:lpwstr/>
      </vt:variant>
      <vt:variant>
        <vt:lpwstr>_Toc206578974</vt:lpwstr>
      </vt:variant>
      <vt:variant>
        <vt:i4>1900602</vt:i4>
      </vt:variant>
      <vt:variant>
        <vt:i4>446</vt:i4>
      </vt:variant>
      <vt:variant>
        <vt:i4>0</vt:i4>
      </vt:variant>
      <vt:variant>
        <vt:i4>5</vt:i4>
      </vt:variant>
      <vt:variant>
        <vt:lpwstr/>
      </vt:variant>
      <vt:variant>
        <vt:lpwstr>_Toc206578973</vt:lpwstr>
      </vt:variant>
      <vt:variant>
        <vt:i4>1900602</vt:i4>
      </vt:variant>
      <vt:variant>
        <vt:i4>440</vt:i4>
      </vt:variant>
      <vt:variant>
        <vt:i4>0</vt:i4>
      </vt:variant>
      <vt:variant>
        <vt:i4>5</vt:i4>
      </vt:variant>
      <vt:variant>
        <vt:lpwstr/>
      </vt:variant>
      <vt:variant>
        <vt:lpwstr>_Toc206578972</vt:lpwstr>
      </vt:variant>
      <vt:variant>
        <vt:i4>1900602</vt:i4>
      </vt:variant>
      <vt:variant>
        <vt:i4>434</vt:i4>
      </vt:variant>
      <vt:variant>
        <vt:i4>0</vt:i4>
      </vt:variant>
      <vt:variant>
        <vt:i4>5</vt:i4>
      </vt:variant>
      <vt:variant>
        <vt:lpwstr/>
      </vt:variant>
      <vt:variant>
        <vt:lpwstr>_Toc206578971</vt:lpwstr>
      </vt:variant>
      <vt:variant>
        <vt:i4>1900602</vt:i4>
      </vt:variant>
      <vt:variant>
        <vt:i4>428</vt:i4>
      </vt:variant>
      <vt:variant>
        <vt:i4>0</vt:i4>
      </vt:variant>
      <vt:variant>
        <vt:i4>5</vt:i4>
      </vt:variant>
      <vt:variant>
        <vt:lpwstr/>
      </vt:variant>
      <vt:variant>
        <vt:lpwstr>_Toc206578970</vt:lpwstr>
      </vt:variant>
      <vt:variant>
        <vt:i4>1835066</vt:i4>
      </vt:variant>
      <vt:variant>
        <vt:i4>422</vt:i4>
      </vt:variant>
      <vt:variant>
        <vt:i4>0</vt:i4>
      </vt:variant>
      <vt:variant>
        <vt:i4>5</vt:i4>
      </vt:variant>
      <vt:variant>
        <vt:lpwstr/>
      </vt:variant>
      <vt:variant>
        <vt:lpwstr>_Toc206578969</vt:lpwstr>
      </vt:variant>
      <vt:variant>
        <vt:i4>1835066</vt:i4>
      </vt:variant>
      <vt:variant>
        <vt:i4>416</vt:i4>
      </vt:variant>
      <vt:variant>
        <vt:i4>0</vt:i4>
      </vt:variant>
      <vt:variant>
        <vt:i4>5</vt:i4>
      </vt:variant>
      <vt:variant>
        <vt:lpwstr/>
      </vt:variant>
      <vt:variant>
        <vt:lpwstr>_Toc206578968</vt:lpwstr>
      </vt:variant>
      <vt:variant>
        <vt:i4>1835066</vt:i4>
      </vt:variant>
      <vt:variant>
        <vt:i4>410</vt:i4>
      </vt:variant>
      <vt:variant>
        <vt:i4>0</vt:i4>
      </vt:variant>
      <vt:variant>
        <vt:i4>5</vt:i4>
      </vt:variant>
      <vt:variant>
        <vt:lpwstr/>
      </vt:variant>
      <vt:variant>
        <vt:lpwstr>_Toc206578967</vt:lpwstr>
      </vt:variant>
      <vt:variant>
        <vt:i4>1835066</vt:i4>
      </vt:variant>
      <vt:variant>
        <vt:i4>404</vt:i4>
      </vt:variant>
      <vt:variant>
        <vt:i4>0</vt:i4>
      </vt:variant>
      <vt:variant>
        <vt:i4>5</vt:i4>
      </vt:variant>
      <vt:variant>
        <vt:lpwstr/>
      </vt:variant>
      <vt:variant>
        <vt:lpwstr>_Toc206578966</vt:lpwstr>
      </vt:variant>
      <vt:variant>
        <vt:i4>1835066</vt:i4>
      </vt:variant>
      <vt:variant>
        <vt:i4>398</vt:i4>
      </vt:variant>
      <vt:variant>
        <vt:i4>0</vt:i4>
      </vt:variant>
      <vt:variant>
        <vt:i4>5</vt:i4>
      </vt:variant>
      <vt:variant>
        <vt:lpwstr/>
      </vt:variant>
      <vt:variant>
        <vt:lpwstr>_Toc206578965</vt:lpwstr>
      </vt:variant>
      <vt:variant>
        <vt:i4>1835066</vt:i4>
      </vt:variant>
      <vt:variant>
        <vt:i4>392</vt:i4>
      </vt:variant>
      <vt:variant>
        <vt:i4>0</vt:i4>
      </vt:variant>
      <vt:variant>
        <vt:i4>5</vt:i4>
      </vt:variant>
      <vt:variant>
        <vt:lpwstr/>
      </vt:variant>
      <vt:variant>
        <vt:lpwstr>_Toc206578964</vt:lpwstr>
      </vt:variant>
      <vt:variant>
        <vt:i4>1835066</vt:i4>
      </vt:variant>
      <vt:variant>
        <vt:i4>386</vt:i4>
      </vt:variant>
      <vt:variant>
        <vt:i4>0</vt:i4>
      </vt:variant>
      <vt:variant>
        <vt:i4>5</vt:i4>
      </vt:variant>
      <vt:variant>
        <vt:lpwstr/>
      </vt:variant>
      <vt:variant>
        <vt:lpwstr>_Toc206578963</vt:lpwstr>
      </vt:variant>
      <vt:variant>
        <vt:i4>1835066</vt:i4>
      </vt:variant>
      <vt:variant>
        <vt:i4>380</vt:i4>
      </vt:variant>
      <vt:variant>
        <vt:i4>0</vt:i4>
      </vt:variant>
      <vt:variant>
        <vt:i4>5</vt:i4>
      </vt:variant>
      <vt:variant>
        <vt:lpwstr/>
      </vt:variant>
      <vt:variant>
        <vt:lpwstr>_Toc206578962</vt:lpwstr>
      </vt:variant>
      <vt:variant>
        <vt:i4>1835066</vt:i4>
      </vt:variant>
      <vt:variant>
        <vt:i4>374</vt:i4>
      </vt:variant>
      <vt:variant>
        <vt:i4>0</vt:i4>
      </vt:variant>
      <vt:variant>
        <vt:i4>5</vt:i4>
      </vt:variant>
      <vt:variant>
        <vt:lpwstr/>
      </vt:variant>
      <vt:variant>
        <vt:lpwstr>_Toc206578961</vt:lpwstr>
      </vt:variant>
      <vt:variant>
        <vt:i4>1835066</vt:i4>
      </vt:variant>
      <vt:variant>
        <vt:i4>368</vt:i4>
      </vt:variant>
      <vt:variant>
        <vt:i4>0</vt:i4>
      </vt:variant>
      <vt:variant>
        <vt:i4>5</vt:i4>
      </vt:variant>
      <vt:variant>
        <vt:lpwstr/>
      </vt:variant>
      <vt:variant>
        <vt:lpwstr>_Toc206578960</vt:lpwstr>
      </vt:variant>
      <vt:variant>
        <vt:i4>2031674</vt:i4>
      </vt:variant>
      <vt:variant>
        <vt:i4>362</vt:i4>
      </vt:variant>
      <vt:variant>
        <vt:i4>0</vt:i4>
      </vt:variant>
      <vt:variant>
        <vt:i4>5</vt:i4>
      </vt:variant>
      <vt:variant>
        <vt:lpwstr/>
      </vt:variant>
      <vt:variant>
        <vt:lpwstr>_Toc206578959</vt:lpwstr>
      </vt:variant>
      <vt:variant>
        <vt:i4>2031674</vt:i4>
      </vt:variant>
      <vt:variant>
        <vt:i4>356</vt:i4>
      </vt:variant>
      <vt:variant>
        <vt:i4>0</vt:i4>
      </vt:variant>
      <vt:variant>
        <vt:i4>5</vt:i4>
      </vt:variant>
      <vt:variant>
        <vt:lpwstr/>
      </vt:variant>
      <vt:variant>
        <vt:lpwstr>_Toc206578958</vt:lpwstr>
      </vt:variant>
      <vt:variant>
        <vt:i4>2031674</vt:i4>
      </vt:variant>
      <vt:variant>
        <vt:i4>350</vt:i4>
      </vt:variant>
      <vt:variant>
        <vt:i4>0</vt:i4>
      </vt:variant>
      <vt:variant>
        <vt:i4>5</vt:i4>
      </vt:variant>
      <vt:variant>
        <vt:lpwstr/>
      </vt:variant>
      <vt:variant>
        <vt:lpwstr>_Toc206578957</vt:lpwstr>
      </vt:variant>
      <vt:variant>
        <vt:i4>2031674</vt:i4>
      </vt:variant>
      <vt:variant>
        <vt:i4>344</vt:i4>
      </vt:variant>
      <vt:variant>
        <vt:i4>0</vt:i4>
      </vt:variant>
      <vt:variant>
        <vt:i4>5</vt:i4>
      </vt:variant>
      <vt:variant>
        <vt:lpwstr/>
      </vt:variant>
      <vt:variant>
        <vt:lpwstr>_Toc206578956</vt:lpwstr>
      </vt:variant>
      <vt:variant>
        <vt:i4>2031674</vt:i4>
      </vt:variant>
      <vt:variant>
        <vt:i4>338</vt:i4>
      </vt:variant>
      <vt:variant>
        <vt:i4>0</vt:i4>
      </vt:variant>
      <vt:variant>
        <vt:i4>5</vt:i4>
      </vt:variant>
      <vt:variant>
        <vt:lpwstr/>
      </vt:variant>
      <vt:variant>
        <vt:lpwstr>_Toc206578955</vt:lpwstr>
      </vt:variant>
      <vt:variant>
        <vt:i4>2031674</vt:i4>
      </vt:variant>
      <vt:variant>
        <vt:i4>332</vt:i4>
      </vt:variant>
      <vt:variant>
        <vt:i4>0</vt:i4>
      </vt:variant>
      <vt:variant>
        <vt:i4>5</vt:i4>
      </vt:variant>
      <vt:variant>
        <vt:lpwstr/>
      </vt:variant>
      <vt:variant>
        <vt:lpwstr>_Toc206578954</vt:lpwstr>
      </vt:variant>
      <vt:variant>
        <vt:i4>2031674</vt:i4>
      </vt:variant>
      <vt:variant>
        <vt:i4>326</vt:i4>
      </vt:variant>
      <vt:variant>
        <vt:i4>0</vt:i4>
      </vt:variant>
      <vt:variant>
        <vt:i4>5</vt:i4>
      </vt:variant>
      <vt:variant>
        <vt:lpwstr/>
      </vt:variant>
      <vt:variant>
        <vt:lpwstr>_Toc206578953</vt:lpwstr>
      </vt:variant>
      <vt:variant>
        <vt:i4>2031674</vt:i4>
      </vt:variant>
      <vt:variant>
        <vt:i4>320</vt:i4>
      </vt:variant>
      <vt:variant>
        <vt:i4>0</vt:i4>
      </vt:variant>
      <vt:variant>
        <vt:i4>5</vt:i4>
      </vt:variant>
      <vt:variant>
        <vt:lpwstr/>
      </vt:variant>
      <vt:variant>
        <vt:lpwstr>_Toc206578952</vt:lpwstr>
      </vt:variant>
      <vt:variant>
        <vt:i4>2031674</vt:i4>
      </vt:variant>
      <vt:variant>
        <vt:i4>314</vt:i4>
      </vt:variant>
      <vt:variant>
        <vt:i4>0</vt:i4>
      </vt:variant>
      <vt:variant>
        <vt:i4>5</vt:i4>
      </vt:variant>
      <vt:variant>
        <vt:lpwstr/>
      </vt:variant>
      <vt:variant>
        <vt:lpwstr>_Toc206578951</vt:lpwstr>
      </vt:variant>
      <vt:variant>
        <vt:i4>2031674</vt:i4>
      </vt:variant>
      <vt:variant>
        <vt:i4>308</vt:i4>
      </vt:variant>
      <vt:variant>
        <vt:i4>0</vt:i4>
      </vt:variant>
      <vt:variant>
        <vt:i4>5</vt:i4>
      </vt:variant>
      <vt:variant>
        <vt:lpwstr/>
      </vt:variant>
      <vt:variant>
        <vt:lpwstr>_Toc206578950</vt:lpwstr>
      </vt:variant>
      <vt:variant>
        <vt:i4>1966138</vt:i4>
      </vt:variant>
      <vt:variant>
        <vt:i4>302</vt:i4>
      </vt:variant>
      <vt:variant>
        <vt:i4>0</vt:i4>
      </vt:variant>
      <vt:variant>
        <vt:i4>5</vt:i4>
      </vt:variant>
      <vt:variant>
        <vt:lpwstr/>
      </vt:variant>
      <vt:variant>
        <vt:lpwstr>_Toc206578949</vt:lpwstr>
      </vt:variant>
      <vt:variant>
        <vt:i4>1966138</vt:i4>
      </vt:variant>
      <vt:variant>
        <vt:i4>296</vt:i4>
      </vt:variant>
      <vt:variant>
        <vt:i4>0</vt:i4>
      </vt:variant>
      <vt:variant>
        <vt:i4>5</vt:i4>
      </vt:variant>
      <vt:variant>
        <vt:lpwstr/>
      </vt:variant>
      <vt:variant>
        <vt:lpwstr>_Toc206578948</vt:lpwstr>
      </vt:variant>
      <vt:variant>
        <vt:i4>1966138</vt:i4>
      </vt:variant>
      <vt:variant>
        <vt:i4>290</vt:i4>
      </vt:variant>
      <vt:variant>
        <vt:i4>0</vt:i4>
      </vt:variant>
      <vt:variant>
        <vt:i4>5</vt:i4>
      </vt:variant>
      <vt:variant>
        <vt:lpwstr/>
      </vt:variant>
      <vt:variant>
        <vt:lpwstr>_Toc206578947</vt:lpwstr>
      </vt:variant>
      <vt:variant>
        <vt:i4>1966138</vt:i4>
      </vt:variant>
      <vt:variant>
        <vt:i4>284</vt:i4>
      </vt:variant>
      <vt:variant>
        <vt:i4>0</vt:i4>
      </vt:variant>
      <vt:variant>
        <vt:i4>5</vt:i4>
      </vt:variant>
      <vt:variant>
        <vt:lpwstr/>
      </vt:variant>
      <vt:variant>
        <vt:lpwstr>_Toc206578946</vt:lpwstr>
      </vt:variant>
      <vt:variant>
        <vt:i4>1966138</vt:i4>
      </vt:variant>
      <vt:variant>
        <vt:i4>278</vt:i4>
      </vt:variant>
      <vt:variant>
        <vt:i4>0</vt:i4>
      </vt:variant>
      <vt:variant>
        <vt:i4>5</vt:i4>
      </vt:variant>
      <vt:variant>
        <vt:lpwstr/>
      </vt:variant>
      <vt:variant>
        <vt:lpwstr>_Toc206578945</vt:lpwstr>
      </vt:variant>
      <vt:variant>
        <vt:i4>1638458</vt:i4>
      </vt:variant>
      <vt:variant>
        <vt:i4>269</vt:i4>
      </vt:variant>
      <vt:variant>
        <vt:i4>0</vt:i4>
      </vt:variant>
      <vt:variant>
        <vt:i4>5</vt:i4>
      </vt:variant>
      <vt:variant>
        <vt:lpwstr/>
      </vt:variant>
      <vt:variant>
        <vt:lpwstr>_Toc206578931</vt:lpwstr>
      </vt:variant>
      <vt:variant>
        <vt:i4>1638458</vt:i4>
      </vt:variant>
      <vt:variant>
        <vt:i4>263</vt:i4>
      </vt:variant>
      <vt:variant>
        <vt:i4>0</vt:i4>
      </vt:variant>
      <vt:variant>
        <vt:i4>5</vt:i4>
      </vt:variant>
      <vt:variant>
        <vt:lpwstr/>
      </vt:variant>
      <vt:variant>
        <vt:lpwstr>_Toc206578930</vt:lpwstr>
      </vt:variant>
      <vt:variant>
        <vt:i4>1572922</vt:i4>
      </vt:variant>
      <vt:variant>
        <vt:i4>257</vt:i4>
      </vt:variant>
      <vt:variant>
        <vt:i4>0</vt:i4>
      </vt:variant>
      <vt:variant>
        <vt:i4>5</vt:i4>
      </vt:variant>
      <vt:variant>
        <vt:lpwstr/>
      </vt:variant>
      <vt:variant>
        <vt:lpwstr>_Toc206578929</vt:lpwstr>
      </vt:variant>
      <vt:variant>
        <vt:i4>1572922</vt:i4>
      </vt:variant>
      <vt:variant>
        <vt:i4>251</vt:i4>
      </vt:variant>
      <vt:variant>
        <vt:i4>0</vt:i4>
      </vt:variant>
      <vt:variant>
        <vt:i4>5</vt:i4>
      </vt:variant>
      <vt:variant>
        <vt:lpwstr/>
      </vt:variant>
      <vt:variant>
        <vt:lpwstr>_Toc206578928</vt:lpwstr>
      </vt:variant>
      <vt:variant>
        <vt:i4>1572922</vt:i4>
      </vt:variant>
      <vt:variant>
        <vt:i4>245</vt:i4>
      </vt:variant>
      <vt:variant>
        <vt:i4>0</vt:i4>
      </vt:variant>
      <vt:variant>
        <vt:i4>5</vt:i4>
      </vt:variant>
      <vt:variant>
        <vt:lpwstr/>
      </vt:variant>
      <vt:variant>
        <vt:lpwstr>_Toc206578927</vt:lpwstr>
      </vt:variant>
      <vt:variant>
        <vt:i4>1572922</vt:i4>
      </vt:variant>
      <vt:variant>
        <vt:i4>239</vt:i4>
      </vt:variant>
      <vt:variant>
        <vt:i4>0</vt:i4>
      </vt:variant>
      <vt:variant>
        <vt:i4>5</vt:i4>
      </vt:variant>
      <vt:variant>
        <vt:lpwstr/>
      </vt:variant>
      <vt:variant>
        <vt:lpwstr>_Toc206578926</vt:lpwstr>
      </vt:variant>
      <vt:variant>
        <vt:i4>1572922</vt:i4>
      </vt:variant>
      <vt:variant>
        <vt:i4>233</vt:i4>
      </vt:variant>
      <vt:variant>
        <vt:i4>0</vt:i4>
      </vt:variant>
      <vt:variant>
        <vt:i4>5</vt:i4>
      </vt:variant>
      <vt:variant>
        <vt:lpwstr/>
      </vt:variant>
      <vt:variant>
        <vt:lpwstr>_Toc206578925</vt:lpwstr>
      </vt:variant>
      <vt:variant>
        <vt:i4>1179702</vt:i4>
      </vt:variant>
      <vt:variant>
        <vt:i4>224</vt:i4>
      </vt:variant>
      <vt:variant>
        <vt:i4>0</vt:i4>
      </vt:variant>
      <vt:variant>
        <vt:i4>5</vt:i4>
      </vt:variant>
      <vt:variant>
        <vt:lpwstr/>
      </vt:variant>
      <vt:variant>
        <vt:lpwstr>_Toc206568485</vt:lpwstr>
      </vt:variant>
      <vt:variant>
        <vt:i4>1179702</vt:i4>
      </vt:variant>
      <vt:variant>
        <vt:i4>218</vt:i4>
      </vt:variant>
      <vt:variant>
        <vt:i4>0</vt:i4>
      </vt:variant>
      <vt:variant>
        <vt:i4>5</vt:i4>
      </vt:variant>
      <vt:variant>
        <vt:lpwstr/>
      </vt:variant>
      <vt:variant>
        <vt:lpwstr>_Toc206568484</vt:lpwstr>
      </vt:variant>
      <vt:variant>
        <vt:i4>1179702</vt:i4>
      </vt:variant>
      <vt:variant>
        <vt:i4>212</vt:i4>
      </vt:variant>
      <vt:variant>
        <vt:i4>0</vt:i4>
      </vt:variant>
      <vt:variant>
        <vt:i4>5</vt:i4>
      </vt:variant>
      <vt:variant>
        <vt:lpwstr/>
      </vt:variant>
      <vt:variant>
        <vt:lpwstr>_Toc206568483</vt:lpwstr>
      </vt:variant>
      <vt:variant>
        <vt:i4>1179702</vt:i4>
      </vt:variant>
      <vt:variant>
        <vt:i4>206</vt:i4>
      </vt:variant>
      <vt:variant>
        <vt:i4>0</vt:i4>
      </vt:variant>
      <vt:variant>
        <vt:i4>5</vt:i4>
      </vt:variant>
      <vt:variant>
        <vt:lpwstr/>
      </vt:variant>
      <vt:variant>
        <vt:lpwstr>_Toc206568482</vt:lpwstr>
      </vt:variant>
      <vt:variant>
        <vt:i4>1179702</vt:i4>
      </vt:variant>
      <vt:variant>
        <vt:i4>200</vt:i4>
      </vt:variant>
      <vt:variant>
        <vt:i4>0</vt:i4>
      </vt:variant>
      <vt:variant>
        <vt:i4>5</vt:i4>
      </vt:variant>
      <vt:variant>
        <vt:lpwstr/>
      </vt:variant>
      <vt:variant>
        <vt:lpwstr>_Toc206568481</vt:lpwstr>
      </vt:variant>
      <vt:variant>
        <vt:i4>1179702</vt:i4>
      </vt:variant>
      <vt:variant>
        <vt:i4>194</vt:i4>
      </vt:variant>
      <vt:variant>
        <vt:i4>0</vt:i4>
      </vt:variant>
      <vt:variant>
        <vt:i4>5</vt:i4>
      </vt:variant>
      <vt:variant>
        <vt:lpwstr/>
      </vt:variant>
      <vt:variant>
        <vt:lpwstr>_Toc206568480</vt:lpwstr>
      </vt:variant>
      <vt:variant>
        <vt:i4>1900598</vt:i4>
      </vt:variant>
      <vt:variant>
        <vt:i4>188</vt:i4>
      </vt:variant>
      <vt:variant>
        <vt:i4>0</vt:i4>
      </vt:variant>
      <vt:variant>
        <vt:i4>5</vt:i4>
      </vt:variant>
      <vt:variant>
        <vt:lpwstr/>
      </vt:variant>
      <vt:variant>
        <vt:lpwstr>_Toc206568479</vt:lpwstr>
      </vt:variant>
      <vt:variant>
        <vt:i4>1900598</vt:i4>
      </vt:variant>
      <vt:variant>
        <vt:i4>182</vt:i4>
      </vt:variant>
      <vt:variant>
        <vt:i4>0</vt:i4>
      </vt:variant>
      <vt:variant>
        <vt:i4>5</vt:i4>
      </vt:variant>
      <vt:variant>
        <vt:lpwstr/>
      </vt:variant>
      <vt:variant>
        <vt:lpwstr>_Toc206568478</vt:lpwstr>
      </vt:variant>
      <vt:variant>
        <vt:i4>1900598</vt:i4>
      </vt:variant>
      <vt:variant>
        <vt:i4>176</vt:i4>
      </vt:variant>
      <vt:variant>
        <vt:i4>0</vt:i4>
      </vt:variant>
      <vt:variant>
        <vt:i4>5</vt:i4>
      </vt:variant>
      <vt:variant>
        <vt:lpwstr/>
      </vt:variant>
      <vt:variant>
        <vt:lpwstr>_Toc206568477</vt:lpwstr>
      </vt:variant>
      <vt:variant>
        <vt:i4>1900598</vt:i4>
      </vt:variant>
      <vt:variant>
        <vt:i4>170</vt:i4>
      </vt:variant>
      <vt:variant>
        <vt:i4>0</vt:i4>
      </vt:variant>
      <vt:variant>
        <vt:i4>5</vt:i4>
      </vt:variant>
      <vt:variant>
        <vt:lpwstr/>
      </vt:variant>
      <vt:variant>
        <vt:lpwstr>_Toc206568476</vt:lpwstr>
      </vt:variant>
      <vt:variant>
        <vt:i4>1900598</vt:i4>
      </vt:variant>
      <vt:variant>
        <vt:i4>164</vt:i4>
      </vt:variant>
      <vt:variant>
        <vt:i4>0</vt:i4>
      </vt:variant>
      <vt:variant>
        <vt:i4>5</vt:i4>
      </vt:variant>
      <vt:variant>
        <vt:lpwstr/>
      </vt:variant>
      <vt:variant>
        <vt:lpwstr>_Toc206568475</vt:lpwstr>
      </vt:variant>
      <vt:variant>
        <vt:i4>1900598</vt:i4>
      </vt:variant>
      <vt:variant>
        <vt:i4>158</vt:i4>
      </vt:variant>
      <vt:variant>
        <vt:i4>0</vt:i4>
      </vt:variant>
      <vt:variant>
        <vt:i4>5</vt:i4>
      </vt:variant>
      <vt:variant>
        <vt:lpwstr/>
      </vt:variant>
      <vt:variant>
        <vt:lpwstr>_Toc206568474</vt:lpwstr>
      </vt:variant>
      <vt:variant>
        <vt:i4>1900598</vt:i4>
      </vt:variant>
      <vt:variant>
        <vt:i4>152</vt:i4>
      </vt:variant>
      <vt:variant>
        <vt:i4>0</vt:i4>
      </vt:variant>
      <vt:variant>
        <vt:i4>5</vt:i4>
      </vt:variant>
      <vt:variant>
        <vt:lpwstr/>
      </vt:variant>
      <vt:variant>
        <vt:lpwstr>_Toc206568473</vt:lpwstr>
      </vt:variant>
      <vt:variant>
        <vt:i4>1900598</vt:i4>
      </vt:variant>
      <vt:variant>
        <vt:i4>146</vt:i4>
      </vt:variant>
      <vt:variant>
        <vt:i4>0</vt:i4>
      </vt:variant>
      <vt:variant>
        <vt:i4>5</vt:i4>
      </vt:variant>
      <vt:variant>
        <vt:lpwstr/>
      </vt:variant>
      <vt:variant>
        <vt:lpwstr>_Toc206568472</vt:lpwstr>
      </vt:variant>
      <vt:variant>
        <vt:i4>1900598</vt:i4>
      </vt:variant>
      <vt:variant>
        <vt:i4>140</vt:i4>
      </vt:variant>
      <vt:variant>
        <vt:i4>0</vt:i4>
      </vt:variant>
      <vt:variant>
        <vt:i4>5</vt:i4>
      </vt:variant>
      <vt:variant>
        <vt:lpwstr/>
      </vt:variant>
      <vt:variant>
        <vt:lpwstr>_Toc206568471</vt:lpwstr>
      </vt:variant>
      <vt:variant>
        <vt:i4>1900598</vt:i4>
      </vt:variant>
      <vt:variant>
        <vt:i4>134</vt:i4>
      </vt:variant>
      <vt:variant>
        <vt:i4>0</vt:i4>
      </vt:variant>
      <vt:variant>
        <vt:i4>5</vt:i4>
      </vt:variant>
      <vt:variant>
        <vt:lpwstr/>
      </vt:variant>
      <vt:variant>
        <vt:lpwstr>_Toc206568470</vt:lpwstr>
      </vt:variant>
      <vt:variant>
        <vt:i4>1835062</vt:i4>
      </vt:variant>
      <vt:variant>
        <vt:i4>128</vt:i4>
      </vt:variant>
      <vt:variant>
        <vt:i4>0</vt:i4>
      </vt:variant>
      <vt:variant>
        <vt:i4>5</vt:i4>
      </vt:variant>
      <vt:variant>
        <vt:lpwstr/>
      </vt:variant>
      <vt:variant>
        <vt:lpwstr>_Toc206568469</vt:lpwstr>
      </vt:variant>
      <vt:variant>
        <vt:i4>1835062</vt:i4>
      </vt:variant>
      <vt:variant>
        <vt:i4>122</vt:i4>
      </vt:variant>
      <vt:variant>
        <vt:i4>0</vt:i4>
      </vt:variant>
      <vt:variant>
        <vt:i4>5</vt:i4>
      </vt:variant>
      <vt:variant>
        <vt:lpwstr/>
      </vt:variant>
      <vt:variant>
        <vt:lpwstr>_Toc206568468</vt:lpwstr>
      </vt:variant>
      <vt:variant>
        <vt:i4>1835062</vt:i4>
      </vt:variant>
      <vt:variant>
        <vt:i4>116</vt:i4>
      </vt:variant>
      <vt:variant>
        <vt:i4>0</vt:i4>
      </vt:variant>
      <vt:variant>
        <vt:i4>5</vt:i4>
      </vt:variant>
      <vt:variant>
        <vt:lpwstr/>
      </vt:variant>
      <vt:variant>
        <vt:lpwstr>_Toc206568467</vt:lpwstr>
      </vt:variant>
      <vt:variant>
        <vt:i4>1835062</vt:i4>
      </vt:variant>
      <vt:variant>
        <vt:i4>110</vt:i4>
      </vt:variant>
      <vt:variant>
        <vt:i4>0</vt:i4>
      </vt:variant>
      <vt:variant>
        <vt:i4>5</vt:i4>
      </vt:variant>
      <vt:variant>
        <vt:lpwstr/>
      </vt:variant>
      <vt:variant>
        <vt:lpwstr>_Toc206568466</vt:lpwstr>
      </vt:variant>
      <vt:variant>
        <vt:i4>1835062</vt:i4>
      </vt:variant>
      <vt:variant>
        <vt:i4>104</vt:i4>
      </vt:variant>
      <vt:variant>
        <vt:i4>0</vt:i4>
      </vt:variant>
      <vt:variant>
        <vt:i4>5</vt:i4>
      </vt:variant>
      <vt:variant>
        <vt:lpwstr/>
      </vt:variant>
      <vt:variant>
        <vt:lpwstr>_Toc206568465</vt:lpwstr>
      </vt:variant>
      <vt:variant>
        <vt:i4>1835062</vt:i4>
      </vt:variant>
      <vt:variant>
        <vt:i4>98</vt:i4>
      </vt:variant>
      <vt:variant>
        <vt:i4>0</vt:i4>
      </vt:variant>
      <vt:variant>
        <vt:i4>5</vt:i4>
      </vt:variant>
      <vt:variant>
        <vt:lpwstr/>
      </vt:variant>
      <vt:variant>
        <vt:lpwstr>_Toc206568464</vt:lpwstr>
      </vt:variant>
      <vt:variant>
        <vt:i4>1835062</vt:i4>
      </vt:variant>
      <vt:variant>
        <vt:i4>92</vt:i4>
      </vt:variant>
      <vt:variant>
        <vt:i4>0</vt:i4>
      </vt:variant>
      <vt:variant>
        <vt:i4>5</vt:i4>
      </vt:variant>
      <vt:variant>
        <vt:lpwstr/>
      </vt:variant>
      <vt:variant>
        <vt:lpwstr>_Toc206568463</vt:lpwstr>
      </vt:variant>
      <vt:variant>
        <vt:i4>1835062</vt:i4>
      </vt:variant>
      <vt:variant>
        <vt:i4>86</vt:i4>
      </vt:variant>
      <vt:variant>
        <vt:i4>0</vt:i4>
      </vt:variant>
      <vt:variant>
        <vt:i4>5</vt:i4>
      </vt:variant>
      <vt:variant>
        <vt:lpwstr/>
      </vt:variant>
      <vt:variant>
        <vt:lpwstr>_Toc206568462</vt:lpwstr>
      </vt:variant>
      <vt:variant>
        <vt:i4>1835062</vt:i4>
      </vt:variant>
      <vt:variant>
        <vt:i4>80</vt:i4>
      </vt:variant>
      <vt:variant>
        <vt:i4>0</vt:i4>
      </vt:variant>
      <vt:variant>
        <vt:i4>5</vt:i4>
      </vt:variant>
      <vt:variant>
        <vt:lpwstr/>
      </vt:variant>
      <vt:variant>
        <vt:lpwstr>_Toc206568461</vt:lpwstr>
      </vt:variant>
      <vt:variant>
        <vt:i4>1835062</vt:i4>
      </vt:variant>
      <vt:variant>
        <vt:i4>74</vt:i4>
      </vt:variant>
      <vt:variant>
        <vt:i4>0</vt:i4>
      </vt:variant>
      <vt:variant>
        <vt:i4>5</vt:i4>
      </vt:variant>
      <vt:variant>
        <vt:lpwstr/>
      </vt:variant>
      <vt:variant>
        <vt:lpwstr>_Toc206568460</vt:lpwstr>
      </vt:variant>
      <vt:variant>
        <vt:i4>2031670</vt:i4>
      </vt:variant>
      <vt:variant>
        <vt:i4>68</vt:i4>
      </vt:variant>
      <vt:variant>
        <vt:i4>0</vt:i4>
      </vt:variant>
      <vt:variant>
        <vt:i4>5</vt:i4>
      </vt:variant>
      <vt:variant>
        <vt:lpwstr/>
      </vt:variant>
      <vt:variant>
        <vt:lpwstr>_Toc206568459</vt:lpwstr>
      </vt:variant>
      <vt:variant>
        <vt:i4>2031670</vt:i4>
      </vt:variant>
      <vt:variant>
        <vt:i4>62</vt:i4>
      </vt:variant>
      <vt:variant>
        <vt:i4>0</vt:i4>
      </vt:variant>
      <vt:variant>
        <vt:i4>5</vt:i4>
      </vt:variant>
      <vt:variant>
        <vt:lpwstr/>
      </vt:variant>
      <vt:variant>
        <vt:lpwstr>_Toc206568458</vt:lpwstr>
      </vt:variant>
      <vt:variant>
        <vt:i4>2031670</vt:i4>
      </vt:variant>
      <vt:variant>
        <vt:i4>56</vt:i4>
      </vt:variant>
      <vt:variant>
        <vt:i4>0</vt:i4>
      </vt:variant>
      <vt:variant>
        <vt:i4>5</vt:i4>
      </vt:variant>
      <vt:variant>
        <vt:lpwstr/>
      </vt:variant>
      <vt:variant>
        <vt:lpwstr>_Toc206568457</vt:lpwstr>
      </vt:variant>
      <vt:variant>
        <vt:i4>2031670</vt:i4>
      </vt:variant>
      <vt:variant>
        <vt:i4>50</vt:i4>
      </vt:variant>
      <vt:variant>
        <vt:i4>0</vt:i4>
      </vt:variant>
      <vt:variant>
        <vt:i4>5</vt:i4>
      </vt:variant>
      <vt:variant>
        <vt:lpwstr/>
      </vt:variant>
      <vt:variant>
        <vt:lpwstr>_Toc206568456</vt:lpwstr>
      </vt:variant>
      <vt:variant>
        <vt:i4>2031670</vt:i4>
      </vt:variant>
      <vt:variant>
        <vt:i4>44</vt:i4>
      </vt:variant>
      <vt:variant>
        <vt:i4>0</vt:i4>
      </vt:variant>
      <vt:variant>
        <vt:i4>5</vt:i4>
      </vt:variant>
      <vt:variant>
        <vt:lpwstr/>
      </vt:variant>
      <vt:variant>
        <vt:lpwstr>_Toc206568455</vt:lpwstr>
      </vt:variant>
      <vt:variant>
        <vt:i4>2031670</vt:i4>
      </vt:variant>
      <vt:variant>
        <vt:i4>38</vt:i4>
      </vt:variant>
      <vt:variant>
        <vt:i4>0</vt:i4>
      </vt:variant>
      <vt:variant>
        <vt:i4>5</vt:i4>
      </vt:variant>
      <vt:variant>
        <vt:lpwstr/>
      </vt:variant>
      <vt:variant>
        <vt:lpwstr>_Toc206568454</vt:lpwstr>
      </vt:variant>
      <vt:variant>
        <vt:i4>2031670</vt:i4>
      </vt:variant>
      <vt:variant>
        <vt:i4>32</vt:i4>
      </vt:variant>
      <vt:variant>
        <vt:i4>0</vt:i4>
      </vt:variant>
      <vt:variant>
        <vt:i4>5</vt:i4>
      </vt:variant>
      <vt:variant>
        <vt:lpwstr/>
      </vt:variant>
      <vt:variant>
        <vt:lpwstr>_Toc206568453</vt:lpwstr>
      </vt:variant>
      <vt:variant>
        <vt:i4>2031670</vt:i4>
      </vt:variant>
      <vt:variant>
        <vt:i4>26</vt:i4>
      </vt:variant>
      <vt:variant>
        <vt:i4>0</vt:i4>
      </vt:variant>
      <vt:variant>
        <vt:i4>5</vt:i4>
      </vt:variant>
      <vt:variant>
        <vt:lpwstr/>
      </vt:variant>
      <vt:variant>
        <vt:lpwstr>_Toc206568452</vt:lpwstr>
      </vt:variant>
      <vt:variant>
        <vt:i4>2031670</vt:i4>
      </vt:variant>
      <vt:variant>
        <vt:i4>20</vt:i4>
      </vt:variant>
      <vt:variant>
        <vt:i4>0</vt:i4>
      </vt:variant>
      <vt:variant>
        <vt:i4>5</vt:i4>
      </vt:variant>
      <vt:variant>
        <vt:lpwstr/>
      </vt:variant>
      <vt:variant>
        <vt:lpwstr>_Toc206568451</vt:lpwstr>
      </vt:variant>
      <vt:variant>
        <vt:i4>2031670</vt:i4>
      </vt:variant>
      <vt:variant>
        <vt:i4>14</vt:i4>
      </vt:variant>
      <vt:variant>
        <vt:i4>0</vt:i4>
      </vt:variant>
      <vt:variant>
        <vt:i4>5</vt:i4>
      </vt:variant>
      <vt:variant>
        <vt:lpwstr/>
      </vt:variant>
      <vt:variant>
        <vt:lpwstr>_Toc206568450</vt:lpwstr>
      </vt:variant>
      <vt:variant>
        <vt:i4>3211384</vt:i4>
      </vt:variant>
      <vt:variant>
        <vt:i4>9</vt:i4>
      </vt:variant>
      <vt:variant>
        <vt:i4>0</vt:i4>
      </vt:variant>
      <vt:variant>
        <vt:i4>5</vt:i4>
      </vt:variant>
      <vt:variant>
        <vt:lpwstr>https://www.qilt.edu.au/surveys/student-experience-survey-(ses)/student-experience-questionnaire-(seq)/</vt:lpwstr>
      </vt:variant>
      <vt:variant>
        <vt:lpwstr/>
      </vt:variant>
      <vt:variant>
        <vt:i4>5636148</vt:i4>
      </vt:variant>
      <vt:variant>
        <vt:i4>3</vt:i4>
      </vt:variant>
      <vt:variant>
        <vt:i4>0</vt:i4>
      </vt:variant>
      <vt:variant>
        <vt:i4>5</vt:i4>
      </vt:variant>
      <vt:variant>
        <vt:lpwstr>mailto:qilt@srcentre.com.au</vt:lpwstr>
      </vt:variant>
      <vt:variant>
        <vt:lpwstr/>
      </vt:variant>
      <vt:variant>
        <vt:i4>2555964</vt:i4>
      </vt:variant>
      <vt:variant>
        <vt:i4>0</vt:i4>
      </vt:variant>
      <vt:variant>
        <vt:i4>0</vt:i4>
      </vt:variant>
      <vt:variant>
        <vt:i4>5</vt:i4>
      </vt:variant>
      <vt:variant>
        <vt:lpwstr>http://www.qilt.edu.au/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2026-05-25T00:53:00Z</dcterms:created>
  <dcterms:modified xsi:type="dcterms:W3CDTF">2026-05-25T00:53:00Z</dcterms:modified>
</cp:coreProperties>
</file>